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1" w:lineRule="exact"/>
      </w:pPr>
      <w:r>
        <mc:AlternateContent>
          <mc:Choice Requires="wps">
            <w:drawing>
              <wp:anchor distT="0" distB="0" distL="0" distR="0" simplePos="0" relativeHeight="125829378" behindDoc="0" locked="0" layoutInCell="1" allowOverlap="1">
                <wp:simplePos x="0" y="0"/>
                <wp:positionH relativeFrom="page">
                  <wp:posOffset>751205</wp:posOffset>
                </wp:positionH>
                <wp:positionV relativeFrom="paragraph">
                  <wp:posOffset>21590</wp:posOffset>
                </wp:positionV>
                <wp:extent cx="1246505" cy="198120"/>
                <wp:wrapSquare wrapText="bothSides"/>
                <wp:docPr id="1" name="Shape 1"/>
                <a:graphic xmlns:a="http://schemas.openxmlformats.org/drawingml/2006/main">
                  <a:graphicData uri="http://schemas.microsoft.com/office/word/2010/wordprocessingShape">
                    <wps:wsp>
                      <wps:cNvSpPr txBox="1"/>
                      <wps:spPr>
                        <a:xfrm>
                          <a:ext cx="1246505" cy="19812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000000"/>
                                <w:spacing w:val="0"/>
                                <w:w w:val="100"/>
                                <w:position w:val="0"/>
                                <w:sz w:val="24"/>
                                <w:szCs w:val="24"/>
                              </w:rPr>
                              <w:t>股票代码：</w:t>
                            </w:r>
                            <w:r>
                              <w:rPr>
                                <w:rFonts w:ascii="Times New Roman" w:eastAsia="Times New Roman" w:hAnsi="Times New Roman" w:cs="Times New Roman"/>
                                <w:color w:val="000000"/>
                                <w:spacing w:val="0"/>
                                <w:w w:val="100"/>
                                <w:position w:val="0"/>
                                <w:sz w:val="24"/>
                                <w:szCs w:val="24"/>
                              </w:rPr>
                              <w:t>002670</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59.149999999999999pt;margin-top:1.7pt;width:98.150000000000006pt;height:15.6pt;z-index:-125829375;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000000"/>
                          <w:spacing w:val="0"/>
                          <w:w w:val="100"/>
                          <w:position w:val="0"/>
                          <w:sz w:val="24"/>
                          <w:szCs w:val="24"/>
                        </w:rPr>
                        <w:t>股票代码：</w:t>
                      </w:r>
                      <w:r>
                        <w:rPr>
                          <w:rFonts w:ascii="Times New Roman" w:eastAsia="Times New Roman" w:hAnsi="Times New Roman" w:cs="Times New Roman"/>
                          <w:color w:val="000000"/>
                          <w:spacing w:val="0"/>
                          <w:w w:val="100"/>
                          <w:position w:val="0"/>
                          <w:sz w:val="24"/>
                          <w:szCs w:val="24"/>
                        </w:rPr>
                        <w:t>002670</w:t>
                      </w:r>
                    </w:p>
                  </w:txbxContent>
                </v:textbox>
                <w10:wrap type="square" anchorx="page"/>
              </v:shape>
            </w:pict>
          </mc:Fallback>
        </mc:AlternateContent>
      </w:r>
    </w:p>
    <w:p>
      <w:pPr>
        <w:pStyle w:val="Style2"/>
        <w:keepNext w:val="0"/>
        <w:keepLines w:val="0"/>
        <w:widowControl w:val="0"/>
        <w:shd w:val="clear" w:color="auto" w:fill="auto"/>
        <w:bidi w:val="0"/>
        <w:spacing w:before="0" w:after="0" w:line="240" w:lineRule="auto"/>
        <w:ind w:left="0" w:right="0" w:firstLine="0"/>
        <w:jc w:val="right"/>
        <w:rPr>
          <w:sz w:val="24"/>
          <w:szCs w:val="24"/>
        </w:rPr>
        <w:sectPr>
          <w:headerReference w:type="default" r:id="rId5"/>
          <w:footerReference w:type="default" r:id="rId6"/>
          <w:headerReference w:type="first" r:id="rId7"/>
          <w:footerReference w:type="first" r:id="rId8"/>
          <w:footnotePr>
            <w:pos w:val="pageBottom"/>
            <w:numFmt w:val="decimal"/>
            <w:numRestart w:val="continuous"/>
          </w:footnotePr>
          <w:pgSz w:w="11900" w:h="16840"/>
          <w:pgMar w:top="1474" w:right="1184" w:bottom="4296" w:left="3147" w:header="0" w:footer="3" w:gutter="0"/>
          <w:pgNumType w:start="1"/>
          <w:cols w:space="720"/>
          <w:noEndnote/>
          <w:titlePg/>
          <w:rtlGutter w:val="0"/>
          <w:docGrid w:linePitch="360"/>
        </w:sectPr>
      </w:pPr>
      <w:r>
        <w:rPr>
          <w:rFonts w:ascii="SimHei" w:eastAsia="SimHei" w:hAnsi="SimHei" w:cs="SimHei"/>
          <w:color w:val="000000"/>
          <w:spacing w:val="0"/>
          <w:w w:val="100"/>
          <w:position w:val="0"/>
          <w:sz w:val="24"/>
          <w:szCs w:val="24"/>
        </w:rPr>
        <w:t>股票简称：国盛金控</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39" w:after="3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018" w:right="0" w:bottom="984" w:left="0" w:header="0" w:footer="3" w:gutter="0"/>
          <w:cols w:space="720"/>
          <w:noEndnote/>
          <w:rtlGutter w:val="0"/>
          <w:docGrid w:linePitch="360"/>
        </w:sectPr>
      </w:pPr>
    </w:p>
    <w:p>
      <w:pPr>
        <w:widowControl w:val="0"/>
        <w:spacing w:line="360" w:lineRule="exact"/>
      </w:pPr>
      <w:r>
        <w:drawing>
          <wp:anchor distT="0" distB="0" distL="0" distR="0" simplePos="0" relativeHeight="62914698" behindDoc="1" locked="0" layoutInCell="1" allowOverlap="1">
            <wp:simplePos x="0" y="0"/>
            <wp:positionH relativeFrom="page">
              <wp:posOffset>2647315</wp:posOffset>
            </wp:positionH>
            <wp:positionV relativeFrom="paragraph">
              <wp:posOffset>12700</wp:posOffset>
            </wp:positionV>
            <wp:extent cx="2261870" cy="737870"/>
            <wp:wrapNone/>
            <wp:docPr id="13" name="Shape 13"/>
            <a:graphic xmlns:a="http://schemas.openxmlformats.org/drawingml/2006/main">
              <a:graphicData uri="http://schemas.openxmlformats.org/drawingml/2006/picture">
                <pic:pic xmlns:pic="http://schemas.openxmlformats.org/drawingml/2006/picture">
                  <pic:nvPicPr>
                    <pic:cNvPr id="14" name="Picture box 14"/>
                    <pic:cNvPicPr/>
                  </pic:nvPicPr>
                  <pic:blipFill>
                    <a:blip r:embed="rId9"/>
                    <a:stretch/>
                  </pic:blipFill>
                  <pic:spPr>
                    <a:xfrm>
                      <a:ext cx="2261870" cy="737870"/>
                    </a:xfrm>
                    <a:prstGeom prst="rect"/>
                  </pic:spPr>
                </pic:pic>
              </a:graphicData>
            </a:graphic>
          </wp:anchor>
        </w:drawing>
      </w:r>
    </w:p>
    <w:p>
      <w:pPr>
        <w:widowControl w:val="0"/>
        <w:spacing w:line="360" w:lineRule="exact"/>
      </w:pPr>
    </w:p>
    <w:p>
      <w:pPr>
        <w:widowControl w:val="0"/>
        <w:spacing w:after="441" w:line="1" w:lineRule="exact"/>
      </w:pPr>
    </w:p>
    <w:p>
      <w:pPr>
        <w:widowControl w:val="0"/>
        <w:spacing w:line="1" w:lineRule="exact"/>
        <w:sectPr>
          <w:footnotePr>
            <w:pos w:val="pageBottom"/>
            <w:numFmt w:val="decimal"/>
            <w:numRestart w:val="continuous"/>
          </w:footnotePr>
          <w:type w:val="continuous"/>
          <w:pgSz w:w="11900" w:h="16840"/>
          <w:pgMar w:top="1018" w:right="996" w:bottom="984" w:left="1111" w:header="0" w:footer="3" w:gutter="0"/>
          <w:cols w:space="720"/>
          <w:noEndnote/>
          <w:rtlGutter w:val="0"/>
          <w:docGrid w:linePitch="360"/>
        </w:sectPr>
      </w:pPr>
    </w:p>
    <w:p>
      <w:pPr>
        <w:widowControl w:val="0"/>
        <w:spacing w:line="240" w:lineRule="exact"/>
        <w:rPr>
          <w:sz w:val="19"/>
          <w:szCs w:val="19"/>
        </w:rPr>
      </w:pPr>
    </w:p>
    <w:p>
      <w:pPr>
        <w:widowControl w:val="0"/>
        <w:spacing w:before="65" w:after="65"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474" w:right="0" w:bottom="4296" w:left="0" w:header="0" w:footer="3" w:gutter="0"/>
          <w:cols w:space="720"/>
          <w:noEndnote/>
          <w:rtlGutter w:val="0"/>
          <w:docGrid w:linePitch="360"/>
        </w:sectPr>
      </w:pPr>
    </w:p>
    <w:p>
      <w:pPr>
        <w:pStyle w:val="Style2"/>
        <w:keepNext w:val="0"/>
        <w:keepLines w:val="0"/>
        <w:widowControl w:val="0"/>
        <w:shd w:val="clear" w:color="auto" w:fill="auto"/>
        <w:bidi w:val="0"/>
        <w:spacing w:before="0" w:after="1880" w:line="240" w:lineRule="auto"/>
        <w:ind w:left="0" w:right="0" w:firstLine="0"/>
        <w:jc w:val="center"/>
        <w:rPr>
          <w:sz w:val="46"/>
          <w:szCs w:val="46"/>
        </w:rPr>
      </w:pPr>
      <w:r>
        <w:rPr>
          <w:rFonts w:ascii="SimHei" w:eastAsia="SimHei" w:hAnsi="SimHei" w:cs="SimHei"/>
          <w:b/>
          <w:bCs/>
          <w:color w:val="000000"/>
          <w:spacing w:val="0"/>
          <w:w w:val="100"/>
          <w:position w:val="0"/>
          <w:sz w:val="46"/>
          <w:szCs w:val="46"/>
        </w:rPr>
        <w:t>国盛金融控股集团股份有限公司</w:t>
      </w:r>
    </w:p>
    <w:p>
      <w:pPr>
        <w:pStyle w:val="Style2"/>
        <w:keepNext w:val="0"/>
        <w:keepLines w:val="0"/>
        <w:widowControl w:val="0"/>
        <w:shd w:val="clear" w:color="auto" w:fill="auto"/>
        <w:bidi w:val="0"/>
        <w:spacing w:before="0" w:after="3420" w:line="240" w:lineRule="auto"/>
        <w:ind w:left="0" w:right="0" w:firstLine="0"/>
        <w:jc w:val="center"/>
        <w:rPr>
          <w:sz w:val="46"/>
          <w:szCs w:val="46"/>
        </w:rPr>
      </w:pPr>
      <w:r>
        <w:rPr>
          <w:rFonts w:ascii="Times New Roman" w:eastAsia="Times New Roman" w:hAnsi="Times New Roman" w:cs="Times New Roman"/>
          <w:b/>
          <w:bCs/>
          <w:color w:val="000000"/>
          <w:spacing w:val="0"/>
          <w:w w:val="100"/>
          <w:position w:val="0"/>
          <w:sz w:val="48"/>
          <w:szCs w:val="48"/>
        </w:rPr>
        <w:t>2020</w:t>
      </w:r>
      <w:r>
        <w:rPr>
          <w:rFonts w:ascii="SimHei" w:eastAsia="SimHei" w:hAnsi="SimHei" w:cs="SimHei"/>
          <w:b/>
          <w:bCs/>
          <w:color w:val="000000"/>
          <w:spacing w:val="0"/>
          <w:w w:val="100"/>
          <w:position w:val="0"/>
          <w:sz w:val="46"/>
          <w:szCs w:val="46"/>
        </w:rPr>
        <w:t>年度报告</w:t>
      </w:r>
    </w:p>
    <w:p>
      <w:pPr>
        <w:pStyle w:val="Style2"/>
        <w:keepNext w:val="0"/>
        <w:keepLines w:val="0"/>
        <w:widowControl w:val="0"/>
        <w:shd w:val="clear" w:color="auto" w:fill="auto"/>
        <w:bidi w:val="0"/>
        <w:spacing w:before="0" w:after="0" w:line="240" w:lineRule="auto"/>
        <w:ind w:left="0" w:right="0" w:firstLine="0"/>
        <w:jc w:val="center"/>
        <w:rPr>
          <w:sz w:val="38"/>
          <w:szCs w:val="38"/>
        </w:rPr>
      </w:pPr>
      <w:r>
        <w:rPr>
          <w:rFonts w:ascii="Times New Roman" w:eastAsia="Times New Roman" w:hAnsi="Times New Roman" w:cs="Times New Roman"/>
          <w:b/>
          <w:bCs/>
          <w:color w:val="000000"/>
          <w:spacing w:val="0"/>
          <w:w w:val="100"/>
          <w:position w:val="0"/>
          <w:sz w:val="36"/>
          <w:szCs w:val="36"/>
        </w:rPr>
        <w:t>2021</w:t>
      </w:r>
      <w:r>
        <w:rPr>
          <w:rFonts w:ascii="SimHei" w:eastAsia="SimHei" w:hAnsi="SimHei" w:cs="SimHei"/>
          <w:b/>
          <w:bCs/>
          <w:color w:val="000000"/>
          <w:spacing w:val="0"/>
          <w:w w:val="100"/>
          <w:position w:val="0"/>
          <w:sz w:val="38"/>
          <w:szCs w:val="38"/>
        </w:rPr>
        <w:t>年</w:t>
      </w:r>
      <w:r>
        <w:rPr>
          <w:rFonts w:ascii="Times New Roman" w:eastAsia="Times New Roman" w:hAnsi="Times New Roman" w:cs="Times New Roman"/>
          <w:b/>
          <w:bCs/>
          <w:color w:val="000000"/>
          <w:spacing w:val="0"/>
          <w:w w:val="100"/>
          <w:position w:val="0"/>
          <w:sz w:val="36"/>
          <w:szCs w:val="36"/>
        </w:rPr>
        <w:t>4</w:t>
      </w:r>
      <w:r>
        <w:rPr>
          <w:rFonts w:ascii="SimHei" w:eastAsia="SimHei" w:hAnsi="SimHei" w:cs="SimHei"/>
          <w:b/>
          <w:bCs/>
          <w:color w:val="000000"/>
          <w:spacing w:val="0"/>
          <w:w w:val="100"/>
          <w:position w:val="0"/>
          <w:sz w:val="38"/>
          <w:szCs w:val="38"/>
        </w:rPr>
        <w:t>月</w:t>
      </w:r>
    </w:p>
    <w:p>
      <w:pPr>
        <w:pStyle w:val="Style14"/>
        <w:keepNext/>
        <w:keepLines/>
        <w:widowControl w:val="0"/>
        <w:shd w:val="clear" w:color="auto" w:fill="auto"/>
        <w:bidi w:val="0"/>
        <w:spacing w:before="0" w:after="50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6"/>
        <w:keepNext w:val="0"/>
        <w:keepLines w:val="0"/>
        <w:widowControl w:val="0"/>
        <w:shd w:val="clear" w:color="auto" w:fill="auto"/>
        <w:bidi w:val="0"/>
        <w:spacing w:before="0" w:after="100" w:line="307" w:lineRule="exact"/>
        <w:ind w:left="0" w:right="0" w:firstLine="480"/>
        <w:jc w:val="both"/>
        <w:rPr>
          <w:sz w:val="22"/>
          <w:szCs w:val="22"/>
        </w:rPr>
      </w:pPr>
      <w:bookmarkStart w:id="3" w:name="bookmark3"/>
      <w:r>
        <w:rPr>
          <w:color w:val="000000"/>
          <w:spacing w:val="0"/>
          <w:w w:val="100"/>
          <w:position w:val="0"/>
          <w:sz w:val="22"/>
          <w:szCs w:val="22"/>
        </w:rPr>
        <w:t>公司董事会、监事会及董事、监事、高级管理人员保证年度报告内容的真实、准确、完 整，不存在虚假记载、误导性陈述或重大遗漏，并承担个别和连带的法律责任。</w:t>
      </w:r>
      <w:bookmarkEnd w:id="3"/>
    </w:p>
    <w:p>
      <w:pPr>
        <w:pStyle w:val="Style16"/>
        <w:keepNext w:val="0"/>
        <w:keepLines w:val="0"/>
        <w:widowControl w:val="0"/>
        <w:shd w:val="clear" w:color="auto" w:fill="auto"/>
        <w:bidi w:val="0"/>
        <w:spacing w:before="0" w:after="100" w:line="312" w:lineRule="exact"/>
        <w:ind w:left="0" w:right="0" w:firstLine="480"/>
        <w:jc w:val="both"/>
        <w:rPr>
          <w:sz w:val="22"/>
          <w:szCs w:val="22"/>
        </w:rPr>
      </w:pPr>
      <w:r>
        <w:rPr>
          <w:color w:val="000000"/>
          <w:spacing w:val="0"/>
          <w:w w:val="100"/>
          <w:position w:val="0"/>
          <w:sz w:val="22"/>
          <w:szCs w:val="22"/>
        </w:rPr>
        <w:t>公司负责人杜力、主管会计工作负责人吴艳艳及会计机构负责人（会计主管人员）吴艳 艳声明：保证年度报告中财务报告的真实、准确、完整。</w:t>
      </w:r>
    </w:p>
    <w:p>
      <w:pPr>
        <w:pStyle w:val="Style16"/>
        <w:keepNext w:val="0"/>
        <w:keepLines w:val="0"/>
        <w:widowControl w:val="0"/>
        <w:shd w:val="clear" w:color="auto" w:fill="auto"/>
        <w:bidi w:val="0"/>
        <w:spacing w:before="0" w:after="100" w:line="312" w:lineRule="exact"/>
        <w:ind w:left="0" w:right="0" w:firstLine="480"/>
        <w:jc w:val="both"/>
        <w:rPr>
          <w:sz w:val="22"/>
          <w:szCs w:val="22"/>
        </w:rPr>
      </w:pPr>
      <w:r>
        <w:rPr>
          <w:color w:val="000000"/>
          <w:spacing w:val="0"/>
          <w:w w:val="100"/>
          <w:position w:val="0"/>
          <w:sz w:val="22"/>
          <w:szCs w:val="22"/>
        </w:rPr>
        <w:t>本报告经公司第四届董事会第十三次会议暨</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2"/>
          <w:szCs w:val="22"/>
        </w:rPr>
        <w:t>年度董事会会议审议通过，会议应出席 董事</w:t>
      </w:r>
      <w:r>
        <w:rPr>
          <w:rFonts w:ascii="Times New Roman" w:eastAsia="Times New Roman" w:hAnsi="Times New Roman" w:cs="Times New Roman"/>
          <w:color w:val="000000"/>
          <w:spacing w:val="0"/>
          <w:w w:val="100"/>
          <w:position w:val="0"/>
          <w:sz w:val="24"/>
          <w:szCs w:val="24"/>
        </w:rPr>
        <w:t>8</w:t>
      </w:r>
      <w:r>
        <w:rPr>
          <w:color w:val="000000"/>
          <w:spacing w:val="0"/>
          <w:w w:val="100"/>
          <w:position w:val="0"/>
          <w:sz w:val="22"/>
          <w:szCs w:val="22"/>
        </w:rPr>
        <w:t>名，实际出席董事</w:t>
      </w:r>
      <w:r>
        <w:rPr>
          <w:rFonts w:ascii="Times New Roman" w:eastAsia="Times New Roman" w:hAnsi="Times New Roman" w:cs="Times New Roman"/>
          <w:color w:val="000000"/>
          <w:spacing w:val="0"/>
          <w:w w:val="100"/>
          <w:position w:val="0"/>
          <w:sz w:val="24"/>
          <w:szCs w:val="24"/>
        </w:rPr>
        <w:t>8</w:t>
      </w:r>
      <w:r>
        <w:rPr>
          <w:color w:val="000000"/>
          <w:spacing w:val="0"/>
          <w:w w:val="100"/>
          <w:position w:val="0"/>
          <w:sz w:val="22"/>
          <w:szCs w:val="22"/>
        </w:rPr>
        <w:t>名。</w:t>
      </w:r>
    </w:p>
    <w:p>
      <w:pPr>
        <w:pStyle w:val="Style16"/>
        <w:keepNext w:val="0"/>
        <w:keepLines w:val="0"/>
        <w:widowControl w:val="0"/>
        <w:shd w:val="clear" w:color="auto" w:fill="auto"/>
        <w:bidi w:val="0"/>
        <w:spacing w:before="0" w:after="100" w:line="312" w:lineRule="exact"/>
        <w:ind w:left="0" w:right="0" w:firstLine="480"/>
        <w:jc w:val="both"/>
        <w:rPr>
          <w:sz w:val="22"/>
          <w:szCs w:val="22"/>
        </w:rPr>
      </w:pPr>
      <w:r>
        <w:rPr>
          <w:color w:val="000000"/>
          <w:spacing w:val="0"/>
          <w:w w:val="100"/>
          <w:position w:val="0"/>
          <w:sz w:val="22"/>
          <w:szCs w:val="22"/>
        </w:rPr>
        <w:t>公司计划不派发现金红利，不送红股，不以公积金转增股本。</w:t>
      </w:r>
    </w:p>
    <w:p>
      <w:pPr>
        <w:pStyle w:val="Style16"/>
        <w:keepNext w:val="0"/>
        <w:keepLines w:val="0"/>
        <w:widowControl w:val="0"/>
        <w:shd w:val="clear" w:color="auto" w:fill="auto"/>
        <w:bidi w:val="0"/>
        <w:spacing w:before="0" w:after="500" w:line="317" w:lineRule="exact"/>
        <w:ind w:left="0" w:right="0" w:firstLine="480"/>
        <w:jc w:val="both"/>
        <w:rPr>
          <w:sz w:val="22"/>
          <w:szCs w:val="22"/>
        </w:rPr>
      </w:pPr>
      <w:r>
        <w:rPr>
          <w:color w:val="000000"/>
          <w:spacing w:val="0"/>
          <w:w w:val="100"/>
          <w:position w:val="0"/>
          <w:sz w:val="22"/>
          <w:szCs w:val="22"/>
        </w:rPr>
        <w:t>本年度财务报告经大华会计师事务所（特殊普通合伙）审计，并出具了标准无保留意见 的审计报告。</w:t>
      </w:r>
    </w:p>
    <w:p>
      <w:pPr>
        <w:pStyle w:val="Style16"/>
        <w:keepNext w:val="0"/>
        <w:keepLines w:val="0"/>
        <w:widowControl w:val="0"/>
        <w:shd w:val="clear" w:color="auto" w:fill="auto"/>
        <w:bidi w:val="0"/>
        <w:spacing w:before="0" w:after="100" w:line="316" w:lineRule="exact"/>
        <w:ind w:left="0" w:right="0" w:firstLine="480"/>
        <w:jc w:val="both"/>
        <w:rPr>
          <w:sz w:val="22"/>
          <w:szCs w:val="22"/>
        </w:rPr>
      </w:pPr>
      <w:r>
        <w:rPr>
          <w:color w:val="000000"/>
          <w:spacing w:val="0"/>
          <w:w w:val="100"/>
          <w:position w:val="0"/>
          <w:sz w:val="22"/>
          <w:szCs w:val="22"/>
        </w:rPr>
        <w:t>以下提示，敬请投资者留意：</w:t>
      </w:r>
    </w:p>
    <w:p>
      <w:pPr>
        <w:pStyle w:val="Style16"/>
        <w:keepNext w:val="0"/>
        <w:keepLines w:val="0"/>
        <w:widowControl w:val="0"/>
        <w:shd w:val="clear" w:color="auto" w:fill="auto"/>
        <w:tabs>
          <w:tab w:pos="858" w:val="left"/>
        </w:tabs>
        <w:bidi w:val="0"/>
        <w:spacing w:before="0" w:after="100" w:line="316" w:lineRule="exact"/>
        <w:ind w:left="0" w:right="0" w:firstLine="480"/>
        <w:jc w:val="both"/>
        <w:rPr>
          <w:sz w:val="22"/>
          <w:szCs w:val="22"/>
        </w:rPr>
      </w:pPr>
      <w:bookmarkStart w:id="4" w:name="bookmark4"/>
      <w:r>
        <w:rPr>
          <w:rFonts w:ascii="Times New Roman" w:eastAsia="Times New Roman" w:hAnsi="Times New Roman" w:cs="Times New Roman"/>
          <w:color w:val="000000"/>
          <w:spacing w:val="0"/>
          <w:w w:val="100"/>
          <w:position w:val="0"/>
          <w:sz w:val="24"/>
          <w:szCs w:val="24"/>
        </w:rPr>
        <w:t>1</w:t>
      </w:r>
      <w:bookmarkEnd w:id="4"/>
      <w:r>
        <w:rPr>
          <w:color w:val="000000"/>
          <w:spacing w:val="0"/>
          <w:w w:val="100"/>
          <w:position w:val="0"/>
          <w:sz w:val="22"/>
          <w:szCs w:val="22"/>
        </w:rPr>
        <w:t>、</w:t>
        <w:tab/>
        <w:t>本报告所涉及的未来计划、发展战略等前瞻性描述不构成公司对投资者的实质承诺。</w:t>
      </w:r>
    </w:p>
    <w:p>
      <w:pPr>
        <w:pStyle w:val="Style16"/>
        <w:keepNext w:val="0"/>
        <w:keepLines w:val="0"/>
        <w:widowControl w:val="0"/>
        <w:shd w:val="clear" w:color="auto" w:fill="auto"/>
        <w:tabs>
          <w:tab w:pos="882" w:val="left"/>
        </w:tabs>
        <w:bidi w:val="0"/>
        <w:spacing w:before="0" w:after="100" w:line="316" w:lineRule="exact"/>
        <w:ind w:left="0" w:right="0" w:firstLine="480"/>
        <w:jc w:val="left"/>
        <w:rPr>
          <w:sz w:val="22"/>
          <w:szCs w:val="22"/>
        </w:rPr>
      </w:pPr>
      <w:bookmarkStart w:id="5" w:name="bookmark5"/>
      <w:r>
        <w:rPr>
          <w:rFonts w:ascii="Times New Roman" w:eastAsia="Times New Roman" w:hAnsi="Times New Roman" w:cs="Times New Roman"/>
          <w:color w:val="000000"/>
          <w:spacing w:val="0"/>
          <w:w w:val="100"/>
          <w:position w:val="0"/>
          <w:sz w:val="24"/>
          <w:szCs w:val="24"/>
        </w:rPr>
        <w:t>2</w:t>
      </w:r>
      <w:bookmarkEnd w:id="5"/>
      <w:r>
        <w:rPr>
          <w:color w:val="000000"/>
          <w:spacing w:val="0"/>
          <w:w w:val="100"/>
          <w:position w:val="0"/>
          <w:sz w:val="22"/>
          <w:szCs w:val="22"/>
        </w:rPr>
        <w:t>、</w:t>
        <w:tab/>
        <w:t>本报告第四节“经营情况讨论与风险”揭示了公司经营过程中可能存在的风险。</w:t>
      </w:r>
    </w:p>
    <w:p>
      <w:pPr>
        <w:pStyle w:val="Style16"/>
        <w:keepNext w:val="0"/>
        <w:keepLines w:val="0"/>
        <w:widowControl w:val="0"/>
        <w:shd w:val="clear" w:color="auto" w:fill="auto"/>
        <w:tabs>
          <w:tab w:pos="882" w:val="left"/>
        </w:tabs>
        <w:bidi w:val="0"/>
        <w:spacing w:before="0" w:after="100" w:line="316" w:lineRule="exact"/>
        <w:ind w:left="0" w:right="0" w:firstLine="480"/>
        <w:jc w:val="both"/>
        <w:rPr>
          <w:sz w:val="22"/>
          <w:szCs w:val="22"/>
        </w:rPr>
      </w:pPr>
      <w:bookmarkStart w:id="6" w:name="bookmark6"/>
      <w:r>
        <w:rPr>
          <w:rFonts w:ascii="Times New Roman" w:eastAsia="Times New Roman" w:hAnsi="Times New Roman" w:cs="Times New Roman"/>
          <w:color w:val="000000"/>
          <w:spacing w:val="0"/>
          <w:w w:val="100"/>
          <w:position w:val="0"/>
          <w:sz w:val="24"/>
          <w:szCs w:val="24"/>
        </w:rPr>
        <w:t>3</w:t>
      </w:r>
      <w:bookmarkEnd w:id="6"/>
      <w:r>
        <w:rPr>
          <w:color w:val="000000"/>
          <w:spacing w:val="0"/>
          <w:w w:val="100"/>
          <w:position w:val="0"/>
          <w:sz w:val="22"/>
          <w:szCs w:val="22"/>
        </w:rPr>
        <w:t>、</w:t>
        <w:tab/>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17</w:t>
      </w:r>
      <w:r>
        <w:rPr>
          <w:color w:val="000000"/>
          <w:spacing w:val="0"/>
          <w:w w:val="100"/>
          <w:position w:val="0"/>
          <w:sz w:val="22"/>
          <w:szCs w:val="22"/>
        </w:rPr>
        <w:t>日中国证监会发布〔</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4"/>
          <w:szCs w:val="24"/>
        </w:rPr>
        <w:t>45</w:t>
      </w:r>
      <w:r>
        <w:rPr>
          <w:color w:val="000000"/>
          <w:spacing w:val="0"/>
          <w:w w:val="100"/>
          <w:position w:val="0"/>
          <w:sz w:val="22"/>
          <w:szCs w:val="22"/>
        </w:rPr>
        <w:t>号公告，因国盛证券、国盛期货</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隐瞒 实际控制人或持股比例，治理失衡</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，中国证监会决定自当日起对国盛证券、国盛期货实行接 管。自接管之日起，接管组行使被接管公司的经营管理权，接管组组长行使法定代表人职权， 被接管公司的股东大会或股东会、董事会、监事会及经理层停止履行职责。被接管后，国盛 证券经营保持稳定，各项业务资质均未受影响。</w:t>
      </w:r>
    </w:p>
    <w:p>
      <w:pPr>
        <w:pStyle w:val="Style16"/>
        <w:keepNext w:val="0"/>
        <w:keepLines w:val="0"/>
        <w:widowControl w:val="0"/>
        <w:shd w:val="clear" w:color="auto" w:fill="auto"/>
        <w:tabs>
          <w:tab w:pos="877" w:val="left"/>
        </w:tabs>
        <w:bidi w:val="0"/>
        <w:spacing w:before="0" w:after="100" w:line="322" w:lineRule="exact"/>
        <w:ind w:left="0" w:right="0" w:firstLine="480"/>
        <w:jc w:val="both"/>
        <w:rPr>
          <w:sz w:val="22"/>
          <w:szCs w:val="22"/>
        </w:rPr>
      </w:pPr>
      <w:bookmarkStart w:id="7" w:name="bookmark7"/>
      <w:r>
        <w:rPr>
          <w:rFonts w:ascii="Times New Roman" w:eastAsia="Times New Roman" w:hAnsi="Times New Roman" w:cs="Times New Roman"/>
          <w:color w:val="000000"/>
          <w:spacing w:val="0"/>
          <w:w w:val="100"/>
          <w:position w:val="0"/>
          <w:sz w:val="24"/>
          <w:szCs w:val="24"/>
        </w:rPr>
        <w:t>4</w:t>
      </w:r>
      <w:bookmarkEnd w:id="7"/>
      <w:r>
        <w:rPr>
          <w:color w:val="000000"/>
          <w:spacing w:val="0"/>
          <w:w w:val="100"/>
          <w:position w:val="0"/>
          <w:sz w:val="22"/>
          <w:szCs w:val="22"/>
        </w:rPr>
        <w:t>、</w:t>
        <w:tab/>
        <w:t>公司对</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2"/>
          <w:szCs w:val="22"/>
        </w:rPr>
        <w:t>年审计报告保留意见所涉事项进行会计差错更正，对</w:t>
      </w:r>
      <w:r>
        <w:rPr>
          <w:rFonts w:ascii="Times New Roman" w:eastAsia="Times New Roman" w:hAnsi="Times New Roman" w:cs="Times New Roman"/>
          <w:color w:val="000000"/>
          <w:spacing w:val="0"/>
          <w:w w:val="100"/>
          <w:position w:val="0"/>
          <w:sz w:val="24"/>
          <w:szCs w:val="24"/>
        </w:rPr>
        <w:t>2017-2019</w:t>
      </w:r>
      <w:r>
        <w:rPr>
          <w:color w:val="000000"/>
          <w:spacing w:val="0"/>
          <w:w w:val="100"/>
          <w:position w:val="0"/>
          <w:sz w:val="22"/>
          <w:szCs w:val="22"/>
        </w:rPr>
        <w:t>年财务 报表进行了追溯重述。本报告已对本次会计差错更正所涉科目的对比数进行重述。</w:t>
      </w:r>
    </w:p>
    <w:p>
      <w:pPr>
        <w:pStyle w:val="Style16"/>
        <w:keepNext w:val="0"/>
        <w:keepLines w:val="0"/>
        <w:widowControl w:val="0"/>
        <w:shd w:val="clear" w:color="auto" w:fill="auto"/>
        <w:tabs>
          <w:tab w:pos="886" w:val="left"/>
        </w:tabs>
        <w:bidi w:val="0"/>
        <w:spacing w:before="0" w:after="100" w:line="314" w:lineRule="exact"/>
        <w:ind w:left="0" w:right="0" w:firstLine="480"/>
        <w:jc w:val="both"/>
        <w:rPr>
          <w:sz w:val="22"/>
          <w:szCs w:val="22"/>
        </w:rPr>
        <w:sectPr>
          <w:footnotePr>
            <w:pos w:val="pageBottom"/>
            <w:numFmt w:val="decimal"/>
            <w:numRestart w:val="continuous"/>
          </w:footnotePr>
          <w:type w:val="continuous"/>
          <w:pgSz w:w="11900" w:h="16840"/>
          <w:pgMar w:top="1474" w:right="996" w:bottom="4296" w:left="1111" w:header="0" w:footer="3" w:gutter="0"/>
          <w:cols w:space="720"/>
          <w:noEndnote/>
          <w:rtlGutter w:val="0"/>
          <w:docGrid w:linePitch="360"/>
        </w:sectPr>
      </w:pPr>
      <w:bookmarkStart w:id="8" w:name="bookmark8"/>
      <w:r>
        <w:rPr>
          <w:rFonts w:ascii="Times New Roman" w:eastAsia="Times New Roman" w:hAnsi="Times New Roman" w:cs="Times New Roman"/>
          <w:color w:val="000000"/>
          <w:spacing w:val="0"/>
          <w:w w:val="100"/>
          <w:position w:val="0"/>
          <w:sz w:val="24"/>
          <w:szCs w:val="24"/>
        </w:rPr>
        <w:t>5</w:t>
      </w:r>
      <w:bookmarkEnd w:id="8"/>
      <w:r>
        <w:rPr>
          <w:color w:val="000000"/>
          <w:spacing w:val="0"/>
          <w:w w:val="100"/>
          <w:position w:val="0"/>
          <w:sz w:val="22"/>
          <w:szCs w:val="22"/>
        </w:rPr>
        <w:t>、</w:t>
        <w:tab/>
        <w:t>本集团从事证券、投资、金融科技等多种业务，合并财务报表遵循一般行业报表列报 要求并兼顾证券行业报表列报要求。公司营业收入指标为合并利润表列报的营业总收入，包 含一般企业的营业收入和金融企业的利息收入、手续费及佣金收入。</w:t>
      </w:r>
    </w:p>
    <w:p>
      <w:pPr>
        <w:pStyle w:val="Style2"/>
        <w:keepNext w:val="0"/>
        <w:keepLines w:val="0"/>
        <w:widowControl w:val="0"/>
        <w:shd w:val="clear" w:color="auto" w:fill="auto"/>
        <w:bidi w:val="0"/>
        <w:spacing w:before="0" w:after="920" w:line="240" w:lineRule="auto"/>
        <w:ind w:left="0" w:right="0" w:firstLine="0"/>
        <w:jc w:val="center"/>
        <w:rPr>
          <w:sz w:val="32"/>
          <w:szCs w:val="32"/>
        </w:rPr>
      </w:pPr>
      <w:r>
        <w:rPr>
          <w:b/>
          <w:bCs/>
          <w:color w:val="000000"/>
          <w:spacing w:val="0"/>
          <w:w w:val="100"/>
          <w:position w:val="0"/>
          <w:sz w:val="32"/>
          <w:szCs w:val="32"/>
        </w:rPr>
        <w:t>目录</w:t>
      </w:r>
    </w:p>
    <w:p>
      <w:pPr>
        <w:pStyle w:val="Style21"/>
        <w:keepNext w:val="0"/>
        <w:keepLines w:val="0"/>
        <w:widowControl w:val="0"/>
        <w:shd w:val="clear" w:color="auto" w:fill="auto"/>
        <w:tabs>
          <w:tab w:leader="dot" w:pos="8956" w:val="right"/>
        </w:tabs>
        <w:bidi w:val="0"/>
        <w:spacing w:before="0" w:line="240" w:lineRule="auto"/>
        <w:ind w:left="0" w:right="0"/>
        <w:jc w:val="both"/>
        <w:rPr>
          <w:sz w:val="24"/>
          <w:szCs w:val="24"/>
        </w:rPr>
      </w:pPr>
      <w:r>
        <w:fldChar w:fldCharType="begin"/>
        <w:instrText xml:space="preserve"> TOC \o "1-5" \h \z </w:instrText>
        <w:fldChar w:fldCharType="separate"/>
      </w:r>
      <w:hyperlink w:anchor="bookmark1" w:tooltip="Current Document">
        <w:r>
          <w:rPr>
            <w:color w:val="000000"/>
            <w:spacing w:val="0"/>
            <w:w w:val="100"/>
            <w:position w:val="0"/>
            <w:sz w:val="22"/>
            <w:szCs w:val="22"/>
          </w:rPr>
          <w:t>第一节重要提示、目录和释义</w:t>
        </w:r>
        <w:r>
          <w:rPr>
            <w:color w:val="000000"/>
            <w:spacing w:val="0"/>
            <w:w w:val="100"/>
            <w:position w:val="0"/>
            <w:sz w:val="22"/>
            <w:szCs w:val="22"/>
          </w:rPr>
          <w:tab/>
        </w:r>
        <w:r>
          <w:rPr>
            <w:rFonts w:ascii="Calibri" w:eastAsia="Calibri" w:hAnsi="Calibri" w:cs="Calibri"/>
            <w:color w:val="000000"/>
            <w:spacing w:val="0"/>
            <w:w w:val="100"/>
            <w:position w:val="0"/>
            <w:sz w:val="24"/>
            <w:szCs w:val="24"/>
          </w:rPr>
          <w:t>2</w:t>
        </w:r>
      </w:hyperlink>
    </w:p>
    <w:p>
      <w:pPr>
        <w:pStyle w:val="Style21"/>
        <w:keepNext w:val="0"/>
        <w:keepLines w:val="0"/>
        <w:widowControl w:val="0"/>
        <w:shd w:val="clear" w:color="auto" w:fill="auto"/>
        <w:tabs>
          <w:tab w:leader="dot" w:pos="8956" w:val="right"/>
        </w:tabs>
        <w:bidi w:val="0"/>
        <w:spacing w:before="0" w:line="240" w:lineRule="auto"/>
        <w:ind w:left="0" w:right="0"/>
        <w:jc w:val="both"/>
        <w:rPr>
          <w:sz w:val="24"/>
          <w:szCs w:val="24"/>
        </w:rPr>
      </w:pPr>
      <w:hyperlink w:anchor="bookmark10" w:tooltip="Current Document">
        <w:r>
          <w:rPr>
            <w:color w:val="000000"/>
            <w:spacing w:val="0"/>
            <w:w w:val="100"/>
            <w:position w:val="0"/>
            <w:sz w:val="22"/>
            <w:szCs w:val="22"/>
          </w:rPr>
          <w:t>第二节公司简介和主要财务指标</w:t>
        </w:r>
        <w:r>
          <w:rPr>
            <w:color w:val="000000"/>
            <w:spacing w:val="0"/>
            <w:w w:val="100"/>
            <w:position w:val="0"/>
            <w:sz w:val="22"/>
            <w:szCs w:val="22"/>
          </w:rPr>
          <w:tab/>
        </w:r>
        <w:r>
          <w:rPr>
            <w:rFonts w:ascii="Calibri" w:eastAsia="Calibri" w:hAnsi="Calibri" w:cs="Calibri"/>
            <w:color w:val="000000"/>
            <w:spacing w:val="0"/>
            <w:w w:val="100"/>
            <w:position w:val="0"/>
            <w:sz w:val="24"/>
            <w:szCs w:val="24"/>
          </w:rPr>
          <w:t>5</w:t>
        </w:r>
      </w:hyperlink>
    </w:p>
    <w:p>
      <w:pPr>
        <w:pStyle w:val="Style21"/>
        <w:keepNext w:val="0"/>
        <w:keepLines w:val="0"/>
        <w:widowControl w:val="0"/>
        <w:shd w:val="clear" w:color="auto" w:fill="auto"/>
        <w:tabs>
          <w:tab w:leader="dot" w:pos="8956" w:val="right"/>
        </w:tabs>
        <w:bidi w:val="0"/>
        <w:spacing w:before="0" w:line="240" w:lineRule="auto"/>
        <w:ind w:left="0" w:right="0"/>
        <w:jc w:val="both"/>
        <w:rPr>
          <w:sz w:val="24"/>
          <w:szCs w:val="24"/>
        </w:rPr>
      </w:pPr>
      <w:hyperlink w:anchor="bookmark54" w:tooltip="Current Document">
        <w:r>
          <w:rPr>
            <w:color w:val="000000"/>
            <w:spacing w:val="0"/>
            <w:w w:val="100"/>
            <w:position w:val="0"/>
            <w:sz w:val="22"/>
            <w:szCs w:val="22"/>
          </w:rPr>
          <w:t>第三节集团业务概要</w:t>
        </w:r>
        <w:r>
          <w:rPr>
            <w:color w:val="000000"/>
            <w:spacing w:val="0"/>
            <w:w w:val="100"/>
            <w:position w:val="0"/>
            <w:sz w:val="22"/>
            <w:szCs w:val="22"/>
          </w:rPr>
          <w:tab/>
        </w:r>
        <w:r>
          <w:rPr>
            <w:rFonts w:ascii="Calibri" w:eastAsia="Calibri" w:hAnsi="Calibri" w:cs="Calibri"/>
            <w:color w:val="000000"/>
            <w:spacing w:val="0"/>
            <w:w w:val="100"/>
            <w:position w:val="0"/>
            <w:sz w:val="24"/>
            <w:szCs w:val="24"/>
          </w:rPr>
          <w:t>9</w:t>
        </w:r>
      </w:hyperlink>
    </w:p>
    <w:p>
      <w:pPr>
        <w:pStyle w:val="Style21"/>
        <w:keepNext w:val="0"/>
        <w:keepLines w:val="0"/>
        <w:widowControl w:val="0"/>
        <w:shd w:val="clear" w:color="auto" w:fill="auto"/>
        <w:tabs>
          <w:tab w:leader="dot" w:pos="8956" w:val="right"/>
        </w:tabs>
        <w:bidi w:val="0"/>
        <w:spacing w:before="0" w:line="240" w:lineRule="auto"/>
        <w:ind w:left="0" w:right="0"/>
        <w:jc w:val="both"/>
        <w:rPr>
          <w:sz w:val="24"/>
          <w:szCs w:val="24"/>
        </w:rPr>
      </w:pPr>
      <w:hyperlink w:anchor="bookmark96" w:tooltip="Current Document">
        <w:r>
          <w:rPr>
            <w:color w:val="000000"/>
            <w:spacing w:val="0"/>
            <w:w w:val="100"/>
            <w:position w:val="0"/>
            <w:sz w:val="22"/>
            <w:szCs w:val="22"/>
          </w:rPr>
          <w:t>第四节经营情况讨论与分析</w:t>
        </w:r>
        <w:r>
          <w:rPr>
            <w:color w:val="000000"/>
            <w:spacing w:val="0"/>
            <w:w w:val="100"/>
            <w:position w:val="0"/>
            <w:sz w:val="22"/>
            <w:szCs w:val="22"/>
          </w:rPr>
          <w:tab/>
        </w:r>
        <w:r>
          <w:rPr>
            <w:rFonts w:ascii="Calibri" w:eastAsia="Calibri" w:hAnsi="Calibri" w:cs="Calibri"/>
            <w:color w:val="000000"/>
            <w:spacing w:val="0"/>
            <w:w w:val="100"/>
            <w:position w:val="0"/>
            <w:sz w:val="24"/>
            <w:szCs w:val="24"/>
          </w:rPr>
          <w:t>14</w:t>
        </w:r>
      </w:hyperlink>
    </w:p>
    <w:p>
      <w:pPr>
        <w:pStyle w:val="Style21"/>
        <w:keepNext w:val="0"/>
        <w:keepLines w:val="0"/>
        <w:widowControl w:val="0"/>
        <w:shd w:val="clear" w:color="auto" w:fill="auto"/>
        <w:tabs>
          <w:tab w:leader="dot" w:pos="8956" w:val="right"/>
        </w:tabs>
        <w:bidi w:val="0"/>
        <w:spacing w:before="0" w:line="240" w:lineRule="auto"/>
        <w:ind w:left="0" w:right="0"/>
        <w:jc w:val="both"/>
        <w:rPr>
          <w:sz w:val="24"/>
          <w:szCs w:val="24"/>
        </w:rPr>
      </w:pPr>
      <w:hyperlink w:anchor="bookmark248" w:tooltip="Current Document">
        <w:r>
          <w:rPr>
            <w:color w:val="000000"/>
            <w:spacing w:val="0"/>
            <w:w w:val="100"/>
            <w:position w:val="0"/>
            <w:sz w:val="22"/>
            <w:szCs w:val="22"/>
          </w:rPr>
          <w:t>第五节重要事项</w:t>
        </w:r>
        <w:r>
          <w:rPr>
            <w:color w:val="000000"/>
            <w:spacing w:val="0"/>
            <w:w w:val="100"/>
            <w:position w:val="0"/>
            <w:sz w:val="22"/>
            <w:szCs w:val="22"/>
          </w:rPr>
          <w:tab/>
        </w:r>
        <w:r>
          <w:rPr>
            <w:rFonts w:ascii="Calibri" w:eastAsia="Calibri" w:hAnsi="Calibri" w:cs="Calibri"/>
            <w:color w:val="000000"/>
            <w:spacing w:val="0"/>
            <w:w w:val="100"/>
            <w:position w:val="0"/>
            <w:sz w:val="24"/>
            <w:szCs w:val="24"/>
          </w:rPr>
          <w:t>31</w:t>
        </w:r>
      </w:hyperlink>
    </w:p>
    <w:p>
      <w:pPr>
        <w:pStyle w:val="Style21"/>
        <w:keepNext w:val="0"/>
        <w:keepLines w:val="0"/>
        <w:widowControl w:val="0"/>
        <w:shd w:val="clear" w:color="auto" w:fill="auto"/>
        <w:tabs>
          <w:tab w:leader="dot" w:pos="8956" w:val="right"/>
        </w:tabs>
        <w:bidi w:val="0"/>
        <w:spacing w:before="0" w:line="240" w:lineRule="auto"/>
        <w:ind w:left="0" w:right="0"/>
        <w:jc w:val="both"/>
        <w:rPr>
          <w:sz w:val="24"/>
          <w:szCs w:val="24"/>
        </w:rPr>
      </w:pPr>
      <w:hyperlink w:anchor="bookmark414" w:tooltip="Current Document">
        <w:r>
          <w:rPr>
            <w:color w:val="000000"/>
            <w:spacing w:val="0"/>
            <w:w w:val="100"/>
            <w:position w:val="0"/>
            <w:sz w:val="22"/>
            <w:szCs w:val="22"/>
          </w:rPr>
          <w:t>第六节股份变动及股东情况</w:t>
        </w:r>
        <w:r>
          <w:rPr>
            <w:color w:val="000000"/>
            <w:spacing w:val="0"/>
            <w:w w:val="100"/>
            <w:position w:val="0"/>
            <w:sz w:val="22"/>
            <w:szCs w:val="22"/>
          </w:rPr>
          <w:tab/>
        </w:r>
        <w:r>
          <w:rPr>
            <w:rFonts w:ascii="Calibri" w:eastAsia="Calibri" w:hAnsi="Calibri" w:cs="Calibri"/>
            <w:color w:val="000000"/>
            <w:spacing w:val="0"/>
            <w:w w:val="100"/>
            <w:position w:val="0"/>
            <w:sz w:val="24"/>
            <w:szCs w:val="24"/>
          </w:rPr>
          <w:t>53</w:t>
        </w:r>
      </w:hyperlink>
    </w:p>
    <w:p>
      <w:pPr>
        <w:pStyle w:val="Style21"/>
        <w:keepNext w:val="0"/>
        <w:keepLines w:val="0"/>
        <w:widowControl w:val="0"/>
        <w:shd w:val="clear" w:color="auto" w:fill="auto"/>
        <w:tabs>
          <w:tab w:leader="dot" w:pos="8956" w:val="right"/>
        </w:tabs>
        <w:bidi w:val="0"/>
        <w:spacing w:before="0" w:line="240" w:lineRule="auto"/>
        <w:ind w:left="0" w:right="0"/>
        <w:jc w:val="both"/>
        <w:rPr>
          <w:sz w:val="24"/>
          <w:szCs w:val="24"/>
        </w:rPr>
      </w:pPr>
      <w:hyperlink w:anchor="bookmark447" w:tooltip="Current Document">
        <w:r>
          <w:rPr>
            <w:color w:val="000000"/>
            <w:spacing w:val="0"/>
            <w:w w:val="100"/>
            <w:position w:val="0"/>
            <w:sz w:val="22"/>
            <w:szCs w:val="22"/>
          </w:rPr>
          <w:t>第七节 优先股相关情况</w:t>
        </w:r>
        <w:r>
          <w:rPr>
            <w:color w:val="000000"/>
            <w:spacing w:val="0"/>
            <w:w w:val="100"/>
            <w:position w:val="0"/>
            <w:sz w:val="22"/>
            <w:szCs w:val="22"/>
          </w:rPr>
          <w:tab/>
        </w:r>
        <w:r>
          <w:rPr>
            <w:rFonts w:ascii="Calibri" w:eastAsia="Calibri" w:hAnsi="Calibri" w:cs="Calibri"/>
            <w:color w:val="000000"/>
            <w:spacing w:val="0"/>
            <w:w w:val="100"/>
            <w:position w:val="0"/>
            <w:sz w:val="24"/>
            <w:szCs w:val="24"/>
          </w:rPr>
          <w:t>59</w:t>
        </w:r>
      </w:hyperlink>
    </w:p>
    <w:p>
      <w:pPr>
        <w:pStyle w:val="Style21"/>
        <w:keepNext w:val="0"/>
        <w:keepLines w:val="0"/>
        <w:widowControl w:val="0"/>
        <w:shd w:val="clear" w:color="auto" w:fill="auto"/>
        <w:tabs>
          <w:tab w:leader="dot" w:pos="8956" w:val="right"/>
        </w:tabs>
        <w:bidi w:val="0"/>
        <w:spacing w:before="0" w:line="240" w:lineRule="auto"/>
        <w:ind w:left="0" w:right="0"/>
        <w:jc w:val="both"/>
        <w:rPr>
          <w:sz w:val="24"/>
          <w:szCs w:val="24"/>
        </w:rPr>
      </w:pPr>
      <w:hyperlink w:anchor="bookmark451" w:tooltip="Current Document">
        <w:r>
          <w:rPr>
            <w:color w:val="000000"/>
            <w:spacing w:val="0"/>
            <w:w w:val="100"/>
            <w:position w:val="0"/>
            <w:sz w:val="22"/>
            <w:szCs w:val="22"/>
          </w:rPr>
          <w:t>第八节可转换公司债券相关情况</w:t>
        </w:r>
        <w:r>
          <w:rPr>
            <w:color w:val="000000"/>
            <w:spacing w:val="0"/>
            <w:w w:val="100"/>
            <w:position w:val="0"/>
            <w:sz w:val="22"/>
            <w:szCs w:val="22"/>
          </w:rPr>
          <w:tab/>
        </w:r>
        <w:r>
          <w:rPr>
            <w:rFonts w:ascii="Calibri" w:eastAsia="Calibri" w:hAnsi="Calibri" w:cs="Calibri"/>
            <w:color w:val="000000"/>
            <w:spacing w:val="0"/>
            <w:w w:val="100"/>
            <w:position w:val="0"/>
            <w:sz w:val="24"/>
            <w:szCs w:val="24"/>
          </w:rPr>
          <w:t>60</w:t>
        </w:r>
      </w:hyperlink>
    </w:p>
    <w:p>
      <w:pPr>
        <w:pStyle w:val="Style21"/>
        <w:keepNext w:val="0"/>
        <w:keepLines w:val="0"/>
        <w:widowControl w:val="0"/>
        <w:shd w:val="clear" w:color="auto" w:fill="auto"/>
        <w:tabs>
          <w:tab w:leader="dot" w:pos="8956" w:val="right"/>
        </w:tabs>
        <w:bidi w:val="0"/>
        <w:spacing w:before="0" w:line="240" w:lineRule="auto"/>
        <w:ind w:left="0" w:right="0"/>
        <w:jc w:val="both"/>
        <w:rPr>
          <w:sz w:val="24"/>
          <w:szCs w:val="24"/>
        </w:rPr>
      </w:pPr>
      <w:hyperlink w:anchor="bookmark455" w:tooltip="Current Document">
        <w:r>
          <w:rPr>
            <w:color w:val="000000"/>
            <w:spacing w:val="0"/>
            <w:w w:val="100"/>
            <w:position w:val="0"/>
            <w:sz w:val="22"/>
            <w:szCs w:val="22"/>
          </w:rPr>
          <w:t>第九节董事、监事、高级管理人员和员工情况</w:t>
        </w:r>
        <w:r>
          <w:rPr>
            <w:color w:val="000000"/>
            <w:spacing w:val="0"/>
            <w:w w:val="100"/>
            <w:position w:val="0"/>
            <w:sz w:val="22"/>
            <w:szCs w:val="22"/>
          </w:rPr>
          <w:tab/>
        </w:r>
        <w:r>
          <w:rPr>
            <w:rFonts w:ascii="Calibri" w:eastAsia="Calibri" w:hAnsi="Calibri" w:cs="Calibri"/>
            <w:color w:val="000000"/>
            <w:spacing w:val="0"/>
            <w:w w:val="100"/>
            <w:position w:val="0"/>
            <w:sz w:val="24"/>
            <w:szCs w:val="24"/>
          </w:rPr>
          <w:t>61</w:t>
        </w:r>
      </w:hyperlink>
    </w:p>
    <w:p>
      <w:pPr>
        <w:pStyle w:val="Style21"/>
        <w:keepNext w:val="0"/>
        <w:keepLines w:val="0"/>
        <w:widowControl w:val="0"/>
        <w:shd w:val="clear" w:color="auto" w:fill="auto"/>
        <w:tabs>
          <w:tab w:leader="dot" w:pos="8956" w:val="right"/>
        </w:tabs>
        <w:bidi w:val="0"/>
        <w:spacing w:before="0" w:line="240" w:lineRule="auto"/>
        <w:ind w:left="0" w:right="0"/>
        <w:jc w:val="both"/>
        <w:rPr>
          <w:sz w:val="24"/>
          <w:szCs w:val="24"/>
        </w:rPr>
      </w:pPr>
      <w:hyperlink w:anchor="bookmark492" w:tooltip="Current Document">
        <w:r>
          <w:rPr>
            <w:color w:val="000000"/>
            <w:spacing w:val="0"/>
            <w:w w:val="100"/>
            <w:position w:val="0"/>
            <w:sz w:val="22"/>
            <w:szCs w:val="22"/>
          </w:rPr>
          <w:t>第十节公司治理</w:t>
        </w:r>
        <w:r>
          <w:rPr>
            <w:color w:val="000000"/>
            <w:spacing w:val="0"/>
            <w:w w:val="100"/>
            <w:position w:val="0"/>
            <w:sz w:val="22"/>
            <w:szCs w:val="22"/>
          </w:rPr>
          <w:tab/>
        </w:r>
        <w:r>
          <w:rPr>
            <w:rFonts w:ascii="Calibri" w:eastAsia="Calibri" w:hAnsi="Calibri" w:cs="Calibri"/>
            <w:color w:val="000000"/>
            <w:spacing w:val="0"/>
            <w:w w:val="100"/>
            <w:position w:val="0"/>
            <w:sz w:val="24"/>
            <w:szCs w:val="24"/>
          </w:rPr>
          <w:t>70</w:t>
        </w:r>
      </w:hyperlink>
    </w:p>
    <w:p>
      <w:pPr>
        <w:pStyle w:val="Style21"/>
        <w:keepNext w:val="0"/>
        <w:keepLines w:val="0"/>
        <w:widowControl w:val="0"/>
        <w:shd w:val="clear" w:color="auto" w:fill="auto"/>
        <w:tabs>
          <w:tab w:leader="dot" w:pos="8956" w:val="right"/>
        </w:tabs>
        <w:bidi w:val="0"/>
        <w:spacing w:before="0" w:line="240" w:lineRule="auto"/>
        <w:ind w:left="0" w:right="0"/>
        <w:jc w:val="both"/>
        <w:rPr>
          <w:sz w:val="24"/>
          <w:szCs w:val="24"/>
        </w:rPr>
      </w:pPr>
      <w:hyperlink w:anchor="bookmark563" w:tooltip="Current Document">
        <w:r>
          <w:rPr>
            <w:color w:val="000000"/>
            <w:spacing w:val="0"/>
            <w:w w:val="100"/>
            <w:position w:val="0"/>
            <w:sz w:val="22"/>
            <w:szCs w:val="22"/>
          </w:rPr>
          <w:t>第十一节公司债券相关情况</w:t>
        </w:r>
        <w:r>
          <w:rPr>
            <w:color w:val="000000"/>
            <w:spacing w:val="0"/>
            <w:w w:val="100"/>
            <w:position w:val="0"/>
            <w:sz w:val="22"/>
            <w:szCs w:val="22"/>
          </w:rPr>
          <w:tab/>
        </w:r>
        <w:r>
          <w:rPr>
            <w:rFonts w:ascii="Calibri" w:eastAsia="Calibri" w:hAnsi="Calibri" w:cs="Calibri"/>
            <w:color w:val="000000"/>
            <w:spacing w:val="0"/>
            <w:w w:val="100"/>
            <w:position w:val="0"/>
            <w:sz w:val="24"/>
            <w:szCs w:val="24"/>
          </w:rPr>
          <w:t>74</w:t>
        </w:r>
      </w:hyperlink>
    </w:p>
    <w:p>
      <w:pPr>
        <w:pStyle w:val="Style21"/>
        <w:keepNext w:val="0"/>
        <w:keepLines w:val="0"/>
        <w:widowControl w:val="0"/>
        <w:shd w:val="clear" w:color="auto" w:fill="auto"/>
        <w:tabs>
          <w:tab w:leader="dot" w:pos="8956" w:val="right"/>
        </w:tabs>
        <w:bidi w:val="0"/>
        <w:spacing w:before="0" w:line="240" w:lineRule="auto"/>
        <w:ind w:left="0" w:right="0"/>
        <w:jc w:val="both"/>
        <w:rPr>
          <w:sz w:val="24"/>
          <w:szCs w:val="24"/>
        </w:rPr>
      </w:pPr>
      <w:hyperlink w:anchor="bookmark624" w:tooltip="Current Document">
        <w:r>
          <w:rPr>
            <w:color w:val="000000"/>
            <w:spacing w:val="0"/>
            <w:w w:val="100"/>
            <w:position w:val="0"/>
            <w:sz w:val="22"/>
            <w:szCs w:val="22"/>
          </w:rPr>
          <w:t>第十二节财务报告</w:t>
        </w:r>
        <w:r>
          <w:rPr>
            <w:color w:val="000000"/>
            <w:spacing w:val="0"/>
            <w:w w:val="100"/>
            <w:position w:val="0"/>
            <w:sz w:val="22"/>
            <w:szCs w:val="22"/>
          </w:rPr>
          <w:tab/>
        </w:r>
        <w:r>
          <w:rPr>
            <w:rFonts w:ascii="Calibri" w:eastAsia="Calibri" w:hAnsi="Calibri" w:cs="Calibri"/>
            <w:color w:val="000000"/>
            <w:spacing w:val="0"/>
            <w:w w:val="100"/>
            <w:position w:val="0"/>
            <w:sz w:val="24"/>
            <w:szCs w:val="24"/>
          </w:rPr>
          <w:t>77</w:t>
        </w:r>
      </w:hyperlink>
    </w:p>
    <w:p>
      <w:pPr>
        <w:pStyle w:val="Style21"/>
        <w:keepNext w:val="0"/>
        <w:keepLines w:val="0"/>
        <w:widowControl w:val="0"/>
        <w:shd w:val="clear" w:color="auto" w:fill="auto"/>
        <w:tabs>
          <w:tab w:leader="dot" w:pos="8956" w:val="right"/>
        </w:tabs>
        <w:bidi w:val="0"/>
        <w:spacing w:before="0" w:line="240" w:lineRule="auto"/>
        <w:ind w:left="0" w:right="0"/>
        <w:jc w:val="both"/>
        <w:rPr>
          <w:sz w:val="24"/>
          <w:szCs w:val="24"/>
        </w:rPr>
      </w:pPr>
      <w:hyperlink w:anchor="bookmark1954" w:tooltip="Current Document">
        <w:r>
          <w:rPr>
            <w:color w:val="000000"/>
            <w:spacing w:val="0"/>
            <w:w w:val="100"/>
            <w:position w:val="0"/>
            <w:sz w:val="22"/>
            <w:szCs w:val="22"/>
          </w:rPr>
          <w:t>第十三节 备查文件目录</w:t>
        </w:r>
        <w:r>
          <w:rPr>
            <w:color w:val="000000"/>
            <w:spacing w:val="0"/>
            <w:w w:val="100"/>
            <w:position w:val="0"/>
            <w:sz w:val="22"/>
            <w:szCs w:val="22"/>
          </w:rPr>
          <w:tab/>
        </w:r>
        <w:r>
          <w:rPr>
            <w:rFonts w:ascii="Calibri" w:eastAsia="Calibri" w:hAnsi="Calibri" w:cs="Calibri"/>
            <w:color w:val="000000"/>
            <w:spacing w:val="0"/>
            <w:w w:val="100"/>
            <w:position w:val="0"/>
            <w:sz w:val="24"/>
            <w:szCs w:val="24"/>
          </w:rPr>
          <w:t>238</w:t>
        </w:r>
      </w:hyperlink>
      <w:r>
        <w:br w:type="page"/>
      </w:r>
      <w:r>
        <w:fldChar w:fldCharType="end"/>
      </w:r>
    </w:p>
    <w:tbl>
      <w:tblPr>
        <w:tblOverlap w:val="never"/>
        <w:jc w:val="center"/>
        <w:tblLayout w:type="fixed"/>
      </w:tblPr>
      <w:tblGrid>
        <w:gridCol w:w="3528"/>
        <w:gridCol w:w="624"/>
        <w:gridCol w:w="5434"/>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释义项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释义内容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本公司、公司、母公司、国盛金控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国盛金融控股集团股份有限公司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集团、本集团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公司及纳入合并范围的子公司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凤凰财富资产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北京凤凰财富资产管理有限公司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凤凰财鑫投资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北京凤凰财鑫投资管理有限公司</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张家港财智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张家港财智投资中心（有限合伙），原名深圳前海财智发展 投资中心（有限合伙）</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前海远大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深圳前海财智远大投资中心（有限合伙）</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凤凰财鑫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北京凤凰财鑫股权投资中心（有限合伙）</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凤凰财智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北京凤凰财智创新投资中心（有限合伙）</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国盛证券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国盛证券有限责任公司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国盛期货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国盛期货有限责任公司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国盛资管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国盛证券资产管理有限公司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国盛弘远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国盛弘远（上海）投资有限公司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弘大嘉豪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深圳前海弘大嘉豪投资管理有限公司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弘大智合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深圳弘大智合投资合伙企业（有限合伙）</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深圳国盛前海投资有限公司</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国盛（香港）投资有限公司（</w:t>
            </w:r>
            <w:r>
              <w:rPr>
                <w:rFonts w:ascii="Times New Roman" w:eastAsia="Times New Roman" w:hAnsi="Times New Roman" w:cs="Times New Roman"/>
                <w:color w:val="000000"/>
                <w:spacing w:val="0"/>
                <w:w w:val="100"/>
                <w:position w:val="0"/>
              </w:rPr>
              <w:t>Guosheng （Hong Kong）</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Investment Limited</w:t>
            </w:r>
            <w:r>
              <w:rPr>
                <w:color w:val="000000"/>
                <w:spacing w:val="0"/>
                <w:w w:val="100"/>
                <w:position w:val="0"/>
              </w:rPr>
              <w:t>）</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国盛环球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国盛环球投资有限公司（</w:t>
            </w:r>
            <w:r>
              <w:rPr>
                <w:rFonts w:ascii="Times New Roman" w:eastAsia="Times New Roman" w:hAnsi="Times New Roman" w:cs="Times New Roman"/>
                <w:color w:val="000000"/>
                <w:spacing w:val="0"/>
                <w:w w:val="100"/>
                <w:position w:val="0"/>
              </w:rPr>
              <w:t>Guosheng Global Investment</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Limited</w:t>
            </w: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极盛科技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珠海横琴极盛科技有限公司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QD</w:t>
            </w:r>
            <w:r>
              <w:rPr>
                <w:color w:val="000000"/>
                <w:spacing w:val="0"/>
                <w:w w:val="100"/>
                <w:position w:val="0"/>
              </w:rPr>
              <w:t>、</w:t>
            </w:r>
            <w:r>
              <w:rPr>
                <w:color w:val="000000"/>
                <w:spacing w:val="0"/>
                <w:w w:val="100"/>
                <w:position w:val="0"/>
              </w:rPr>
              <w:t>趣店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Qudian Inc.</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大华、年审机构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大华会计师事务所（特殊普通合伙）</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新收入准则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财政部于</w:t>
            </w:r>
            <w:r>
              <w:rPr>
                <w:rFonts w:ascii="Times New Roman" w:eastAsia="Times New Roman" w:hAnsi="Times New Roman" w:cs="Times New Roman"/>
                <w:color w:val="000000"/>
                <w:spacing w:val="0"/>
                <w:w w:val="100"/>
                <w:position w:val="0"/>
              </w:rPr>
              <w:t>2017</w:t>
            </w:r>
            <w:r>
              <w:rPr>
                <w:color w:val="000000"/>
                <w:spacing w:val="0"/>
                <w:w w:val="100"/>
                <w:position w:val="0"/>
              </w:rPr>
              <w:t>年修订并发布的《企业会计准则第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收 入》</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国盛金融控股集团股份有限公司章程</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本期、报告期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bl>
    <w:p>
      <w:pPr>
        <w:sectPr>
          <w:footnotePr>
            <w:pos w:val="pageBottom"/>
            <w:numFmt w:val="decimal"/>
            <w:numRestart w:val="continuous"/>
          </w:footnotePr>
          <w:pgSz w:w="11900" w:h="16840"/>
          <w:pgMar w:top="2175" w:right="1041" w:bottom="2506" w:left="1067" w:header="0" w:footer="3" w:gutter="0"/>
          <w:cols w:space="720"/>
          <w:noEndnote/>
          <w:rtlGutter w:val="0"/>
          <w:docGrid w:linePitch="360"/>
        </w:sectPr>
      </w:pPr>
    </w:p>
    <w:p>
      <w:pPr>
        <w:pStyle w:val="Style14"/>
        <w:keepNext/>
        <w:keepLines/>
        <w:widowControl w:val="0"/>
        <w:shd w:val="clear" w:color="auto" w:fill="auto"/>
        <w:bidi w:val="0"/>
        <w:spacing w:before="520" w:after="540" w:line="240" w:lineRule="auto"/>
        <w:ind w:left="0" w:right="0" w:firstLine="0"/>
        <w:jc w:val="center"/>
      </w:pPr>
      <w:bookmarkStart w:id="10" w:name="bookmark10"/>
      <w:bookmarkStart w:id="11" w:name="bookmark11"/>
      <w:bookmarkStart w:id="9" w:name="bookmark9"/>
      <w:r>
        <w:rPr>
          <w:color w:val="000000"/>
          <w:spacing w:val="0"/>
          <w:w w:val="100"/>
          <w:position w:val="0"/>
        </w:rPr>
        <w:t>第二节公司简介和主要财务指标</w:t>
      </w:r>
      <w:bookmarkEnd w:id="10"/>
      <w:bookmarkEnd w:id="11"/>
      <w:bookmarkEnd w:id="9"/>
    </w:p>
    <w:p>
      <w:pPr>
        <w:pStyle w:val="Style29"/>
        <w:keepNext/>
        <w:keepLines/>
        <w:widowControl w:val="0"/>
        <w:shd w:val="clear" w:color="auto" w:fill="auto"/>
        <w:bidi w:val="0"/>
        <w:spacing w:before="0" w:line="240" w:lineRule="auto"/>
        <w:ind w:left="0" w:right="0" w:firstLine="880"/>
        <w:jc w:val="left"/>
      </w:pPr>
      <w:bookmarkStart w:id="12" w:name="bookmark12"/>
      <w:bookmarkStart w:id="13" w:name="bookmark13"/>
      <w:bookmarkStart w:id="14" w:name="bookmark14"/>
      <w:bookmarkStart w:id="15" w:name="bookmark15"/>
      <w:r>
        <w:rPr>
          <w:color w:val="000000"/>
          <w:spacing w:val="0"/>
          <w:w w:val="100"/>
          <w:position w:val="0"/>
          <w:sz w:val="24"/>
          <w:szCs w:val="24"/>
        </w:rPr>
        <w:t>、公司信息</w:t>
      </w:r>
      <w:bookmarkEnd w:id="13"/>
      <w:bookmarkEnd w:id="14"/>
      <w:bookmarkEnd w:id="15"/>
      <w:bookmarkEnd w:id="12"/>
    </w:p>
    <w:tbl>
      <w:tblPr>
        <w:tblOverlap w:val="never"/>
        <w:jc w:val="center"/>
        <w:tblLayout w:type="fixed"/>
      </w:tblPr>
      <w:tblGrid>
        <w:gridCol w:w="2698"/>
        <w:gridCol w:w="2544"/>
        <w:gridCol w:w="2155"/>
        <w:gridCol w:w="2189"/>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国盛金控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002670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股票上市证券交易所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国盛金融控股集团股份有限公司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国盛金控</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Guosheng Financial Holding Inc.</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Guosheng Finance</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杜力</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佛山市顺德区容桂街道华口昌宝东路</w:t>
            </w:r>
            <w:r>
              <w:rPr>
                <w:rFonts w:ascii="Times New Roman" w:eastAsia="Times New Roman" w:hAnsi="Times New Roman" w:cs="Times New Roman"/>
                <w:color w:val="000000"/>
                <w:spacing w:val="0"/>
                <w:w w:val="100"/>
                <w:position w:val="0"/>
              </w:rPr>
              <w:t>13</w:t>
            </w:r>
            <w:r>
              <w:rPr>
                <w:color w:val="000000"/>
                <w:spacing w:val="0"/>
                <w:w w:val="100"/>
                <w:position w:val="0"/>
              </w:rPr>
              <w:t>号</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528306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主要办公地址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深圳市福田区益田路</w:t>
            </w:r>
            <w:r>
              <w:rPr>
                <w:rFonts w:ascii="Times New Roman" w:eastAsia="Times New Roman" w:hAnsi="Times New Roman" w:cs="Times New Roman"/>
                <w:color w:val="000000"/>
                <w:spacing w:val="0"/>
                <w:w w:val="100"/>
                <w:position w:val="0"/>
              </w:rPr>
              <w:t>5033</w:t>
            </w:r>
            <w:r>
              <w:rPr>
                <w:color w:val="000000"/>
                <w:spacing w:val="0"/>
                <w:w w:val="100"/>
                <w:position w:val="0"/>
              </w:rPr>
              <w:t>号平安金融中心</w:t>
            </w:r>
            <w:r>
              <w:rPr>
                <w:rFonts w:ascii="Times New Roman" w:eastAsia="Times New Roman" w:hAnsi="Times New Roman" w:cs="Times New Roman"/>
                <w:color w:val="000000"/>
                <w:spacing w:val="0"/>
                <w:w w:val="100"/>
                <w:position w:val="0"/>
              </w:rPr>
              <w:t>101</w:t>
            </w:r>
            <w:r>
              <w:rPr>
                <w:color w:val="000000"/>
                <w:spacing w:val="0"/>
                <w:w w:val="100"/>
                <w:position w:val="0"/>
              </w:rPr>
              <w:t>层</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518000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"http://www.gsfins.com" </w:instrText>
            </w:r>
            <w:r>
              <w:fldChar w:fldCharType="separate"/>
            </w:r>
            <w:r>
              <w:rPr>
                <w:rFonts w:ascii="Times New Roman" w:eastAsia="Times New Roman" w:hAnsi="Times New Roman" w:cs="Times New Roman"/>
                <w:color w:val="000000"/>
                <w:spacing w:val="0"/>
                <w:w w:val="100"/>
                <w:position w:val="0"/>
              </w:rPr>
              <w:t>www.gsfins.com</w:t>
            </w:r>
            <w:r>
              <w:fldChar w:fldCharType="end"/>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"mailto:zqb@gsfins.com" </w:instrText>
            </w:r>
            <w:r>
              <w:fldChar w:fldCharType="separate"/>
            </w:r>
            <w:r>
              <w:rPr>
                <w:rFonts w:ascii="Times New Roman" w:eastAsia="Times New Roman" w:hAnsi="Times New Roman" w:cs="Times New Roman"/>
                <w:color w:val="000000"/>
                <w:spacing w:val="0"/>
                <w:w w:val="100"/>
                <w:position w:val="0"/>
              </w:rPr>
              <w:t>zqb@gsfins.com</w:t>
            </w:r>
            <w:r>
              <w:fldChar w:fldCharType="end"/>
            </w:r>
          </w:p>
        </w:tc>
      </w:tr>
    </w:tbl>
    <w:p>
      <w:pPr>
        <w:widowControl w:val="0"/>
        <w:spacing w:after="299" w:line="1" w:lineRule="exact"/>
      </w:pPr>
    </w:p>
    <w:p>
      <w:pPr>
        <w:pStyle w:val="Style29"/>
        <w:keepNext/>
        <w:keepLines/>
        <w:widowControl w:val="0"/>
        <w:shd w:val="clear" w:color="auto" w:fill="auto"/>
        <w:bidi w:val="0"/>
        <w:spacing w:before="0" w:line="240" w:lineRule="auto"/>
        <w:ind w:left="0" w:right="0"/>
        <w:jc w:val="both"/>
      </w:pPr>
      <w:bookmarkStart w:id="16" w:name="bookmark16"/>
      <w:bookmarkStart w:id="17" w:name="bookmark17"/>
      <w:bookmarkStart w:id="18" w:name="bookmark18"/>
      <w:bookmarkStart w:id="19" w:name="bookmark19"/>
      <w:r>
        <w:rPr>
          <w:color w:val="000000"/>
          <w:spacing w:val="0"/>
          <w:w w:val="100"/>
          <w:position w:val="0"/>
          <w:sz w:val="24"/>
          <w:szCs w:val="24"/>
        </w:rPr>
        <w:t>二</w:t>
      </w:r>
      <w:bookmarkEnd w:id="18"/>
      <w:r>
        <w:rPr>
          <w:color w:val="000000"/>
          <w:spacing w:val="0"/>
          <w:w w:val="100"/>
          <w:position w:val="0"/>
          <w:sz w:val="24"/>
          <w:szCs w:val="24"/>
        </w:rPr>
        <w:t>、联系人和联系方式</w:t>
      </w:r>
      <w:bookmarkEnd w:id="16"/>
      <w:bookmarkEnd w:id="17"/>
      <w:bookmarkEnd w:id="19"/>
    </w:p>
    <w:tbl>
      <w:tblPr>
        <w:tblOverlap w:val="never"/>
        <w:jc w:val="center"/>
        <w:tblLayout w:type="fixed"/>
      </w:tblPr>
      <w:tblGrid>
        <w:gridCol w:w="4267"/>
        <w:gridCol w:w="5443"/>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董事会秘书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李娥</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深圳市福田区益田路</w:t>
            </w:r>
            <w:r>
              <w:rPr>
                <w:rFonts w:ascii="Times New Roman" w:eastAsia="Times New Roman" w:hAnsi="Times New Roman" w:cs="Times New Roman"/>
                <w:color w:val="000000"/>
                <w:spacing w:val="0"/>
                <w:w w:val="100"/>
                <w:position w:val="0"/>
              </w:rPr>
              <w:t>5033</w:t>
            </w:r>
            <w:r>
              <w:rPr>
                <w:color w:val="000000"/>
                <w:spacing w:val="0"/>
                <w:w w:val="100"/>
                <w:position w:val="0"/>
              </w:rPr>
              <w:t>号平安金融中心</w:t>
            </w:r>
            <w:r>
              <w:rPr>
                <w:rFonts w:ascii="Times New Roman" w:eastAsia="Times New Roman" w:hAnsi="Times New Roman" w:cs="Times New Roman"/>
                <w:color w:val="000000"/>
                <w:spacing w:val="0"/>
                <w:w w:val="100"/>
                <w:position w:val="0"/>
              </w:rPr>
              <w:t>101</w:t>
            </w:r>
            <w:r>
              <w:rPr>
                <w:color w:val="000000"/>
                <w:spacing w:val="0"/>
                <w:w w:val="100"/>
                <w:position w:val="0"/>
              </w:rPr>
              <w:t>层</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0755-88259805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0755-88259805</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"mailto:zqb@gsfins.com" </w:instrText>
            </w:r>
            <w:r>
              <w:fldChar w:fldCharType="separate"/>
            </w:r>
            <w:r>
              <w:rPr>
                <w:rFonts w:ascii="Times New Roman" w:eastAsia="Times New Roman" w:hAnsi="Times New Roman" w:cs="Times New Roman"/>
                <w:color w:val="000000"/>
                <w:spacing w:val="0"/>
                <w:w w:val="100"/>
                <w:position w:val="0"/>
              </w:rPr>
              <w:t>zqb@gsfins.com</w:t>
            </w:r>
            <w:r>
              <w:fldChar w:fldCharType="end"/>
            </w:r>
          </w:p>
        </w:tc>
      </w:tr>
    </w:tbl>
    <w:p>
      <w:pPr>
        <w:widowControl w:val="0"/>
        <w:spacing w:after="299" w:line="1" w:lineRule="exact"/>
      </w:pPr>
    </w:p>
    <w:p>
      <w:pPr>
        <w:pStyle w:val="Style29"/>
        <w:keepNext/>
        <w:keepLines/>
        <w:widowControl w:val="0"/>
        <w:shd w:val="clear" w:color="auto" w:fill="auto"/>
        <w:bidi w:val="0"/>
        <w:spacing w:before="0" w:line="240" w:lineRule="auto"/>
        <w:ind w:left="0" w:right="0"/>
        <w:jc w:val="both"/>
      </w:pPr>
      <w:bookmarkStart w:id="20" w:name="bookmark20"/>
      <w:bookmarkStart w:id="21" w:name="bookmark21"/>
      <w:bookmarkStart w:id="22" w:name="bookmark22"/>
      <w:bookmarkStart w:id="23" w:name="bookmark23"/>
      <w:r>
        <w:rPr>
          <w:color w:val="000000"/>
          <w:spacing w:val="0"/>
          <w:w w:val="100"/>
          <w:position w:val="0"/>
          <w:sz w:val="24"/>
          <w:szCs w:val="24"/>
        </w:rPr>
        <w:t>三</w:t>
      </w:r>
      <w:bookmarkEnd w:id="22"/>
      <w:r>
        <w:rPr>
          <w:color w:val="000000"/>
          <w:spacing w:val="0"/>
          <w:w w:val="100"/>
          <w:position w:val="0"/>
          <w:sz w:val="24"/>
          <w:szCs w:val="24"/>
        </w:rPr>
        <w:t>、信息披露及备置地点</w:t>
      </w:r>
      <w:bookmarkEnd w:id="20"/>
      <w:bookmarkEnd w:id="21"/>
      <w:bookmarkEnd w:id="23"/>
    </w:p>
    <w:tbl>
      <w:tblPr>
        <w:tblOverlap w:val="never"/>
        <w:jc w:val="center"/>
        <w:tblLayout w:type="fixed"/>
      </w:tblPr>
      <w:tblGrid>
        <w:gridCol w:w="3547"/>
        <w:gridCol w:w="6034"/>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《中国证券报》《证券时报》《上海证券报》《证券日报》</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登载年度报告的指定网站的网址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w:t>
            </w:r>
            <w:r>
              <w:rPr>
                <w:rFonts w:ascii="Times New Roman" w:eastAsia="Times New Roman" w:hAnsi="Times New Roman" w:cs="Times New Roman"/>
                <w:color w:val="000000"/>
                <w:spacing w:val="0"/>
                <w:w w:val="100"/>
                <w:position w:val="0"/>
              </w:rPr>
              <w:t>ww.szse.cn</w:t>
            </w:r>
            <w:r>
              <w:rPr>
                <w:color w:val="000000"/>
                <w:spacing w:val="0"/>
                <w:w w:val="100"/>
                <w:position w:val="0"/>
              </w:rPr>
              <w:t>、</w:t>
            </w:r>
            <w:r>
              <w:rPr>
                <w:rFonts w:ascii="Times New Roman" w:eastAsia="Times New Roman" w:hAnsi="Times New Roman" w:cs="Times New Roman"/>
                <w:color w:val="000000"/>
                <w:spacing w:val="0"/>
                <w:w w:val="100"/>
                <w:position w:val="0"/>
              </w:rPr>
              <w:t>www.cninfo.com.cn</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公司董事会办公室</w:t>
            </w:r>
          </w:p>
        </w:tc>
      </w:tr>
    </w:tbl>
    <w:p>
      <w:pPr>
        <w:widowControl w:val="0"/>
        <w:spacing w:after="299" w:line="1" w:lineRule="exact"/>
      </w:pPr>
    </w:p>
    <w:p>
      <w:pPr>
        <w:pStyle w:val="Style29"/>
        <w:keepNext/>
        <w:keepLines/>
        <w:widowControl w:val="0"/>
        <w:shd w:val="clear" w:color="auto" w:fill="auto"/>
        <w:bidi w:val="0"/>
        <w:spacing w:before="0" w:line="240" w:lineRule="auto"/>
        <w:ind w:left="0" w:right="0"/>
        <w:jc w:val="both"/>
      </w:pPr>
      <w:bookmarkStart w:id="24" w:name="bookmark24"/>
      <w:bookmarkStart w:id="25" w:name="bookmark25"/>
      <w:bookmarkStart w:id="26" w:name="bookmark26"/>
      <w:bookmarkStart w:id="27" w:name="bookmark27"/>
      <w:r>
        <w:rPr>
          <w:color w:val="000000"/>
          <w:spacing w:val="0"/>
          <w:w w:val="100"/>
          <w:position w:val="0"/>
          <w:sz w:val="24"/>
          <w:szCs w:val="24"/>
        </w:rPr>
        <w:t>四</w:t>
      </w:r>
      <w:bookmarkEnd w:id="26"/>
      <w:r>
        <w:rPr>
          <w:color w:val="000000"/>
          <w:spacing w:val="0"/>
          <w:w w:val="100"/>
          <w:position w:val="0"/>
          <w:sz w:val="24"/>
          <w:szCs w:val="24"/>
        </w:rPr>
        <w:t>、注册变更情况</w:t>
      </w:r>
      <w:bookmarkEnd w:id="24"/>
      <w:bookmarkEnd w:id="25"/>
      <w:bookmarkEnd w:id="27"/>
      <w:r>
        <w:br w:type="page"/>
      </w:r>
    </w:p>
    <w:tbl>
      <w:tblPr>
        <w:tblOverlap w:val="never"/>
        <w:jc w:val="center"/>
        <w:tblLayout w:type="fixed"/>
      </w:tblPr>
      <w:tblGrid>
        <w:gridCol w:w="2414"/>
        <w:gridCol w:w="7166"/>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组织机构代码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61765561-3</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公司上市以来主营业务的 变化情况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2016</w:t>
            </w:r>
            <w:r>
              <w:rPr>
                <w:color w:val="000000"/>
                <w:spacing w:val="0"/>
                <w:w w:val="100"/>
                <w:position w:val="0"/>
              </w:rPr>
              <w:t>年实施发行股份及支付现金购买资产方案，取得国盛证券</w:t>
            </w:r>
            <w:r>
              <w:rPr>
                <w:rFonts w:ascii="Times New Roman" w:eastAsia="Times New Roman" w:hAnsi="Times New Roman" w:cs="Times New Roman"/>
                <w:color w:val="000000"/>
                <w:spacing w:val="0"/>
                <w:w w:val="100"/>
                <w:position w:val="0"/>
              </w:rPr>
              <w:t>100%</w:t>
            </w:r>
            <w:r>
              <w:rPr>
                <w:color w:val="000000"/>
                <w:spacing w:val="0"/>
                <w:w w:val="100"/>
                <w:position w:val="0"/>
              </w:rPr>
              <w:t>股 权。根据中国证监会发布的《</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季度上市公司行业分类结果》，公司行 业类别由</w:t>
            </w:r>
            <w:r>
              <w:rPr>
                <w:rFonts w:ascii="Times New Roman" w:eastAsia="Times New Roman" w:hAnsi="Times New Roman" w:cs="Times New Roman"/>
                <w:color w:val="000000"/>
                <w:spacing w:val="0"/>
                <w:w w:val="100"/>
                <w:position w:val="0"/>
              </w:rPr>
              <w:t>"</w:t>
            </w:r>
            <w:r>
              <w:rPr>
                <w:color w:val="000000"/>
                <w:spacing w:val="0"/>
                <w:w w:val="100"/>
                <w:position w:val="0"/>
              </w:rPr>
              <w:t>制造业</w:t>
            </w:r>
            <w:r>
              <w:rPr>
                <w:rFonts w:ascii="Times New Roman" w:eastAsia="Times New Roman" w:hAnsi="Times New Roman" w:cs="Times New Roman"/>
                <w:color w:val="000000"/>
                <w:spacing w:val="0"/>
                <w:w w:val="100"/>
                <w:position w:val="0"/>
              </w:rPr>
              <w:t>"-"</w:t>
            </w:r>
            <w:r>
              <w:rPr>
                <w:color w:val="000000"/>
                <w:spacing w:val="0"/>
                <w:w w:val="100"/>
                <w:position w:val="0"/>
              </w:rPr>
              <w:t>电气机械及器材制造业</w:t>
            </w:r>
            <w:r>
              <w:rPr>
                <w:rFonts w:ascii="Times New Roman" w:eastAsia="Times New Roman" w:hAnsi="Times New Roman" w:cs="Times New Roman"/>
                <w:color w:val="000000"/>
                <w:spacing w:val="0"/>
                <w:w w:val="100"/>
                <w:position w:val="0"/>
              </w:rPr>
              <w:t>"</w:t>
            </w:r>
            <w:r>
              <w:rPr>
                <w:color w:val="000000"/>
                <w:spacing w:val="0"/>
                <w:w w:val="100"/>
                <w:position w:val="0"/>
              </w:rPr>
              <w:t>变更为</w:t>
            </w:r>
            <w:r>
              <w:rPr>
                <w:rFonts w:ascii="Times New Roman" w:eastAsia="Times New Roman" w:hAnsi="Times New Roman" w:cs="Times New Roman"/>
                <w:color w:val="000000"/>
                <w:spacing w:val="0"/>
                <w:w w:val="100"/>
                <w:position w:val="0"/>
              </w:rPr>
              <w:t>"</w:t>
            </w:r>
            <w:r>
              <w:rPr>
                <w:color w:val="000000"/>
                <w:spacing w:val="0"/>
                <w:w w:val="100"/>
                <w:position w:val="0"/>
              </w:rPr>
              <w:t>金融业</w:t>
            </w:r>
            <w:r>
              <w:rPr>
                <w:rFonts w:ascii="Times New Roman" w:eastAsia="Times New Roman" w:hAnsi="Times New Roman" w:cs="Times New Roman"/>
                <w:color w:val="000000"/>
                <w:spacing w:val="0"/>
                <w:w w:val="100"/>
                <w:position w:val="0"/>
              </w:rPr>
              <w:t>"-"</w:t>
            </w:r>
            <w:r>
              <w:rPr>
                <w:color w:val="000000"/>
                <w:spacing w:val="0"/>
                <w:w w:val="100"/>
                <w:position w:val="0"/>
              </w:rPr>
              <w:t>资本市场服务</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108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历次控股股东的变更情况</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tabs>
                <w:tab w:pos="298" w:val="left"/>
              </w:tabs>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月，公司控股股东变更为凤凰财智。</w:t>
            </w:r>
          </w:p>
          <w:p>
            <w:pPr>
              <w:pStyle w:val="Style2"/>
              <w:keepNext w:val="0"/>
              <w:keepLines w:val="0"/>
              <w:widowControl w:val="0"/>
              <w:shd w:val="clear" w:color="auto" w:fill="auto"/>
              <w:tabs>
                <w:tab w:pos="317" w:val="left"/>
              </w:tabs>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月，公司控股股东变更为张家港财智及其一致行动人前海远大、 凤凰财智、凤凰财鑫。</w:t>
            </w:r>
          </w:p>
        </w:tc>
      </w:tr>
    </w:tbl>
    <w:p>
      <w:pPr>
        <w:widowControl w:val="0"/>
        <w:spacing w:after="339" w:line="1" w:lineRule="exact"/>
      </w:pPr>
    </w:p>
    <w:p>
      <w:pPr>
        <w:pStyle w:val="Style29"/>
        <w:keepNext/>
        <w:keepLines/>
        <w:widowControl w:val="0"/>
        <w:shd w:val="clear" w:color="auto" w:fill="auto"/>
        <w:bidi w:val="0"/>
        <w:spacing w:before="0" w:after="340" w:line="240" w:lineRule="auto"/>
        <w:ind w:left="0" w:right="0" w:firstLine="640"/>
        <w:jc w:val="left"/>
      </w:pPr>
      <w:bookmarkStart w:id="28" w:name="bookmark28"/>
      <w:bookmarkStart w:id="29" w:name="bookmark29"/>
      <w:bookmarkStart w:id="30" w:name="bookmark30"/>
      <w:bookmarkStart w:id="31" w:name="bookmark31"/>
      <w:r>
        <w:rPr>
          <w:color w:val="000000"/>
          <w:spacing w:val="0"/>
          <w:w w:val="100"/>
          <w:position w:val="0"/>
          <w:sz w:val="24"/>
          <w:szCs w:val="24"/>
        </w:rPr>
        <w:t>五</w:t>
      </w:r>
      <w:bookmarkEnd w:id="30"/>
      <w:r>
        <w:rPr>
          <w:color w:val="000000"/>
          <w:spacing w:val="0"/>
          <w:w w:val="100"/>
          <w:position w:val="0"/>
          <w:sz w:val="24"/>
          <w:szCs w:val="24"/>
        </w:rPr>
        <w:t>、其他有关资料</w:t>
      </w:r>
      <w:bookmarkEnd w:id="28"/>
      <w:bookmarkEnd w:id="29"/>
      <w:bookmarkEnd w:id="31"/>
    </w:p>
    <w:p>
      <w:pPr>
        <w:pStyle w:val="Style16"/>
        <w:keepNext w:val="0"/>
        <w:keepLines w:val="0"/>
        <w:widowControl w:val="0"/>
        <w:shd w:val="clear" w:color="auto" w:fill="auto"/>
        <w:bidi w:val="0"/>
        <w:spacing w:before="0" w:after="60" w:line="240" w:lineRule="auto"/>
        <w:ind w:left="0" w:right="0" w:firstLine="640"/>
        <w:jc w:val="left"/>
      </w:pPr>
      <w:r>
        <w:rPr>
          <w:color w:val="000000"/>
          <w:spacing w:val="0"/>
          <w:w w:val="100"/>
          <w:position w:val="0"/>
        </w:rPr>
        <w:t>公司聘请的会计师事务所</w:t>
      </w:r>
    </w:p>
    <w:tbl>
      <w:tblPr>
        <w:tblOverlap w:val="never"/>
        <w:jc w:val="center"/>
        <w:tblLayout w:type="fixed"/>
      </w:tblPr>
      <w:tblGrid>
        <w:gridCol w:w="2414"/>
        <w:gridCol w:w="7166"/>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大华会计师事务所（特殊普通合伙）</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北京市海淀区西四环中路</w:t>
            </w:r>
            <w:r>
              <w:rPr>
                <w:rFonts w:ascii="Times New Roman" w:eastAsia="Times New Roman" w:hAnsi="Times New Roman" w:cs="Times New Roman"/>
                <w:color w:val="000000"/>
                <w:spacing w:val="0"/>
                <w:w w:val="100"/>
                <w:position w:val="0"/>
              </w:rPr>
              <w:t>16</w:t>
            </w:r>
            <w:r>
              <w:rPr>
                <w:color w:val="000000"/>
                <w:spacing w:val="0"/>
                <w:w w:val="100"/>
                <w:position w:val="0"/>
              </w:rPr>
              <w:t>号院</w:t>
            </w:r>
            <w:r>
              <w:rPr>
                <w:rFonts w:ascii="Times New Roman" w:eastAsia="Times New Roman" w:hAnsi="Times New Roman" w:cs="Times New Roman"/>
                <w:color w:val="000000"/>
                <w:spacing w:val="0"/>
                <w:w w:val="100"/>
                <w:position w:val="0"/>
              </w:rPr>
              <w:t>7</w:t>
            </w:r>
            <w:r>
              <w:rPr>
                <w:color w:val="000000"/>
                <w:spacing w:val="0"/>
                <w:w w:val="100"/>
                <w:position w:val="0"/>
              </w:rPr>
              <w:t>号楼</w:t>
            </w:r>
            <w:r>
              <w:rPr>
                <w:rFonts w:ascii="Times New Roman" w:eastAsia="Times New Roman" w:hAnsi="Times New Roman" w:cs="Times New Roman"/>
                <w:color w:val="000000"/>
                <w:spacing w:val="0"/>
                <w:w w:val="100"/>
                <w:position w:val="0"/>
              </w:rPr>
              <w:t>1101</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朱娟、江山</w:t>
            </w:r>
          </w:p>
        </w:tc>
      </w:tr>
    </w:tbl>
    <w:p>
      <w:pPr>
        <w:pStyle w:val="Style16"/>
        <w:keepNext w:val="0"/>
        <w:keepLines w:val="0"/>
        <w:widowControl w:val="0"/>
        <w:shd w:val="clear" w:color="auto" w:fill="auto"/>
        <w:bidi w:val="0"/>
        <w:spacing w:before="0" w:after="340" w:line="350" w:lineRule="exact"/>
        <w:ind w:left="640" w:right="0" w:firstLine="0"/>
        <w:jc w:val="left"/>
      </w:pPr>
      <w:r>
        <mc:AlternateContent>
          <mc:Choice Requires="wps">
            <w:drawing>
              <wp:anchor distT="0" distB="774065" distL="114300" distR="114300" simplePos="0" relativeHeight="125829380" behindDoc="0" locked="0" layoutInCell="1" allowOverlap="1">
                <wp:simplePos x="0" y="0"/>
                <wp:positionH relativeFrom="page">
                  <wp:posOffset>5781040</wp:posOffset>
                </wp:positionH>
                <wp:positionV relativeFrom="paragraph">
                  <wp:posOffset>63500</wp:posOffset>
                </wp:positionV>
                <wp:extent cx="1042670" cy="411480"/>
                <wp:wrapSquare wrapText="left"/>
                <wp:docPr id="15" name="Shape 15"/>
                <a:graphic xmlns:a="http://schemas.openxmlformats.org/drawingml/2006/main">
                  <a:graphicData uri="http://schemas.microsoft.com/office/word/2010/wordprocessingShape">
                    <wps:wsp>
                      <wps:cNvSpPr txBox="1"/>
                      <wps:spPr>
                        <a:xfrm>
                          <a:ext cx="1042670" cy="411480"/>
                        </a:xfrm>
                        <a:prstGeom prst="rect"/>
                        <a:noFill/>
                      </wps:spPr>
                      <wps:txbx>
                        <w:txbxContent>
                          <w:p>
                            <w:pPr>
                              <w:pStyle w:val="Style1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txbxContent>
                      </wps:txbx>
                      <wps:bodyPr lIns="0" tIns="0" rIns="0" bIns="0">
                        <a:noAutoFit/>
                      </wps:bodyPr>
                    </wps:wsp>
                  </a:graphicData>
                </a:graphic>
              </wp:anchor>
            </w:drawing>
          </mc:Choice>
          <mc:Fallback>
            <w:pict>
              <v:shape id="_x0000_s1041" type="#_x0000_t202" style="position:absolute;margin-left:455.19999999999999pt;margin-top:5.pt;width:82.100000000000009pt;height:32.399999999999999pt;z-index:-125829373;mso-wrap-distance-left:9.pt;mso-wrap-distance-right:9.pt;mso-wrap-distance-bottom:60.950000000000003pt;mso-position-horizontal-relative:page" filled="f" stroked="f">
                <v:textbox inset="0,0,0,0">
                  <w:txbxContent>
                    <w:p>
                      <w:pPr>
                        <w:pStyle w:val="Style1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txbxContent>
                </v:textbox>
                <w10:wrap type="square" side="left" anchorx="page"/>
              </v:shape>
            </w:pict>
          </mc:Fallback>
        </mc:AlternateContent>
      </w:r>
      <w:r>
        <mc:AlternateContent>
          <mc:Choice Requires="wps">
            <w:drawing>
              <wp:anchor distT="1005840" distB="0" distL="507365" distR="114935" simplePos="0" relativeHeight="125829382" behindDoc="0" locked="0" layoutInCell="1" allowOverlap="1">
                <wp:simplePos x="0" y="0"/>
                <wp:positionH relativeFrom="page">
                  <wp:posOffset>6174105</wp:posOffset>
                </wp:positionH>
                <wp:positionV relativeFrom="paragraph">
                  <wp:posOffset>1069340</wp:posOffset>
                </wp:positionV>
                <wp:extent cx="648970" cy="179705"/>
                <wp:wrapSquare wrapText="left"/>
                <wp:docPr id="17" name="Shape 17"/>
                <a:graphic xmlns:a="http://schemas.openxmlformats.org/drawingml/2006/main">
                  <a:graphicData uri="http://schemas.microsoft.com/office/word/2010/wordprocessingShape">
                    <wps:wsp>
                      <wps:cNvSpPr txBox="1"/>
                      <wps:spPr>
                        <a:xfrm>
                          <a:ext cx="648970" cy="17970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center"/>
                            </w:pPr>
                            <w:r>
                              <w:rPr>
                                <w:i/>
                                <w:iCs/>
                                <w:color w:val="000000"/>
                                <w:spacing w:val="0"/>
                                <w:w w:val="100"/>
                                <w:position w:val="0"/>
                              </w:rPr>
                              <w:t>。是口</w:t>
                            </w:r>
                            <w:r>
                              <w:rPr>
                                <w:color w:val="000000"/>
                                <w:spacing w:val="0"/>
                                <w:w w:val="100"/>
                                <w:position w:val="0"/>
                              </w:rPr>
                              <w:t>否</w:t>
                            </w:r>
                          </w:p>
                        </w:txbxContent>
                      </wps:txbx>
                      <wps:bodyPr wrap="none" lIns="0" tIns="0" rIns="0" bIns="0">
                        <a:noAutoFit/>
                      </wps:bodyPr>
                    </wps:wsp>
                  </a:graphicData>
                </a:graphic>
              </wp:anchor>
            </w:drawing>
          </mc:Choice>
          <mc:Fallback>
            <w:pict>
              <v:shape id="_x0000_s1043" type="#_x0000_t202" style="position:absolute;margin-left:486.15000000000003pt;margin-top:84.200000000000003pt;width:51.100000000000001pt;height:14.15pt;z-index:-125829371;mso-wrap-distance-left:39.950000000000003pt;mso-wrap-distance-top:79.200000000000003pt;mso-wrap-distance-right:9.0500000000000007pt;mso-position-horizontal-relative:page" filled="f" stroked="f">
                <v:textbox inset="0,0,0,0">
                  <w:txbxContent>
                    <w:p>
                      <w:pPr>
                        <w:pStyle w:val="Style16"/>
                        <w:keepNext w:val="0"/>
                        <w:keepLines w:val="0"/>
                        <w:widowControl w:val="0"/>
                        <w:shd w:val="clear" w:color="auto" w:fill="auto"/>
                        <w:bidi w:val="0"/>
                        <w:spacing w:before="0" w:after="0" w:line="240" w:lineRule="auto"/>
                        <w:ind w:left="0" w:right="0" w:firstLine="0"/>
                        <w:jc w:val="center"/>
                      </w:pPr>
                      <w:r>
                        <w:rPr>
                          <w:i/>
                          <w:iCs/>
                          <w:color w:val="000000"/>
                          <w:spacing w:val="0"/>
                          <w:w w:val="100"/>
                          <w:position w:val="0"/>
                        </w:rPr>
                        <w:t>。是口</w:t>
                      </w:r>
                      <w:r>
                        <w:rPr>
                          <w:color w:val="000000"/>
                          <w:spacing w:val="0"/>
                          <w:w w:val="100"/>
                          <w:position w:val="0"/>
                        </w:rPr>
                        <w:t>否</w:t>
                      </w:r>
                    </w:p>
                  </w:txbxContent>
                </v:textbox>
                <w10:wrap type="square" side="left" anchorx="page"/>
              </v:shape>
            </w:pict>
          </mc:Fallback>
        </mc:AlternateContent>
      </w:r>
      <w:r>
        <w:rPr>
          <w:color w:val="000000"/>
          <w:spacing w:val="0"/>
          <w:w w:val="100"/>
          <w:position w:val="0"/>
        </w:rPr>
        <w:t>公司聘请的报告期内履行持续督导职责的保荐机构 公司聘请的报告期内履行持续督导职责的财务顾问</w:t>
      </w:r>
    </w:p>
    <w:p>
      <w:pPr>
        <w:pStyle w:val="Style29"/>
        <w:keepNext/>
        <w:keepLines/>
        <w:widowControl w:val="0"/>
        <w:shd w:val="clear" w:color="auto" w:fill="auto"/>
        <w:bidi w:val="0"/>
        <w:spacing w:before="0" w:after="240" w:line="240" w:lineRule="auto"/>
        <w:ind w:left="0" w:right="0" w:firstLine="640"/>
        <w:jc w:val="left"/>
      </w:pPr>
      <w:bookmarkStart w:id="32" w:name="bookmark32"/>
      <w:bookmarkStart w:id="33" w:name="bookmark33"/>
      <w:bookmarkStart w:id="34" w:name="bookmark34"/>
      <w:bookmarkStart w:id="35" w:name="bookmark35"/>
      <w:r>
        <w:rPr>
          <w:color w:val="000000"/>
          <w:spacing w:val="0"/>
          <w:w w:val="100"/>
          <w:position w:val="0"/>
          <w:sz w:val="24"/>
          <w:szCs w:val="24"/>
        </w:rPr>
        <w:t>六</w:t>
      </w:r>
      <w:bookmarkEnd w:id="34"/>
      <w:r>
        <w:rPr>
          <w:color w:val="000000"/>
          <w:spacing w:val="0"/>
          <w:w w:val="100"/>
          <w:position w:val="0"/>
          <w:sz w:val="24"/>
          <w:szCs w:val="24"/>
        </w:rPr>
        <w:t>、主要会计数据和财务指标</w:t>
      </w:r>
      <w:bookmarkEnd w:id="32"/>
      <w:bookmarkEnd w:id="33"/>
      <w:bookmarkEnd w:id="35"/>
    </w:p>
    <w:p>
      <w:pPr>
        <w:pStyle w:val="Style16"/>
        <w:keepNext w:val="0"/>
        <w:keepLines w:val="0"/>
        <w:widowControl w:val="0"/>
        <w:shd w:val="clear" w:color="auto" w:fill="auto"/>
        <w:bidi w:val="0"/>
        <w:spacing w:before="0" w:after="180" w:line="350" w:lineRule="exact"/>
        <w:ind w:left="640" w:right="0" w:firstLine="0"/>
        <w:jc w:val="left"/>
      </w:pPr>
      <w:r>
        <w:rPr>
          <w:color w:val="000000"/>
          <w:spacing w:val="0"/>
          <w:w w:val="100"/>
          <w:position w:val="0"/>
        </w:rPr>
        <w:t>公司是否需追溯调整或重述以前年度会计数据 会计差错更正</w:t>
      </w:r>
    </w:p>
    <w:tbl>
      <w:tblPr>
        <w:tblOverlap w:val="never"/>
        <w:jc w:val="center"/>
        <w:tblLayout w:type="fixed"/>
      </w:tblPr>
      <w:tblGrid>
        <w:gridCol w:w="1752"/>
        <w:gridCol w:w="1565"/>
        <w:gridCol w:w="1570"/>
        <w:gridCol w:w="1565"/>
        <w:gridCol w:w="1176"/>
        <w:gridCol w:w="1565"/>
        <w:gridCol w:w="1738"/>
      </w:tblGrid>
      <w:tr>
        <w:trPr>
          <w:trHeight w:val="65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rFonts w:ascii="SimHei" w:eastAsia="SimHei" w:hAnsi="SimHei" w:cs="SimHei"/>
                <w:b/>
                <w:bCs/>
                <w:color w:val="000000"/>
                <w:spacing w:val="0"/>
                <w:w w:val="100"/>
                <w:position w:val="0"/>
                <w:sz w:val="17"/>
                <w:szCs w:val="17"/>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 xml:space="preserve">2020 </w:t>
            </w:r>
            <w:r>
              <w:rPr>
                <w:b/>
                <w:bCs/>
                <w:color w:val="000000"/>
                <w:spacing w:val="0"/>
                <w:w w:val="100"/>
                <w:position w:val="0"/>
                <w:sz w:val="18"/>
                <w:szCs w:val="18"/>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 xml:space="preserve">2019 </w:t>
            </w:r>
            <w:r>
              <w:rPr>
                <w:b/>
                <w:bCs/>
                <w:color w:val="000000"/>
                <w:spacing w:val="0"/>
                <w:w w:val="100"/>
                <w:position w:val="0"/>
                <w:sz w:val="18"/>
                <w:szCs w:val="18"/>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b/>
                <w:bCs/>
                <w:color w:val="000000"/>
                <w:spacing w:val="0"/>
                <w:w w:val="100"/>
                <w:position w:val="0"/>
                <w:sz w:val="18"/>
                <w:szCs w:val="18"/>
              </w:rPr>
              <w:t>本年比上年</w:t>
            </w:r>
          </w:p>
          <w:p>
            <w:pPr>
              <w:pStyle w:val="Style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增减（%）</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 xml:space="preserve">2018 </w:t>
            </w:r>
            <w:r>
              <w:rPr>
                <w:b/>
                <w:bCs/>
                <w:color w:val="000000"/>
                <w:spacing w:val="0"/>
                <w:w w:val="100"/>
                <w:position w:val="0"/>
                <w:sz w:val="18"/>
                <w:szCs w:val="18"/>
              </w:rPr>
              <w:t>年</w:t>
            </w:r>
          </w:p>
        </w:tc>
      </w:tr>
      <w:tr>
        <w:trPr>
          <w:trHeight w:val="41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b/>
                <w:bCs/>
                <w:color w:val="000000"/>
                <w:spacing w:val="0"/>
                <w:w w:val="100"/>
                <w:position w:val="0"/>
                <w:sz w:val="18"/>
                <w:szCs w:val="18"/>
              </w:rPr>
              <w:t>调整前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调整后</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b/>
                <w:bCs/>
                <w:color w:val="000000"/>
                <w:spacing w:val="0"/>
                <w:w w:val="100"/>
                <w:position w:val="0"/>
                <w:sz w:val="18"/>
                <w:szCs w:val="18"/>
              </w:rPr>
              <w:t>调整后</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b/>
                <w:bCs/>
                <w:color w:val="000000"/>
                <w:spacing w:val="0"/>
                <w:w w:val="100"/>
                <w:position w:val="0"/>
                <w:sz w:val="18"/>
                <w:szCs w:val="18"/>
              </w:rPr>
              <w:t>调整前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b/>
                <w:bCs/>
                <w:color w:val="000000"/>
                <w:spacing w:val="0"/>
                <w:w w:val="100"/>
                <w:position w:val="0"/>
                <w:sz w:val="18"/>
                <w:szCs w:val="18"/>
              </w:rPr>
              <w:t>调整后</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2,205,985,257.07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1,669,714,290.97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1,669,714,290.97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1,211,742,177.72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1,211,742,177.72</w:t>
            </w:r>
          </w:p>
        </w:tc>
      </w:tr>
      <w:tr>
        <w:trPr>
          <w:trHeight w:val="64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归属于上市公司股 东的净利润（元）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-365,875,868.24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95,206,095.24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77,329,597.60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-544,272,818.63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-429,030,047.74</w:t>
            </w:r>
          </w:p>
        </w:tc>
      </w:tr>
      <w:tr>
        <w:trPr>
          <w:trHeight w:val="96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归属于上市公司股 东的扣除非经常性 损益的净利润（元）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-368,183,234.89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-114,340,458.63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68,348,846.11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-543,436,233.63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-428,193,462.74</w:t>
            </w:r>
          </w:p>
        </w:tc>
      </w:tr>
      <w:tr>
        <w:trPr>
          <w:trHeight w:val="64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经营活动产生的现 金流量净额（元）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4,290,382,487.67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2,421,798,497.37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2,421,798,497.37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1,671,452,980.25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1,671,452,980.25</w:t>
            </w:r>
          </w:p>
        </w:tc>
      </w:tr>
      <w:tr>
        <w:trPr>
          <w:trHeight w:val="64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基本每股收益（元</w:t>
            </w: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-0.1891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0.0492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0.0400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-0.2807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-0.2213</w:t>
            </w:r>
          </w:p>
        </w:tc>
      </w:tr>
      <w:tr>
        <w:trPr>
          <w:trHeight w:val="64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稀释每股收益（元</w:t>
            </w: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-0.1891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0.0492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0.0400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-0.2807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-0.2213</w:t>
            </w:r>
          </w:p>
        </w:tc>
      </w:tr>
      <w:tr>
        <w:trPr>
          <w:trHeight w:val="64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加权平均净资产收</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益率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-3.18%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0.83%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下降</w:t>
            </w:r>
            <w:r>
              <w:rPr>
                <w:rFonts w:ascii="Times New Roman" w:eastAsia="Times New Roman" w:hAnsi="Times New Roman" w:cs="Times New Roman"/>
                <w:color w:val="000000"/>
                <w:spacing w:val="0"/>
                <w:w w:val="100"/>
                <w:position w:val="0"/>
                <w:sz w:val="18"/>
                <w:szCs w:val="18"/>
              </w:rPr>
              <w:t>3.84</w:t>
            </w:r>
            <w:r>
              <w:rPr>
                <w:color w:val="000000"/>
                <w:spacing w:val="0"/>
                <w:w w:val="100"/>
                <w:position w:val="0"/>
                <w:sz w:val="18"/>
                <w:szCs w:val="18"/>
              </w:rPr>
              <w:t>个</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百分点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w:t>
            </w:r>
          </w:p>
        </w:tc>
      </w:tr>
      <w:tr>
        <w:trPr>
          <w:trHeight w:val="66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2020</w:t>
            </w:r>
            <w:r>
              <w:rPr>
                <w:b/>
                <w:bCs/>
                <w:color w:val="000000"/>
                <w:spacing w:val="0"/>
                <w:w w:val="100"/>
                <w:position w:val="0"/>
                <w:sz w:val="18"/>
                <w:szCs w:val="18"/>
              </w:rPr>
              <w:t>年末</w:t>
            </w:r>
          </w:p>
        </w:tc>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2019</w:t>
            </w:r>
            <w:r>
              <w:rPr>
                <w:b/>
                <w:bCs/>
                <w:color w:val="000000"/>
                <w:spacing w:val="0"/>
                <w:w w:val="100"/>
                <w:position w:val="0"/>
                <w:sz w:val="18"/>
                <w:szCs w:val="18"/>
              </w:rPr>
              <w:t>年末</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8"/>
                <w:szCs w:val="18"/>
              </w:rPr>
            </w:pPr>
            <w:r>
              <w:rPr>
                <w:b/>
                <w:bCs/>
                <w:color w:val="000000"/>
                <w:spacing w:val="0"/>
                <w:w w:val="100"/>
                <w:position w:val="0"/>
                <w:sz w:val="18"/>
                <w:szCs w:val="18"/>
              </w:rPr>
              <w:t>本年末比上 年末增减</w:t>
            </w:r>
          </w:p>
        </w:tc>
        <w:tc>
          <w:tcPr>
            <w:gridSpan w:val="2"/>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2018</w:t>
            </w:r>
            <w:r>
              <w:rPr>
                <w:b/>
                <w:bCs/>
                <w:color w:val="000000"/>
                <w:spacing w:val="0"/>
                <w:w w:val="100"/>
                <w:position w:val="0"/>
                <w:sz w:val="18"/>
                <w:szCs w:val="18"/>
              </w:rPr>
              <w:t>年末</w:t>
            </w:r>
          </w:p>
        </w:tc>
      </w:tr>
    </w:tbl>
    <w:p>
      <w:pPr>
        <w:widowControl w:val="0"/>
        <w:spacing w:line="1" w:lineRule="exact"/>
      </w:pPr>
    </w:p>
    <w:tbl>
      <w:tblPr>
        <w:tblOverlap w:val="never"/>
        <w:jc w:val="center"/>
        <w:tblLayout w:type="fixed"/>
      </w:tblPr>
      <w:tblGrid>
        <w:gridCol w:w="1752"/>
        <w:gridCol w:w="1565"/>
        <w:gridCol w:w="1570"/>
        <w:gridCol w:w="1565"/>
        <w:gridCol w:w="1176"/>
        <w:gridCol w:w="1565"/>
        <w:gridCol w:w="1738"/>
      </w:tblGrid>
      <w:tr>
        <w:trPr>
          <w:trHeight w:val="41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b/>
                <w:bCs/>
                <w:color w:val="000000"/>
                <w:spacing w:val="0"/>
                <w:w w:val="100"/>
                <w:position w:val="0"/>
                <w:sz w:val="18"/>
                <w:szCs w:val="18"/>
              </w:rPr>
              <w:t>（%）</w:t>
            </w:r>
          </w:p>
        </w:tc>
        <w:tc>
          <w:tcPr>
            <w:gridSpan w:val="2"/>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调整前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调整后</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b/>
                <w:bCs/>
                <w:color w:val="000000"/>
                <w:spacing w:val="0"/>
                <w:w w:val="100"/>
                <w:position w:val="0"/>
                <w:sz w:val="18"/>
                <w:szCs w:val="18"/>
              </w:rPr>
              <w:t>调整后</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调整前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调整后</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总资产（元）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31,319,119,533.76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33,730,601,085.13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33,878,436,618.75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-7.55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32,770,482,398.04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33,023,497,080.55</w:t>
            </w:r>
          </w:p>
        </w:tc>
      </w:tr>
      <w:tr>
        <w:trPr>
          <w:trHeight w:val="66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归属于上市公司股 东的净资产（元）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11,294,754,545.58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11,576,618,119.25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11,724,453,652.87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11,402,371,152.67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11,655,385,835.18</w:t>
            </w:r>
          </w:p>
        </w:tc>
      </w:tr>
    </w:tbl>
    <w:p>
      <w:pPr>
        <w:widowControl w:val="0"/>
        <w:spacing w:after="339" w:line="1" w:lineRule="exact"/>
      </w:pPr>
    </w:p>
    <w:p>
      <w:pPr>
        <w:pStyle w:val="Style16"/>
        <w:keepNext w:val="0"/>
        <w:keepLines w:val="0"/>
        <w:widowControl w:val="0"/>
        <w:shd w:val="clear" w:color="auto" w:fill="auto"/>
        <w:bidi w:val="0"/>
        <w:spacing w:before="0" w:after="0" w:line="322" w:lineRule="exact"/>
        <w:ind w:left="1080" w:right="0" w:firstLine="0"/>
        <w:jc w:val="left"/>
      </w:pPr>
      <w:r>
        <w:rPr>
          <w:color w:val="000000"/>
          <w:spacing w:val="0"/>
          <w:w w:val="100"/>
          <w:position w:val="0"/>
        </w:rPr>
        <w:t>会计差错更正的情况：</w:t>
      </w:r>
    </w:p>
    <w:p>
      <w:pPr>
        <w:pStyle w:val="Style16"/>
        <w:keepNext w:val="0"/>
        <w:keepLines w:val="0"/>
        <w:widowControl w:val="0"/>
        <w:shd w:val="clear" w:color="auto" w:fill="auto"/>
        <w:bidi w:val="0"/>
        <w:spacing w:before="0" w:after="0" w:line="322" w:lineRule="exact"/>
        <w:ind w:left="1080" w:right="0" w:firstLine="0"/>
        <w:jc w:val="left"/>
      </w:pPr>
      <w:r>
        <w:rPr>
          <w:color w:val="000000"/>
          <w:spacing w:val="0"/>
          <w:w w:val="100"/>
          <w:position w:val="0"/>
        </w:rPr>
        <w:t>详见“第十二节财务报告”财务报表附注十五、其他重要事项说明（一）前期会计差错更正。</w:t>
      </w:r>
    </w:p>
    <w:p>
      <w:pPr>
        <w:pStyle w:val="Style16"/>
        <w:keepNext w:val="0"/>
        <w:keepLines w:val="0"/>
        <w:widowControl w:val="0"/>
        <w:shd w:val="clear" w:color="auto" w:fill="auto"/>
        <w:tabs>
          <w:tab w:pos="9026" w:val="left"/>
        </w:tabs>
        <w:bidi w:val="0"/>
        <w:spacing w:before="0" w:after="0" w:line="322" w:lineRule="exact"/>
        <w:ind w:left="640" w:right="0" w:firstLine="440"/>
        <w:jc w:val="left"/>
      </w:pPr>
      <w:r>
        <w:rPr>
          <w:color w:val="000000"/>
          <w:spacing w:val="0"/>
          <w:w w:val="100"/>
          <w:position w:val="0"/>
        </w:rPr>
        <w:t>公司最近三个会计年度扣除非经常性损益前后净利润孰低值均为负值，且最近一年审计报告显示公司 持续经营能力存在不确定性</w:t>
        <w:tab/>
      </w:r>
      <w:r>
        <w:rPr>
          <w:color w:val="000000"/>
          <w:spacing w:val="0"/>
          <w:w w:val="100"/>
          <w:position w:val="0"/>
        </w:rPr>
        <w:t>口</w:t>
      </w:r>
      <w:r>
        <w:rPr>
          <w:color w:val="000000"/>
          <w:spacing w:val="0"/>
          <w:w w:val="100"/>
          <w:position w:val="0"/>
        </w:rPr>
        <w:t>是</w:t>
      </w:r>
      <w:r>
        <w:rPr>
          <w:rFonts w:ascii="Times New Roman" w:eastAsia="Times New Roman" w:hAnsi="Times New Roman" w:cs="Times New Roman"/>
          <w:b/>
          <w:bCs/>
          <w:color w:val="000000"/>
          <w:spacing w:val="0"/>
          <w:w w:val="100"/>
          <w:position w:val="0"/>
        </w:rPr>
        <w:t>7</w:t>
      </w:r>
      <w:r>
        <w:rPr>
          <w:color w:val="000000"/>
          <w:spacing w:val="0"/>
          <w:w w:val="100"/>
          <w:position w:val="0"/>
        </w:rPr>
        <w:t>否</w:t>
      </w:r>
    </w:p>
    <w:p>
      <w:pPr>
        <w:pStyle w:val="Style16"/>
        <w:keepNext w:val="0"/>
        <w:keepLines w:val="0"/>
        <w:widowControl w:val="0"/>
        <w:shd w:val="clear" w:color="auto" w:fill="auto"/>
        <w:tabs>
          <w:tab w:pos="9269" w:val="left"/>
        </w:tabs>
        <w:bidi w:val="0"/>
        <w:spacing w:before="0" w:after="60" w:line="322" w:lineRule="exact"/>
        <w:ind w:left="1080" w:right="0" w:firstLine="0"/>
        <w:jc w:val="left"/>
      </w:pPr>
      <w:r>
        <w:rPr>
          <w:color w:val="000000"/>
          <w:spacing w:val="0"/>
          <w:w w:val="100"/>
          <w:position w:val="0"/>
        </w:rPr>
        <w:t>扣除非经常损益前后的净利润孰低值为负值</w:t>
        <w:tab/>
      </w:r>
      <w:r>
        <w:rPr>
          <w:rFonts w:ascii="Times New Roman" w:eastAsia="Times New Roman" w:hAnsi="Times New Roman" w:cs="Times New Roman"/>
          <w:b/>
          <w:bCs/>
          <w:color w:val="000000"/>
          <w:spacing w:val="0"/>
          <w:w w:val="100"/>
          <w:position w:val="0"/>
        </w:rPr>
        <w:t>7</w:t>
      </w:r>
      <w:r>
        <w:rPr>
          <w:color w:val="000000"/>
          <w:spacing w:val="0"/>
          <w:w w:val="100"/>
          <w:position w:val="0"/>
        </w:rPr>
        <w:t>是</w:t>
      </w:r>
      <w:r>
        <w:rPr>
          <w:color w:val="000000"/>
          <w:spacing w:val="0"/>
          <w:w w:val="100"/>
          <w:position w:val="0"/>
        </w:rPr>
        <w:t>口</w:t>
      </w:r>
      <w:r>
        <w:rPr>
          <w:color w:val="000000"/>
          <w:spacing w:val="0"/>
          <w:w w:val="100"/>
          <w:position w:val="0"/>
        </w:rPr>
        <w:t>否</w:t>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8"/>
                <w:szCs w:val="18"/>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备注</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2,205,985,257.07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1,669,714,290.97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营业收入扣除金额（元）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464,035.99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1,350,575.65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营业收入扣除后金额（元）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2,205,521,221.08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1,668,363,715.32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9" w:line="1" w:lineRule="exact"/>
      </w:pPr>
    </w:p>
    <w:p>
      <w:pPr>
        <w:pStyle w:val="Style16"/>
        <w:keepNext w:val="0"/>
        <w:keepLines w:val="0"/>
        <w:widowControl w:val="0"/>
        <w:shd w:val="clear" w:color="auto" w:fill="auto"/>
        <w:bidi w:val="0"/>
        <w:spacing w:before="0" w:after="60" w:line="240" w:lineRule="auto"/>
        <w:ind w:left="0" w:right="0" w:firstLine="640"/>
        <w:jc w:val="left"/>
      </w:pPr>
      <w:r>
        <w:rPr>
          <w:color w:val="000000"/>
          <w:spacing w:val="0"/>
          <w:w w:val="100"/>
          <w:position w:val="0"/>
        </w:rPr>
        <w:t>截止披露前一交易日的公司总股本:</w:t>
      </w:r>
    </w:p>
    <w:tbl>
      <w:tblPr>
        <w:tblOverlap w:val="never"/>
        <w:jc w:val="center"/>
        <w:tblLayout w:type="fixed"/>
      </w:tblPr>
      <w:tblGrid>
        <w:gridCol w:w="4526"/>
        <w:gridCol w:w="5054"/>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截止披露前一交易日的公司总股本（股）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1,935,084,653</w:t>
            </w:r>
          </w:p>
        </w:tc>
      </w:tr>
    </w:tbl>
    <w:p>
      <w:pPr>
        <w:widowControl w:val="0"/>
        <w:spacing w:after="59" w:line="1" w:lineRule="exact"/>
      </w:pPr>
    </w:p>
    <w:p>
      <w:pPr>
        <w:pStyle w:val="Style16"/>
        <w:keepNext w:val="0"/>
        <w:keepLines w:val="0"/>
        <w:widowControl w:val="0"/>
        <w:shd w:val="clear" w:color="auto" w:fill="auto"/>
        <w:bidi w:val="0"/>
        <w:spacing w:before="0" w:after="60" w:line="240" w:lineRule="auto"/>
        <w:ind w:left="0" w:right="0" w:firstLine="640"/>
        <w:jc w:val="left"/>
      </w:pPr>
      <w:r>
        <w:rPr>
          <w:color w:val="000000"/>
          <w:spacing w:val="0"/>
          <w:w w:val="100"/>
          <w:position w:val="0"/>
        </w:rPr>
        <w:t>用最新股本计算的全面摊薄每股收益:</w:t>
      </w:r>
    </w:p>
    <w:tbl>
      <w:tblPr>
        <w:tblOverlap w:val="never"/>
        <w:jc w:val="center"/>
        <w:tblLayout w:type="fixed"/>
      </w:tblPr>
      <w:tblGrid>
        <w:gridCol w:w="4526"/>
        <w:gridCol w:w="505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支付的优先股股利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用最新股本计算的全面摊薄每股收益（元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-0.1891</w:t>
            </w:r>
          </w:p>
        </w:tc>
      </w:tr>
    </w:tbl>
    <w:p>
      <w:pPr>
        <w:widowControl w:val="0"/>
        <w:spacing w:after="299" w:line="1" w:lineRule="exact"/>
      </w:pPr>
    </w:p>
    <w:p>
      <w:pPr>
        <w:pStyle w:val="Style29"/>
        <w:keepNext/>
        <w:keepLines/>
        <w:widowControl w:val="0"/>
        <w:shd w:val="clear" w:color="auto" w:fill="auto"/>
        <w:bidi w:val="0"/>
        <w:spacing w:before="0" w:after="340" w:line="240" w:lineRule="auto"/>
        <w:ind w:left="0" w:right="0" w:firstLine="640"/>
        <w:jc w:val="left"/>
      </w:pPr>
      <w:bookmarkStart w:id="36" w:name="bookmark36"/>
      <w:bookmarkStart w:id="37" w:name="bookmark37"/>
      <w:bookmarkStart w:id="38" w:name="bookmark38"/>
      <w:bookmarkStart w:id="39" w:name="bookmark39"/>
      <w:r>
        <w:rPr>
          <w:color w:val="000000"/>
          <w:spacing w:val="0"/>
          <w:w w:val="100"/>
          <w:position w:val="0"/>
          <w:sz w:val="24"/>
          <w:szCs w:val="24"/>
        </w:rPr>
        <w:t>七</w:t>
      </w:r>
      <w:bookmarkEnd w:id="38"/>
      <w:r>
        <w:rPr>
          <w:color w:val="000000"/>
          <w:spacing w:val="0"/>
          <w:w w:val="100"/>
          <w:position w:val="0"/>
          <w:sz w:val="24"/>
          <w:szCs w:val="24"/>
        </w:rPr>
        <w:t>、境内外会计准则下会计数据差异</w:t>
      </w:r>
      <w:bookmarkEnd w:id="36"/>
      <w:bookmarkEnd w:id="37"/>
      <w:bookmarkEnd w:id="39"/>
    </w:p>
    <w:p>
      <w:pPr>
        <w:pStyle w:val="Style37"/>
        <w:keepNext/>
        <w:keepLines/>
        <w:widowControl w:val="0"/>
        <w:shd w:val="clear" w:color="auto" w:fill="auto"/>
        <w:bidi w:val="0"/>
        <w:spacing w:before="0" w:after="300" w:line="240" w:lineRule="auto"/>
        <w:ind w:left="0" w:right="0" w:firstLine="640"/>
        <w:jc w:val="left"/>
      </w:pPr>
      <w:bookmarkStart w:id="40" w:name="bookmark40"/>
      <w:bookmarkStart w:id="41" w:name="bookmark41"/>
      <w:bookmarkStart w:id="42" w:name="bookmark42"/>
      <w:bookmarkStart w:id="43" w:name="bookmark43"/>
      <w:r>
        <w:rPr>
          <w:rFonts w:ascii="Times New Roman" w:eastAsia="Times New Roman" w:hAnsi="Times New Roman" w:cs="Times New Roman"/>
          <w:color w:val="000000"/>
          <w:spacing w:val="0"/>
          <w:w w:val="100"/>
          <w:position w:val="0"/>
        </w:rPr>
        <w:t>1</w:t>
      </w:r>
      <w:bookmarkEnd w:id="42"/>
      <w:r>
        <w:rPr>
          <w:color w:val="000000"/>
          <w:spacing w:val="0"/>
          <w:w w:val="100"/>
          <w:position w:val="0"/>
        </w:rPr>
        <w:t>、同时按照国际会计准则与按照中国会计准则披露的财务报告中净利润和净资产差异情况</w:t>
      </w:r>
      <w:bookmarkEnd w:id="40"/>
      <w:bookmarkEnd w:id="41"/>
      <w:bookmarkEnd w:id="43"/>
    </w:p>
    <w:p>
      <w:pPr>
        <w:pStyle w:val="Style16"/>
        <w:keepNext w:val="0"/>
        <w:keepLines w:val="0"/>
        <w:widowControl w:val="0"/>
        <w:shd w:val="clear" w:color="auto" w:fill="auto"/>
        <w:bidi w:val="0"/>
        <w:spacing w:before="0" w:after="0" w:line="314" w:lineRule="exact"/>
        <w:ind w:left="0" w:right="0" w:firstLine="64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16"/>
        <w:keepNext w:val="0"/>
        <w:keepLines w:val="0"/>
        <w:widowControl w:val="0"/>
        <w:shd w:val="clear" w:color="auto" w:fill="auto"/>
        <w:bidi w:val="0"/>
        <w:spacing w:before="0" w:after="300" w:line="312" w:lineRule="exact"/>
        <w:ind w:left="640" w:right="0" w:firstLine="440"/>
        <w:jc w:val="left"/>
      </w:pPr>
      <w:r>
        <w:rPr>
          <w:color w:val="000000"/>
          <w:spacing w:val="0"/>
          <w:w w:val="100"/>
          <w:position w:val="0"/>
        </w:rPr>
        <w:t>公司报告期不存在按照国际会计准则与按照中国会计准则披露的财务报告中净利润和净资产差异情 况。</w:t>
      </w:r>
    </w:p>
    <w:p>
      <w:pPr>
        <w:pStyle w:val="Style37"/>
        <w:keepNext/>
        <w:keepLines/>
        <w:widowControl w:val="0"/>
        <w:shd w:val="clear" w:color="auto" w:fill="auto"/>
        <w:bidi w:val="0"/>
        <w:spacing w:before="0" w:after="300" w:line="314" w:lineRule="exact"/>
        <w:ind w:left="0" w:right="0" w:firstLine="640"/>
        <w:jc w:val="left"/>
      </w:pPr>
      <w:bookmarkStart w:id="44" w:name="bookmark44"/>
      <w:bookmarkStart w:id="45" w:name="bookmark45"/>
      <w:bookmarkStart w:id="46" w:name="bookmark46"/>
      <w:bookmarkStart w:id="47" w:name="bookmark47"/>
      <w:r>
        <w:rPr>
          <w:rFonts w:ascii="Times New Roman" w:eastAsia="Times New Roman" w:hAnsi="Times New Roman" w:cs="Times New Roman"/>
          <w:color w:val="000000"/>
          <w:spacing w:val="0"/>
          <w:w w:val="100"/>
          <w:position w:val="0"/>
        </w:rPr>
        <w:t>2</w:t>
      </w:r>
      <w:bookmarkEnd w:id="46"/>
      <w:r>
        <w:rPr>
          <w:color w:val="000000"/>
          <w:spacing w:val="0"/>
          <w:w w:val="100"/>
          <w:position w:val="0"/>
        </w:rPr>
        <w:t>、同时按照境外会计准则与按照中国会计准则披露的财务报告中净利润和净资产差异情况</w:t>
      </w:r>
      <w:bookmarkEnd w:id="44"/>
      <w:bookmarkEnd w:id="45"/>
      <w:bookmarkEnd w:id="47"/>
    </w:p>
    <w:p>
      <w:pPr>
        <w:pStyle w:val="Style16"/>
        <w:keepNext w:val="0"/>
        <w:keepLines w:val="0"/>
        <w:widowControl w:val="0"/>
        <w:shd w:val="clear" w:color="auto" w:fill="auto"/>
        <w:bidi w:val="0"/>
        <w:spacing w:before="0" w:after="0" w:line="314" w:lineRule="exact"/>
        <w:ind w:left="0" w:right="0" w:firstLine="64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p>
    <w:p>
      <w:pPr>
        <w:pStyle w:val="Style16"/>
        <w:keepNext w:val="0"/>
        <w:keepLines w:val="0"/>
        <w:widowControl w:val="0"/>
        <w:shd w:val="clear" w:color="auto" w:fill="auto"/>
        <w:bidi w:val="0"/>
        <w:spacing w:before="0" w:after="340" w:line="317" w:lineRule="exact"/>
        <w:ind w:left="640" w:right="0" w:firstLine="440"/>
        <w:jc w:val="left"/>
      </w:pPr>
      <w:r>
        <w:rPr>
          <w:color w:val="000000"/>
          <w:spacing w:val="0"/>
          <w:w w:val="100"/>
          <w:position w:val="0"/>
        </w:rPr>
        <w:t>公司报告期不存在按照境外会计准则与按照中国会计准则披露的财务报告中净利润和净资产差异情 况。</w:t>
      </w:r>
    </w:p>
    <w:p>
      <w:pPr>
        <w:pStyle w:val="Style29"/>
        <w:keepNext/>
        <w:keepLines/>
        <w:widowControl w:val="0"/>
        <w:shd w:val="clear" w:color="auto" w:fill="auto"/>
        <w:bidi w:val="0"/>
        <w:spacing w:before="0" w:line="240" w:lineRule="auto"/>
        <w:ind w:left="0" w:right="0" w:firstLine="640"/>
        <w:jc w:val="left"/>
      </w:pPr>
      <w:bookmarkStart w:id="48" w:name="bookmark48"/>
      <w:bookmarkStart w:id="49" w:name="bookmark49"/>
      <w:bookmarkStart w:id="50" w:name="bookmark50"/>
      <w:bookmarkStart w:id="51" w:name="bookmark51"/>
      <w:r>
        <w:rPr>
          <w:color w:val="000000"/>
          <w:spacing w:val="0"/>
          <w:w w:val="100"/>
          <w:position w:val="0"/>
          <w:sz w:val="24"/>
          <w:szCs w:val="24"/>
        </w:rPr>
        <w:t>八</w:t>
      </w:r>
      <w:bookmarkEnd w:id="50"/>
      <w:r>
        <w:rPr>
          <w:color w:val="000000"/>
          <w:spacing w:val="0"/>
          <w:w w:val="100"/>
          <w:position w:val="0"/>
          <w:sz w:val="24"/>
          <w:szCs w:val="24"/>
        </w:rPr>
        <w:t>、分季度主要财务指标</w:t>
      </w:r>
      <w:bookmarkEnd w:id="48"/>
      <w:bookmarkEnd w:id="49"/>
      <w:bookmarkEnd w:id="51"/>
    </w:p>
    <w:p>
      <w:pPr>
        <w:pStyle w:val="Style16"/>
        <w:keepNext w:val="0"/>
        <w:keepLines w:val="0"/>
        <w:widowControl w:val="0"/>
        <w:shd w:val="clear" w:color="auto" w:fill="auto"/>
        <w:bidi w:val="0"/>
        <w:spacing w:before="0" w:after="60" w:line="314" w:lineRule="exact"/>
        <w:ind w:left="0" w:right="820" w:firstLine="0"/>
        <w:jc w:val="right"/>
      </w:pPr>
      <w:r>
        <w:rPr>
          <w:color w:val="000000"/>
          <w:spacing w:val="0"/>
          <w:w w:val="100"/>
          <w:position w:val="0"/>
        </w:rPr>
        <w:t>单位：元</w:t>
      </w:r>
    </w:p>
    <w:tbl>
      <w:tblPr>
        <w:tblOverlap w:val="never"/>
        <w:jc w:val="center"/>
        <w:tblLayout w:type="fixed"/>
      </w:tblPr>
      <w:tblGrid>
        <w:gridCol w:w="2842"/>
        <w:gridCol w:w="1680"/>
        <w:gridCol w:w="1685"/>
        <w:gridCol w:w="1685"/>
        <w:gridCol w:w="1694"/>
      </w:tblGrid>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第一季度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第二季度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第三季度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第四季度</w:t>
            </w:r>
          </w:p>
        </w:tc>
      </w:tr>
    </w:tbl>
    <w:p>
      <w:pPr>
        <w:widowControl w:val="0"/>
        <w:spacing w:line="1" w:lineRule="exact"/>
      </w:pPr>
      <w:r>
        <w:br w:type="page"/>
      </w:r>
    </w:p>
    <w:tbl>
      <w:tblPr>
        <w:tblOverlap w:val="never"/>
        <w:jc w:val="center"/>
        <w:tblLayout w:type="fixed"/>
      </w:tblPr>
      <w:tblGrid>
        <w:gridCol w:w="2842"/>
        <w:gridCol w:w="1680"/>
        <w:gridCol w:w="1685"/>
        <w:gridCol w:w="1685"/>
        <w:gridCol w:w="1694"/>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540,239,241.81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512,957,513.73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629,357,571.59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523,430,929.94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-123,215,168.70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-9,300,459.12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52,591,528.17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-285,951,768.59</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 经常性损益的净利润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-121,011,453.96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-13,448,090.98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52,690,794.83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-286,414,484.78</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2,734,919,422.30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272,264,368.10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792,175,136.40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491,023,560.87</w:t>
            </w:r>
          </w:p>
        </w:tc>
      </w:tr>
    </w:tbl>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上述财务指标或其加总数是否与公司已披露季度报告、半年度报告相关财务指标存在重大差异</w:t>
      </w:r>
      <w:r>
        <w:rPr>
          <w:color w:val="000000"/>
          <w:spacing w:val="0"/>
          <w:w w:val="100"/>
          <w:position w:val="0"/>
        </w:rPr>
        <w:t>口</w:t>
      </w:r>
      <w:r>
        <w:rPr>
          <w:color w:val="000000"/>
          <w:spacing w:val="0"/>
          <w:w w:val="100"/>
          <w:position w:val="0"/>
        </w:rPr>
        <w:t>是</w:t>
      </w:r>
      <w:r>
        <w:rPr>
          <w:color w:val="000000"/>
          <w:spacing w:val="0"/>
          <w:w w:val="100"/>
          <w:position w:val="0"/>
        </w:rPr>
        <w:t>寸</w:t>
      </w:r>
      <w:r>
        <w:rPr>
          <w:color w:val="000000"/>
          <w:spacing w:val="0"/>
          <w:w w:val="100"/>
          <w:position w:val="0"/>
        </w:rPr>
        <w:t>否</w:t>
      </w:r>
    </w:p>
    <w:p>
      <w:pPr>
        <w:widowControl w:val="0"/>
        <w:spacing w:after="319" w:line="1" w:lineRule="exact"/>
      </w:pPr>
    </w:p>
    <w:p>
      <w:pPr>
        <w:pStyle w:val="Style16"/>
        <w:keepNext w:val="0"/>
        <w:keepLines w:val="0"/>
        <w:widowControl w:val="0"/>
        <w:shd w:val="clear" w:color="auto" w:fill="auto"/>
        <w:tabs>
          <w:tab w:pos="8026" w:val="left"/>
        </w:tabs>
        <w:bidi w:val="0"/>
        <w:spacing w:before="0" w:after="360" w:line="240" w:lineRule="auto"/>
        <w:ind w:left="0" w:right="0" w:firstLine="0"/>
        <w:jc w:val="center"/>
      </w:pPr>
      <w:bookmarkStart w:id="52" w:name="bookmark52"/>
      <w:r>
        <w:rPr>
          <w:b/>
          <w:bCs/>
          <w:color w:val="000000"/>
          <w:spacing w:val="0"/>
          <w:w w:val="100"/>
          <w:position w:val="0"/>
          <w:sz w:val="24"/>
          <w:szCs w:val="24"/>
        </w:rPr>
        <w:t>九、非经常性损益项目及金额</w:t>
        <w:tab/>
      </w: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bookmarkEnd w:id="52"/>
    </w:p>
    <w:p>
      <w:pPr>
        <w:pStyle w:val="Style40"/>
        <w:keepNext w:val="0"/>
        <w:keepLines w:val="0"/>
        <w:widowControl w:val="0"/>
        <w:shd w:val="clear" w:color="auto" w:fill="auto"/>
        <w:bidi w:val="0"/>
        <w:spacing w:before="0" w:after="0" w:line="240" w:lineRule="auto"/>
        <w:ind w:left="8582" w:right="0" w:firstLine="0"/>
        <w:jc w:val="left"/>
      </w:pPr>
      <w:r>
        <w:rPr>
          <w:color w:val="000000"/>
          <w:spacing w:val="0"/>
          <w:w w:val="100"/>
          <w:position w:val="0"/>
        </w:rPr>
        <w:t>单位：元</w:t>
      </w:r>
    </w:p>
    <w:tbl>
      <w:tblPr>
        <w:tblOverlap w:val="never"/>
        <w:jc w:val="center"/>
        <w:tblLayout w:type="fixed"/>
      </w:tblPr>
      <w:tblGrid>
        <w:gridCol w:w="4507"/>
        <w:gridCol w:w="1560"/>
        <w:gridCol w:w="1416"/>
        <w:gridCol w:w="1421"/>
        <w:gridCol w:w="677"/>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2020</w:t>
            </w:r>
            <w:r>
              <w:rPr>
                <w:color w:val="000000"/>
                <w:spacing w:val="0"/>
                <w:w w:val="100"/>
                <w:position w:val="0"/>
              </w:rPr>
              <w:t>年金额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2019</w:t>
            </w:r>
            <w:r>
              <w:rPr>
                <w:color w:val="000000"/>
                <w:spacing w:val="0"/>
                <w:w w:val="100"/>
                <w:position w:val="0"/>
              </w:rPr>
              <w:t>年金额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40" w:firstLine="0"/>
              <w:jc w:val="right"/>
            </w:pPr>
            <w:r>
              <w:rPr>
                <w:rFonts w:ascii="Times New Roman" w:eastAsia="Times New Roman" w:hAnsi="Times New Roman" w:cs="Times New Roman"/>
                <w:color w:val="000000"/>
                <w:spacing w:val="0"/>
                <w:w w:val="100"/>
                <w:position w:val="0"/>
              </w:rPr>
              <w:t>2018</w:t>
            </w:r>
            <w:r>
              <w:rPr>
                <w:color w:val="000000"/>
                <w:spacing w:val="0"/>
                <w:w w:val="100"/>
                <w:position w:val="0"/>
              </w:rPr>
              <w:t>年金额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说明</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非流动资产处置损益（包括己计提资产减值准备 的冲销部分）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-2,725,350.48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-335,122.18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-739,066.28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越权审批或无正式批准文件的税收返还、减免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计入当期损益的政府补助（与企业业务密切相关, 按照国家统一标准定额或定量享受的政府补助除 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14,085,508.28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14,182,174.69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4,207,083.96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计入当期损益的对非金融企业收取的资金占用费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企业取得子公司、联营企业及合营企业的投资成 本小于取得投资时应享有被投资单位可辨认净资 产公允价值产生的收益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非货币性资产交换损益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因不可抗力因素，如遭受自然灾害而计提的各项 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债务重组损益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企业重组费用，如安置职工的支出、整合费用等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交易价格显失公允的交易产生的超过公允价值部 分的损益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同一控制下企业合并产生的子公司期初至合并日 的当期净损益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与公司正常经营业务无关的或有事项产生的损益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除同公司正常经营业务相关的有效套期保值业务 外，持有交易性金融资产、衍生金融资产、交易 性金融负债、衍生金融负债产生的公允价值变动 损益，以及处置交易性金融资产、衍生金融资产、 交易性金融负债、衍生金融负债和其他债权投资 取得的投资收益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2,924.54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-10,686.94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1,939,499.97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4507"/>
        <w:gridCol w:w="1560"/>
        <w:gridCol w:w="1416"/>
        <w:gridCol w:w="1421"/>
        <w:gridCol w:w="677"/>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单独进行减值测试的应收款项、合同资产减值准 备转回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对外委托贷款取得的损益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采用公允价值模式进行后续计量的投资性房地产 公允价值变动产生的损益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根据税收、会计等法律、法规的要求对当期损益 进行一次性调整对当期损益的影响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受托经营取得的托管费收入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-13,778,934.58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-7,231,445.56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-5,957,242.75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3,612,605.28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6,310,184.46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-1,217,130.45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3,936,982.14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289,713.93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106,516.84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-2,629.16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-2,854.03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2,307,366.65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8,980,751.49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-836,585.00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39" w:line="1" w:lineRule="exact"/>
      </w:pPr>
    </w:p>
    <w:p>
      <w:pPr>
        <w:pStyle w:val="Style16"/>
        <w:keepNext w:val="0"/>
        <w:keepLines w:val="0"/>
        <w:widowControl w:val="0"/>
        <w:shd w:val="clear" w:color="auto" w:fill="auto"/>
        <w:bidi w:val="0"/>
        <w:spacing w:before="0" w:after="0" w:line="319" w:lineRule="exact"/>
        <w:ind w:left="64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号一非经常性损益》定义界定的非经常性损 益项目，以及把《公开发行证券的公司信息披露解释性公告第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 xml:space="preserve">号一非经常性损益》中列举的非经常性 损益项目界定为经常性损益的项目，应说明原因 </w:t>
      </w: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6"/>
        <w:keepNext w:val="0"/>
        <w:keepLines w:val="0"/>
        <w:widowControl w:val="0"/>
        <w:shd w:val="clear" w:color="auto" w:fill="auto"/>
        <w:bidi w:val="0"/>
        <w:spacing w:before="0" w:after="3000" w:line="310" w:lineRule="exact"/>
        <w:ind w:left="640" w:right="0" w:firstLine="440"/>
        <w:jc w:val="both"/>
      </w:pPr>
      <w:r>
        <w:rPr>
          <w:color w:val="000000"/>
          <w:spacing w:val="0"/>
          <w:w w:val="100"/>
          <w:position w:val="0"/>
        </w:rPr>
        <w:t>出于闲置资金管理需要，母公司存在委托银行、信托机构管理资产而实现的收益。母公司作为集团筹 融资平台对集团内资金进行统筹管理，现金管理是其正常经营工作，且该行为具有持续性而非偶发性。基 于上述，公司将该行为产生的收益合计</w:t>
      </w:r>
      <w:r>
        <w:rPr>
          <w:rFonts w:ascii="Times New Roman" w:eastAsia="Times New Roman" w:hAnsi="Times New Roman" w:cs="Times New Roman"/>
          <w:color w:val="000000"/>
          <w:spacing w:val="0"/>
          <w:w w:val="100"/>
          <w:position w:val="0"/>
        </w:rPr>
        <w:t>-6,232.82</w:t>
      </w:r>
      <w:r>
        <w:rPr>
          <w:color w:val="000000"/>
          <w:spacing w:val="0"/>
          <w:w w:val="100"/>
          <w:position w:val="0"/>
        </w:rPr>
        <w:t>万元确认为经常性损益。</w:t>
      </w:r>
    </w:p>
    <w:p>
      <w:pPr>
        <w:pStyle w:val="Style14"/>
        <w:keepNext/>
        <w:keepLines/>
        <w:widowControl w:val="0"/>
        <w:shd w:val="clear" w:color="auto" w:fill="auto"/>
        <w:bidi w:val="0"/>
        <w:spacing w:before="0" w:after="540" w:line="240" w:lineRule="auto"/>
        <w:ind w:left="0" w:right="0" w:firstLine="0"/>
        <w:jc w:val="center"/>
      </w:pPr>
      <w:bookmarkStart w:id="53" w:name="bookmark53"/>
      <w:bookmarkStart w:id="54" w:name="bookmark54"/>
      <w:bookmarkStart w:id="55" w:name="bookmark55"/>
      <w:r>
        <w:rPr>
          <w:color w:val="000000"/>
          <w:spacing w:val="0"/>
          <w:w w:val="100"/>
          <w:position w:val="0"/>
        </w:rPr>
        <w:t>第三节集团业务概要</w:t>
      </w:r>
      <w:bookmarkEnd w:id="53"/>
      <w:bookmarkEnd w:id="54"/>
      <w:bookmarkEnd w:id="55"/>
    </w:p>
    <w:p>
      <w:pPr>
        <w:pStyle w:val="Style29"/>
        <w:keepNext/>
        <w:keepLines/>
        <w:widowControl w:val="0"/>
        <w:shd w:val="clear" w:color="auto" w:fill="auto"/>
        <w:bidi w:val="0"/>
        <w:spacing w:before="0" w:after="280" w:line="240" w:lineRule="auto"/>
        <w:ind w:left="0" w:right="0" w:firstLine="640"/>
        <w:jc w:val="both"/>
      </w:pPr>
      <w:bookmarkStart w:id="56" w:name="bookmark56"/>
      <w:bookmarkStart w:id="57" w:name="bookmark57"/>
      <w:bookmarkStart w:id="58" w:name="bookmark58"/>
      <w:bookmarkStart w:id="59" w:name="bookmark59"/>
      <w:bookmarkStart w:id="60" w:name="bookmark60"/>
      <w:r>
        <w:rPr>
          <w:color w:val="000000"/>
          <w:spacing w:val="0"/>
          <w:w w:val="100"/>
          <w:position w:val="0"/>
          <w:sz w:val="24"/>
          <w:szCs w:val="24"/>
        </w:rPr>
        <w:t>一</w:t>
      </w:r>
      <w:bookmarkEnd w:id="59"/>
      <w:r>
        <w:rPr>
          <w:color w:val="000000"/>
          <w:spacing w:val="0"/>
          <w:w w:val="100"/>
          <w:position w:val="0"/>
          <w:sz w:val="24"/>
          <w:szCs w:val="24"/>
        </w:rPr>
        <w:t>、报告期集团从事的主要业务</w:t>
      </w:r>
      <w:bookmarkEnd w:id="57"/>
      <w:bookmarkEnd w:id="58"/>
      <w:bookmarkEnd w:id="60"/>
      <w:bookmarkEnd w:id="56"/>
    </w:p>
    <w:p>
      <w:pPr>
        <w:pStyle w:val="Style16"/>
        <w:keepNext w:val="0"/>
        <w:keepLines w:val="0"/>
        <w:widowControl w:val="0"/>
        <w:shd w:val="clear" w:color="auto" w:fill="auto"/>
        <w:bidi w:val="0"/>
        <w:spacing w:before="0" w:after="280" w:line="322" w:lineRule="exact"/>
        <w:ind w:left="64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年，本集团在</w:t>
      </w:r>
      <w:r>
        <w:rPr>
          <w:rFonts w:ascii="Times New Roman" w:eastAsia="Times New Roman" w:hAnsi="Times New Roman" w:cs="Times New Roman"/>
          <w:color w:val="000000"/>
          <w:spacing w:val="0"/>
          <w:w w:val="100"/>
          <w:position w:val="0"/>
        </w:rPr>
        <w:t>“</w:t>
      </w:r>
      <w:r>
        <w:rPr>
          <w:color w:val="000000"/>
          <w:spacing w:val="0"/>
          <w:w w:val="100"/>
          <w:position w:val="0"/>
        </w:rPr>
        <w:t>证券为核心，投资为纽带，科技为支撑</w:t>
      </w:r>
      <w:r>
        <w:rPr>
          <w:color w:val="000000"/>
          <w:spacing w:val="0"/>
          <w:w w:val="100"/>
          <w:position w:val="0"/>
        </w:rPr>
        <w:t>''</w:t>
      </w:r>
      <w:r>
        <w:rPr>
          <w:color w:val="000000"/>
          <w:spacing w:val="0"/>
          <w:w w:val="100"/>
          <w:position w:val="0"/>
        </w:rPr>
        <w:t>的业务布局基础上，贯彻落实“稳定经营， 防范风险”的工作方针，夯实主营业务，优化公司架构，升级合规风控体系，保障公司整体稳定运营。</w:t>
      </w:r>
    </w:p>
    <w:p>
      <w:pPr>
        <w:pStyle w:val="Style16"/>
        <w:keepNext w:val="0"/>
        <w:keepLines w:val="0"/>
        <w:widowControl w:val="0"/>
        <w:shd w:val="clear" w:color="auto" w:fill="auto"/>
        <w:bidi w:val="0"/>
        <w:spacing w:before="0" w:after="80" w:line="312" w:lineRule="exact"/>
        <w:ind w:left="1080" w:right="0" w:firstLine="0"/>
        <w:jc w:val="both"/>
      </w:pPr>
      <w:bookmarkStart w:id="61" w:name="bookmark61"/>
      <w:r>
        <w:rPr>
          <w:color w:val="000000"/>
          <w:spacing w:val="0"/>
          <w:w w:val="100"/>
          <w:position w:val="0"/>
        </w:rPr>
        <w:t>（</w:t>
      </w:r>
      <w:bookmarkEnd w:id="61"/>
      <w:r>
        <w:rPr>
          <w:color w:val="000000"/>
          <w:spacing w:val="0"/>
          <w:w w:val="100"/>
          <w:position w:val="0"/>
        </w:rPr>
        <w:t>一）证券业务</w:t>
      </w:r>
    </w:p>
    <w:p>
      <w:pPr>
        <w:pStyle w:val="Style16"/>
        <w:keepNext w:val="0"/>
        <w:keepLines w:val="0"/>
        <w:widowControl w:val="0"/>
        <w:shd w:val="clear" w:color="auto" w:fill="auto"/>
        <w:bidi w:val="0"/>
        <w:spacing w:before="0" w:after="0"/>
        <w:ind w:left="1080" w:right="0" w:firstLine="0"/>
        <w:jc w:val="both"/>
      </w:pPr>
      <w:bookmarkStart w:id="62" w:name="bookmark62"/>
      <w:r>
        <w:rPr>
          <w:rFonts w:ascii="Times New Roman" w:eastAsia="Times New Roman" w:hAnsi="Times New Roman" w:cs="Times New Roman"/>
          <w:color w:val="000000"/>
          <w:spacing w:val="0"/>
          <w:w w:val="100"/>
          <w:position w:val="0"/>
        </w:rPr>
        <w:t>1</w:t>
      </w:r>
      <w:bookmarkEnd w:id="62"/>
      <w:r>
        <w:rPr>
          <w:color w:val="000000"/>
          <w:spacing w:val="0"/>
          <w:w w:val="100"/>
          <w:position w:val="0"/>
        </w:rPr>
        <w:t>、业务类型及经营模式</w:t>
      </w:r>
    </w:p>
    <w:p>
      <w:pPr>
        <w:pStyle w:val="Style16"/>
        <w:keepNext w:val="0"/>
        <w:keepLines w:val="0"/>
        <w:widowControl w:val="0"/>
        <w:shd w:val="clear" w:color="auto" w:fill="auto"/>
        <w:bidi w:val="0"/>
        <w:spacing w:before="0" w:after="320" w:line="312" w:lineRule="exact"/>
        <w:ind w:left="640" w:right="0" w:firstLine="440"/>
        <w:jc w:val="both"/>
      </w:pPr>
      <w:r>
        <w:rPr>
          <w:color w:val="000000"/>
          <w:spacing w:val="0"/>
          <w:w w:val="100"/>
          <w:position w:val="0"/>
        </w:rPr>
        <w:t>本集团证券业务运营实体为全资子公司国盛证券及其下属企业国盛期货、国盛资管、国盛弘远。本集 团证券业务类型涉及经纪与财富管理、投资银行、投资与交易、资产管理、资本中介等，其中：</w:t>
      </w:r>
    </w:p>
    <w:p>
      <w:pPr>
        <w:pStyle w:val="Style16"/>
        <w:keepNext w:val="0"/>
        <w:keepLines w:val="0"/>
        <w:widowControl w:val="0"/>
        <w:shd w:val="clear" w:color="auto" w:fill="auto"/>
        <w:tabs>
          <w:tab w:pos="1572" w:val="left"/>
        </w:tabs>
        <w:bidi w:val="0"/>
        <w:spacing w:before="0" w:after="0" w:line="314" w:lineRule="exact"/>
        <w:ind w:left="640" w:right="0" w:firstLine="420"/>
        <w:jc w:val="both"/>
      </w:pPr>
      <w:bookmarkStart w:id="63" w:name="bookmark63"/>
      <w:r>
        <w:rPr>
          <w:color w:val="000000"/>
          <w:spacing w:val="0"/>
          <w:w w:val="100"/>
          <w:position w:val="0"/>
        </w:rPr>
        <w:t>（</w:t>
      </w:r>
      <w:bookmarkEnd w:id="63"/>
      <w:r>
        <w:rPr>
          <w:rFonts w:ascii="Times New Roman" w:eastAsia="Times New Roman" w:hAnsi="Times New Roman" w:cs="Times New Roman"/>
          <w:color w:val="000000"/>
          <w:spacing w:val="0"/>
          <w:w w:val="100"/>
          <w:position w:val="0"/>
        </w:rPr>
        <w:t>1</w:t>
      </w:r>
      <w:r>
        <w:rPr>
          <w:color w:val="000000"/>
          <w:spacing w:val="0"/>
          <w:w w:val="100"/>
          <w:position w:val="0"/>
        </w:rPr>
        <w:t>）</w:t>
        <w:tab/>
        <w:t>经纪及财富管理业务，为个人和机构客户提供证券经纪和期货经纪服务，推广和销售证券及金融 产品，提供专业化研究和咨询等服务，赚取手续费、佣金及相关收入。</w:t>
      </w:r>
    </w:p>
    <w:p>
      <w:pPr>
        <w:pStyle w:val="Style16"/>
        <w:keepNext w:val="0"/>
        <w:keepLines w:val="0"/>
        <w:widowControl w:val="0"/>
        <w:shd w:val="clear" w:color="auto" w:fill="auto"/>
        <w:tabs>
          <w:tab w:pos="1572" w:val="left"/>
        </w:tabs>
        <w:bidi w:val="0"/>
        <w:spacing w:before="0" w:after="0" w:line="314" w:lineRule="exact"/>
        <w:ind w:left="640" w:right="0" w:firstLine="420"/>
        <w:jc w:val="both"/>
      </w:pPr>
      <w:bookmarkStart w:id="64" w:name="bookmark64"/>
      <w:r>
        <w:rPr>
          <w:color w:val="000000"/>
          <w:spacing w:val="0"/>
          <w:w w:val="100"/>
          <w:position w:val="0"/>
        </w:rPr>
        <w:t>（</w:t>
      </w:r>
      <w:bookmarkEnd w:id="64"/>
      <w:r>
        <w:rPr>
          <w:rFonts w:ascii="Times New Roman" w:eastAsia="Times New Roman" w:hAnsi="Times New Roman" w:cs="Times New Roman"/>
          <w:color w:val="000000"/>
          <w:spacing w:val="0"/>
          <w:w w:val="100"/>
          <w:position w:val="0"/>
        </w:rPr>
        <w:t>2</w:t>
      </w:r>
      <w:r>
        <w:rPr>
          <w:color w:val="000000"/>
          <w:spacing w:val="0"/>
          <w:w w:val="100"/>
          <w:position w:val="0"/>
        </w:rPr>
        <w:t>）</w:t>
        <w:tab/>
        <w:t>投资银行业务，为机构客户提供包括股票承销保荐、债券承销、并购重组财务顾问、新三板推荐 等金融服务，赚取承销费、保荐费、财务顾问费及相关收入。</w:t>
      </w:r>
    </w:p>
    <w:p>
      <w:pPr>
        <w:pStyle w:val="Style16"/>
        <w:keepNext w:val="0"/>
        <w:keepLines w:val="0"/>
        <w:widowControl w:val="0"/>
        <w:shd w:val="clear" w:color="auto" w:fill="auto"/>
        <w:tabs>
          <w:tab w:pos="1572" w:val="left"/>
        </w:tabs>
        <w:bidi w:val="0"/>
        <w:spacing w:before="0" w:after="0" w:line="314" w:lineRule="exact"/>
        <w:ind w:left="640" w:right="0" w:firstLine="420"/>
        <w:jc w:val="both"/>
      </w:pPr>
      <w:bookmarkStart w:id="65" w:name="bookmark65"/>
      <w:r>
        <w:rPr>
          <w:color w:val="000000"/>
          <w:spacing w:val="0"/>
          <w:w w:val="100"/>
          <w:position w:val="0"/>
        </w:rPr>
        <w:t>（</w:t>
      </w:r>
      <w:bookmarkEnd w:id="65"/>
      <w:r>
        <w:rPr>
          <w:rFonts w:ascii="Times New Roman" w:eastAsia="Times New Roman" w:hAnsi="Times New Roman" w:cs="Times New Roman"/>
          <w:color w:val="000000"/>
          <w:spacing w:val="0"/>
          <w:w w:val="100"/>
          <w:position w:val="0"/>
        </w:rPr>
        <w:t>3</w:t>
      </w:r>
      <w:r>
        <w:rPr>
          <w:color w:val="000000"/>
          <w:spacing w:val="0"/>
          <w:w w:val="100"/>
          <w:position w:val="0"/>
        </w:rPr>
        <w:t>）</w:t>
        <w:tab/>
        <w:t>投资与交易业务，从事权益类、固定收益类、直接投资类、衍生类产品及其他金融产品的交易和 做市业务，赚取投资收益。</w:t>
      </w:r>
    </w:p>
    <w:p>
      <w:pPr>
        <w:pStyle w:val="Style16"/>
        <w:keepNext w:val="0"/>
        <w:keepLines w:val="0"/>
        <w:widowControl w:val="0"/>
        <w:shd w:val="clear" w:color="auto" w:fill="auto"/>
        <w:tabs>
          <w:tab w:pos="1563" w:val="left"/>
        </w:tabs>
        <w:bidi w:val="0"/>
        <w:spacing w:before="0" w:after="0" w:line="314" w:lineRule="exact"/>
        <w:ind w:left="640" w:right="0" w:firstLine="420"/>
        <w:jc w:val="both"/>
      </w:pPr>
      <w:bookmarkStart w:id="66" w:name="bookmark66"/>
      <w:r>
        <w:rPr>
          <w:color w:val="000000"/>
          <w:spacing w:val="0"/>
          <w:w w:val="100"/>
          <w:position w:val="0"/>
        </w:rPr>
        <w:t>（</w:t>
      </w:r>
      <w:bookmarkEnd w:id="66"/>
      <w:r>
        <w:rPr>
          <w:rFonts w:ascii="Times New Roman" w:eastAsia="Times New Roman" w:hAnsi="Times New Roman" w:cs="Times New Roman"/>
          <w:color w:val="000000"/>
          <w:spacing w:val="0"/>
          <w:w w:val="100"/>
          <w:position w:val="0"/>
        </w:rPr>
        <w:t>4</w:t>
      </w:r>
      <w:r>
        <w:rPr>
          <w:color w:val="000000"/>
          <w:spacing w:val="0"/>
          <w:w w:val="100"/>
          <w:position w:val="0"/>
        </w:rPr>
        <w:t>）</w:t>
        <w:tab/>
        <w:t>资产管理业务，根据客户需求开发资产管理产品并提供相关服务，包括单一资产管理计划、集合 资产管理计划、资产支持专项计划及基于资产管理业务牌照的延伸为资产管理产品（非公开发行）提供投 资顾问业务等，赚取管理费、业绩报酬及相关收入。</w:t>
      </w:r>
    </w:p>
    <w:p>
      <w:pPr>
        <w:pStyle w:val="Style16"/>
        <w:keepNext w:val="0"/>
        <w:keepLines w:val="0"/>
        <w:widowControl w:val="0"/>
        <w:shd w:val="clear" w:color="auto" w:fill="auto"/>
        <w:bidi w:val="0"/>
        <w:spacing w:before="0" w:after="0" w:line="314" w:lineRule="exact"/>
        <w:ind w:left="640" w:right="0" w:firstLine="420"/>
        <w:jc w:val="both"/>
      </w:pPr>
      <w:bookmarkStart w:id="67" w:name="bookmark67"/>
      <w:r>
        <w:rPr>
          <w:color w:val="000000"/>
          <w:spacing w:val="0"/>
          <w:w w:val="100"/>
          <w:position w:val="0"/>
        </w:rPr>
        <w:t>（</w:t>
      </w:r>
      <w:bookmarkEnd w:id="67"/>
      <w:r>
        <w:rPr>
          <w:rFonts w:ascii="Times New Roman" w:eastAsia="Times New Roman" w:hAnsi="Times New Roman" w:cs="Times New Roman"/>
          <w:color w:val="000000"/>
          <w:spacing w:val="0"/>
          <w:w w:val="100"/>
          <w:position w:val="0"/>
        </w:rPr>
        <w:t>5</w:t>
      </w:r>
      <w:r>
        <w:rPr>
          <w:color w:val="000000"/>
          <w:spacing w:val="0"/>
          <w:w w:val="100"/>
          <w:position w:val="0"/>
        </w:rPr>
        <w:t>）资本中介业务，为客户提供融资融券、股票质押式回购、约定购回、行权融资等资本中介服务， 赚取利息及相关收入。</w:t>
      </w:r>
    </w:p>
    <w:p>
      <w:pPr>
        <w:pStyle w:val="Style16"/>
        <w:keepNext w:val="0"/>
        <w:keepLines w:val="0"/>
        <w:widowControl w:val="0"/>
        <w:shd w:val="clear" w:color="auto" w:fill="auto"/>
        <w:bidi w:val="0"/>
        <w:spacing w:before="0" w:after="0" w:line="314" w:lineRule="exact"/>
        <w:ind w:left="1020" w:right="0" w:firstLine="0"/>
        <w:jc w:val="both"/>
      </w:pPr>
      <w:r>
        <w:rPr>
          <w:color w:val="000000"/>
          <w:spacing w:val="0"/>
          <w:w w:val="100"/>
          <w:position w:val="0"/>
        </w:rPr>
        <w:t>报告期，本集团证券业务的业务类型和经营模式没有发生重大变化。</w:t>
      </w:r>
    </w:p>
    <w:p>
      <w:pPr>
        <w:pStyle w:val="Style16"/>
        <w:keepNext w:val="0"/>
        <w:keepLines w:val="0"/>
        <w:widowControl w:val="0"/>
        <w:shd w:val="clear" w:color="auto" w:fill="auto"/>
        <w:bidi w:val="0"/>
        <w:spacing w:before="0" w:after="0" w:line="314" w:lineRule="exact"/>
        <w:ind w:left="1020" w:right="0" w:firstLine="0"/>
        <w:jc w:val="both"/>
      </w:pPr>
      <w:bookmarkStart w:id="68" w:name="bookmark68"/>
      <w:r>
        <w:rPr>
          <w:rFonts w:ascii="Times New Roman" w:eastAsia="Times New Roman" w:hAnsi="Times New Roman" w:cs="Times New Roman"/>
          <w:color w:val="000000"/>
          <w:spacing w:val="0"/>
          <w:w w:val="100"/>
          <w:position w:val="0"/>
        </w:rPr>
        <w:t>2</w:t>
      </w:r>
      <w:bookmarkEnd w:id="68"/>
      <w:r>
        <w:rPr>
          <w:color w:val="000000"/>
          <w:spacing w:val="0"/>
          <w:w w:val="100"/>
          <w:position w:val="0"/>
        </w:rPr>
        <w:t>、行业发展情况及本集团所处行业地位</w:t>
      </w:r>
    </w:p>
    <w:p>
      <w:pPr>
        <w:pStyle w:val="Style16"/>
        <w:keepNext w:val="0"/>
        <w:keepLines w:val="0"/>
        <w:widowControl w:val="0"/>
        <w:shd w:val="clear" w:color="auto" w:fill="auto"/>
        <w:bidi w:val="0"/>
        <w:spacing w:before="0" w:after="0" w:line="314" w:lineRule="exact"/>
        <w:ind w:left="640" w:right="0" w:firstLine="420"/>
        <w:jc w:val="both"/>
      </w:pPr>
      <w:r>
        <w:rPr>
          <w:color w:val="000000"/>
          <w:spacing w:val="0"/>
          <w:w w:val="100"/>
          <w:position w:val="0"/>
        </w:rPr>
        <w:t>我国证券公司的盈利状况与证券市场行情走势相关性较强，证券公司的证券经纪、投资银行、自营投 资和资产管理等主要业务均受市场行情影响。而我国证券市场行情又受到国民经济发展状况、财政政策、 货币政策、行业发展状况以及国际证券市场行情等诸多因素影响，具有典型的波动性、周期性特征。</w:t>
      </w:r>
    </w:p>
    <w:p>
      <w:pPr>
        <w:pStyle w:val="Style16"/>
        <w:keepNext w:val="0"/>
        <w:keepLines w:val="0"/>
        <w:widowControl w:val="0"/>
        <w:shd w:val="clear" w:color="auto" w:fill="auto"/>
        <w:bidi w:val="0"/>
        <w:spacing w:before="0" w:after="0" w:line="314" w:lineRule="exact"/>
        <w:ind w:left="640" w:right="0" w:firstLine="42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年度，在党中央的坚强领导下，中国经济相当程度上克服了新冠疫情带来的较大影响，全年</w:t>
      </w:r>
      <w:r>
        <w:rPr>
          <w:rFonts w:ascii="Times New Roman" w:eastAsia="Times New Roman" w:hAnsi="Times New Roman" w:cs="Times New Roman"/>
          <w:color w:val="000000"/>
          <w:spacing w:val="0"/>
          <w:w w:val="100"/>
          <w:position w:val="0"/>
        </w:rPr>
        <w:t xml:space="preserve">GDP </w:t>
      </w:r>
      <w:r>
        <w:rPr>
          <w:color w:val="000000"/>
          <w:spacing w:val="0"/>
          <w:w w:val="100"/>
          <w:position w:val="0"/>
        </w:rPr>
        <w:t>增长由负转正，经济持续恢复。同期中国</w:t>
      </w:r>
      <w:r>
        <w:rPr>
          <w:rFonts w:ascii="Times New Roman" w:eastAsia="Times New Roman" w:hAnsi="Times New Roman" w:cs="Times New Roman"/>
          <w:color w:val="000000"/>
          <w:spacing w:val="0"/>
          <w:w w:val="100"/>
          <w:position w:val="0"/>
        </w:rPr>
        <w:t>A</w:t>
      </w:r>
      <w:r>
        <w:rPr>
          <w:color w:val="000000"/>
          <w:spacing w:val="0"/>
          <w:w w:val="100"/>
          <w:position w:val="0"/>
        </w:rPr>
        <w:t xml:space="preserve">股市场经历了疫情后的大幅波动，随后全年呈震荡上行趋势。 </w:t>
      </w:r>
      <w:r>
        <w:rPr>
          <w:rFonts w:ascii="Times New Roman" w:eastAsia="Times New Roman" w:hAnsi="Times New Roman" w:cs="Times New Roman"/>
          <w:color w:val="000000"/>
          <w:spacing w:val="0"/>
          <w:w w:val="100"/>
          <w:position w:val="0"/>
        </w:rPr>
        <w:t>2020</w:t>
      </w:r>
      <w:r>
        <w:rPr>
          <w:color w:val="000000"/>
          <w:spacing w:val="0"/>
          <w:w w:val="100"/>
          <w:position w:val="0"/>
        </w:rPr>
        <w:t>年度，我国</w:t>
      </w:r>
      <w:r>
        <w:rPr>
          <w:rFonts w:ascii="Times New Roman" w:eastAsia="Times New Roman" w:hAnsi="Times New Roman" w:cs="Times New Roman"/>
          <w:color w:val="000000"/>
          <w:spacing w:val="0"/>
          <w:w w:val="100"/>
          <w:position w:val="0"/>
        </w:rPr>
        <w:t>A</w:t>
      </w:r>
      <w:r>
        <w:rPr>
          <w:color w:val="000000"/>
          <w:spacing w:val="0"/>
          <w:w w:val="100"/>
          <w:position w:val="0"/>
        </w:rPr>
        <w:t>股沪指上涨</w:t>
      </w:r>
      <w:r>
        <w:rPr>
          <w:rFonts w:ascii="Times New Roman" w:eastAsia="Times New Roman" w:hAnsi="Times New Roman" w:cs="Times New Roman"/>
          <w:color w:val="000000"/>
          <w:spacing w:val="0"/>
          <w:w w:val="100"/>
          <w:position w:val="0"/>
        </w:rPr>
        <w:t>13.26%</w:t>
      </w:r>
      <w:r>
        <w:rPr>
          <w:color w:val="000000"/>
          <w:spacing w:val="0"/>
          <w:w w:val="100"/>
          <w:position w:val="0"/>
        </w:rPr>
        <w:t>,深成指上涨</w:t>
      </w:r>
      <w:r>
        <w:rPr>
          <w:rFonts w:ascii="Times New Roman" w:eastAsia="Times New Roman" w:hAnsi="Times New Roman" w:cs="Times New Roman"/>
          <w:color w:val="000000"/>
          <w:spacing w:val="0"/>
          <w:w w:val="100"/>
          <w:position w:val="0"/>
        </w:rPr>
        <w:t>41.74%</w:t>
      </w:r>
      <w:r>
        <w:rPr>
          <w:color w:val="000000"/>
          <w:spacing w:val="0"/>
          <w:w w:val="100"/>
          <w:position w:val="0"/>
        </w:rPr>
        <w:t>，创业板指大涨</w:t>
      </w:r>
      <w:r>
        <w:rPr>
          <w:rFonts w:ascii="Times New Roman" w:eastAsia="Times New Roman" w:hAnsi="Times New Roman" w:cs="Times New Roman"/>
          <w:color w:val="000000"/>
          <w:spacing w:val="0"/>
          <w:w w:val="100"/>
          <w:position w:val="0"/>
        </w:rPr>
        <w:t>63.77%</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 xml:space="preserve">股市场交投持续活跃， </w:t>
      </w:r>
      <w:r>
        <w:rPr>
          <w:rFonts w:ascii="Times New Roman" w:eastAsia="Times New Roman" w:hAnsi="Times New Roman" w:cs="Times New Roman"/>
          <w:color w:val="000000"/>
          <w:spacing w:val="0"/>
          <w:w w:val="100"/>
          <w:position w:val="0"/>
        </w:rPr>
        <w:t>2020</w:t>
      </w:r>
      <w:r>
        <w:rPr>
          <w:color w:val="000000"/>
          <w:spacing w:val="0"/>
          <w:w w:val="100"/>
          <w:position w:val="0"/>
        </w:rPr>
        <w:t>年度两市总成交额达</w:t>
      </w:r>
      <w:r>
        <w:rPr>
          <w:rFonts w:ascii="Times New Roman" w:eastAsia="Times New Roman" w:hAnsi="Times New Roman" w:cs="Times New Roman"/>
          <w:color w:val="000000"/>
          <w:spacing w:val="0"/>
          <w:w w:val="100"/>
          <w:position w:val="0"/>
        </w:rPr>
        <w:t>206.83</w:t>
      </w:r>
      <w:r>
        <w:rPr>
          <w:color w:val="000000"/>
          <w:spacing w:val="0"/>
          <w:w w:val="100"/>
          <w:position w:val="0"/>
        </w:rPr>
        <w:t>万亿元，较去年同期增长</w:t>
      </w:r>
      <w:r>
        <w:rPr>
          <w:rFonts w:ascii="Times New Roman" w:eastAsia="Times New Roman" w:hAnsi="Times New Roman" w:cs="Times New Roman"/>
          <w:color w:val="000000"/>
          <w:spacing w:val="0"/>
          <w:w w:val="100"/>
          <w:position w:val="0"/>
        </w:rPr>
        <w:t>62.30%</w:t>
      </w:r>
      <w:r>
        <w:rPr>
          <w:color w:val="000000"/>
          <w:spacing w:val="0"/>
          <w:w w:val="100"/>
          <w:position w:val="0"/>
        </w:rPr>
        <w:t>。</w:t>
      </w:r>
    </w:p>
    <w:p>
      <w:pPr>
        <w:pStyle w:val="Style16"/>
        <w:keepNext w:val="0"/>
        <w:keepLines w:val="0"/>
        <w:widowControl w:val="0"/>
        <w:shd w:val="clear" w:color="auto" w:fill="auto"/>
        <w:bidi w:val="0"/>
        <w:spacing w:before="0" w:after="0" w:line="314" w:lineRule="exact"/>
        <w:ind w:left="640" w:right="0" w:firstLine="42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年度，我国共发行各类债券</w:t>
      </w:r>
      <w:r>
        <w:rPr>
          <w:rFonts w:ascii="Times New Roman" w:eastAsia="Times New Roman" w:hAnsi="Times New Roman" w:cs="Times New Roman"/>
          <w:color w:val="000000"/>
          <w:spacing w:val="0"/>
          <w:w w:val="100"/>
          <w:position w:val="0"/>
        </w:rPr>
        <w:t>56.88</w:t>
      </w:r>
      <w:r>
        <w:rPr>
          <w:color w:val="000000"/>
          <w:spacing w:val="0"/>
          <w:w w:val="100"/>
          <w:position w:val="0"/>
        </w:rPr>
        <w:t>万亿元，较</w:t>
      </w:r>
      <w:r>
        <w:rPr>
          <w:rFonts w:ascii="Times New Roman" w:eastAsia="Times New Roman" w:hAnsi="Times New Roman" w:cs="Times New Roman"/>
          <w:color w:val="000000"/>
          <w:spacing w:val="0"/>
          <w:w w:val="100"/>
          <w:position w:val="0"/>
        </w:rPr>
        <w:t>2019</w:t>
      </w:r>
      <w:r>
        <w:rPr>
          <w:color w:val="000000"/>
          <w:spacing w:val="0"/>
          <w:w w:val="100"/>
          <w:position w:val="0"/>
        </w:rPr>
        <w:t>年增长</w:t>
      </w:r>
      <w:r>
        <w:rPr>
          <w:rFonts w:ascii="Times New Roman" w:eastAsia="Times New Roman" w:hAnsi="Times New Roman" w:cs="Times New Roman"/>
          <w:color w:val="000000"/>
          <w:spacing w:val="0"/>
          <w:w w:val="100"/>
          <w:position w:val="0"/>
        </w:rPr>
        <w:t>25.88%</w:t>
      </w:r>
      <w:r>
        <w:rPr>
          <w:color w:val="000000"/>
          <w:spacing w:val="0"/>
          <w:w w:val="100"/>
          <w:position w:val="0"/>
        </w:rPr>
        <w:t>。随宏观流动性的变化，债券收益 率先低后高，国债收益率于</w:t>
      </w: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月陡峭下行，至</w:t>
      </w:r>
      <w:r>
        <w:rPr>
          <w:rFonts w:ascii="Times New Roman" w:eastAsia="Times New Roman" w:hAnsi="Times New Roman" w:cs="Times New Roman"/>
          <w:color w:val="000000"/>
          <w:spacing w:val="0"/>
          <w:w w:val="100"/>
          <w:position w:val="0"/>
        </w:rPr>
        <w:t>5</w:t>
      </w:r>
      <w:r>
        <w:rPr>
          <w:color w:val="000000"/>
          <w:spacing w:val="0"/>
          <w:w w:val="100"/>
          <w:position w:val="0"/>
        </w:rPr>
        <w:t>月初出现低谷拐点，</w:t>
      </w:r>
      <w:r>
        <w:rPr>
          <w:rFonts w:ascii="Times New Roman" w:eastAsia="Times New Roman" w:hAnsi="Times New Roman" w:cs="Times New Roman"/>
          <w:color w:val="000000"/>
          <w:spacing w:val="0"/>
          <w:w w:val="100"/>
          <w:position w:val="0"/>
        </w:rPr>
        <w:t>5</w:t>
      </w:r>
      <w:r>
        <w:rPr>
          <w:color w:val="000000"/>
          <w:spacing w:val="0"/>
          <w:w w:val="100"/>
          <w:position w:val="0"/>
        </w:rPr>
        <w:t>月至年末呈震荡上行。</w:t>
      </w:r>
    </w:p>
    <w:p>
      <w:pPr>
        <w:pStyle w:val="Style16"/>
        <w:keepNext w:val="0"/>
        <w:keepLines w:val="0"/>
        <w:widowControl w:val="0"/>
        <w:shd w:val="clear" w:color="auto" w:fill="auto"/>
        <w:bidi w:val="0"/>
        <w:spacing w:before="0" w:after="0" w:line="314" w:lineRule="exact"/>
        <w:ind w:left="640" w:right="0" w:firstLine="420"/>
        <w:jc w:val="both"/>
      </w:pPr>
      <w:r>
        <w:rPr>
          <w:color w:val="000000"/>
          <w:spacing w:val="0"/>
          <w:w w:val="100"/>
          <w:position w:val="0"/>
        </w:rPr>
        <w:t>总体而言，因股债市场发行规模增大、成交放量、收益率提高等因素，证券行业</w:t>
      </w:r>
      <w:r>
        <w:rPr>
          <w:rFonts w:ascii="Times New Roman" w:eastAsia="Times New Roman" w:hAnsi="Times New Roman" w:cs="Times New Roman"/>
          <w:color w:val="000000"/>
          <w:spacing w:val="0"/>
          <w:w w:val="100"/>
          <w:position w:val="0"/>
        </w:rPr>
        <w:t>2020</w:t>
      </w:r>
      <w:r>
        <w:rPr>
          <w:color w:val="000000"/>
          <w:spacing w:val="0"/>
          <w:w w:val="100"/>
          <w:position w:val="0"/>
        </w:rPr>
        <w:t>年度发展情况较 好。根据证券业协会</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月发布的未经审计的行业数据，证券行业</w:t>
      </w:r>
      <w:r>
        <w:rPr>
          <w:rFonts w:ascii="Times New Roman" w:eastAsia="Times New Roman" w:hAnsi="Times New Roman" w:cs="Times New Roman"/>
          <w:color w:val="000000"/>
          <w:spacing w:val="0"/>
          <w:w w:val="100"/>
          <w:position w:val="0"/>
        </w:rPr>
        <w:t>2020</w:t>
      </w:r>
      <w:r>
        <w:rPr>
          <w:color w:val="000000"/>
          <w:spacing w:val="0"/>
          <w:w w:val="100"/>
          <w:position w:val="0"/>
        </w:rPr>
        <w:t>年度实现营业收入</w:t>
      </w:r>
      <w:r>
        <w:rPr>
          <w:rFonts w:ascii="Times New Roman" w:eastAsia="Times New Roman" w:hAnsi="Times New Roman" w:cs="Times New Roman"/>
          <w:color w:val="000000"/>
          <w:spacing w:val="0"/>
          <w:w w:val="100"/>
          <w:position w:val="0"/>
        </w:rPr>
        <w:t>4,484.7</w:t>
      </w:r>
      <w:r>
        <w:rPr>
          <w:rFonts w:ascii="Times New Roman" w:eastAsia="Times New Roman" w:hAnsi="Times New Roman" w:cs="Times New Roman"/>
          <w:color w:val="000000"/>
          <w:spacing w:val="0"/>
          <w:w w:val="100"/>
          <w:position w:val="0"/>
        </w:rPr>
        <w:t>9</w:t>
      </w:r>
      <w:r>
        <w:rPr>
          <w:color w:val="000000"/>
          <w:spacing w:val="0"/>
          <w:w w:val="100"/>
          <w:position w:val="0"/>
        </w:rPr>
        <w:t>亿元， 同比增长</w:t>
      </w:r>
      <w:r>
        <w:rPr>
          <w:rFonts w:ascii="Times New Roman" w:eastAsia="Times New Roman" w:hAnsi="Times New Roman" w:cs="Times New Roman"/>
          <w:color w:val="000000"/>
          <w:spacing w:val="0"/>
          <w:w w:val="100"/>
          <w:position w:val="0"/>
        </w:rPr>
        <w:t>24.41%</w:t>
      </w:r>
      <w:r>
        <w:rPr>
          <w:color w:val="000000"/>
          <w:spacing w:val="0"/>
          <w:w w:val="100"/>
          <w:position w:val="0"/>
        </w:rPr>
        <w:t>；实现净利润</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,575.34</w:t>
      </w:r>
      <w:r>
        <w:rPr>
          <w:color w:val="000000"/>
          <w:spacing w:val="0"/>
          <w:w w:val="100"/>
          <w:position w:val="0"/>
        </w:rPr>
        <w:t>亿元，同比增长</w:t>
      </w:r>
      <w:r>
        <w:rPr>
          <w:rFonts w:ascii="Times New Roman" w:eastAsia="Times New Roman" w:hAnsi="Times New Roman" w:cs="Times New Roman"/>
          <w:color w:val="000000"/>
          <w:spacing w:val="0"/>
          <w:w w:val="100"/>
          <w:position w:val="0"/>
        </w:rPr>
        <w:t>27.98%</w:t>
      </w:r>
      <w:r>
        <w:rPr>
          <w:color w:val="000000"/>
          <w:spacing w:val="0"/>
          <w:w w:val="100"/>
          <w:position w:val="0"/>
        </w:rPr>
        <w:t>。</w:t>
      </w:r>
    </w:p>
    <w:p>
      <w:pPr>
        <w:pStyle w:val="Style16"/>
        <w:keepNext w:val="0"/>
        <w:keepLines w:val="0"/>
        <w:widowControl w:val="0"/>
        <w:shd w:val="clear" w:color="auto" w:fill="auto"/>
        <w:bidi w:val="0"/>
        <w:spacing w:before="0" w:after="0" w:line="314" w:lineRule="exact"/>
        <w:ind w:left="640" w:right="0" w:firstLine="420"/>
        <w:jc w:val="both"/>
      </w:pPr>
      <w:r>
        <w:rPr>
          <w:color w:val="000000"/>
          <w:spacing w:val="0"/>
          <w:w w:val="100"/>
          <w:position w:val="0"/>
        </w:rPr>
        <w:t>根据中国证券业协会统计数据（未经审计），</w:t>
      </w:r>
      <w:r>
        <w:rPr>
          <w:rFonts w:ascii="Times New Roman" w:eastAsia="Times New Roman" w:hAnsi="Times New Roman" w:cs="Times New Roman"/>
          <w:color w:val="000000"/>
          <w:spacing w:val="0"/>
          <w:w w:val="100"/>
          <w:position w:val="0"/>
        </w:rPr>
        <w:t>2020</w:t>
      </w:r>
      <w:r>
        <w:rPr>
          <w:color w:val="000000"/>
          <w:spacing w:val="0"/>
          <w:w w:val="100"/>
          <w:position w:val="0"/>
        </w:rPr>
        <w:t>年度国盛证券营业收入在全国</w:t>
      </w:r>
      <w:r>
        <w:rPr>
          <w:rFonts w:ascii="Times New Roman" w:eastAsia="Times New Roman" w:hAnsi="Times New Roman" w:cs="Times New Roman"/>
          <w:color w:val="000000"/>
          <w:spacing w:val="0"/>
          <w:w w:val="100"/>
          <w:position w:val="0"/>
        </w:rPr>
        <w:t>137</w:t>
      </w:r>
      <w:r>
        <w:rPr>
          <w:color w:val="000000"/>
          <w:spacing w:val="0"/>
          <w:w w:val="100"/>
          <w:position w:val="0"/>
        </w:rPr>
        <w:t>家证券公司中排 名</w:t>
      </w:r>
      <w:r>
        <w:rPr>
          <w:rFonts w:ascii="Times New Roman" w:eastAsia="Times New Roman" w:hAnsi="Times New Roman" w:cs="Times New Roman"/>
          <w:color w:val="000000"/>
          <w:spacing w:val="0"/>
          <w:w w:val="100"/>
          <w:position w:val="0"/>
        </w:rPr>
        <w:t>59</w:t>
      </w:r>
      <w:r>
        <w:rPr>
          <w:color w:val="000000"/>
          <w:spacing w:val="0"/>
          <w:w w:val="100"/>
          <w:position w:val="0"/>
        </w:rPr>
        <w:t>位，净利润排名</w:t>
      </w:r>
      <w:r>
        <w:rPr>
          <w:rFonts w:ascii="Times New Roman" w:eastAsia="Times New Roman" w:hAnsi="Times New Roman" w:cs="Times New Roman"/>
          <w:color w:val="000000"/>
          <w:spacing w:val="0"/>
          <w:w w:val="100"/>
          <w:position w:val="0"/>
        </w:rPr>
        <w:t>89</w:t>
      </w:r>
      <w:r>
        <w:rPr>
          <w:color w:val="000000"/>
          <w:spacing w:val="0"/>
          <w:w w:val="100"/>
          <w:position w:val="0"/>
        </w:rPr>
        <w:t>位，总资产排名</w:t>
      </w:r>
      <w:r>
        <w:rPr>
          <w:rFonts w:ascii="Times New Roman" w:eastAsia="Times New Roman" w:hAnsi="Times New Roman" w:cs="Times New Roman"/>
          <w:color w:val="000000"/>
          <w:spacing w:val="0"/>
          <w:w w:val="100"/>
          <w:position w:val="0"/>
        </w:rPr>
        <w:t>62</w:t>
      </w:r>
      <w:r>
        <w:rPr>
          <w:color w:val="000000"/>
          <w:spacing w:val="0"/>
          <w:w w:val="100"/>
          <w:position w:val="0"/>
        </w:rPr>
        <w:t>位，净资产排名</w:t>
      </w:r>
      <w:r>
        <w:rPr>
          <w:rFonts w:ascii="Times New Roman" w:eastAsia="Times New Roman" w:hAnsi="Times New Roman" w:cs="Times New Roman"/>
          <w:color w:val="000000"/>
          <w:spacing w:val="0"/>
          <w:w w:val="100"/>
          <w:position w:val="0"/>
        </w:rPr>
        <w:t>58</w:t>
      </w:r>
      <w:r>
        <w:rPr>
          <w:color w:val="000000"/>
          <w:spacing w:val="0"/>
          <w:w w:val="100"/>
          <w:position w:val="0"/>
        </w:rPr>
        <w:t>位。报告期内，国盛证券继续推进向财富管理 转型、增大业务投入力度，主要业务规模较上年显著提升。</w:t>
      </w:r>
    </w:p>
    <w:p>
      <w:pPr>
        <w:pStyle w:val="Style16"/>
        <w:keepNext w:val="0"/>
        <w:keepLines w:val="0"/>
        <w:widowControl w:val="0"/>
        <w:shd w:val="clear" w:color="auto" w:fill="auto"/>
        <w:bidi w:val="0"/>
        <w:spacing w:before="0" w:after="0" w:line="314" w:lineRule="exact"/>
        <w:ind w:left="1020" w:right="0" w:firstLine="0"/>
        <w:jc w:val="both"/>
      </w:pPr>
      <w:bookmarkStart w:id="69" w:name="bookmark69"/>
      <w:r>
        <w:rPr>
          <w:color w:val="000000"/>
          <w:spacing w:val="0"/>
          <w:w w:val="100"/>
          <w:position w:val="0"/>
        </w:rPr>
        <w:t>（</w:t>
      </w:r>
      <w:bookmarkEnd w:id="69"/>
      <w:r>
        <w:rPr>
          <w:color w:val="000000"/>
          <w:spacing w:val="0"/>
          <w:w w:val="100"/>
          <w:position w:val="0"/>
        </w:rPr>
        <w:t>二）投资业务</w:t>
      </w:r>
    </w:p>
    <w:p>
      <w:pPr>
        <w:pStyle w:val="Style16"/>
        <w:keepNext w:val="0"/>
        <w:keepLines w:val="0"/>
        <w:widowControl w:val="0"/>
        <w:shd w:val="clear" w:color="auto" w:fill="auto"/>
        <w:tabs>
          <w:tab w:pos="1338" w:val="left"/>
        </w:tabs>
        <w:bidi w:val="0"/>
        <w:spacing w:before="0" w:after="0" w:line="314" w:lineRule="exact"/>
        <w:ind w:left="1020" w:right="0" w:firstLine="0"/>
        <w:jc w:val="both"/>
      </w:pPr>
      <w:bookmarkStart w:id="70" w:name="bookmark70"/>
      <w:r>
        <w:rPr>
          <w:rFonts w:ascii="Times New Roman" w:eastAsia="Times New Roman" w:hAnsi="Times New Roman" w:cs="Times New Roman"/>
          <w:color w:val="000000"/>
          <w:spacing w:val="0"/>
          <w:w w:val="100"/>
          <w:position w:val="0"/>
        </w:rPr>
        <w:t>1</w:t>
      </w:r>
      <w:bookmarkEnd w:id="70"/>
      <w:r>
        <w:rPr>
          <w:color w:val="000000"/>
          <w:spacing w:val="0"/>
          <w:w w:val="100"/>
          <w:position w:val="0"/>
        </w:rPr>
        <w:t>、</w:t>
        <w:tab/>
        <w:t>业务类型及经营模式</w:t>
      </w:r>
    </w:p>
    <w:p>
      <w:pPr>
        <w:pStyle w:val="Style16"/>
        <w:keepNext w:val="0"/>
        <w:keepLines w:val="0"/>
        <w:widowControl w:val="0"/>
        <w:shd w:val="clear" w:color="auto" w:fill="auto"/>
        <w:bidi w:val="0"/>
        <w:spacing w:before="0" w:after="0" w:line="310" w:lineRule="exact"/>
        <w:ind w:left="640" w:right="0" w:firstLine="420"/>
        <w:jc w:val="both"/>
      </w:pPr>
      <w:r>
        <w:rPr>
          <w:color w:val="000000"/>
          <w:spacing w:val="0"/>
          <w:w w:val="100"/>
          <w:position w:val="0"/>
        </w:rPr>
        <w:t>本集团投资业务指的是集团内除证券业务板块外各主体对集团外企业的股权投资及投资管理业务。投 资领域包括新一代信息技术、智能制造、新能源、医疗健康、消费升级等，投资区域涵盖境内、境外。开 展投资业务的目的，一是取得股权投资收益或者投资管理收益，二是从被投资单位以及合作投资单位之间 寻求协同效应，扩展本集团资本、服务以及创新能力的延伸与覆盖范围，为以外延方式将本集团建设成为 综合性金融服务平台创造条件。</w:t>
      </w:r>
    </w:p>
    <w:p>
      <w:pPr>
        <w:pStyle w:val="Style16"/>
        <w:keepNext w:val="0"/>
        <w:keepLines w:val="0"/>
        <w:widowControl w:val="0"/>
        <w:shd w:val="clear" w:color="auto" w:fill="auto"/>
        <w:bidi w:val="0"/>
        <w:spacing w:before="0" w:after="0" w:line="310" w:lineRule="exact"/>
        <w:ind w:left="640" w:right="0" w:firstLine="420"/>
        <w:jc w:val="both"/>
      </w:pPr>
      <w:r>
        <w:rPr>
          <w:color w:val="000000"/>
          <w:spacing w:val="0"/>
          <w:w w:val="100"/>
          <w:position w:val="0"/>
        </w:rPr>
        <w:t>公司全资子公司深圳投资是境内股权投资平台，全资子公司香港投资、国盛环球是境外投资平台。公 司全资子公司弘大嘉豪于</w:t>
      </w:r>
      <w:r>
        <w:rPr>
          <w:rFonts w:ascii="Times New Roman" w:eastAsia="Times New Roman" w:hAnsi="Times New Roman" w:cs="Times New Roman"/>
          <w:color w:val="000000"/>
          <w:spacing w:val="0"/>
          <w:w w:val="100"/>
          <w:position w:val="0"/>
        </w:rPr>
        <w:t>2019</w:t>
      </w:r>
      <w:r>
        <w:rPr>
          <w:color w:val="000000"/>
          <w:spacing w:val="0"/>
          <w:w w:val="100"/>
          <w:position w:val="0"/>
        </w:rPr>
        <w:t>年登记为私募基金管理人，为公司境内投资管理业务运营实体，负责管理其 发行的基金产品。</w:t>
      </w:r>
    </w:p>
    <w:p>
      <w:pPr>
        <w:pStyle w:val="Style16"/>
        <w:keepNext w:val="0"/>
        <w:keepLines w:val="0"/>
        <w:widowControl w:val="0"/>
        <w:shd w:val="clear" w:color="auto" w:fill="auto"/>
        <w:tabs>
          <w:tab w:pos="1357" w:val="left"/>
        </w:tabs>
        <w:bidi w:val="0"/>
        <w:spacing w:before="0" w:after="0" w:line="310" w:lineRule="exact"/>
        <w:ind w:left="1020" w:right="0" w:firstLine="0"/>
        <w:jc w:val="both"/>
      </w:pPr>
      <w:bookmarkStart w:id="71" w:name="bookmark71"/>
      <w:r>
        <w:rPr>
          <w:rFonts w:ascii="Times New Roman" w:eastAsia="Times New Roman" w:hAnsi="Times New Roman" w:cs="Times New Roman"/>
          <w:color w:val="000000"/>
          <w:spacing w:val="0"/>
          <w:w w:val="100"/>
          <w:position w:val="0"/>
        </w:rPr>
        <w:t>2</w:t>
      </w:r>
      <w:bookmarkEnd w:id="71"/>
      <w:r>
        <w:rPr>
          <w:color w:val="000000"/>
          <w:spacing w:val="0"/>
          <w:w w:val="100"/>
          <w:position w:val="0"/>
        </w:rPr>
        <w:t>、</w:t>
        <w:tab/>
        <w:t>行业发展情况及本集团所处行业地位</w:t>
      </w:r>
    </w:p>
    <w:p>
      <w:pPr>
        <w:pStyle w:val="Style16"/>
        <w:keepNext w:val="0"/>
        <w:keepLines w:val="0"/>
        <w:widowControl w:val="0"/>
        <w:shd w:val="clear" w:color="auto" w:fill="auto"/>
        <w:bidi w:val="0"/>
        <w:spacing w:before="0" w:after="0" w:line="310" w:lineRule="exact"/>
        <w:ind w:left="640" w:right="0" w:firstLine="42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年，受新冠疫情和国际政治影响，国际国内经济金融环境波动较大，资本市场募资环境整体延续 了上一年降温趋势。一季度募资、投资市场均遭受重创，二季度国内疫情受控后，行业展现出复苏态势。</w:t>
      </w:r>
    </w:p>
    <w:p>
      <w:pPr>
        <w:pStyle w:val="Style16"/>
        <w:keepNext w:val="0"/>
        <w:keepLines w:val="0"/>
        <w:widowControl w:val="0"/>
        <w:shd w:val="clear" w:color="auto" w:fill="auto"/>
        <w:bidi w:val="0"/>
        <w:spacing w:before="0" w:after="0" w:line="310" w:lineRule="exact"/>
        <w:ind w:left="640" w:right="0" w:firstLine="420"/>
        <w:jc w:val="both"/>
      </w:pPr>
      <w:r>
        <w:rPr>
          <w:color w:val="000000"/>
          <w:spacing w:val="0"/>
          <w:w w:val="100"/>
          <w:position w:val="0"/>
        </w:rPr>
        <w:t>在复杂的宏观经济条件下，中国私募股权市场进入从</w:t>
      </w:r>
      <w:r>
        <w:rPr>
          <w:rFonts w:ascii="Times New Roman" w:eastAsia="Times New Roman" w:hAnsi="Times New Roman" w:cs="Times New Roman"/>
          <w:color w:val="000000"/>
          <w:spacing w:val="0"/>
          <w:w w:val="100"/>
          <w:position w:val="0"/>
        </w:rPr>
        <w:t>“</w:t>
      </w:r>
      <w:r>
        <w:rPr>
          <w:color w:val="000000"/>
          <w:spacing w:val="0"/>
          <w:w w:val="100"/>
          <w:position w:val="0"/>
        </w:rPr>
        <w:t>量的增值''到</w:t>
      </w:r>
      <w:r>
        <w:rPr>
          <w:rFonts w:ascii="Times New Roman" w:eastAsia="Times New Roman" w:hAnsi="Times New Roman" w:cs="Times New Roman"/>
          <w:color w:val="000000"/>
          <w:spacing w:val="0"/>
          <w:w w:val="100"/>
          <w:position w:val="0"/>
        </w:rPr>
        <w:t>“</w:t>
      </w:r>
      <w:r>
        <w:rPr>
          <w:color w:val="000000"/>
          <w:spacing w:val="0"/>
          <w:w w:val="100"/>
          <w:position w:val="0"/>
        </w:rPr>
        <w:t>质的发展''调整期。募资方面，</w:t>
      </w:r>
      <w:r>
        <w:rPr>
          <w:rFonts w:ascii="Times New Roman" w:eastAsia="Times New Roman" w:hAnsi="Times New Roman" w:cs="Times New Roman"/>
          <w:color w:val="000000"/>
          <w:spacing w:val="0"/>
          <w:w w:val="100"/>
          <w:position w:val="0"/>
        </w:rPr>
        <w:t xml:space="preserve">LP </w:t>
      </w:r>
      <w:r>
        <w:rPr>
          <w:color w:val="000000"/>
          <w:spacing w:val="0"/>
          <w:w w:val="100"/>
          <w:position w:val="0"/>
        </w:rPr>
        <w:t xml:space="preserve">机构化趋势显著，资金加速向头部私募股权基金管理人聚集，投资者更加注重基金管理人的管理团队、历 史表现、风险管理及投资策略等竞争优势。投资方面，热门行业和热门区域仍延续近年来快速发展趋势。 </w:t>
      </w:r>
      <w:r>
        <w:rPr>
          <w:color w:val="000000"/>
          <w:spacing w:val="0"/>
          <w:w w:val="100"/>
          <w:position w:val="0"/>
        </w:rPr>
        <w:t>政策红利释放，中小、高新、初创科技型企业标的增幅明显，科技、消费、大健康、新能源等领域的投资 最受关注，金额增长较快。</w:t>
      </w:r>
    </w:p>
    <w:p>
      <w:pPr>
        <w:pStyle w:val="Style16"/>
        <w:keepNext w:val="0"/>
        <w:keepLines w:val="0"/>
        <w:widowControl w:val="0"/>
        <w:shd w:val="clear" w:color="auto" w:fill="auto"/>
        <w:bidi w:val="0"/>
        <w:spacing w:before="0" w:after="0" w:line="313" w:lineRule="exact"/>
        <w:ind w:left="1080" w:right="0" w:firstLine="0"/>
        <w:jc w:val="left"/>
      </w:pPr>
      <w:r>
        <w:rPr>
          <w:color w:val="000000"/>
          <w:spacing w:val="0"/>
          <w:w w:val="100"/>
          <w:position w:val="0"/>
        </w:rPr>
        <w:t>本集团稳步推进股权基金设立、募资、股权投资和投后管理等工作。</w:t>
      </w:r>
    </w:p>
    <w:p>
      <w:pPr>
        <w:pStyle w:val="Style16"/>
        <w:keepNext w:val="0"/>
        <w:keepLines w:val="0"/>
        <w:widowControl w:val="0"/>
        <w:shd w:val="clear" w:color="auto" w:fill="auto"/>
        <w:bidi w:val="0"/>
        <w:spacing w:before="0" w:after="80" w:line="313" w:lineRule="exact"/>
        <w:ind w:left="1080" w:right="0" w:firstLine="0"/>
        <w:jc w:val="left"/>
      </w:pPr>
      <w:bookmarkStart w:id="72" w:name="bookmark72"/>
      <w:r>
        <w:rPr>
          <w:color w:val="000000"/>
          <w:spacing w:val="0"/>
          <w:w w:val="100"/>
          <w:position w:val="0"/>
        </w:rPr>
        <w:t>（</w:t>
      </w:r>
      <w:bookmarkEnd w:id="72"/>
      <w:r>
        <w:rPr>
          <w:color w:val="000000"/>
          <w:spacing w:val="0"/>
          <w:w w:val="100"/>
          <w:position w:val="0"/>
        </w:rPr>
        <w:t>三）金融科技业务</w:t>
      </w:r>
    </w:p>
    <w:p>
      <w:pPr>
        <w:pStyle w:val="Style16"/>
        <w:keepNext w:val="0"/>
        <w:keepLines w:val="0"/>
        <w:widowControl w:val="0"/>
        <w:shd w:val="clear" w:color="auto" w:fill="auto"/>
        <w:tabs>
          <w:tab w:pos="1434" w:val="left"/>
        </w:tabs>
        <w:bidi w:val="0"/>
        <w:spacing w:before="0" w:after="0"/>
        <w:ind w:left="1080" w:right="0" w:firstLine="0"/>
        <w:jc w:val="left"/>
      </w:pPr>
      <w:bookmarkStart w:id="73" w:name="bookmark73"/>
      <w:r>
        <w:rPr>
          <w:rFonts w:ascii="Times New Roman" w:eastAsia="Times New Roman" w:hAnsi="Times New Roman" w:cs="Times New Roman"/>
          <w:color w:val="000000"/>
          <w:spacing w:val="0"/>
          <w:w w:val="100"/>
          <w:position w:val="0"/>
        </w:rPr>
        <w:t>1</w:t>
      </w:r>
      <w:bookmarkEnd w:id="73"/>
      <w:r>
        <w:rPr>
          <w:color w:val="000000"/>
          <w:spacing w:val="0"/>
          <w:w w:val="100"/>
          <w:position w:val="0"/>
        </w:rPr>
        <w:t>、</w:t>
        <w:tab/>
        <w:t>业务类型及经营模式</w:t>
      </w:r>
    </w:p>
    <w:p>
      <w:pPr>
        <w:pStyle w:val="Style16"/>
        <w:keepNext w:val="0"/>
        <w:keepLines w:val="0"/>
        <w:widowControl w:val="0"/>
        <w:shd w:val="clear" w:color="auto" w:fill="auto"/>
        <w:bidi w:val="0"/>
        <w:spacing w:before="0" w:after="80" w:line="313" w:lineRule="exact"/>
        <w:ind w:left="620" w:right="0" w:firstLine="460"/>
        <w:jc w:val="both"/>
      </w:pPr>
      <w:r>
        <w:rPr>
          <w:color w:val="000000"/>
          <w:spacing w:val="0"/>
          <w:w w:val="100"/>
          <w:position w:val="0"/>
        </w:rPr>
        <w:t>本集团于</w:t>
      </w:r>
      <w:r>
        <w:rPr>
          <w:rFonts w:ascii="Times New Roman" w:eastAsia="Times New Roman" w:hAnsi="Times New Roman" w:cs="Times New Roman"/>
          <w:color w:val="000000"/>
          <w:spacing w:val="0"/>
          <w:w w:val="100"/>
          <w:position w:val="0"/>
        </w:rPr>
        <w:t>2017</w:t>
      </w:r>
      <w:r>
        <w:rPr>
          <w:color w:val="000000"/>
          <w:spacing w:val="0"/>
          <w:w w:val="100"/>
          <w:position w:val="0"/>
        </w:rPr>
        <w:t>年开展金融科技业务，旨在运用科技成果改造或创新金融产品、经营模式、业务流程等， 助力证券、投资等业务的发展，提高集团整体信息化水平。</w:t>
      </w:r>
    </w:p>
    <w:p>
      <w:pPr>
        <w:pStyle w:val="Style16"/>
        <w:keepNext w:val="0"/>
        <w:keepLines w:val="0"/>
        <w:widowControl w:val="0"/>
        <w:shd w:val="clear" w:color="auto" w:fill="auto"/>
        <w:tabs>
          <w:tab w:pos="1453" w:val="left"/>
        </w:tabs>
        <w:bidi w:val="0"/>
        <w:spacing w:before="0" w:after="0"/>
        <w:ind w:left="1080" w:right="0" w:firstLine="0"/>
        <w:jc w:val="left"/>
      </w:pPr>
      <w:bookmarkStart w:id="74" w:name="bookmark74"/>
      <w:r>
        <w:rPr>
          <w:rFonts w:ascii="Times New Roman" w:eastAsia="Times New Roman" w:hAnsi="Times New Roman" w:cs="Times New Roman"/>
          <w:color w:val="000000"/>
          <w:spacing w:val="0"/>
          <w:w w:val="100"/>
          <w:position w:val="0"/>
        </w:rPr>
        <w:t>2</w:t>
      </w:r>
      <w:bookmarkEnd w:id="74"/>
      <w:r>
        <w:rPr>
          <w:color w:val="000000"/>
          <w:spacing w:val="0"/>
          <w:w w:val="100"/>
          <w:position w:val="0"/>
        </w:rPr>
        <w:t>、</w:t>
        <w:tab/>
        <w:t>行业发展情况及本集团所处行业地位</w:t>
      </w:r>
    </w:p>
    <w:p>
      <w:pPr>
        <w:pStyle w:val="Style16"/>
        <w:keepNext w:val="0"/>
        <w:keepLines w:val="0"/>
        <w:widowControl w:val="0"/>
        <w:shd w:val="clear" w:color="auto" w:fill="auto"/>
        <w:bidi w:val="0"/>
        <w:spacing w:before="0" w:after="0" w:line="313" w:lineRule="exact"/>
        <w:ind w:left="620" w:right="0" w:firstLine="460"/>
        <w:jc w:val="both"/>
      </w:pPr>
      <w:r>
        <w:rPr>
          <w:color w:val="000000"/>
          <w:spacing w:val="0"/>
          <w:w w:val="100"/>
          <w:position w:val="0"/>
        </w:rPr>
        <w:t>随着金融基础设施的完善，金融科技将更多发力于服务实体经济、普惠金融、提高硬实力等方向。金 融科技在传统金融领域应用场景和细分赛道众多，传统金融机构与互联网企业各有优势，竞争与合作并存。</w:t>
      </w:r>
    </w:p>
    <w:p>
      <w:pPr>
        <w:pStyle w:val="Style16"/>
        <w:keepNext w:val="0"/>
        <w:keepLines w:val="0"/>
        <w:widowControl w:val="0"/>
        <w:shd w:val="clear" w:color="auto" w:fill="auto"/>
        <w:bidi w:val="0"/>
        <w:spacing w:before="0" w:after="340" w:line="313" w:lineRule="exact"/>
        <w:ind w:left="620" w:right="0" w:firstLine="460"/>
        <w:jc w:val="both"/>
      </w:pPr>
      <w:r>
        <w:rPr>
          <w:color w:val="000000"/>
          <w:spacing w:val="0"/>
          <w:w w:val="100"/>
          <w:position w:val="0"/>
        </w:rPr>
        <w:t>本集团科技业务主要服务于国盛证券，重点项目包括国盛通综合金融</w:t>
      </w:r>
      <w:r>
        <w:rPr>
          <w:rFonts w:ascii="Times New Roman" w:eastAsia="Times New Roman" w:hAnsi="Times New Roman" w:cs="Times New Roman"/>
          <w:color w:val="000000"/>
          <w:spacing w:val="0"/>
          <w:w w:val="100"/>
          <w:position w:val="0"/>
        </w:rPr>
        <w:t>APP</w:t>
      </w:r>
      <w:r>
        <w:rPr>
          <w:color w:val="000000"/>
          <w:spacing w:val="0"/>
          <w:w w:val="100"/>
          <w:position w:val="0"/>
        </w:rPr>
        <w:t>、国盛证券行情大数据平台 等，其中国盛通综合金融</w:t>
      </w:r>
      <w:r>
        <w:rPr>
          <w:rFonts w:ascii="Times New Roman" w:eastAsia="Times New Roman" w:hAnsi="Times New Roman" w:cs="Times New Roman"/>
          <w:color w:val="000000"/>
          <w:spacing w:val="0"/>
          <w:w w:val="100"/>
          <w:position w:val="0"/>
        </w:rPr>
        <w:t>APP</w:t>
      </w:r>
      <w:r>
        <w:rPr>
          <w:color w:val="000000"/>
          <w:spacing w:val="0"/>
          <w:w w:val="100"/>
          <w:position w:val="0"/>
        </w:rPr>
        <w:t>入选由中国证券业协会发布的</w:t>
      </w:r>
      <w:r>
        <w:rPr>
          <w:rFonts w:ascii="Times New Roman" w:eastAsia="Times New Roman" w:hAnsi="Times New Roman" w:cs="Times New Roman"/>
          <w:color w:val="000000"/>
          <w:spacing w:val="0"/>
          <w:w w:val="100"/>
          <w:position w:val="0"/>
        </w:rPr>
        <w:t>2020</w:t>
      </w:r>
      <w:r>
        <w:rPr>
          <w:color w:val="000000"/>
          <w:spacing w:val="0"/>
          <w:w w:val="100"/>
          <w:position w:val="0"/>
        </w:rPr>
        <w:t>年度证券公司企业标准“领跑者”名单。</w:t>
      </w:r>
    </w:p>
    <w:p>
      <w:pPr>
        <w:pStyle w:val="Style29"/>
        <w:keepNext/>
        <w:keepLines/>
        <w:widowControl w:val="0"/>
        <w:shd w:val="clear" w:color="auto" w:fill="auto"/>
        <w:bidi w:val="0"/>
        <w:spacing w:before="0" w:after="340" w:line="240" w:lineRule="auto"/>
        <w:ind w:left="0" w:right="0"/>
        <w:jc w:val="left"/>
      </w:pPr>
      <w:bookmarkStart w:id="75" w:name="bookmark75"/>
      <w:bookmarkStart w:id="76" w:name="bookmark76"/>
      <w:bookmarkStart w:id="77" w:name="bookmark77"/>
      <w:bookmarkStart w:id="78" w:name="bookmark78"/>
      <w:r>
        <w:rPr>
          <w:color w:val="000000"/>
          <w:spacing w:val="0"/>
          <w:w w:val="100"/>
          <w:position w:val="0"/>
          <w:sz w:val="24"/>
          <w:szCs w:val="24"/>
        </w:rPr>
        <w:t>二</w:t>
      </w:r>
      <w:bookmarkEnd w:id="77"/>
      <w:r>
        <w:rPr>
          <w:color w:val="000000"/>
          <w:spacing w:val="0"/>
          <w:w w:val="100"/>
          <w:position w:val="0"/>
          <w:sz w:val="24"/>
          <w:szCs w:val="24"/>
        </w:rPr>
        <w:t>、主要资产重大变化情况</w:t>
      </w:r>
      <w:bookmarkEnd w:id="75"/>
      <w:bookmarkEnd w:id="76"/>
      <w:bookmarkEnd w:id="78"/>
    </w:p>
    <w:p>
      <w:pPr>
        <w:pStyle w:val="Style40"/>
        <w:keepNext w:val="0"/>
        <w:keepLines w:val="0"/>
        <w:widowControl w:val="0"/>
        <w:shd w:val="clear" w:color="auto" w:fill="auto"/>
        <w:bidi w:val="0"/>
        <w:spacing w:before="0" w:after="0" w:line="240" w:lineRule="auto"/>
        <w:ind w:left="19" w:right="0" w:firstLine="0"/>
        <w:jc w:val="left"/>
      </w:pPr>
      <w:bookmarkStart w:id="79" w:name="bookmark79"/>
      <w:r>
        <w:rPr>
          <w:rFonts w:ascii="Times New Roman" w:eastAsia="Times New Roman" w:hAnsi="Times New Roman" w:cs="Times New Roman"/>
          <w:b/>
          <w:bCs/>
          <w:color w:val="000000"/>
          <w:spacing w:val="0"/>
          <w:w w:val="100"/>
          <w:position w:val="0"/>
        </w:rPr>
        <w:t>1</w:t>
      </w:r>
      <w:r>
        <w:rPr>
          <w:b/>
          <w:bCs/>
          <w:color w:val="000000"/>
          <w:spacing w:val="0"/>
          <w:w w:val="100"/>
          <w:position w:val="0"/>
        </w:rPr>
        <w:t>、主要资产重大变化情况</w:t>
      </w:r>
      <w:bookmarkEnd w:id="79"/>
    </w:p>
    <w:tbl>
      <w:tblPr>
        <w:tblOverlap w:val="never"/>
        <w:jc w:val="center"/>
        <w:tblLayout w:type="fixed"/>
      </w:tblPr>
      <w:tblGrid>
        <w:gridCol w:w="1843"/>
        <w:gridCol w:w="7805"/>
      </w:tblGrid>
      <w:tr>
        <w:trPr>
          <w:trHeight w:val="76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b/>
                <w:bCs/>
                <w:color w:val="000000"/>
                <w:spacing w:val="0"/>
                <w:w w:val="100"/>
                <w:position w:val="0"/>
              </w:rPr>
              <w:t>主要资产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重大变化说明</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期末货币资金</w:t>
            </w:r>
            <w:r>
              <w:rPr>
                <w:rFonts w:ascii="Times New Roman" w:eastAsia="Times New Roman" w:hAnsi="Times New Roman" w:cs="Times New Roman"/>
                <w:color w:val="000000"/>
                <w:spacing w:val="0"/>
                <w:w w:val="100"/>
                <w:position w:val="0"/>
              </w:rPr>
              <w:t>101.27</w:t>
            </w:r>
            <w:r>
              <w:rPr>
                <w:color w:val="000000"/>
                <w:spacing w:val="0"/>
                <w:w w:val="100"/>
                <w:position w:val="0"/>
              </w:rPr>
              <w:t>亿元，较上年末增长</w:t>
            </w:r>
            <w:r>
              <w:rPr>
                <w:rFonts w:ascii="Times New Roman" w:eastAsia="Times New Roman" w:hAnsi="Times New Roman" w:cs="Times New Roman"/>
                <w:color w:val="000000"/>
                <w:spacing w:val="0"/>
                <w:w w:val="100"/>
                <w:position w:val="0"/>
              </w:rPr>
              <w:t>38.15%</w:t>
            </w:r>
            <w:r>
              <w:rPr>
                <w:color w:val="000000"/>
                <w:spacing w:val="0"/>
                <w:w w:val="100"/>
                <w:position w:val="0"/>
              </w:rPr>
              <w:t>，主要由于自营及信用业务规模缩 减、客户代理买卖证券款增加。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结算备付金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期末结算备付金</w:t>
            </w:r>
            <w:r>
              <w:rPr>
                <w:rFonts w:ascii="Times New Roman" w:eastAsia="Times New Roman" w:hAnsi="Times New Roman" w:cs="Times New Roman"/>
                <w:color w:val="000000"/>
                <w:spacing w:val="0"/>
                <w:w w:val="100"/>
                <w:position w:val="0"/>
              </w:rPr>
              <w:t>12.10</w:t>
            </w:r>
            <w:r>
              <w:rPr>
                <w:color w:val="000000"/>
                <w:spacing w:val="0"/>
                <w:w w:val="100"/>
                <w:position w:val="0"/>
              </w:rPr>
              <w:t>亿元，较上年末增长</w:t>
            </w:r>
            <w:r>
              <w:rPr>
                <w:rFonts w:ascii="Times New Roman" w:eastAsia="Times New Roman" w:hAnsi="Times New Roman" w:cs="Times New Roman"/>
                <w:color w:val="000000"/>
                <w:spacing w:val="0"/>
                <w:w w:val="100"/>
                <w:position w:val="0"/>
              </w:rPr>
              <w:t>46.82%</w:t>
            </w:r>
            <w:r>
              <w:rPr>
                <w:color w:val="000000"/>
                <w:spacing w:val="0"/>
                <w:w w:val="100"/>
                <w:position w:val="0"/>
              </w:rPr>
              <w:t>，主要由于客户备付金增加。</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期末交易性金融资产</w:t>
            </w:r>
            <w:r>
              <w:rPr>
                <w:rFonts w:ascii="Times New Roman" w:eastAsia="Times New Roman" w:hAnsi="Times New Roman" w:cs="Times New Roman"/>
                <w:color w:val="000000"/>
                <w:spacing w:val="0"/>
                <w:w w:val="100"/>
                <w:position w:val="0"/>
              </w:rPr>
              <w:t>56.06</w:t>
            </w:r>
            <w:r>
              <w:rPr>
                <w:color w:val="000000"/>
                <w:spacing w:val="0"/>
                <w:w w:val="100"/>
                <w:position w:val="0"/>
              </w:rPr>
              <w:t>亿元，较上年末下降</w:t>
            </w:r>
            <w:r>
              <w:rPr>
                <w:rFonts w:ascii="Times New Roman" w:eastAsia="Times New Roman" w:hAnsi="Times New Roman" w:cs="Times New Roman"/>
                <w:color w:val="000000"/>
                <w:spacing w:val="0"/>
                <w:w w:val="100"/>
                <w:position w:val="0"/>
              </w:rPr>
              <w:t>44.77%</w:t>
            </w:r>
            <w:r>
              <w:rPr>
                <w:color w:val="000000"/>
                <w:spacing w:val="0"/>
                <w:w w:val="100"/>
                <w:position w:val="0"/>
              </w:rPr>
              <w:t>，主要由于公司自营业务规模 减少。</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存出保证金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期末存出保证金</w:t>
            </w:r>
            <w:r>
              <w:rPr>
                <w:rFonts w:ascii="Times New Roman" w:eastAsia="Times New Roman" w:hAnsi="Times New Roman" w:cs="Times New Roman"/>
                <w:color w:val="000000"/>
                <w:spacing w:val="0"/>
                <w:w w:val="100"/>
                <w:position w:val="0"/>
              </w:rPr>
              <w:t>14.05</w:t>
            </w:r>
            <w:r>
              <w:rPr>
                <w:color w:val="000000"/>
                <w:spacing w:val="0"/>
                <w:w w:val="100"/>
                <w:position w:val="0"/>
              </w:rPr>
              <w:t>亿元，较上年末增长</w:t>
            </w:r>
            <w:r>
              <w:rPr>
                <w:rFonts w:ascii="Times New Roman" w:eastAsia="Times New Roman" w:hAnsi="Times New Roman" w:cs="Times New Roman"/>
                <w:color w:val="000000"/>
                <w:spacing w:val="0"/>
                <w:w w:val="100"/>
                <w:position w:val="0"/>
              </w:rPr>
              <w:t>114.75%</w:t>
            </w:r>
            <w:r>
              <w:rPr>
                <w:color w:val="000000"/>
                <w:spacing w:val="0"/>
                <w:w w:val="100"/>
                <w:position w:val="0"/>
              </w:rPr>
              <w:t>，主要由于期货业务规模增加。</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pPr>
            <w:r>
              <w:rPr>
                <w:color w:val="000000"/>
                <w:spacing w:val="0"/>
                <w:w w:val="100"/>
                <w:position w:val="0"/>
              </w:rPr>
              <w:t>期末应收账款</w:t>
            </w:r>
            <w:r>
              <w:rPr>
                <w:rFonts w:ascii="Times New Roman" w:eastAsia="Times New Roman" w:hAnsi="Times New Roman" w:cs="Times New Roman"/>
                <w:color w:val="000000"/>
                <w:spacing w:val="0"/>
                <w:w w:val="100"/>
                <w:position w:val="0"/>
              </w:rPr>
              <w:t>2.69</w:t>
            </w:r>
            <w:r>
              <w:rPr>
                <w:color w:val="000000"/>
                <w:spacing w:val="0"/>
                <w:w w:val="100"/>
                <w:position w:val="0"/>
              </w:rPr>
              <w:t>亿元，较上年末增长</w:t>
            </w:r>
            <w:r>
              <w:rPr>
                <w:rFonts w:ascii="Times New Roman" w:eastAsia="Times New Roman" w:hAnsi="Times New Roman" w:cs="Times New Roman"/>
                <w:color w:val="000000"/>
                <w:spacing w:val="0"/>
                <w:w w:val="100"/>
                <w:position w:val="0"/>
              </w:rPr>
              <w:t>30.56%</w:t>
            </w:r>
            <w:r>
              <w:rPr>
                <w:color w:val="000000"/>
                <w:spacing w:val="0"/>
                <w:w w:val="100"/>
                <w:position w:val="0"/>
              </w:rPr>
              <w:t>，主要由于期末应收席位租赁收入增 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期末其他应收款</w:t>
            </w:r>
            <w:r>
              <w:rPr>
                <w:rFonts w:ascii="Times New Roman" w:eastAsia="Times New Roman" w:hAnsi="Times New Roman" w:cs="Times New Roman"/>
                <w:color w:val="000000"/>
                <w:spacing w:val="0"/>
                <w:w w:val="100"/>
                <w:position w:val="0"/>
              </w:rPr>
              <w:t>4,999.90</w:t>
            </w:r>
            <w:r>
              <w:rPr>
                <w:color w:val="000000"/>
                <w:spacing w:val="0"/>
                <w:w w:val="100"/>
                <w:position w:val="0"/>
              </w:rPr>
              <w:t>万元，较上年末下降</w:t>
            </w:r>
            <w:r>
              <w:rPr>
                <w:rFonts w:ascii="Times New Roman" w:eastAsia="Times New Roman" w:hAnsi="Times New Roman" w:cs="Times New Roman"/>
                <w:color w:val="000000"/>
                <w:spacing w:val="0"/>
                <w:w w:val="100"/>
                <w:position w:val="0"/>
              </w:rPr>
              <w:t>57.28%</w:t>
            </w:r>
            <w:r>
              <w:rPr>
                <w:color w:val="000000"/>
                <w:spacing w:val="0"/>
                <w:w w:val="100"/>
                <w:position w:val="0"/>
              </w:rPr>
              <w:t>，主要由于履约保证金减少。</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买入返售金融资产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期末买入返售金融资产</w:t>
            </w:r>
            <w:r>
              <w:rPr>
                <w:rFonts w:ascii="Times New Roman" w:eastAsia="Times New Roman" w:hAnsi="Times New Roman" w:cs="Times New Roman"/>
                <w:color w:val="000000"/>
                <w:spacing w:val="0"/>
                <w:w w:val="100"/>
                <w:position w:val="0"/>
              </w:rPr>
              <w:t>16.85</w:t>
            </w:r>
            <w:r>
              <w:rPr>
                <w:color w:val="000000"/>
                <w:spacing w:val="0"/>
                <w:w w:val="100"/>
                <w:position w:val="0"/>
              </w:rPr>
              <w:t>亿元，较上年末下降</w:t>
            </w:r>
            <w:r>
              <w:rPr>
                <w:rFonts w:ascii="Times New Roman" w:eastAsia="Times New Roman" w:hAnsi="Times New Roman" w:cs="Times New Roman"/>
                <w:color w:val="000000"/>
                <w:spacing w:val="0"/>
                <w:w w:val="100"/>
                <w:position w:val="0"/>
              </w:rPr>
              <w:t>66.61%</w:t>
            </w:r>
            <w:r>
              <w:rPr>
                <w:color w:val="000000"/>
                <w:spacing w:val="0"/>
                <w:w w:val="100"/>
                <w:position w:val="0"/>
              </w:rPr>
              <w:t>，主要由于信用业务规模缩 减及部分客户合约到期。</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pPr>
            <w:r>
              <w:rPr>
                <w:color w:val="000000"/>
                <w:spacing w:val="0"/>
                <w:w w:val="100"/>
                <w:position w:val="0"/>
              </w:rPr>
              <w:t>期末其他流动资产</w:t>
            </w:r>
            <w:r>
              <w:rPr>
                <w:rFonts w:ascii="Times New Roman" w:eastAsia="Times New Roman" w:hAnsi="Times New Roman" w:cs="Times New Roman"/>
                <w:color w:val="000000"/>
                <w:spacing w:val="0"/>
                <w:w w:val="100"/>
                <w:position w:val="0"/>
              </w:rPr>
              <w:t>2,124.34</w:t>
            </w:r>
            <w:r>
              <w:rPr>
                <w:color w:val="000000"/>
                <w:spacing w:val="0"/>
                <w:w w:val="100"/>
                <w:position w:val="0"/>
              </w:rPr>
              <w:t>万元，较上年末下降</w:t>
            </w:r>
            <w:r>
              <w:rPr>
                <w:rFonts w:ascii="Times New Roman" w:eastAsia="Times New Roman" w:hAnsi="Times New Roman" w:cs="Times New Roman"/>
                <w:color w:val="000000"/>
                <w:spacing w:val="0"/>
                <w:w w:val="100"/>
                <w:position w:val="0"/>
              </w:rPr>
              <w:t>69.71%</w:t>
            </w:r>
            <w:r>
              <w:rPr>
                <w:color w:val="000000"/>
                <w:spacing w:val="0"/>
                <w:w w:val="100"/>
                <w:position w:val="0"/>
              </w:rPr>
              <w:t>，主要由于预缴企业所得税减 少。</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其他债权投资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期末其他债权投资</w:t>
            </w:r>
            <w:r>
              <w:rPr>
                <w:rFonts w:ascii="Times New Roman" w:eastAsia="Times New Roman" w:hAnsi="Times New Roman" w:cs="Times New Roman"/>
                <w:color w:val="000000"/>
                <w:spacing w:val="0"/>
                <w:w w:val="100"/>
                <w:position w:val="0"/>
              </w:rPr>
              <w:t>8.84</w:t>
            </w:r>
            <w:r>
              <w:rPr>
                <w:color w:val="000000"/>
                <w:spacing w:val="0"/>
                <w:w w:val="100"/>
                <w:position w:val="0"/>
              </w:rPr>
              <w:t>亿元，较上年末增长</w:t>
            </w:r>
            <w:r>
              <w:rPr>
                <w:rFonts w:ascii="Times New Roman" w:eastAsia="Times New Roman" w:hAnsi="Times New Roman" w:cs="Times New Roman"/>
                <w:color w:val="000000"/>
                <w:spacing w:val="0"/>
                <w:w w:val="100"/>
                <w:position w:val="0"/>
              </w:rPr>
              <w:t>145.40%</w:t>
            </w:r>
            <w:r>
              <w:rPr>
                <w:color w:val="000000"/>
                <w:spacing w:val="0"/>
                <w:w w:val="100"/>
                <w:position w:val="0"/>
              </w:rPr>
              <w:t>，主要由于债券持仓规模增加。</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其他非流动金融资 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期末其他非流动金融资产</w:t>
            </w:r>
            <w:r>
              <w:rPr>
                <w:rFonts w:ascii="Times New Roman" w:eastAsia="Times New Roman" w:hAnsi="Times New Roman" w:cs="Times New Roman"/>
                <w:color w:val="000000"/>
                <w:spacing w:val="0"/>
                <w:w w:val="100"/>
                <w:position w:val="0"/>
              </w:rPr>
              <w:t>2.48</w:t>
            </w:r>
            <w:r>
              <w:rPr>
                <w:color w:val="000000"/>
                <w:spacing w:val="0"/>
                <w:w w:val="100"/>
                <w:position w:val="0"/>
              </w:rPr>
              <w:t>亿元，较上年末下降</w:t>
            </w:r>
            <w:r>
              <w:rPr>
                <w:rFonts w:ascii="Times New Roman" w:eastAsia="Times New Roman" w:hAnsi="Times New Roman" w:cs="Times New Roman"/>
                <w:color w:val="000000"/>
                <w:spacing w:val="0"/>
                <w:w w:val="100"/>
                <w:position w:val="0"/>
              </w:rPr>
              <w:t>32.75%</w:t>
            </w:r>
            <w:r>
              <w:rPr>
                <w:color w:val="000000"/>
                <w:spacing w:val="0"/>
                <w:w w:val="100"/>
                <w:position w:val="0"/>
              </w:rPr>
              <w:t>，主要由于持有期限不足 一年调整至交易性金融资产。</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pPr>
            <w:r>
              <w:rPr>
                <w:color w:val="000000"/>
                <w:spacing w:val="0"/>
                <w:w w:val="100"/>
                <w:position w:val="0"/>
              </w:rPr>
              <w:t>期末无形资产</w:t>
            </w:r>
            <w:r>
              <w:rPr>
                <w:rFonts w:ascii="Times New Roman" w:eastAsia="Times New Roman" w:hAnsi="Times New Roman" w:cs="Times New Roman"/>
                <w:color w:val="000000"/>
                <w:spacing w:val="0"/>
                <w:w w:val="100"/>
                <w:position w:val="0"/>
              </w:rPr>
              <w:t>8,613.49</w:t>
            </w:r>
            <w:r>
              <w:rPr>
                <w:color w:val="000000"/>
                <w:spacing w:val="0"/>
                <w:w w:val="100"/>
                <w:position w:val="0"/>
              </w:rPr>
              <w:t>万元，较上年末增长</w:t>
            </w:r>
            <w:r>
              <w:rPr>
                <w:rFonts w:ascii="Times New Roman" w:eastAsia="Times New Roman" w:hAnsi="Times New Roman" w:cs="Times New Roman"/>
                <w:color w:val="000000"/>
                <w:spacing w:val="0"/>
                <w:w w:val="100"/>
                <w:position w:val="0"/>
              </w:rPr>
              <w:t>30.08%</w:t>
            </w:r>
            <w:r>
              <w:rPr>
                <w:color w:val="000000"/>
                <w:spacing w:val="0"/>
                <w:w w:val="100"/>
                <w:position w:val="0"/>
              </w:rPr>
              <w:t>，主要由于证券信息化建设增加软 件投入。</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期末递延所得税资产</w:t>
            </w:r>
            <w:r>
              <w:rPr>
                <w:rFonts w:ascii="Times New Roman" w:eastAsia="Times New Roman" w:hAnsi="Times New Roman" w:cs="Times New Roman"/>
                <w:color w:val="000000"/>
                <w:spacing w:val="0"/>
                <w:w w:val="100"/>
                <w:position w:val="0"/>
              </w:rPr>
              <w:t>1.13</w:t>
            </w:r>
            <w:r>
              <w:rPr>
                <w:color w:val="000000"/>
                <w:spacing w:val="0"/>
                <w:w w:val="100"/>
                <w:position w:val="0"/>
              </w:rPr>
              <w:t>亿元，较上年末增长</w:t>
            </w:r>
            <w:r>
              <w:rPr>
                <w:rFonts w:ascii="Times New Roman" w:eastAsia="Times New Roman" w:hAnsi="Times New Roman" w:cs="Times New Roman"/>
                <w:color w:val="000000"/>
                <w:spacing w:val="0"/>
                <w:w w:val="100"/>
                <w:position w:val="0"/>
              </w:rPr>
              <w:t>178.47%</w:t>
            </w:r>
            <w:r>
              <w:rPr>
                <w:color w:val="000000"/>
                <w:spacing w:val="0"/>
                <w:w w:val="100"/>
                <w:position w:val="0"/>
              </w:rPr>
              <w:t>，主要由于公允价值变动及资 产减值形成暂时性纳税差异。</w:t>
            </w:r>
          </w:p>
        </w:tc>
      </w:tr>
    </w:tbl>
    <w:p>
      <w:pPr>
        <w:pStyle w:val="Style16"/>
        <w:keepNext w:val="0"/>
        <w:keepLines w:val="0"/>
        <w:widowControl w:val="0"/>
        <w:shd w:val="clear" w:color="auto" w:fill="auto"/>
        <w:tabs>
          <w:tab w:pos="8627" w:val="left"/>
        </w:tabs>
        <w:bidi w:val="0"/>
        <w:spacing w:before="0" w:after="340" w:line="317" w:lineRule="exact"/>
        <w:ind w:left="0" w:right="0" w:firstLine="640"/>
        <w:jc w:val="both"/>
      </w:pPr>
      <w:bookmarkStart w:id="80" w:name="bookmark80"/>
      <w:r>
        <w:rPr>
          <w:rFonts w:ascii="Times New Roman" w:eastAsia="Times New Roman" w:hAnsi="Times New Roman" w:cs="Times New Roman"/>
          <w:b/>
          <w:bCs/>
          <w:color w:val="000000"/>
          <w:spacing w:val="0"/>
          <w:w w:val="100"/>
          <w:position w:val="0"/>
        </w:rPr>
        <w:t>2</w:t>
      </w:r>
      <w:r>
        <w:rPr>
          <w:b/>
          <w:bCs/>
          <w:color w:val="000000"/>
          <w:spacing w:val="0"/>
          <w:w w:val="100"/>
          <w:position w:val="0"/>
        </w:rPr>
        <w:t>、主要境外资产情况</w:t>
        <w:tab/>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bookmarkEnd w:id="80"/>
    </w:p>
    <w:p>
      <w:pPr>
        <w:pStyle w:val="Style29"/>
        <w:keepNext/>
        <w:keepLines/>
        <w:widowControl w:val="0"/>
        <w:shd w:val="clear" w:color="auto" w:fill="auto"/>
        <w:bidi w:val="0"/>
        <w:spacing w:before="0" w:after="260" w:line="240" w:lineRule="auto"/>
        <w:ind w:left="0" w:right="0" w:firstLine="640"/>
        <w:jc w:val="both"/>
      </w:pPr>
      <w:bookmarkStart w:id="81" w:name="bookmark81"/>
      <w:bookmarkStart w:id="82" w:name="bookmark82"/>
      <w:bookmarkStart w:id="83" w:name="bookmark83"/>
      <w:bookmarkStart w:id="84" w:name="bookmark84"/>
      <w:bookmarkStart w:id="85" w:name="bookmark85"/>
      <w:r>
        <w:rPr>
          <w:color w:val="000000"/>
          <w:spacing w:val="0"/>
          <w:w w:val="100"/>
          <w:position w:val="0"/>
          <w:sz w:val="24"/>
          <w:szCs w:val="24"/>
        </w:rPr>
        <w:t>三</w:t>
      </w:r>
      <w:bookmarkEnd w:id="83"/>
      <w:r>
        <w:rPr>
          <w:color w:val="000000"/>
          <w:spacing w:val="0"/>
          <w:w w:val="100"/>
          <w:position w:val="0"/>
          <w:sz w:val="24"/>
          <w:szCs w:val="24"/>
        </w:rPr>
        <w:t>、核心竞争力分析</w:t>
      </w:r>
      <w:bookmarkEnd w:id="81"/>
      <w:bookmarkEnd w:id="82"/>
      <w:bookmarkEnd w:id="84"/>
      <w:bookmarkEnd w:id="85"/>
    </w:p>
    <w:p>
      <w:pPr>
        <w:pStyle w:val="Style16"/>
        <w:keepNext w:val="0"/>
        <w:keepLines w:val="0"/>
        <w:widowControl w:val="0"/>
        <w:shd w:val="clear" w:color="auto" w:fill="auto"/>
        <w:tabs>
          <w:tab w:pos="1625" w:val="left"/>
        </w:tabs>
        <w:bidi w:val="0"/>
        <w:spacing w:before="0" w:after="0" w:line="317" w:lineRule="exact"/>
        <w:ind w:left="1080" w:right="0" w:firstLine="0"/>
        <w:jc w:val="both"/>
      </w:pPr>
      <w:bookmarkStart w:id="86" w:name="bookmark86"/>
      <w:bookmarkStart w:id="87" w:name="bookmark87"/>
      <w:r>
        <w:rPr>
          <w:color w:val="000000"/>
          <w:spacing w:val="0"/>
          <w:w w:val="100"/>
          <w:position w:val="0"/>
        </w:rPr>
        <w:t>（</w:t>
      </w:r>
      <w:bookmarkEnd w:id="86"/>
      <w:r>
        <w:rPr>
          <w:color w:val="000000"/>
          <w:spacing w:val="0"/>
          <w:w w:val="100"/>
          <w:position w:val="0"/>
        </w:rPr>
        <w:t>一）</w:t>
        <w:tab/>
        <w:t>证券业务核心竞争力</w:t>
      </w:r>
      <w:bookmarkEnd w:id="87"/>
    </w:p>
    <w:p>
      <w:pPr>
        <w:pStyle w:val="Style16"/>
        <w:keepNext w:val="0"/>
        <w:keepLines w:val="0"/>
        <w:widowControl w:val="0"/>
        <w:shd w:val="clear" w:color="auto" w:fill="auto"/>
        <w:bidi w:val="0"/>
        <w:spacing w:before="0" w:after="0" w:line="318" w:lineRule="exact"/>
        <w:ind w:left="640" w:right="0" w:firstLine="640"/>
        <w:jc w:val="both"/>
      </w:pPr>
      <w:bookmarkStart w:id="88" w:name="bookmark88"/>
      <w:bookmarkStart w:id="89" w:name="bookmark89"/>
      <w:r>
        <w:rPr>
          <w:rFonts w:ascii="Times New Roman" w:eastAsia="Times New Roman" w:hAnsi="Times New Roman" w:cs="Times New Roman"/>
          <w:color w:val="000000"/>
          <w:spacing w:val="0"/>
          <w:w w:val="100"/>
          <w:position w:val="0"/>
        </w:rPr>
        <w:t>1</w:t>
      </w:r>
      <w:bookmarkEnd w:id="88"/>
      <w:r>
        <w:rPr>
          <w:color w:val="000000"/>
          <w:spacing w:val="0"/>
          <w:w w:val="100"/>
          <w:position w:val="0"/>
        </w:rPr>
        <w:t>、零售业务条线夯实基础厚积薄发，向财富管理转型取得阶段性突破，业务指标与市场排名大幅 提升。</w:t>
      </w:r>
      <w:bookmarkEnd w:id="89"/>
    </w:p>
    <w:p>
      <w:pPr>
        <w:pStyle w:val="Style16"/>
        <w:keepNext w:val="0"/>
        <w:keepLines w:val="0"/>
        <w:widowControl w:val="0"/>
        <w:shd w:val="clear" w:color="auto" w:fill="auto"/>
        <w:bidi w:val="0"/>
        <w:spacing w:before="0" w:after="0" w:line="318" w:lineRule="exact"/>
        <w:ind w:left="640" w:right="0" w:firstLine="5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A</w:t>
      </w:r>
      <w:r>
        <w:rPr>
          <w:color w:val="000000"/>
          <w:spacing w:val="0"/>
          <w:w w:val="100"/>
          <w:position w:val="0"/>
        </w:rPr>
        <w:t>股市场呈现结构性牛市，成交额屡创新高，股票市场交投氛围较好。经纪业务条线按照年 初既定战略，稳扎稳打，抓住了这一波市场机遇，开展全领域营销活动，各项业务指标全面向好，以资产 配置和产品创设能力为核心的财富管理能力快速提升，收入结构逐渐多元化，客户机构化特点初步显现， 高净值客户数量迅速增加。经过前期不断夯实基础，证券业务向财富管理转型取得阶段性突破。</w:t>
      </w:r>
    </w:p>
    <w:p>
      <w:pPr>
        <w:pStyle w:val="Style16"/>
        <w:keepNext w:val="0"/>
        <w:keepLines w:val="0"/>
        <w:widowControl w:val="0"/>
        <w:shd w:val="clear" w:color="auto" w:fill="auto"/>
        <w:bidi w:val="0"/>
        <w:spacing w:before="0" w:after="0" w:line="317" w:lineRule="exact"/>
        <w:ind w:left="640" w:right="0" w:firstLine="5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年度，累计经纪业务托管资产总值创历史新高，股基交易市场份额、两融规模、高净值客户开 拓、金融产品销售等经纪业务各项业绩指标排名均有不同幅度的提升，经纪业务收入、交易单元席位租赁 收入、融资融券业务利息收入等指标已进入行业前</w:t>
      </w:r>
      <w:r>
        <w:rPr>
          <w:rFonts w:ascii="Times New Roman" w:eastAsia="Times New Roman" w:hAnsi="Times New Roman" w:cs="Times New Roman"/>
          <w:color w:val="000000"/>
          <w:spacing w:val="0"/>
          <w:w w:val="100"/>
          <w:position w:val="0"/>
        </w:rPr>
        <w:t>40</w:t>
      </w:r>
      <w:r>
        <w:rPr>
          <w:color w:val="000000"/>
          <w:spacing w:val="0"/>
          <w:w w:val="100"/>
          <w:position w:val="0"/>
        </w:rPr>
        <w:t>。</w:t>
      </w:r>
    </w:p>
    <w:p>
      <w:pPr>
        <w:pStyle w:val="Style16"/>
        <w:keepNext w:val="0"/>
        <w:keepLines w:val="0"/>
        <w:widowControl w:val="0"/>
        <w:shd w:val="clear" w:color="auto" w:fill="auto"/>
        <w:bidi w:val="0"/>
        <w:spacing w:before="0" w:after="0" w:line="317" w:lineRule="exact"/>
        <w:ind w:left="640" w:right="0" w:firstLine="540"/>
        <w:jc w:val="both"/>
      </w:pPr>
      <w:r>
        <w:rPr>
          <w:color w:val="000000"/>
          <w:spacing w:val="0"/>
          <w:w w:val="100"/>
          <w:position w:val="0"/>
        </w:rPr>
        <w:t>期货公司业务经营迅猛发展，部分指标再创历史新高。全年保证金峰值达到</w:t>
      </w:r>
      <w:r>
        <w:rPr>
          <w:rFonts w:ascii="Times New Roman" w:eastAsia="Times New Roman" w:hAnsi="Times New Roman" w:cs="Times New Roman"/>
          <w:color w:val="000000"/>
          <w:spacing w:val="0"/>
          <w:w w:val="100"/>
          <w:position w:val="0"/>
        </w:rPr>
        <w:t>15.78</w:t>
      </w:r>
      <w:r>
        <w:rPr>
          <w:color w:val="000000"/>
          <w:spacing w:val="0"/>
          <w:w w:val="100"/>
          <w:position w:val="0"/>
        </w:rPr>
        <w:t>亿元,保证金规模、 交易量都较</w:t>
      </w:r>
      <w:r>
        <w:rPr>
          <w:rFonts w:ascii="Times New Roman" w:eastAsia="Times New Roman" w:hAnsi="Times New Roman" w:cs="Times New Roman"/>
          <w:color w:val="000000"/>
          <w:spacing w:val="0"/>
          <w:w w:val="100"/>
          <w:position w:val="0"/>
        </w:rPr>
        <w:t>2019</w:t>
      </w:r>
      <w:r>
        <w:rPr>
          <w:color w:val="000000"/>
          <w:spacing w:val="0"/>
          <w:w w:val="100"/>
          <w:position w:val="0"/>
        </w:rPr>
        <w:t>年增长超过十余倍，在</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年期货公司分类评价中获得了 </w:t>
      </w:r>
      <w:r>
        <w:rPr>
          <w:rFonts w:ascii="Times New Roman" w:eastAsia="Times New Roman" w:hAnsi="Times New Roman" w:cs="Times New Roman"/>
          <w:color w:val="000000"/>
          <w:spacing w:val="0"/>
          <w:w w:val="100"/>
          <w:position w:val="0"/>
        </w:rPr>
        <w:t>B</w:t>
      </w:r>
      <w:r>
        <w:rPr>
          <w:color w:val="000000"/>
          <w:spacing w:val="0"/>
          <w:w w:val="100"/>
          <w:position w:val="0"/>
        </w:rPr>
        <w:t>类、反洗钱评级</w:t>
      </w:r>
      <w:r>
        <w:rPr>
          <w:rFonts w:ascii="Times New Roman" w:eastAsia="Times New Roman" w:hAnsi="Times New Roman" w:cs="Times New Roman"/>
          <w:color w:val="000000"/>
          <w:spacing w:val="0"/>
          <w:w w:val="100"/>
          <w:position w:val="0"/>
        </w:rPr>
        <w:t>BB</w:t>
      </w:r>
      <w:r>
        <w:rPr>
          <w:color w:val="000000"/>
          <w:spacing w:val="0"/>
          <w:w w:val="100"/>
          <w:position w:val="0"/>
        </w:rPr>
        <w:t>级，充 分体现出监管机构对期货公司经营质量的认可。</w:t>
      </w:r>
    </w:p>
    <w:p>
      <w:pPr>
        <w:pStyle w:val="Style16"/>
        <w:keepNext w:val="0"/>
        <w:keepLines w:val="0"/>
        <w:widowControl w:val="0"/>
        <w:shd w:val="clear" w:color="auto" w:fill="auto"/>
        <w:tabs>
          <w:tab w:pos="1404" w:val="left"/>
        </w:tabs>
        <w:bidi w:val="0"/>
        <w:spacing w:before="0" w:after="0" w:line="317" w:lineRule="exact"/>
        <w:ind w:left="1080" w:right="0" w:firstLine="0"/>
        <w:jc w:val="both"/>
      </w:pPr>
      <w:bookmarkStart w:id="90" w:name="bookmark90"/>
      <w:r>
        <w:rPr>
          <w:rFonts w:ascii="Times New Roman" w:eastAsia="Times New Roman" w:hAnsi="Times New Roman" w:cs="Times New Roman"/>
          <w:color w:val="000000"/>
          <w:spacing w:val="0"/>
          <w:w w:val="100"/>
          <w:position w:val="0"/>
        </w:rPr>
        <w:t>2</w:t>
      </w:r>
      <w:bookmarkEnd w:id="90"/>
      <w:r>
        <w:rPr>
          <w:color w:val="000000"/>
          <w:spacing w:val="0"/>
          <w:w w:val="100"/>
          <w:position w:val="0"/>
        </w:rPr>
        <w:t>、</w:t>
        <w:tab/>
        <w:t>证券研究业务砥砺前行再创佳绩，强化与各业务条线协同联动，对外名片“含金量”显著提升</w:t>
      </w:r>
    </w:p>
    <w:p>
      <w:pPr>
        <w:pStyle w:val="Style16"/>
        <w:keepNext w:val="0"/>
        <w:keepLines w:val="0"/>
        <w:widowControl w:val="0"/>
        <w:shd w:val="clear" w:color="auto" w:fill="auto"/>
        <w:bidi w:val="0"/>
        <w:spacing w:before="0" w:after="0" w:line="317" w:lineRule="exact"/>
        <w:ind w:left="640" w:right="0" w:firstLine="44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年，国盛研究所继续保持高速发展势头，在行业竞争日趋激烈的大环境下，团队建设不断强化, 投研体系日益完善，创造了稳定优异的成绩。研究所全年收入同比近乎翻倍，市场占有率、核心客户排名 和客户覆盖数量均有大幅提升。全年公募客户覆盖数量超过</w:t>
      </w:r>
      <w:r>
        <w:rPr>
          <w:rFonts w:ascii="Times New Roman" w:eastAsia="Times New Roman" w:hAnsi="Times New Roman" w:cs="Times New Roman"/>
          <w:color w:val="000000"/>
          <w:spacing w:val="0"/>
          <w:w w:val="100"/>
          <w:position w:val="0"/>
        </w:rPr>
        <w:t>100</w:t>
      </w:r>
      <w:r>
        <w:rPr>
          <w:color w:val="000000"/>
          <w:spacing w:val="0"/>
          <w:w w:val="100"/>
          <w:position w:val="0"/>
        </w:rPr>
        <w:t>家，保险资管客户覆盖数量接近</w:t>
      </w:r>
      <w:r>
        <w:rPr>
          <w:rFonts w:ascii="Times New Roman" w:eastAsia="Times New Roman" w:hAnsi="Times New Roman" w:cs="Times New Roman"/>
          <w:color w:val="000000"/>
          <w:spacing w:val="0"/>
          <w:w w:val="100"/>
          <w:position w:val="0"/>
        </w:rPr>
        <w:t>30</w:t>
      </w:r>
      <w:r>
        <w:rPr>
          <w:color w:val="000000"/>
          <w:spacing w:val="0"/>
          <w:w w:val="100"/>
          <w:position w:val="0"/>
        </w:rPr>
        <w:t>家， 私募客户覆盖数量接近</w:t>
      </w:r>
      <w:r>
        <w:rPr>
          <w:rFonts w:ascii="Times New Roman" w:eastAsia="Times New Roman" w:hAnsi="Times New Roman" w:cs="Times New Roman"/>
          <w:color w:val="000000"/>
          <w:spacing w:val="0"/>
          <w:w w:val="100"/>
          <w:position w:val="0"/>
        </w:rPr>
        <w:t>300</w:t>
      </w:r>
      <w:r>
        <w:rPr>
          <w:color w:val="000000"/>
          <w:spacing w:val="0"/>
          <w:w w:val="100"/>
          <w:position w:val="0"/>
        </w:rPr>
        <w:t>家，大多数核心客户排名均长期稳定在前五。</w:t>
      </w:r>
      <w:r>
        <w:rPr>
          <w:rFonts w:ascii="Times New Roman" w:eastAsia="Times New Roman" w:hAnsi="Times New Roman" w:cs="Times New Roman"/>
          <w:color w:val="000000"/>
          <w:spacing w:val="0"/>
          <w:w w:val="100"/>
          <w:position w:val="0"/>
        </w:rPr>
        <w:t>2020</w:t>
      </w:r>
      <w:r>
        <w:rPr>
          <w:color w:val="000000"/>
          <w:spacing w:val="0"/>
          <w:w w:val="100"/>
          <w:position w:val="0"/>
        </w:rPr>
        <w:t>年新增外资客户</w:t>
      </w:r>
      <w:r>
        <w:rPr>
          <w:rFonts w:ascii="Times New Roman" w:eastAsia="Times New Roman" w:hAnsi="Times New Roman" w:cs="Times New Roman"/>
          <w:color w:val="000000"/>
          <w:spacing w:val="0"/>
          <w:w w:val="100"/>
          <w:position w:val="0"/>
        </w:rPr>
        <w:t>32</w:t>
      </w:r>
      <w:r>
        <w:rPr>
          <w:color w:val="000000"/>
          <w:spacing w:val="0"/>
          <w:w w:val="100"/>
          <w:position w:val="0"/>
        </w:rPr>
        <w:t>家，截 至目前已覆盖合作客户总数</w:t>
      </w:r>
      <w:r>
        <w:rPr>
          <w:rFonts w:ascii="Times New Roman" w:eastAsia="Times New Roman" w:hAnsi="Times New Roman" w:cs="Times New Roman"/>
          <w:color w:val="000000"/>
          <w:spacing w:val="0"/>
          <w:w w:val="100"/>
          <w:position w:val="0"/>
        </w:rPr>
        <w:t>72</w:t>
      </w:r>
      <w:r>
        <w:rPr>
          <w:color w:val="000000"/>
          <w:spacing w:val="0"/>
          <w:w w:val="100"/>
          <w:position w:val="0"/>
        </w:rPr>
        <w:t>家，与多家国际知名投资机构均已展开合作，充分体现了市场对国盛证券 研究实力的认可，国盛证券对外名片“含金量”显著提升。</w:t>
      </w:r>
    </w:p>
    <w:p>
      <w:pPr>
        <w:pStyle w:val="Style16"/>
        <w:keepNext w:val="0"/>
        <w:keepLines w:val="0"/>
        <w:widowControl w:val="0"/>
        <w:shd w:val="clear" w:color="auto" w:fill="auto"/>
        <w:bidi w:val="0"/>
        <w:spacing w:before="0" w:after="0" w:line="310" w:lineRule="exact"/>
        <w:ind w:left="640" w:right="0" w:firstLine="440"/>
        <w:jc w:val="left"/>
      </w:pPr>
      <w:r>
        <w:rPr>
          <w:color w:val="000000"/>
          <w:spacing w:val="0"/>
          <w:w w:val="100"/>
          <w:position w:val="0"/>
        </w:rPr>
        <w:t xml:space="preserve">在第十八届新财富最佳分析师评比中，国盛证券研究所凭借各团队在各自研究领域的出色表现，共有 </w:t>
      </w:r>
      <w:r>
        <w:rPr>
          <w:rFonts w:ascii="Times New Roman" w:eastAsia="Times New Roman" w:hAnsi="Times New Roman" w:cs="Times New Roman"/>
          <w:color w:val="000000"/>
          <w:spacing w:val="0"/>
          <w:w w:val="100"/>
          <w:position w:val="0"/>
        </w:rPr>
        <w:t>14</w:t>
      </w:r>
      <w:r>
        <w:rPr>
          <w:color w:val="000000"/>
          <w:spacing w:val="0"/>
          <w:w w:val="100"/>
          <w:position w:val="0"/>
        </w:rPr>
        <w:t>个研究团队和</w:t>
      </w:r>
      <w:r>
        <w:rPr>
          <w:rFonts w:ascii="Times New Roman" w:eastAsia="Times New Roman" w:hAnsi="Times New Roman" w:cs="Times New Roman"/>
          <w:color w:val="000000"/>
          <w:spacing w:val="0"/>
          <w:w w:val="100"/>
          <w:position w:val="0"/>
        </w:rPr>
        <w:t>3</w:t>
      </w:r>
      <w:r>
        <w:rPr>
          <w:color w:val="000000"/>
          <w:spacing w:val="0"/>
          <w:w w:val="100"/>
          <w:position w:val="0"/>
        </w:rPr>
        <w:t>个销售团队入围，荣获多项殊荣。其中，公司荣获“新财富最佳销售服务团队” “新财 富最具影响力机构” “新财富最佳产业研究团队”等六项团体大奖；建筑和工程团队已连续</w:t>
      </w:r>
      <w:r>
        <w:rPr>
          <w:rFonts w:ascii="Times New Roman" w:eastAsia="Times New Roman" w:hAnsi="Times New Roman" w:cs="Times New Roman"/>
          <w:color w:val="000000"/>
          <w:spacing w:val="0"/>
          <w:w w:val="100"/>
          <w:position w:val="0"/>
        </w:rPr>
        <w:t>11</w:t>
      </w:r>
      <w:r>
        <w:rPr>
          <w:color w:val="000000"/>
          <w:spacing w:val="0"/>
          <w:w w:val="100"/>
          <w:position w:val="0"/>
        </w:rPr>
        <w:t>年蝉联行 业第一、金融工程团队已连续</w:t>
      </w:r>
      <w:r>
        <w:rPr>
          <w:rFonts w:ascii="Times New Roman" w:eastAsia="Times New Roman" w:hAnsi="Times New Roman" w:cs="Times New Roman"/>
          <w:color w:val="000000"/>
          <w:spacing w:val="0"/>
          <w:w w:val="100"/>
          <w:position w:val="0"/>
        </w:rPr>
        <w:t>6</w:t>
      </w:r>
      <w:r>
        <w:rPr>
          <w:color w:val="000000"/>
          <w:spacing w:val="0"/>
          <w:w w:val="100"/>
          <w:position w:val="0"/>
        </w:rPr>
        <w:t>年蝉联行业第一。</w:t>
      </w:r>
    </w:p>
    <w:p>
      <w:pPr>
        <w:pStyle w:val="Style16"/>
        <w:keepNext w:val="0"/>
        <w:keepLines w:val="0"/>
        <w:widowControl w:val="0"/>
        <w:shd w:val="clear" w:color="auto" w:fill="auto"/>
        <w:tabs>
          <w:tab w:pos="1404" w:val="left"/>
        </w:tabs>
        <w:bidi w:val="0"/>
        <w:spacing w:before="0" w:after="0" w:line="317" w:lineRule="exact"/>
        <w:ind w:left="1080" w:right="0" w:firstLine="0"/>
        <w:jc w:val="both"/>
      </w:pPr>
      <w:bookmarkStart w:id="91" w:name="bookmark91"/>
      <w:r>
        <w:rPr>
          <w:rFonts w:ascii="Times New Roman" w:eastAsia="Times New Roman" w:hAnsi="Times New Roman" w:cs="Times New Roman"/>
          <w:color w:val="000000"/>
          <w:spacing w:val="0"/>
          <w:w w:val="100"/>
          <w:position w:val="0"/>
        </w:rPr>
        <w:t>3</w:t>
      </w:r>
      <w:bookmarkEnd w:id="91"/>
      <w:r>
        <w:rPr>
          <w:color w:val="000000"/>
          <w:spacing w:val="0"/>
          <w:w w:val="100"/>
          <w:position w:val="0"/>
        </w:rPr>
        <w:t>、</w:t>
        <w:tab/>
        <w:t>投资银行业务迎难而上奋力破局，多项业务实现突破，储备优质项目为未来发展伏笔蓄势</w:t>
      </w:r>
    </w:p>
    <w:p>
      <w:pPr>
        <w:pStyle w:val="Style16"/>
        <w:keepNext w:val="0"/>
        <w:keepLines w:val="0"/>
        <w:widowControl w:val="0"/>
        <w:shd w:val="clear" w:color="auto" w:fill="auto"/>
        <w:bidi w:val="0"/>
        <w:spacing w:before="0" w:after="0" w:line="312" w:lineRule="exact"/>
        <w:ind w:left="64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年，投资银行条线在权益类承销业务上奋力破局，在精选层</w:t>
      </w:r>
      <w:r>
        <w:rPr>
          <w:rFonts w:ascii="Times New Roman" w:eastAsia="Times New Roman" w:hAnsi="Times New Roman" w:cs="Times New Roman"/>
          <w:color w:val="000000"/>
          <w:spacing w:val="0"/>
          <w:w w:val="100"/>
          <w:position w:val="0"/>
        </w:rPr>
        <w:t>IPO</w:t>
      </w:r>
      <w:r>
        <w:rPr>
          <w:color w:val="000000"/>
          <w:spacing w:val="0"/>
          <w:w w:val="100"/>
          <w:position w:val="0"/>
        </w:rPr>
        <w:t>和定增项目等多方面发力，申报 项目种类更加丰富。截至</w:t>
      </w:r>
      <w:r>
        <w:rPr>
          <w:rFonts w:ascii="Times New Roman" w:eastAsia="Times New Roman" w:hAnsi="Times New Roman" w:cs="Times New Roman"/>
          <w:color w:val="000000"/>
          <w:spacing w:val="0"/>
          <w:w w:val="100"/>
          <w:position w:val="0"/>
        </w:rPr>
        <w:t>2020</w:t>
      </w:r>
      <w:r>
        <w:rPr>
          <w:color w:val="000000"/>
          <w:spacing w:val="0"/>
          <w:w w:val="100"/>
          <w:position w:val="0"/>
        </w:rPr>
        <w:t>年末，公司已储备未来三年内可申报</w:t>
      </w:r>
      <w:r>
        <w:rPr>
          <w:rFonts w:ascii="Times New Roman" w:eastAsia="Times New Roman" w:hAnsi="Times New Roman" w:cs="Times New Roman"/>
          <w:color w:val="000000"/>
          <w:spacing w:val="0"/>
          <w:w w:val="100"/>
          <w:position w:val="0"/>
        </w:rPr>
        <w:t>IPO</w:t>
      </w:r>
      <w:r>
        <w:rPr>
          <w:color w:val="000000"/>
          <w:spacing w:val="0"/>
          <w:w w:val="100"/>
          <w:position w:val="0"/>
        </w:rPr>
        <w:t>项目、定增重组等项目共计十余 单，预计未来两年将迎来项目申报爆发期；固定收益类承销业务全年主承销规模达</w:t>
      </w:r>
      <w:r>
        <w:rPr>
          <w:rFonts w:ascii="Times New Roman" w:eastAsia="Times New Roman" w:hAnsi="Times New Roman" w:cs="Times New Roman"/>
          <w:color w:val="000000"/>
          <w:spacing w:val="0"/>
          <w:w w:val="100"/>
          <w:position w:val="0"/>
        </w:rPr>
        <w:t>150.08</w:t>
      </w:r>
      <w:r>
        <w:rPr>
          <w:color w:val="000000"/>
          <w:spacing w:val="0"/>
          <w:w w:val="100"/>
          <w:position w:val="0"/>
        </w:rPr>
        <w:t xml:space="preserve">亿元，同比增长 </w:t>
      </w:r>
      <w:r>
        <w:rPr>
          <w:rFonts w:ascii="Times New Roman" w:eastAsia="Times New Roman" w:hAnsi="Times New Roman" w:cs="Times New Roman"/>
          <w:color w:val="000000"/>
          <w:spacing w:val="0"/>
          <w:w w:val="100"/>
          <w:position w:val="0"/>
        </w:rPr>
        <w:t>35.63%</w:t>
      </w:r>
      <w:r>
        <w:rPr>
          <w:color w:val="000000"/>
          <w:spacing w:val="0"/>
          <w:w w:val="100"/>
          <w:position w:val="0"/>
        </w:rPr>
        <w:t>；主承销收入同比增长</w:t>
      </w:r>
      <w:r>
        <w:rPr>
          <w:rFonts w:ascii="Times New Roman" w:eastAsia="Times New Roman" w:hAnsi="Times New Roman" w:cs="Times New Roman"/>
          <w:color w:val="000000"/>
          <w:spacing w:val="0"/>
          <w:w w:val="100"/>
          <w:position w:val="0"/>
        </w:rPr>
        <w:t>34.49%</w:t>
      </w:r>
      <w:r>
        <w:rPr>
          <w:color w:val="000000"/>
          <w:spacing w:val="0"/>
          <w:w w:val="100"/>
          <w:position w:val="0"/>
        </w:rPr>
        <w:t>，是公司投资银行业务的中坚力量。</w:t>
      </w:r>
    </w:p>
    <w:p>
      <w:pPr>
        <w:pStyle w:val="Style16"/>
        <w:keepNext w:val="0"/>
        <w:keepLines w:val="0"/>
        <w:widowControl w:val="0"/>
        <w:shd w:val="clear" w:color="auto" w:fill="auto"/>
        <w:tabs>
          <w:tab w:pos="1404" w:val="left"/>
        </w:tabs>
        <w:bidi w:val="0"/>
        <w:spacing w:before="0" w:after="0" w:line="317" w:lineRule="exact"/>
        <w:ind w:left="1080" w:right="0" w:firstLine="0"/>
        <w:jc w:val="both"/>
      </w:pPr>
      <w:bookmarkStart w:id="92" w:name="bookmark92"/>
      <w:r>
        <w:rPr>
          <w:rFonts w:ascii="Times New Roman" w:eastAsia="Times New Roman" w:hAnsi="Times New Roman" w:cs="Times New Roman"/>
          <w:color w:val="000000"/>
          <w:spacing w:val="0"/>
          <w:w w:val="100"/>
          <w:position w:val="0"/>
        </w:rPr>
        <w:t>4</w:t>
      </w:r>
      <w:bookmarkEnd w:id="92"/>
      <w:r>
        <w:rPr>
          <w:color w:val="000000"/>
          <w:spacing w:val="0"/>
          <w:w w:val="100"/>
          <w:position w:val="0"/>
        </w:rPr>
        <w:t>、</w:t>
        <w:tab/>
        <w:t>合规风控体系流程再造全面升级，全员合规理念牢固树立，为公司经营发展保驾护航</w:t>
      </w:r>
    </w:p>
    <w:p>
      <w:pPr>
        <w:pStyle w:val="Style16"/>
        <w:keepNext w:val="0"/>
        <w:keepLines w:val="0"/>
        <w:widowControl w:val="0"/>
        <w:shd w:val="clear" w:color="auto" w:fill="auto"/>
        <w:bidi w:val="0"/>
        <w:spacing w:before="0" w:after="0" w:line="316" w:lineRule="exact"/>
        <w:ind w:left="64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年，国盛证券开展了覆盖</w:t>
      </w:r>
      <w:r>
        <w:rPr>
          <w:rFonts w:ascii="Times New Roman" w:eastAsia="Times New Roman" w:hAnsi="Times New Roman" w:cs="Times New Roman"/>
          <w:color w:val="000000"/>
          <w:spacing w:val="0"/>
          <w:w w:val="100"/>
          <w:position w:val="0"/>
        </w:rPr>
        <w:t>29</w:t>
      </w:r>
      <w:r>
        <w:rPr>
          <w:color w:val="000000"/>
          <w:spacing w:val="0"/>
          <w:w w:val="100"/>
          <w:position w:val="0"/>
        </w:rPr>
        <w:t>个部门、</w:t>
      </w:r>
      <w:r>
        <w:rPr>
          <w:rFonts w:ascii="Times New Roman" w:eastAsia="Times New Roman" w:hAnsi="Times New Roman" w:cs="Times New Roman"/>
          <w:color w:val="000000"/>
          <w:spacing w:val="0"/>
          <w:w w:val="100"/>
          <w:position w:val="0"/>
        </w:rPr>
        <w:t>220</w:t>
      </w:r>
      <w:r>
        <w:rPr>
          <w:color w:val="000000"/>
          <w:spacing w:val="0"/>
          <w:w w:val="100"/>
          <w:position w:val="0"/>
        </w:rPr>
        <w:t>家分支机构、</w:t>
      </w:r>
      <w:r>
        <w:rPr>
          <w:rFonts w:ascii="Times New Roman" w:eastAsia="Times New Roman" w:hAnsi="Times New Roman" w:cs="Times New Roman"/>
          <w:color w:val="000000"/>
          <w:spacing w:val="0"/>
          <w:w w:val="100"/>
          <w:position w:val="0"/>
        </w:rPr>
        <w:t>3</w:t>
      </w:r>
      <w:r>
        <w:rPr>
          <w:color w:val="000000"/>
          <w:spacing w:val="0"/>
          <w:w w:val="100"/>
          <w:position w:val="0"/>
        </w:rPr>
        <w:t>家子公司的全面风险排查活动。通过员 工人人参与、条线交错并行的排查方式，对现有风控合规制度进行全面梳理，排查并整改</w:t>
      </w:r>
      <w:r>
        <w:rPr>
          <w:rFonts w:ascii="Times New Roman" w:eastAsia="Times New Roman" w:hAnsi="Times New Roman" w:cs="Times New Roman"/>
          <w:color w:val="000000"/>
          <w:spacing w:val="0"/>
          <w:w w:val="100"/>
          <w:position w:val="0"/>
        </w:rPr>
        <w:t>4000</w:t>
      </w:r>
      <w:r>
        <w:rPr>
          <w:color w:val="000000"/>
          <w:spacing w:val="0"/>
          <w:w w:val="100"/>
          <w:position w:val="0"/>
        </w:rPr>
        <w:t>余个风险 点，全员的风险识别能力、风险控制能力和风险化解能力得到了切实提高。以此为契机，国盛证券对现有 制度体系、岗位职责和业务流程进行进一步明确和优化，制作易于操作和参考的业务操作手册，既做到风 险及时防范，又切实提升一线业务办理效率，提升客户满意度。</w:t>
      </w:r>
    </w:p>
    <w:p>
      <w:pPr>
        <w:pStyle w:val="Style16"/>
        <w:keepNext w:val="0"/>
        <w:keepLines w:val="0"/>
        <w:widowControl w:val="0"/>
        <w:shd w:val="clear" w:color="auto" w:fill="auto"/>
        <w:tabs>
          <w:tab w:pos="1625" w:val="left"/>
        </w:tabs>
        <w:bidi w:val="0"/>
        <w:spacing w:before="0" w:after="0" w:line="310" w:lineRule="exact"/>
        <w:ind w:left="1080" w:right="0" w:firstLine="0"/>
        <w:jc w:val="both"/>
      </w:pPr>
      <w:bookmarkStart w:id="93" w:name="bookmark93"/>
      <w:r>
        <w:rPr>
          <w:color w:val="000000"/>
          <w:spacing w:val="0"/>
          <w:w w:val="100"/>
          <w:position w:val="0"/>
        </w:rPr>
        <w:t>（</w:t>
      </w:r>
      <w:bookmarkEnd w:id="93"/>
      <w:r>
        <w:rPr>
          <w:color w:val="000000"/>
          <w:spacing w:val="0"/>
          <w:w w:val="100"/>
          <w:position w:val="0"/>
        </w:rPr>
        <w:t>二）</w:t>
        <w:tab/>
        <w:t>投资业务核心竞争力</w:t>
      </w:r>
    </w:p>
    <w:p>
      <w:pPr>
        <w:pStyle w:val="Style16"/>
        <w:keepNext w:val="0"/>
        <w:keepLines w:val="0"/>
        <w:widowControl w:val="0"/>
        <w:shd w:val="clear" w:color="auto" w:fill="auto"/>
        <w:bidi w:val="0"/>
        <w:spacing w:before="0" w:after="0" w:line="310" w:lineRule="exact"/>
        <w:ind w:left="640" w:right="0" w:firstLine="440"/>
        <w:jc w:val="both"/>
      </w:pPr>
      <w:r>
        <w:rPr>
          <w:color w:val="000000"/>
          <w:spacing w:val="0"/>
          <w:w w:val="100"/>
          <w:position w:val="0"/>
        </w:rPr>
        <w:t>投资业务的管理团队具有丰富的股权投资和资产管理经验，积累了广泛的市场资源。目前本集团已搭 建人民币、外币股权投资平台，在医疗、金融科技、新信息技术等领域完成多项投资，部分项目已实现投 资回报。报告期内，本集团完成首只基金产品的备案，并设立母基金。投资业务依托投资管理团队专业化</w:t>
      </w:r>
    </w:p>
    <w:p>
      <w:pPr>
        <w:pStyle w:val="Style16"/>
        <w:keepNext w:val="0"/>
        <w:keepLines w:val="0"/>
        <w:widowControl w:val="0"/>
        <w:shd w:val="clear" w:color="auto" w:fill="auto"/>
        <w:bidi w:val="0"/>
        <w:spacing w:before="0" w:after="0" w:line="312" w:lineRule="exact"/>
        <w:ind w:left="0" w:right="0" w:firstLine="640"/>
        <w:jc w:val="left"/>
      </w:pPr>
      <w:r>
        <w:rPr>
          <w:color w:val="000000"/>
          <w:spacing w:val="0"/>
          <w:w w:val="100"/>
          <w:position w:val="0"/>
        </w:rPr>
        <w:t>的投研能力并协同国盛证券研究所的研究实力，秉持价值投资理念，追求与优秀企业一同成长。</w:t>
      </w:r>
    </w:p>
    <w:p>
      <w:pPr>
        <w:pStyle w:val="Style16"/>
        <w:keepNext w:val="0"/>
        <w:keepLines w:val="0"/>
        <w:widowControl w:val="0"/>
        <w:shd w:val="clear" w:color="auto" w:fill="auto"/>
        <w:bidi w:val="0"/>
        <w:spacing w:before="0" w:after="0" w:line="312" w:lineRule="exact"/>
        <w:ind w:left="1080" w:right="0" w:firstLine="0"/>
        <w:jc w:val="left"/>
      </w:pPr>
      <w:bookmarkStart w:id="94" w:name="bookmark94"/>
      <w:r>
        <w:rPr>
          <w:color w:val="000000"/>
          <w:spacing w:val="0"/>
          <w:w w:val="100"/>
          <w:position w:val="0"/>
        </w:rPr>
        <w:t>（</w:t>
      </w:r>
      <w:bookmarkEnd w:id="94"/>
      <w:r>
        <w:rPr>
          <w:color w:val="000000"/>
          <w:spacing w:val="0"/>
          <w:w w:val="100"/>
          <w:position w:val="0"/>
        </w:rPr>
        <w:t>三）金融科技业务核心竞争力</w:t>
      </w:r>
    </w:p>
    <w:p>
      <w:pPr>
        <w:pStyle w:val="Style16"/>
        <w:keepNext w:val="0"/>
        <w:keepLines w:val="0"/>
        <w:widowControl w:val="0"/>
        <w:shd w:val="clear" w:color="auto" w:fill="auto"/>
        <w:bidi w:val="0"/>
        <w:spacing w:before="0" w:after="0" w:line="312" w:lineRule="exact"/>
        <w:ind w:left="640" w:right="0" w:firstLine="440"/>
        <w:jc w:val="left"/>
        <w:sectPr>
          <w:footnotePr>
            <w:pos w:val="pageBottom"/>
            <w:numFmt w:val="decimal"/>
            <w:numRestart w:val="continuous"/>
          </w:footnotePr>
          <w:pgSz w:w="11900" w:h="16840"/>
          <w:pgMar w:top="1398" w:right="497" w:bottom="1465" w:left="473" w:header="0" w:footer="3" w:gutter="0"/>
          <w:cols w:space="720"/>
          <w:noEndnote/>
          <w:rtlGutter w:val="0"/>
          <w:docGrid w:linePitch="360"/>
        </w:sectPr>
      </w:pPr>
      <w:r>
        <w:rPr>
          <w:color w:val="000000"/>
          <w:spacing w:val="0"/>
          <w:w w:val="100"/>
          <w:position w:val="0"/>
        </w:rPr>
        <w:t>金融科技业务紧密围绕集团内证券、投资等各项业务需求，利用</w:t>
      </w:r>
      <w:r>
        <w:rPr>
          <w:rFonts w:ascii="Times New Roman" w:eastAsia="Times New Roman" w:hAnsi="Times New Roman" w:cs="Times New Roman"/>
          <w:color w:val="000000"/>
          <w:spacing w:val="0"/>
          <w:w w:val="100"/>
          <w:position w:val="0"/>
        </w:rPr>
        <w:t>“</w:t>
      </w:r>
      <w:r>
        <w:rPr>
          <w:color w:val="000000"/>
          <w:spacing w:val="0"/>
          <w:w w:val="100"/>
          <w:position w:val="0"/>
        </w:rPr>
        <w:t>金融+科技</w:t>
      </w:r>
      <w:r>
        <w:rPr>
          <w:rFonts w:ascii="Times New Roman" w:eastAsia="Times New Roman" w:hAnsi="Times New Roman" w:cs="Times New Roman"/>
          <w:color w:val="000000"/>
          <w:spacing w:val="0"/>
          <w:w w:val="100"/>
          <w:position w:val="0"/>
        </w:rPr>
        <w:t>''</w:t>
      </w:r>
      <w:r>
        <w:rPr>
          <w:color w:val="000000"/>
          <w:spacing w:val="0"/>
          <w:w w:val="100"/>
          <w:position w:val="0"/>
        </w:rPr>
        <w:t>双轮驱动，推动金融发 展提质增效。</w:t>
      </w:r>
    </w:p>
    <w:p>
      <w:pPr>
        <w:pStyle w:val="Style14"/>
        <w:keepNext/>
        <w:keepLines/>
        <w:widowControl w:val="0"/>
        <w:shd w:val="clear" w:color="auto" w:fill="auto"/>
        <w:bidi w:val="0"/>
        <w:spacing w:before="560" w:after="520" w:line="240" w:lineRule="auto"/>
        <w:ind w:left="0" w:right="0" w:firstLine="0"/>
        <w:jc w:val="center"/>
      </w:pPr>
      <w:bookmarkStart w:id="95" w:name="bookmark95"/>
      <w:bookmarkStart w:id="96" w:name="bookmark96"/>
      <w:bookmarkStart w:id="97" w:name="bookmark97"/>
      <w:r>
        <w:rPr>
          <w:color w:val="000000"/>
          <w:spacing w:val="0"/>
          <w:w w:val="100"/>
          <w:position w:val="0"/>
        </w:rPr>
        <w:t>第四节经营情况讨论与分析</w:t>
      </w:r>
      <w:bookmarkEnd w:id="95"/>
      <w:bookmarkEnd w:id="96"/>
      <w:bookmarkEnd w:id="97"/>
    </w:p>
    <w:p>
      <w:pPr>
        <w:pStyle w:val="Style29"/>
        <w:keepNext/>
        <w:keepLines/>
        <w:widowControl w:val="0"/>
        <w:shd w:val="clear" w:color="auto" w:fill="auto"/>
        <w:bidi w:val="0"/>
        <w:spacing w:before="0" w:after="280" w:line="240" w:lineRule="auto"/>
        <w:ind w:left="0" w:right="0" w:firstLine="640"/>
        <w:jc w:val="both"/>
      </w:pPr>
      <w:bookmarkStart w:id="100" w:name="bookmark100"/>
      <w:bookmarkStart w:id="101" w:name="bookmark101"/>
      <w:bookmarkStart w:id="102" w:name="bookmark102"/>
      <w:bookmarkStart w:id="98" w:name="bookmark98"/>
      <w:bookmarkStart w:id="99" w:name="bookmark99"/>
      <w:r>
        <w:rPr>
          <w:color w:val="000000"/>
          <w:spacing w:val="0"/>
          <w:w w:val="100"/>
          <w:position w:val="0"/>
          <w:sz w:val="24"/>
          <w:szCs w:val="24"/>
        </w:rPr>
        <w:t>一</w:t>
      </w:r>
      <w:bookmarkEnd w:id="101"/>
      <w:r>
        <w:rPr>
          <w:color w:val="000000"/>
          <w:spacing w:val="0"/>
          <w:w w:val="100"/>
          <w:position w:val="0"/>
          <w:sz w:val="24"/>
          <w:szCs w:val="24"/>
        </w:rPr>
        <w:t>、概述</w:t>
      </w:r>
      <w:bookmarkEnd w:id="100"/>
      <w:bookmarkEnd w:id="102"/>
      <w:bookmarkEnd w:id="99"/>
      <w:bookmarkEnd w:id="98"/>
    </w:p>
    <w:p>
      <w:pPr>
        <w:pStyle w:val="Style16"/>
        <w:keepNext w:val="0"/>
        <w:keepLines w:val="0"/>
        <w:widowControl w:val="0"/>
        <w:shd w:val="clear" w:color="auto" w:fill="auto"/>
        <w:bidi w:val="0"/>
        <w:spacing w:before="0" w:after="0" w:line="313" w:lineRule="exact"/>
        <w:ind w:left="64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年，对公司来说是极不平凡的一年。首先，新冠肺炎疫情在全球范围迅速蔓延，对经济造成较大 冲击，给公司经营发展带来诸多难题和挑战；其次，公司核心子公司国盛证券、国盛期货于</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日被中 国证监会接管，公司前景及稳定性备受关注；此外，公司主体和债项评级被下调，公司面临债券偿付压力。 面对前所未有的困难与挑战，公司管理层在董事会的坚强领导下，以“稳定经营、防范风险”为首要任务， 根据实际情况及时在经营方针、业务结构、业务规模等方面进行了调整，夯实主营业务，积极配合接管及 监管工作，有效化解债券到期偿付违约风险，保障了公司整体运营稳定。</w:t>
      </w:r>
    </w:p>
    <w:p>
      <w:pPr>
        <w:pStyle w:val="Style16"/>
        <w:keepNext w:val="0"/>
        <w:keepLines w:val="0"/>
        <w:widowControl w:val="0"/>
        <w:shd w:val="clear" w:color="auto" w:fill="auto"/>
        <w:bidi w:val="0"/>
        <w:spacing w:before="0" w:after="0" w:line="313" w:lineRule="exact"/>
        <w:ind w:left="640" w:right="0" w:firstLine="440"/>
        <w:jc w:val="both"/>
      </w:pPr>
      <w:r>
        <w:rPr>
          <w:color w:val="000000"/>
          <w:spacing w:val="0"/>
          <w:w w:val="100"/>
          <w:position w:val="0"/>
        </w:rPr>
        <w:t>截至期末本集团总资产</w:t>
      </w:r>
      <w:r>
        <w:rPr>
          <w:rFonts w:ascii="Times New Roman" w:eastAsia="Times New Roman" w:hAnsi="Times New Roman" w:cs="Times New Roman"/>
          <w:color w:val="000000"/>
          <w:spacing w:val="0"/>
          <w:w w:val="100"/>
          <w:position w:val="0"/>
        </w:rPr>
        <w:t>313.19</w:t>
      </w:r>
      <w:r>
        <w:rPr>
          <w:color w:val="000000"/>
          <w:spacing w:val="0"/>
          <w:w w:val="100"/>
          <w:position w:val="0"/>
        </w:rPr>
        <w:t>亿元，归属于上市公司股东的所有者权益</w:t>
      </w:r>
      <w:r>
        <w:rPr>
          <w:rFonts w:ascii="Times New Roman" w:eastAsia="Times New Roman" w:hAnsi="Times New Roman" w:cs="Times New Roman"/>
          <w:color w:val="000000"/>
          <w:spacing w:val="0"/>
          <w:w w:val="100"/>
          <w:position w:val="0"/>
        </w:rPr>
        <w:t>112.95</w:t>
      </w:r>
      <w:r>
        <w:rPr>
          <w:color w:val="000000"/>
          <w:spacing w:val="0"/>
          <w:w w:val="100"/>
          <w:position w:val="0"/>
        </w:rPr>
        <w:t>亿元，资产负债率</w:t>
      </w:r>
      <w:r>
        <w:rPr>
          <w:rFonts w:ascii="Times New Roman" w:eastAsia="Times New Roman" w:hAnsi="Times New Roman" w:cs="Times New Roman"/>
          <w:color w:val="000000"/>
          <w:spacing w:val="0"/>
          <w:w w:val="100"/>
          <w:position w:val="0"/>
        </w:rPr>
        <w:t>63.93%</w:t>
      </w:r>
      <w:r>
        <w:rPr>
          <w:color w:val="000000"/>
          <w:spacing w:val="0"/>
          <w:w w:val="100"/>
          <w:position w:val="0"/>
        </w:rPr>
        <w:t>， 公司资产规模保持稳定增长，整体资产负债率保持在合理水平，本报告期实现营业总收入约</w:t>
      </w:r>
      <w:r>
        <w:rPr>
          <w:rFonts w:ascii="Times New Roman" w:eastAsia="Times New Roman" w:hAnsi="Times New Roman" w:cs="Times New Roman"/>
          <w:color w:val="000000"/>
          <w:spacing w:val="0"/>
          <w:w w:val="100"/>
          <w:position w:val="0"/>
        </w:rPr>
        <w:t>22.06</w:t>
      </w:r>
      <w:r>
        <w:rPr>
          <w:color w:val="000000"/>
          <w:spacing w:val="0"/>
          <w:w w:val="100"/>
          <w:position w:val="0"/>
        </w:rPr>
        <w:t>亿元、同 比增长</w:t>
      </w:r>
      <w:r>
        <w:rPr>
          <w:rFonts w:ascii="Times New Roman" w:eastAsia="Times New Roman" w:hAnsi="Times New Roman" w:cs="Times New Roman"/>
          <w:color w:val="000000"/>
          <w:spacing w:val="0"/>
          <w:w w:val="100"/>
          <w:position w:val="0"/>
        </w:rPr>
        <w:t>32.12%</w:t>
      </w:r>
      <w:r>
        <w:rPr>
          <w:color w:val="000000"/>
          <w:spacing w:val="0"/>
          <w:w w:val="100"/>
          <w:position w:val="0"/>
        </w:rPr>
        <w:t>，但受业务发展产生的成本费用增加、计提减值准备增加和证券自营业务收益下降等因素的 综合影响，实现归属于上市公司股东的净利润约</w:t>
      </w:r>
      <w:r>
        <w:rPr>
          <w:rFonts w:ascii="Times New Roman" w:eastAsia="Times New Roman" w:hAnsi="Times New Roman" w:cs="Times New Roman"/>
          <w:color w:val="000000"/>
          <w:spacing w:val="0"/>
          <w:w w:val="100"/>
          <w:position w:val="0"/>
        </w:rPr>
        <w:t>-3.66</w:t>
      </w:r>
      <w:r>
        <w:rPr>
          <w:color w:val="000000"/>
          <w:spacing w:val="0"/>
          <w:w w:val="100"/>
          <w:position w:val="0"/>
        </w:rPr>
        <w:t>亿元，同比下降</w:t>
      </w:r>
      <w:r>
        <w:rPr>
          <w:rFonts w:ascii="Times New Roman" w:eastAsia="Times New Roman" w:hAnsi="Times New Roman" w:cs="Times New Roman"/>
          <w:color w:val="000000"/>
          <w:spacing w:val="0"/>
          <w:w w:val="100"/>
          <w:position w:val="0"/>
        </w:rPr>
        <w:t>573.14%</w:t>
      </w:r>
      <w:r>
        <w:rPr>
          <w:color w:val="000000"/>
          <w:spacing w:val="0"/>
          <w:w w:val="100"/>
          <w:position w:val="0"/>
        </w:rPr>
        <w:t>。报告期本集团主要工作和 经营情况总结如下：</w:t>
      </w:r>
    </w:p>
    <w:p>
      <w:pPr>
        <w:pStyle w:val="Style16"/>
        <w:keepNext w:val="0"/>
        <w:keepLines w:val="0"/>
        <w:widowControl w:val="0"/>
        <w:shd w:val="clear" w:color="auto" w:fill="auto"/>
        <w:bidi w:val="0"/>
        <w:spacing w:before="0" w:after="0" w:line="313" w:lineRule="exact"/>
        <w:ind w:left="1080" w:right="0" w:firstLine="0"/>
        <w:jc w:val="left"/>
      </w:pPr>
      <w:bookmarkStart w:id="103" w:name="bookmark103"/>
      <w:r>
        <w:rPr>
          <w:b/>
          <w:bCs/>
          <w:color w:val="000000"/>
          <w:spacing w:val="0"/>
          <w:w w:val="100"/>
          <w:position w:val="0"/>
        </w:rPr>
        <w:t>（</w:t>
      </w:r>
      <w:bookmarkEnd w:id="103"/>
      <w:r>
        <w:rPr>
          <w:b/>
          <w:bCs/>
          <w:color w:val="000000"/>
          <w:spacing w:val="0"/>
          <w:w w:val="100"/>
          <w:position w:val="0"/>
        </w:rPr>
        <w:t>一）夯实主业，稳定经营</w:t>
      </w:r>
    </w:p>
    <w:p>
      <w:pPr>
        <w:pStyle w:val="Style16"/>
        <w:keepNext w:val="0"/>
        <w:keepLines w:val="0"/>
        <w:widowControl w:val="0"/>
        <w:shd w:val="clear" w:color="auto" w:fill="auto"/>
        <w:tabs>
          <w:tab w:pos="1394" w:val="left"/>
        </w:tabs>
        <w:bidi w:val="0"/>
        <w:spacing w:before="0" w:after="0" w:line="313" w:lineRule="exact"/>
        <w:ind w:left="1080" w:right="0" w:firstLine="0"/>
        <w:jc w:val="left"/>
      </w:pPr>
      <w:bookmarkStart w:id="104" w:name="bookmark104"/>
      <w:r>
        <w:rPr>
          <w:rFonts w:ascii="Times New Roman" w:eastAsia="Times New Roman" w:hAnsi="Times New Roman" w:cs="Times New Roman"/>
          <w:color w:val="000000"/>
          <w:spacing w:val="0"/>
          <w:w w:val="100"/>
          <w:position w:val="0"/>
        </w:rPr>
        <w:t>1</w:t>
      </w:r>
      <w:bookmarkEnd w:id="104"/>
      <w:r>
        <w:rPr>
          <w:color w:val="000000"/>
          <w:spacing w:val="0"/>
          <w:w w:val="100"/>
          <w:position w:val="0"/>
        </w:rPr>
        <w:t>、</w:t>
        <w:tab/>
        <w:t>证券业务：整体保持稳定发展，多个业务领域实现突破</w:t>
      </w:r>
    </w:p>
    <w:p>
      <w:pPr>
        <w:pStyle w:val="Style16"/>
        <w:keepNext w:val="0"/>
        <w:keepLines w:val="0"/>
        <w:widowControl w:val="0"/>
        <w:shd w:val="clear" w:color="auto" w:fill="auto"/>
        <w:bidi w:val="0"/>
        <w:spacing w:before="0" w:after="0" w:line="313" w:lineRule="exact"/>
        <w:ind w:left="64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年末，国盛证券总资产</w:t>
      </w:r>
      <w:r>
        <w:rPr>
          <w:rFonts w:ascii="Times New Roman" w:eastAsia="Times New Roman" w:hAnsi="Times New Roman" w:cs="Times New Roman"/>
          <w:color w:val="000000"/>
          <w:spacing w:val="0"/>
          <w:w w:val="100"/>
          <w:position w:val="0"/>
        </w:rPr>
        <w:t>269.66</w:t>
      </w:r>
      <w:r>
        <w:rPr>
          <w:color w:val="000000"/>
          <w:spacing w:val="0"/>
          <w:w w:val="100"/>
          <w:position w:val="0"/>
        </w:rPr>
        <w:t>亿元、净资产</w:t>
      </w:r>
      <w:r>
        <w:rPr>
          <w:rFonts w:ascii="Times New Roman" w:eastAsia="Times New Roman" w:hAnsi="Times New Roman" w:cs="Times New Roman"/>
          <w:color w:val="000000"/>
          <w:spacing w:val="0"/>
          <w:w w:val="100"/>
          <w:position w:val="0"/>
        </w:rPr>
        <w:t>96.24</w:t>
      </w:r>
      <w:r>
        <w:rPr>
          <w:color w:val="000000"/>
          <w:spacing w:val="0"/>
          <w:w w:val="100"/>
          <w:position w:val="0"/>
        </w:rPr>
        <w:t>亿元。全年实现营业净收入</w:t>
      </w:r>
      <w:r>
        <w:rPr>
          <w:rFonts w:ascii="Times New Roman" w:eastAsia="Times New Roman" w:hAnsi="Times New Roman" w:cs="Times New Roman"/>
          <w:color w:val="000000"/>
          <w:spacing w:val="0"/>
          <w:w w:val="100"/>
          <w:position w:val="0"/>
        </w:rPr>
        <w:t>19.04</w:t>
      </w:r>
      <w:r>
        <w:rPr>
          <w:color w:val="000000"/>
          <w:spacing w:val="0"/>
          <w:w w:val="100"/>
          <w:position w:val="0"/>
        </w:rPr>
        <w:t xml:space="preserve">亿元，同比增长 </w:t>
      </w:r>
      <w:r>
        <w:rPr>
          <w:rFonts w:ascii="Times New Roman" w:eastAsia="Times New Roman" w:hAnsi="Times New Roman" w:cs="Times New Roman"/>
          <w:color w:val="000000"/>
          <w:spacing w:val="0"/>
          <w:w w:val="100"/>
          <w:position w:val="0"/>
        </w:rPr>
        <w:t>2.42%</w:t>
      </w:r>
      <w:r>
        <w:rPr>
          <w:color w:val="000000"/>
          <w:spacing w:val="0"/>
          <w:w w:val="100"/>
          <w:position w:val="0"/>
        </w:rPr>
        <w:t>，净利润</w:t>
      </w: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rPr>
        <w:t>.64</w:t>
      </w:r>
      <w:r>
        <w:rPr>
          <w:color w:val="000000"/>
          <w:spacing w:val="0"/>
          <w:w w:val="100"/>
          <w:position w:val="0"/>
        </w:rPr>
        <w:t>亿元。</w:t>
      </w:r>
    </w:p>
    <w:p>
      <w:pPr>
        <w:pStyle w:val="Style16"/>
        <w:keepNext w:val="0"/>
        <w:keepLines w:val="0"/>
        <w:widowControl w:val="0"/>
        <w:shd w:val="clear" w:color="auto" w:fill="auto"/>
        <w:bidi w:val="0"/>
        <w:spacing w:before="0" w:after="0" w:line="313" w:lineRule="exact"/>
        <w:ind w:left="640" w:right="0" w:firstLine="440"/>
        <w:jc w:val="both"/>
      </w:pPr>
      <w:r>
        <w:rPr>
          <w:color w:val="000000"/>
          <w:spacing w:val="0"/>
          <w:w w:val="100"/>
          <w:position w:val="0"/>
        </w:rPr>
        <w:t>其中，经纪业务持续保持增长势头，股基交易金额日均达</w:t>
      </w:r>
      <w:r>
        <w:rPr>
          <w:rFonts w:ascii="Times New Roman" w:eastAsia="Times New Roman" w:hAnsi="Times New Roman" w:cs="Times New Roman"/>
          <w:color w:val="000000"/>
          <w:spacing w:val="0"/>
          <w:w w:val="100"/>
          <w:position w:val="0"/>
        </w:rPr>
        <w:t>76.31</w:t>
      </w:r>
      <w:r>
        <w:rPr>
          <w:color w:val="000000"/>
          <w:spacing w:val="0"/>
          <w:w w:val="100"/>
          <w:position w:val="0"/>
        </w:rPr>
        <w:t>亿元，较</w:t>
      </w:r>
      <w:r>
        <w:rPr>
          <w:rFonts w:ascii="Times New Roman" w:eastAsia="Times New Roman" w:hAnsi="Times New Roman" w:cs="Times New Roman"/>
          <w:color w:val="000000"/>
          <w:spacing w:val="0"/>
          <w:w w:val="100"/>
          <w:position w:val="0"/>
        </w:rPr>
        <w:t>2019</w:t>
      </w:r>
      <w:r>
        <w:rPr>
          <w:color w:val="000000"/>
          <w:spacing w:val="0"/>
          <w:w w:val="100"/>
          <w:position w:val="0"/>
        </w:rPr>
        <w:t>年全年日均（</w:t>
      </w:r>
      <w:r>
        <w:rPr>
          <w:rFonts w:ascii="Times New Roman" w:eastAsia="Times New Roman" w:hAnsi="Times New Roman" w:cs="Times New Roman"/>
          <w:color w:val="000000"/>
          <w:spacing w:val="0"/>
          <w:w w:val="100"/>
          <w:position w:val="0"/>
        </w:rPr>
        <w:t>45.73</w:t>
      </w:r>
      <w:r>
        <w:rPr>
          <w:color w:val="000000"/>
          <w:spacing w:val="0"/>
          <w:w w:val="100"/>
          <w:position w:val="0"/>
        </w:rPr>
        <w:t>亿元） 增长</w:t>
      </w:r>
      <w:r>
        <w:rPr>
          <w:rFonts w:ascii="Times New Roman" w:eastAsia="Times New Roman" w:hAnsi="Times New Roman" w:cs="Times New Roman"/>
          <w:color w:val="000000"/>
          <w:spacing w:val="0"/>
          <w:w w:val="100"/>
          <w:position w:val="0"/>
        </w:rPr>
        <w:t>66.87%</w:t>
      </w:r>
      <w:r>
        <w:rPr>
          <w:color w:val="000000"/>
          <w:spacing w:val="0"/>
          <w:w w:val="100"/>
          <w:position w:val="0"/>
        </w:rPr>
        <w:t>，跑赢市场增幅</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2020</w:t>
      </w:r>
      <w:r>
        <w:rPr>
          <w:color w:val="000000"/>
          <w:spacing w:val="0"/>
          <w:w w:val="100"/>
          <w:position w:val="0"/>
        </w:rPr>
        <w:t>度年成交金额同比增长</w:t>
      </w:r>
      <w:r>
        <w:rPr>
          <w:rFonts w:ascii="Times New Roman" w:eastAsia="Times New Roman" w:hAnsi="Times New Roman" w:cs="Times New Roman"/>
          <w:color w:val="000000"/>
          <w:spacing w:val="0"/>
          <w:w w:val="100"/>
          <w:position w:val="0"/>
        </w:rPr>
        <w:t>62.37%</w:t>
      </w: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年度，国盛证券平均股基市 场份额为</w:t>
      </w:r>
      <w:r>
        <w:rPr>
          <w:rFonts w:ascii="Times New Roman" w:eastAsia="Times New Roman" w:hAnsi="Times New Roman" w:cs="Times New Roman"/>
          <w:color w:val="000000"/>
          <w:spacing w:val="0"/>
          <w:w w:val="100"/>
          <w:position w:val="0"/>
        </w:rPr>
        <w:t>4.2084</w:t>
      </w:r>
      <w:r>
        <w:rPr>
          <w:color w:val="000000"/>
          <w:spacing w:val="0"/>
          <w:w w:val="100"/>
          <w:position w:val="0"/>
        </w:rPr>
        <w:t>%。，较</w:t>
      </w:r>
      <w:r>
        <w:rPr>
          <w:rFonts w:ascii="Times New Roman" w:eastAsia="Times New Roman" w:hAnsi="Times New Roman" w:cs="Times New Roman"/>
          <w:color w:val="000000"/>
          <w:spacing w:val="0"/>
          <w:w w:val="100"/>
          <w:position w:val="0"/>
        </w:rPr>
        <w:t>2019</w:t>
      </w:r>
      <w:r>
        <w:rPr>
          <w:color w:val="000000"/>
          <w:spacing w:val="0"/>
          <w:w w:val="100"/>
          <w:position w:val="0"/>
        </w:rPr>
        <w:t>年全年累计股基市场份额</w:t>
      </w:r>
      <w:r>
        <w:rPr>
          <w:rFonts w:ascii="Times New Roman" w:eastAsia="Times New Roman" w:hAnsi="Times New Roman" w:cs="Times New Roman"/>
          <w:color w:val="000000"/>
          <w:spacing w:val="0"/>
          <w:w w:val="100"/>
          <w:position w:val="0"/>
        </w:rPr>
        <w:t>4.0649</w:t>
      </w:r>
      <w:r>
        <w:rPr>
          <w:color w:val="000000"/>
          <w:spacing w:val="0"/>
          <w:w w:val="100"/>
          <w:position w:val="0"/>
        </w:rPr>
        <w:t>%。增长</w:t>
      </w:r>
      <w:r>
        <w:rPr>
          <w:rFonts w:ascii="Times New Roman" w:eastAsia="Times New Roman" w:hAnsi="Times New Roman" w:cs="Times New Roman"/>
          <w:color w:val="000000"/>
          <w:spacing w:val="0"/>
          <w:w w:val="100"/>
          <w:position w:val="0"/>
        </w:rPr>
        <w:t>3.53%</w:t>
      </w:r>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年末，累计经纪业务托 管资产总值较年初增长</w:t>
      </w:r>
      <w:r>
        <w:rPr>
          <w:rFonts w:ascii="Times New Roman" w:eastAsia="Times New Roman" w:hAnsi="Times New Roman" w:cs="Times New Roman"/>
          <w:color w:val="000000"/>
          <w:spacing w:val="0"/>
          <w:w w:val="100"/>
          <w:position w:val="0"/>
        </w:rPr>
        <w:t>30.62%</w:t>
      </w:r>
      <w:r>
        <w:rPr>
          <w:color w:val="000000"/>
          <w:spacing w:val="0"/>
          <w:w w:val="100"/>
          <w:position w:val="0"/>
        </w:rPr>
        <w:t>，创国盛证券历史新高。</w:t>
      </w:r>
    </w:p>
    <w:p>
      <w:pPr>
        <w:pStyle w:val="Style16"/>
        <w:keepNext w:val="0"/>
        <w:keepLines w:val="0"/>
        <w:widowControl w:val="0"/>
        <w:shd w:val="clear" w:color="auto" w:fill="auto"/>
        <w:bidi w:val="0"/>
        <w:spacing w:before="0" w:after="0" w:line="313" w:lineRule="exact"/>
        <w:ind w:left="640" w:right="0" w:firstLine="440"/>
        <w:jc w:val="both"/>
      </w:pPr>
      <w:r>
        <w:rPr>
          <w:color w:val="000000"/>
          <w:spacing w:val="0"/>
          <w:w w:val="100"/>
          <w:position w:val="0"/>
        </w:rPr>
        <w:t>投研业务收入持续保持高速增长，全年国盛研究所累计席位佣金收入</w:t>
      </w:r>
      <w:r>
        <w:rPr>
          <w:rFonts w:ascii="Times New Roman" w:eastAsia="Times New Roman" w:hAnsi="Times New Roman" w:cs="Times New Roman"/>
          <w:color w:val="000000"/>
          <w:spacing w:val="0"/>
          <w:w w:val="100"/>
          <w:position w:val="0"/>
        </w:rPr>
        <w:t>50,660.18</w:t>
      </w:r>
      <w:r>
        <w:rPr>
          <w:color w:val="000000"/>
          <w:spacing w:val="0"/>
          <w:w w:val="100"/>
          <w:position w:val="0"/>
        </w:rPr>
        <w:t>万元（沪深交易所统计 口径），月均佣金分仓收入超</w:t>
      </w:r>
      <w:r>
        <w:rPr>
          <w:rFonts w:ascii="Times New Roman" w:eastAsia="Times New Roman" w:hAnsi="Times New Roman" w:cs="Times New Roman"/>
          <w:color w:val="000000"/>
          <w:spacing w:val="0"/>
          <w:w w:val="100"/>
          <w:position w:val="0"/>
        </w:rPr>
        <w:t>4000</w:t>
      </w:r>
      <w:r>
        <w:rPr>
          <w:color w:val="000000"/>
          <w:spacing w:val="0"/>
          <w:w w:val="100"/>
          <w:position w:val="0"/>
        </w:rPr>
        <w:t>万元，同比增长</w:t>
      </w:r>
      <w:r>
        <w:rPr>
          <w:rFonts w:ascii="Times New Roman" w:eastAsia="Times New Roman" w:hAnsi="Times New Roman" w:cs="Times New Roman"/>
          <w:color w:val="000000"/>
          <w:spacing w:val="0"/>
          <w:w w:val="100"/>
          <w:position w:val="0"/>
        </w:rPr>
        <w:t>86.93%</w:t>
      </w:r>
      <w:r>
        <w:rPr>
          <w:color w:val="000000"/>
          <w:spacing w:val="0"/>
          <w:w w:val="100"/>
          <w:position w:val="0"/>
        </w:rPr>
        <w:t>；国盛证券在沪深交易所的席位交易市占比率有 所提升，</w:t>
      </w:r>
      <w:r>
        <w:rPr>
          <w:rFonts w:ascii="Times New Roman" w:eastAsia="Times New Roman" w:hAnsi="Times New Roman" w:cs="Times New Roman"/>
          <w:color w:val="000000"/>
          <w:spacing w:val="0"/>
          <w:w w:val="100"/>
          <w:position w:val="0"/>
        </w:rPr>
        <w:t>2019</w:t>
      </w:r>
      <w:r>
        <w:rPr>
          <w:color w:val="000000"/>
          <w:spacing w:val="0"/>
          <w:w w:val="100"/>
          <w:position w:val="0"/>
        </w:rPr>
        <w:t>年于上交所市占比率</w:t>
      </w:r>
      <w:r>
        <w:rPr>
          <w:rFonts w:ascii="Times New Roman" w:eastAsia="Times New Roman" w:hAnsi="Times New Roman" w:cs="Times New Roman"/>
          <w:color w:val="000000"/>
          <w:spacing w:val="0"/>
          <w:w w:val="100"/>
          <w:position w:val="0"/>
        </w:rPr>
        <w:t>2.16%</w:t>
      </w:r>
      <w:r>
        <w:rPr>
          <w:color w:val="000000"/>
          <w:spacing w:val="0"/>
          <w:w w:val="100"/>
          <w:position w:val="0"/>
        </w:rPr>
        <w:t>,排名第</w:t>
      </w:r>
      <w:r>
        <w:rPr>
          <w:rFonts w:ascii="Times New Roman" w:eastAsia="Times New Roman" w:hAnsi="Times New Roman" w:cs="Times New Roman"/>
          <w:color w:val="000000"/>
          <w:spacing w:val="0"/>
          <w:w w:val="100"/>
          <w:position w:val="0"/>
        </w:rPr>
        <w:t>17</w:t>
      </w:r>
      <w:r>
        <w:rPr>
          <w:color w:val="000000"/>
          <w:spacing w:val="0"/>
          <w:w w:val="100"/>
          <w:position w:val="0"/>
        </w:rPr>
        <w:t>名；于深交所市占比率</w:t>
      </w:r>
      <w:r>
        <w:rPr>
          <w:rFonts w:ascii="Times New Roman" w:eastAsia="Times New Roman" w:hAnsi="Times New Roman" w:cs="Times New Roman"/>
          <w:color w:val="000000"/>
          <w:spacing w:val="0"/>
          <w:w w:val="100"/>
          <w:position w:val="0"/>
        </w:rPr>
        <w:t>2.41%</w:t>
      </w:r>
      <w:r>
        <w:rPr>
          <w:color w:val="000000"/>
          <w:spacing w:val="0"/>
          <w:w w:val="100"/>
          <w:position w:val="0"/>
        </w:rPr>
        <w:t>,排名第</w:t>
      </w:r>
      <w:r>
        <w:rPr>
          <w:rFonts w:ascii="Times New Roman" w:eastAsia="Times New Roman" w:hAnsi="Times New Roman" w:cs="Times New Roman"/>
          <w:color w:val="000000"/>
          <w:spacing w:val="0"/>
          <w:w w:val="100"/>
          <w:position w:val="0"/>
        </w:rPr>
        <w:t>18</w:t>
      </w:r>
      <w:r>
        <w:rPr>
          <w:color w:val="000000"/>
          <w:spacing w:val="0"/>
          <w:w w:val="100"/>
          <w:position w:val="0"/>
        </w:rPr>
        <w:t>名；</w:t>
      </w:r>
      <w:r>
        <w:rPr>
          <w:rFonts w:ascii="Times New Roman" w:eastAsia="Times New Roman" w:hAnsi="Times New Roman" w:cs="Times New Roman"/>
          <w:color w:val="000000"/>
          <w:spacing w:val="0"/>
          <w:w w:val="100"/>
          <w:position w:val="0"/>
        </w:rPr>
        <w:t>2020</w:t>
      </w:r>
      <w:r>
        <w:rPr>
          <w:color w:val="000000"/>
          <w:spacing w:val="0"/>
          <w:w w:val="100"/>
          <w:position w:val="0"/>
        </w:rPr>
        <w:t>年上 交所市占比率提升至</w:t>
      </w:r>
      <w:r>
        <w:rPr>
          <w:rFonts w:ascii="Times New Roman" w:eastAsia="Times New Roman" w:hAnsi="Times New Roman" w:cs="Times New Roman"/>
          <w:color w:val="000000"/>
          <w:spacing w:val="0"/>
          <w:w w:val="100"/>
          <w:position w:val="0"/>
        </w:rPr>
        <w:t>2.70%</w:t>
      </w:r>
      <w:r>
        <w:rPr>
          <w:color w:val="000000"/>
          <w:spacing w:val="0"/>
          <w:w w:val="100"/>
          <w:position w:val="0"/>
        </w:rPr>
        <w:t>,排名上升两位至第</w:t>
      </w:r>
      <w:r>
        <w:rPr>
          <w:rFonts w:ascii="Times New Roman" w:eastAsia="Times New Roman" w:hAnsi="Times New Roman" w:cs="Times New Roman"/>
          <w:color w:val="000000"/>
          <w:spacing w:val="0"/>
          <w:w w:val="100"/>
          <w:position w:val="0"/>
        </w:rPr>
        <w:t>15</w:t>
      </w:r>
      <w:r>
        <w:rPr>
          <w:color w:val="000000"/>
          <w:spacing w:val="0"/>
          <w:w w:val="100"/>
          <w:position w:val="0"/>
        </w:rPr>
        <w:t>名，深交所市占比率提升至</w:t>
      </w:r>
      <w:r>
        <w:rPr>
          <w:rFonts w:ascii="Times New Roman" w:eastAsia="Times New Roman" w:hAnsi="Times New Roman" w:cs="Times New Roman"/>
          <w:color w:val="000000"/>
          <w:spacing w:val="0"/>
          <w:w w:val="100"/>
          <w:position w:val="0"/>
        </w:rPr>
        <w:t>2.57%</w:t>
      </w:r>
      <w:r>
        <w:rPr>
          <w:color w:val="000000"/>
          <w:spacing w:val="0"/>
          <w:w w:val="100"/>
          <w:position w:val="0"/>
        </w:rPr>
        <w:t>，排名保持在第</w:t>
      </w:r>
      <w:r>
        <w:rPr>
          <w:rFonts w:ascii="Times New Roman" w:eastAsia="Times New Roman" w:hAnsi="Times New Roman" w:cs="Times New Roman"/>
          <w:color w:val="000000"/>
          <w:spacing w:val="0"/>
          <w:w w:val="100"/>
          <w:position w:val="0"/>
        </w:rPr>
        <w:t>18</w:t>
      </w:r>
      <w:r>
        <w:rPr>
          <w:color w:val="000000"/>
          <w:spacing w:val="0"/>
          <w:w w:val="100"/>
          <w:position w:val="0"/>
        </w:rPr>
        <w:t>名。</w:t>
      </w:r>
    </w:p>
    <w:p>
      <w:pPr>
        <w:pStyle w:val="Style16"/>
        <w:keepNext w:val="0"/>
        <w:keepLines w:val="0"/>
        <w:widowControl w:val="0"/>
        <w:shd w:val="clear" w:color="auto" w:fill="auto"/>
        <w:bidi w:val="0"/>
        <w:spacing w:before="0" w:after="0" w:line="313" w:lineRule="exact"/>
        <w:ind w:left="640" w:right="0" w:firstLine="440"/>
        <w:jc w:val="both"/>
      </w:pPr>
      <w:r>
        <w:rPr>
          <w:color w:val="000000"/>
          <w:spacing w:val="0"/>
          <w:w w:val="100"/>
          <w:position w:val="0"/>
        </w:rPr>
        <w:t>投资银行业务债券承销净收入</w:t>
      </w: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rPr>
        <w:t>.96</w:t>
      </w:r>
      <w:r>
        <w:rPr>
          <w:color w:val="000000"/>
          <w:spacing w:val="0"/>
          <w:w w:val="100"/>
          <w:position w:val="0"/>
        </w:rPr>
        <w:t>亿元，成功发行债券共</w:t>
      </w:r>
      <w:r>
        <w:rPr>
          <w:rFonts w:ascii="Times New Roman" w:eastAsia="Times New Roman" w:hAnsi="Times New Roman" w:cs="Times New Roman"/>
          <w:color w:val="000000"/>
          <w:spacing w:val="0"/>
          <w:w w:val="100"/>
          <w:position w:val="0"/>
        </w:rPr>
        <w:t>30</w:t>
      </w:r>
      <w:r>
        <w:rPr>
          <w:color w:val="000000"/>
          <w:spacing w:val="0"/>
          <w:w w:val="100"/>
          <w:position w:val="0"/>
        </w:rPr>
        <w:t>只，主承销债券数量同比翻倍；主承销规 模达</w:t>
      </w:r>
      <w:r>
        <w:rPr>
          <w:rFonts w:ascii="Times New Roman" w:eastAsia="Times New Roman" w:hAnsi="Times New Roman" w:cs="Times New Roman"/>
          <w:color w:val="000000"/>
          <w:spacing w:val="0"/>
          <w:w w:val="100"/>
          <w:position w:val="0"/>
        </w:rPr>
        <w:t>150.08</w:t>
      </w:r>
      <w:r>
        <w:rPr>
          <w:color w:val="000000"/>
          <w:spacing w:val="0"/>
          <w:w w:val="100"/>
          <w:position w:val="0"/>
        </w:rPr>
        <w:t>亿元，同比增长</w:t>
      </w:r>
      <w:r>
        <w:rPr>
          <w:rFonts w:ascii="Times New Roman" w:eastAsia="Times New Roman" w:hAnsi="Times New Roman" w:cs="Times New Roman"/>
          <w:color w:val="000000"/>
          <w:spacing w:val="0"/>
          <w:w w:val="100"/>
          <w:position w:val="0"/>
        </w:rPr>
        <w:t>35.63%</w:t>
      </w:r>
      <w:r>
        <w:rPr>
          <w:color w:val="000000"/>
          <w:spacing w:val="0"/>
          <w:w w:val="100"/>
          <w:position w:val="0"/>
        </w:rPr>
        <w:t>；承销收入同比增长</w:t>
      </w:r>
      <w:r>
        <w:rPr>
          <w:rFonts w:ascii="Times New Roman" w:eastAsia="Times New Roman" w:hAnsi="Times New Roman" w:cs="Times New Roman"/>
          <w:color w:val="000000"/>
          <w:spacing w:val="0"/>
          <w:w w:val="100"/>
          <w:position w:val="0"/>
        </w:rPr>
        <w:t>34.49%</w:t>
      </w: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年度，公司申报定增项目三单、精选 层小</w:t>
      </w:r>
      <w:r>
        <w:rPr>
          <w:rFonts w:ascii="Times New Roman" w:eastAsia="Times New Roman" w:hAnsi="Times New Roman" w:cs="Times New Roman"/>
          <w:color w:val="000000"/>
          <w:spacing w:val="0"/>
          <w:w w:val="100"/>
          <w:position w:val="0"/>
        </w:rPr>
        <w:t>IPO</w:t>
      </w:r>
      <w:r>
        <w:rPr>
          <w:color w:val="000000"/>
          <w:spacing w:val="0"/>
          <w:w w:val="100"/>
          <w:position w:val="0"/>
        </w:rPr>
        <w:t>项目一单，项目申报数量实现飞跃；</w:t>
      </w:r>
      <w:r>
        <w:rPr>
          <w:rFonts w:ascii="Times New Roman" w:eastAsia="Times New Roman" w:hAnsi="Times New Roman" w:cs="Times New Roman"/>
          <w:color w:val="000000"/>
          <w:spacing w:val="0"/>
          <w:w w:val="100"/>
          <w:position w:val="0"/>
        </w:rPr>
        <w:t>2020</w:t>
      </w:r>
      <w:r>
        <w:rPr>
          <w:color w:val="000000"/>
          <w:spacing w:val="0"/>
          <w:w w:val="100"/>
          <w:position w:val="0"/>
        </w:rPr>
        <w:t>年保荐业务净收入</w:t>
      </w:r>
      <w:r>
        <w:rPr>
          <w:rFonts w:ascii="Times New Roman" w:eastAsia="Times New Roman" w:hAnsi="Times New Roman" w:cs="Times New Roman"/>
          <w:color w:val="000000"/>
          <w:spacing w:val="0"/>
          <w:w w:val="100"/>
          <w:position w:val="0"/>
        </w:rPr>
        <w:t>787.55</w:t>
      </w:r>
      <w:r>
        <w:rPr>
          <w:color w:val="000000"/>
          <w:spacing w:val="0"/>
          <w:w w:val="100"/>
          <w:position w:val="0"/>
        </w:rPr>
        <w:t>万元，较</w:t>
      </w:r>
      <w:r>
        <w:rPr>
          <w:rFonts w:ascii="Times New Roman" w:eastAsia="Times New Roman" w:hAnsi="Times New Roman" w:cs="Times New Roman"/>
          <w:color w:val="000000"/>
          <w:spacing w:val="0"/>
          <w:w w:val="100"/>
          <w:position w:val="0"/>
        </w:rPr>
        <w:t>2019</w:t>
      </w:r>
      <w:r>
        <w:rPr>
          <w:color w:val="000000"/>
          <w:spacing w:val="0"/>
          <w:w w:val="100"/>
          <w:position w:val="0"/>
        </w:rPr>
        <w:t>年实现零的突破。</w:t>
      </w:r>
    </w:p>
    <w:p>
      <w:pPr>
        <w:pStyle w:val="Style16"/>
        <w:keepNext w:val="0"/>
        <w:keepLines w:val="0"/>
        <w:widowControl w:val="0"/>
        <w:shd w:val="clear" w:color="auto" w:fill="auto"/>
        <w:bidi w:val="0"/>
        <w:spacing w:before="0" w:after="0" w:line="313" w:lineRule="exact"/>
        <w:ind w:left="640" w:right="0" w:firstLine="440"/>
        <w:jc w:val="both"/>
      </w:pPr>
      <w:r>
        <w:rPr>
          <w:color w:val="000000"/>
          <w:spacing w:val="0"/>
          <w:w w:val="100"/>
          <w:position w:val="0"/>
        </w:rPr>
        <w:t>资本中介业务日均总规模</w:t>
      </w:r>
      <w:r>
        <w:rPr>
          <w:rFonts w:ascii="Times New Roman" w:eastAsia="Times New Roman" w:hAnsi="Times New Roman" w:cs="Times New Roman"/>
          <w:color w:val="000000"/>
          <w:spacing w:val="0"/>
          <w:w w:val="100"/>
          <w:position w:val="0"/>
        </w:rPr>
        <w:t>71.66</w:t>
      </w:r>
      <w:r>
        <w:rPr>
          <w:color w:val="000000"/>
          <w:spacing w:val="0"/>
          <w:w w:val="100"/>
          <w:position w:val="0"/>
        </w:rPr>
        <w:t>亿元，较去年增长</w:t>
      </w:r>
      <w:r>
        <w:rPr>
          <w:rFonts w:ascii="Times New Roman" w:eastAsia="Times New Roman" w:hAnsi="Times New Roman" w:cs="Times New Roman"/>
          <w:color w:val="000000"/>
          <w:spacing w:val="0"/>
          <w:w w:val="100"/>
          <w:position w:val="0"/>
        </w:rPr>
        <w:t>8.84%</w:t>
      </w:r>
      <w:r>
        <w:rPr>
          <w:color w:val="000000"/>
          <w:spacing w:val="0"/>
          <w:w w:val="100"/>
          <w:position w:val="0"/>
        </w:rPr>
        <w:t>；其中股票质押日均规模</w:t>
      </w:r>
      <w:r>
        <w:rPr>
          <w:rFonts w:ascii="Times New Roman" w:eastAsia="Times New Roman" w:hAnsi="Times New Roman" w:cs="Times New Roman"/>
          <w:color w:val="000000"/>
          <w:spacing w:val="0"/>
          <w:w w:val="100"/>
          <w:position w:val="0"/>
        </w:rPr>
        <w:t>22.7</w:t>
      </w:r>
      <w:r>
        <w:rPr>
          <w:rFonts w:ascii="Times New Roman" w:eastAsia="Times New Roman" w:hAnsi="Times New Roman" w:cs="Times New Roman"/>
          <w:color w:val="000000"/>
          <w:spacing w:val="0"/>
          <w:w w:val="100"/>
          <w:position w:val="0"/>
        </w:rPr>
        <w:t>9</w:t>
      </w:r>
      <w:r>
        <w:rPr>
          <w:color w:val="000000"/>
          <w:spacing w:val="0"/>
          <w:w w:val="100"/>
          <w:position w:val="0"/>
        </w:rPr>
        <w:t>亿元，两融日均 规模</w:t>
      </w:r>
      <w:r>
        <w:rPr>
          <w:rFonts w:ascii="Times New Roman" w:eastAsia="Times New Roman" w:hAnsi="Times New Roman" w:cs="Times New Roman"/>
          <w:color w:val="000000"/>
          <w:spacing w:val="0"/>
          <w:w w:val="100"/>
          <w:position w:val="0"/>
        </w:rPr>
        <w:t>48.87</w:t>
      </w:r>
      <w:r>
        <w:rPr>
          <w:color w:val="000000"/>
          <w:spacing w:val="0"/>
          <w:w w:val="100"/>
          <w:position w:val="0"/>
        </w:rPr>
        <w:t>亿元，两融日均规模同比上升</w:t>
      </w:r>
      <w:r>
        <w:rPr>
          <w:rFonts w:ascii="Times New Roman" w:eastAsia="Times New Roman" w:hAnsi="Times New Roman" w:cs="Times New Roman"/>
          <w:color w:val="000000"/>
          <w:spacing w:val="0"/>
          <w:w w:val="100"/>
          <w:position w:val="0"/>
        </w:rPr>
        <w:t>56.58%</w:t>
      </w: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年度，信用业务利息收入共计</w:t>
      </w:r>
      <w:r>
        <w:rPr>
          <w:rFonts w:ascii="Times New Roman" w:eastAsia="Times New Roman" w:hAnsi="Times New Roman" w:cs="Times New Roman"/>
          <w:color w:val="000000"/>
          <w:spacing w:val="0"/>
          <w:w w:val="100"/>
          <w:position w:val="0"/>
        </w:rPr>
        <w:t>5.05</w:t>
      </w:r>
      <w:r>
        <w:rPr>
          <w:color w:val="000000"/>
          <w:spacing w:val="0"/>
          <w:w w:val="100"/>
          <w:position w:val="0"/>
        </w:rPr>
        <w:t>亿元，根据证券业 协会统计的</w:t>
      </w:r>
      <w:r>
        <w:rPr>
          <w:rFonts w:ascii="Times New Roman" w:eastAsia="Times New Roman" w:hAnsi="Times New Roman" w:cs="Times New Roman"/>
          <w:color w:val="000000"/>
          <w:spacing w:val="0"/>
          <w:w w:val="100"/>
          <w:position w:val="0"/>
        </w:rPr>
        <w:t>2020</w:t>
      </w:r>
      <w:r>
        <w:rPr>
          <w:color w:val="000000"/>
          <w:spacing w:val="0"/>
          <w:w w:val="100"/>
          <w:position w:val="0"/>
        </w:rPr>
        <w:t>年度未经审计数据，股票质押利息收入市场排名</w:t>
      </w:r>
      <w:r>
        <w:rPr>
          <w:rFonts w:ascii="Times New Roman" w:eastAsia="Times New Roman" w:hAnsi="Times New Roman" w:cs="Times New Roman"/>
          <w:color w:val="000000"/>
          <w:spacing w:val="0"/>
          <w:w w:val="100"/>
          <w:position w:val="0"/>
        </w:rPr>
        <w:t>31</w:t>
      </w:r>
      <w:r>
        <w:rPr>
          <w:color w:val="000000"/>
          <w:spacing w:val="0"/>
          <w:w w:val="100"/>
          <w:position w:val="0"/>
        </w:rPr>
        <w:t>位（共</w:t>
      </w:r>
      <w:r>
        <w:rPr>
          <w:rFonts w:ascii="Times New Roman" w:eastAsia="Times New Roman" w:hAnsi="Times New Roman" w:cs="Times New Roman"/>
          <w:color w:val="000000"/>
          <w:spacing w:val="0"/>
          <w:w w:val="100"/>
          <w:position w:val="0"/>
        </w:rPr>
        <w:t>91</w:t>
      </w:r>
      <w:r>
        <w:rPr>
          <w:color w:val="000000"/>
          <w:spacing w:val="0"/>
          <w:w w:val="100"/>
          <w:position w:val="0"/>
        </w:rPr>
        <w:t xml:space="preserve">家），融资融券利息收入排名 </w:t>
      </w:r>
      <w:r>
        <w:rPr>
          <w:rFonts w:ascii="Times New Roman" w:eastAsia="Times New Roman" w:hAnsi="Times New Roman" w:cs="Times New Roman"/>
          <w:color w:val="000000"/>
          <w:spacing w:val="0"/>
          <w:w w:val="100"/>
          <w:position w:val="0"/>
        </w:rPr>
        <w:t>54</w:t>
      </w:r>
      <w:r>
        <w:rPr>
          <w:color w:val="000000"/>
          <w:spacing w:val="0"/>
          <w:w w:val="100"/>
          <w:position w:val="0"/>
        </w:rPr>
        <w:t>位（共</w:t>
      </w:r>
      <w:r>
        <w:rPr>
          <w:rFonts w:ascii="Times New Roman" w:eastAsia="Times New Roman" w:hAnsi="Times New Roman" w:cs="Times New Roman"/>
          <w:color w:val="000000"/>
          <w:spacing w:val="0"/>
          <w:w w:val="100"/>
          <w:position w:val="0"/>
        </w:rPr>
        <w:t>93</w:t>
      </w:r>
      <w:r>
        <w:rPr>
          <w:color w:val="000000"/>
          <w:spacing w:val="0"/>
          <w:w w:val="100"/>
          <w:position w:val="0"/>
        </w:rPr>
        <w:t>家）。</w:t>
      </w:r>
    </w:p>
    <w:p>
      <w:pPr>
        <w:pStyle w:val="Style16"/>
        <w:keepNext w:val="0"/>
        <w:keepLines w:val="0"/>
        <w:widowControl w:val="0"/>
        <w:shd w:val="clear" w:color="auto" w:fill="auto"/>
        <w:bidi w:val="0"/>
        <w:spacing w:before="0" w:after="0" w:line="313" w:lineRule="exact"/>
        <w:ind w:left="640" w:right="0" w:firstLine="440"/>
        <w:jc w:val="both"/>
      </w:pPr>
      <w:r>
        <w:rPr>
          <w:color w:val="000000"/>
          <w:spacing w:val="0"/>
          <w:w w:val="100"/>
          <w:position w:val="0"/>
        </w:rPr>
        <w:t>从稳健经营、控制风险的角度出发，国盛证券降低了权益类自营业务的规模，证券自营业务总收益（包 括投资收益及公允价值变动损益）共计</w:t>
      </w:r>
      <w:r>
        <w:rPr>
          <w:rFonts w:ascii="Times New Roman" w:eastAsia="Times New Roman" w:hAnsi="Times New Roman" w:cs="Times New Roman"/>
          <w:color w:val="000000"/>
          <w:spacing w:val="0"/>
          <w:w w:val="100"/>
          <w:position w:val="0"/>
        </w:rPr>
        <w:t>2.40</w:t>
      </w:r>
      <w:r>
        <w:rPr>
          <w:color w:val="000000"/>
          <w:spacing w:val="0"/>
          <w:w w:val="100"/>
          <w:position w:val="0"/>
        </w:rPr>
        <w:t>亿元，同比有所下降。</w:t>
      </w:r>
    </w:p>
    <w:p>
      <w:pPr>
        <w:pStyle w:val="Style16"/>
        <w:keepNext w:val="0"/>
        <w:keepLines w:val="0"/>
        <w:widowControl w:val="0"/>
        <w:shd w:val="clear" w:color="auto" w:fill="auto"/>
        <w:tabs>
          <w:tab w:pos="1401" w:val="left"/>
        </w:tabs>
        <w:bidi w:val="0"/>
        <w:spacing w:before="0" w:after="0" w:line="313" w:lineRule="exact"/>
        <w:ind w:left="1080" w:right="0" w:firstLine="0"/>
        <w:jc w:val="both"/>
      </w:pPr>
      <w:bookmarkStart w:id="105" w:name="bookmark105"/>
      <w:r>
        <w:rPr>
          <w:rFonts w:ascii="Times New Roman" w:eastAsia="Times New Roman" w:hAnsi="Times New Roman" w:cs="Times New Roman"/>
          <w:color w:val="000000"/>
          <w:spacing w:val="0"/>
          <w:w w:val="100"/>
          <w:position w:val="0"/>
        </w:rPr>
        <w:t>2</w:t>
      </w:r>
      <w:bookmarkEnd w:id="105"/>
      <w:r>
        <w:rPr>
          <w:color w:val="000000"/>
          <w:spacing w:val="0"/>
          <w:w w:val="100"/>
          <w:position w:val="0"/>
        </w:rPr>
        <w:t>、</w:t>
        <w:tab/>
        <w:t>投资业务：搭平台稳基础，强化投后管理</w:t>
      </w:r>
    </w:p>
    <w:p>
      <w:pPr>
        <w:pStyle w:val="Style16"/>
        <w:keepNext w:val="0"/>
        <w:keepLines w:val="0"/>
        <w:widowControl w:val="0"/>
        <w:shd w:val="clear" w:color="auto" w:fill="auto"/>
        <w:bidi w:val="0"/>
        <w:spacing w:before="0" w:after="0" w:line="313" w:lineRule="exact"/>
        <w:ind w:left="64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年，受外部经济形势及接管事项的影响，募资难度加剧，公司以防范风险为首要宗旨，放缓投资 节奏，工作重点一是搭建境内投资平台、储备优质项目为未来发展奠定基础，二是强化投后管理，实现部 分项目投资收益。</w:t>
      </w:r>
    </w:p>
    <w:p>
      <w:pPr>
        <w:pStyle w:val="Style16"/>
        <w:keepNext w:val="0"/>
        <w:keepLines w:val="0"/>
        <w:widowControl w:val="0"/>
        <w:shd w:val="clear" w:color="auto" w:fill="auto"/>
        <w:bidi w:val="0"/>
        <w:spacing w:before="0" w:after="140" w:line="326" w:lineRule="exact"/>
        <w:ind w:left="640" w:right="0" w:firstLine="440"/>
        <w:jc w:val="both"/>
      </w:pPr>
      <w:r>
        <w:rPr>
          <w:color w:val="000000"/>
          <w:spacing w:val="0"/>
          <w:w w:val="100"/>
          <w:position w:val="0"/>
        </w:rPr>
        <w:t>子公司弘大嘉豪于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月完成母基金弘大智合的产品备案。同月，弘大智合作为有限合伙人入伙 嘉兴力鼎桢富股权投资合伙企业（有限合伙），拟在高端制造、新能源、大健康、消费升级等领域开展投</w:t>
      </w:r>
    </w:p>
    <w:p>
      <w:pPr>
        <w:pStyle w:val="Style16"/>
        <w:keepNext w:val="0"/>
        <w:keepLines w:val="0"/>
        <w:widowControl w:val="0"/>
        <w:shd w:val="clear" w:color="auto" w:fill="auto"/>
        <w:bidi w:val="0"/>
        <w:spacing w:before="0" w:after="0" w:line="311" w:lineRule="exact"/>
        <w:ind w:left="0" w:right="0" w:firstLine="620"/>
        <w:jc w:val="both"/>
      </w:pPr>
      <w:r>
        <w:rPr>
          <w:color w:val="000000"/>
          <w:spacing w:val="0"/>
          <w:w w:val="100"/>
          <w:position w:val="0"/>
        </w:rPr>
        <w:t>资。</w:t>
      </w:r>
    </w:p>
    <w:p>
      <w:pPr>
        <w:pStyle w:val="Style16"/>
        <w:keepNext w:val="0"/>
        <w:keepLines w:val="0"/>
        <w:widowControl w:val="0"/>
        <w:shd w:val="clear" w:color="auto" w:fill="auto"/>
        <w:bidi w:val="0"/>
        <w:spacing w:before="0" w:after="0" w:line="311" w:lineRule="exact"/>
        <w:ind w:left="620" w:right="0" w:firstLine="460"/>
        <w:jc w:val="both"/>
      </w:pPr>
      <w:r>
        <w:rPr>
          <w:rFonts w:ascii="Times New Roman" w:eastAsia="Times New Roman" w:hAnsi="Times New Roman" w:cs="Times New Roman"/>
          <w:color w:val="000000"/>
          <w:spacing w:val="0"/>
          <w:w w:val="100"/>
          <w:position w:val="0"/>
        </w:rPr>
        <w:t>2020</w:t>
      </w:r>
      <w:r>
        <w:rPr>
          <w:color w:val="000000"/>
          <w:spacing w:val="0"/>
          <w:w w:val="100"/>
          <w:position w:val="0"/>
        </w:rPr>
        <w:t xml:space="preserve">年，公司根据项目的变化和经营需求适时完成了比库科技、北京信链、微贷网等项目的退出。国 盛互联网投资有限合伙（公司下属企业国盛互联网投资管理有限公司担任普通合伙人）投资的陆金所于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 xml:space="preserve">30 </w:t>
      </w:r>
      <w:r>
        <w:rPr>
          <w:rFonts w:ascii="Arial" w:eastAsia="Arial" w:hAnsi="Arial" w:cs="Arial"/>
          <w:color w:val="000000"/>
          <w:spacing w:val="0"/>
          <w:w w:val="100"/>
          <w:position w:val="0"/>
          <w:sz w:val="17"/>
          <w:szCs w:val="17"/>
        </w:rPr>
        <w:t>0</w:t>
      </w:r>
      <w:r>
        <w:rPr>
          <w:color w:val="000000"/>
          <w:spacing w:val="0"/>
          <w:w w:val="100"/>
          <w:position w:val="0"/>
        </w:rPr>
        <w:t>在美国纽交所正式挂牌上市。</w:t>
      </w:r>
    </w:p>
    <w:p>
      <w:pPr>
        <w:pStyle w:val="Style16"/>
        <w:keepNext w:val="0"/>
        <w:keepLines w:val="0"/>
        <w:widowControl w:val="0"/>
        <w:shd w:val="clear" w:color="auto" w:fill="auto"/>
        <w:bidi w:val="0"/>
        <w:spacing w:before="0" w:after="0" w:line="311" w:lineRule="exact"/>
        <w:ind w:left="1080" w:right="0" w:firstLine="0"/>
        <w:jc w:val="both"/>
      </w:pPr>
      <w:bookmarkStart w:id="106" w:name="bookmark106"/>
      <w:r>
        <w:rPr>
          <w:rFonts w:ascii="Times New Roman" w:eastAsia="Times New Roman" w:hAnsi="Times New Roman" w:cs="Times New Roman"/>
          <w:color w:val="000000"/>
          <w:spacing w:val="0"/>
          <w:w w:val="100"/>
          <w:position w:val="0"/>
        </w:rPr>
        <w:t>3</w:t>
      </w:r>
      <w:bookmarkEnd w:id="106"/>
      <w:r>
        <w:rPr>
          <w:color w:val="000000"/>
          <w:spacing w:val="0"/>
          <w:w w:val="100"/>
          <w:position w:val="0"/>
        </w:rPr>
        <w:t>、</w:t>
      </w:r>
      <w:r>
        <w:rPr>
          <w:color w:val="000000"/>
          <w:spacing w:val="0"/>
          <w:w w:val="100"/>
          <w:position w:val="0"/>
        </w:rPr>
        <w:t>金融科技业务：优化业务模式，聚焦重点项目</w:t>
      </w:r>
    </w:p>
    <w:p>
      <w:pPr>
        <w:pStyle w:val="Style16"/>
        <w:keepNext w:val="0"/>
        <w:keepLines w:val="0"/>
        <w:widowControl w:val="0"/>
        <w:shd w:val="clear" w:color="auto" w:fill="auto"/>
        <w:bidi w:val="0"/>
        <w:spacing w:before="0" w:after="0" w:line="311" w:lineRule="exact"/>
        <w:ind w:left="620" w:right="0" w:firstLine="46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年，公司收缩金融科技业务规模，优化业务模式，聚焦集团信息化及国盛通</w:t>
      </w:r>
      <w:r>
        <w:rPr>
          <w:rFonts w:ascii="Times New Roman" w:eastAsia="Times New Roman" w:hAnsi="Times New Roman" w:cs="Times New Roman"/>
          <w:color w:val="000000"/>
          <w:spacing w:val="0"/>
          <w:w w:val="100"/>
          <w:position w:val="0"/>
        </w:rPr>
        <w:t>APP</w:t>
      </w:r>
      <w:r>
        <w:rPr>
          <w:color w:val="000000"/>
          <w:spacing w:val="0"/>
          <w:w w:val="100"/>
          <w:position w:val="0"/>
        </w:rPr>
        <w:t>、国盛证券研究 所</w:t>
      </w:r>
      <w:r>
        <w:rPr>
          <w:rFonts w:ascii="Times New Roman" w:eastAsia="Times New Roman" w:hAnsi="Times New Roman" w:cs="Times New Roman"/>
          <w:color w:val="000000"/>
          <w:spacing w:val="0"/>
          <w:w w:val="100"/>
          <w:position w:val="0"/>
        </w:rPr>
        <w:t>APP</w:t>
      </w:r>
      <w:r>
        <w:rPr>
          <w:color w:val="000000"/>
          <w:spacing w:val="0"/>
          <w:w w:val="100"/>
          <w:position w:val="0"/>
        </w:rPr>
        <w:t>、大数据开发等重点项目的研发与建设，持续提升产品质量，确保产品上线后的稳定运行。</w:t>
      </w:r>
    </w:p>
    <w:p>
      <w:pPr>
        <w:pStyle w:val="Style16"/>
        <w:keepNext w:val="0"/>
        <w:keepLines w:val="0"/>
        <w:widowControl w:val="0"/>
        <w:shd w:val="clear" w:color="auto" w:fill="auto"/>
        <w:tabs>
          <w:tab w:pos="1654" w:val="left"/>
        </w:tabs>
        <w:bidi w:val="0"/>
        <w:spacing w:before="0" w:after="0" w:line="311" w:lineRule="exact"/>
        <w:ind w:left="1080" w:right="0" w:firstLine="0"/>
        <w:jc w:val="both"/>
      </w:pPr>
      <w:bookmarkStart w:id="107" w:name="bookmark107"/>
      <w:r>
        <w:rPr>
          <w:b/>
          <w:bCs/>
          <w:color w:val="000000"/>
          <w:spacing w:val="0"/>
          <w:w w:val="100"/>
          <w:position w:val="0"/>
        </w:rPr>
        <w:t>（</w:t>
      </w:r>
      <w:bookmarkEnd w:id="107"/>
      <w:r>
        <w:rPr>
          <w:b/>
          <w:bCs/>
          <w:color w:val="000000"/>
          <w:spacing w:val="0"/>
          <w:w w:val="100"/>
          <w:position w:val="0"/>
        </w:rPr>
        <w:t>二）</w:t>
        <w:tab/>
        <w:t>积极配合监管部门，做好接管期内各项工作</w:t>
      </w:r>
    </w:p>
    <w:p>
      <w:pPr>
        <w:pStyle w:val="Style16"/>
        <w:keepNext w:val="0"/>
        <w:keepLines w:val="0"/>
        <w:widowControl w:val="0"/>
        <w:shd w:val="clear" w:color="auto" w:fill="auto"/>
        <w:bidi w:val="0"/>
        <w:spacing w:before="0" w:after="0" w:line="311" w:lineRule="exact"/>
        <w:ind w:left="620" w:right="0" w:firstLine="460"/>
        <w:jc w:val="both"/>
      </w:pPr>
      <w:r>
        <w:rPr>
          <w:color w:val="000000"/>
          <w:spacing w:val="0"/>
          <w:w w:val="100"/>
          <w:position w:val="0"/>
        </w:rPr>
        <w:t>公司全面配合中国证监会对子公司国盛证券、国盛期货的接管安排，维护正常经营稳定，最大限度保 护中小股东利益，全面排查风险，依法履行信息披露义务，及时回应投资者、债权人以及社会各界的关切。 被接管后，国盛证券经营保持稳定，各项业务资质均未受影响。公司与国盛证券及其下属子公司正常开展 日常沟通工作，包括但不限于交易事项、财务管理、信息披露、人事管理、公益活动等。公司始终与监管 部门保持高度一致，共同维护公司稳定发展，争取早日解除接管状态，使公司回归正常发展轨道。</w:t>
      </w:r>
    </w:p>
    <w:p>
      <w:pPr>
        <w:pStyle w:val="Style16"/>
        <w:keepNext w:val="0"/>
        <w:keepLines w:val="0"/>
        <w:widowControl w:val="0"/>
        <w:shd w:val="clear" w:color="auto" w:fill="auto"/>
        <w:tabs>
          <w:tab w:pos="1654" w:val="left"/>
        </w:tabs>
        <w:bidi w:val="0"/>
        <w:spacing w:before="0" w:after="0" w:line="311" w:lineRule="exact"/>
        <w:ind w:left="1080" w:right="0" w:firstLine="0"/>
        <w:jc w:val="both"/>
      </w:pPr>
      <w:bookmarkStart w:id="108" w:name="bookmark108"/>
      <w:r>
        <w:rPr>
          <w:b/>
          <w:bCs/>
          <w:color w:val="000000"/>
          <w:spacing w:val="0"/>
          <w:w w:val="100"/>
          <w:position w:val="0"/>
        </w:rPr>
        <w:t>（</w:t>
      </w:r>
      <w:bookmarkEnd w:id="108"/>
      <w:r>
        <w:rPr>
          <w:b/>
          <w:bCs/>
          <w:color w:val="000000"/>
          <w:spacing w:val="0"/>
          <w:w w:val="100"/>
          <w:position w:val="0"/>
        </w:rPr>
        <w:t>三）</w:t>
        <w:tab/>
        <w:t>积极面对债券集中偿付压力，妥善化解公司偿付风险</w:t>
      </w:r>
    </w:p>
    <w:p>
      <w:pPr>
        <w:pStyle w:val="Style16"/>
        <w:keepNext w:val="0"/>
        <w:keepLines w:val="0"/>
        <w:widowControl w:val="0"/>
        <w:shd w:val="clear" w:color="auto" w:fill="auto"/>
        <w:bidi w:val="0"/>
        <w:spacing w:before="0" w:after="0" w:line="311" w:lineRule="exact"/>
        <w:ind w:left="620" w:right="0" w:firstLine="5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年，受接管事项影响，评级机构将公司主体和债项评级从</w:t>
      </w:r>
      <w:r>
        <w:rPr>
          <w:rFonts w:ascii="Times New Roman" w:eastAsia="Times New Roman" w:hAnsi="Times New Roman" w:cs="Times New Roman"/>
          <w:color w:val="000000"/>
          <w:spacing w:val="0"/>
          <w:w w:val="100"/>
          <w:position w:val="0"/>
        </w:rPr>
        <w:t>AA+</w:t>
      </w:r>
      <w:r>
        <w:rPr>
          <w:color w:val="000000"/>
          <w:spacing w:val="0"/>
          <w:w w:val="100"/>
          <w:position w:val="0"/>
        </w:rPr>
        <w:t>下调至</w:t>
      </w:r>
      <w:r>
        <w:rPr>
          <w:rFonts w:ascii="Times New Roman" w:eastAsia="Times New Roman" w:hAnsi="Times New Roman" w:cs="Times New Roman"/>
          <w:color w:val="000000"/>
          <w:spacing w:val="0"/>
          <w:w w:val="100"/>
          <w:position w:val="0"/>
        </w:rPr>
        <w:t>AA-</w:t>
      </w:r>
      <w:r>
        <w:rPr>
          <w:color w:val="000000"/>
          <w:spacing w:val="0"/>
          <w:w w:val="100"/>
          <w:position w:val="0"/>
        </w:rPr>
        <w:t>,</w:t>
      </w:r>
      <w:r>
        <w:rPr>
          <w:color w:val="000000"/>
          <w:spacing w:val="0"/>
          <w:w w:val="100"/>
          <w:position w:val="0"/>
        </w:rPr>
        <w:t>债券受托管理人将公 司债券列入风险类债券。在各方的审慎关注和负面展望下，公司面临</w:t>
      </w:r>
      <w:r>
        <w:rPr>
          <w:rFonts w:ascii="Times New Roman" w:eastAsia="Times New Roman" w:hAnsi="Times New Roman" w:cs="Times New Roman"/>
          <w:color w:val="000000"/>
          <w:spacing w:val="0"/>
          <w:w w:val="100"/>
          <w:position w:val="0"/>
        </w:rPr>
        <w:t>“16</w:t>
      </w:r>
      <w:r>
        <w:rPr>
          <w:color w:val="000000"/>
          <w:spacing w:val="0"/>
          <w:w w:val="100"/>
          <w:position w:val="0"/>
        </w:rPr>
        <w:t>国盛金</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“16</w:t>
      </w:r>
      <w:r>
        <w:rPr>
          <w:color w:val="000000"/>
          <w:spacing w:val="0"/>
          <w:w w:val="100"/>
          <w:position w:val="0"/>
        </w:rPr>
        <w:t>国盛控</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“17</w:t>
      </w:r>
      <w:r>
        <w:rPr>
          <w:color w:val="000000"/>
          <w:spacing w:val="0"/>
          <w:w w:val="100"/>
          <w:position w:val="0"/>
        </w:rPr>
        <w:t>国盛金</w:t>
      </w:r>
      <w:r>
        <w:rPr>
          <w:rFonts w:ascii="Times New Roman" w:eastAsia="Times New Roman" w:hAnsi="Times New Roman" w:cs="Times New Roman"/>
          <w:color w:val="000000"/>
          <w:spacing w:val="0"/>
          <w:w w:val="100"/>
          <w:position w:val="0"/>
        </w:rPr>
        <w:t xml:space="preserve">” </w:t>
      </w:r>
      <w:r>
        <w:rPr>
          <w:color w:val="000000"/>
          <w:spacing w:val="0"/>
          <w:w w:val="100"/>
          <w:position w:val="0"/>
        </w:rPr>
        <w:t>三只公司债券共计</w:t>
      </w:r>
      <w:r>
        <w:rPr>
          <w:rFonts w:ascii="Times New Roman" w:eastAsia="Times New Roman" w:hAnsi="Times New Roman" w:cs="Times New Roman"/>
          <w:color w:val="000000"/>
          <w:spacing w:val="0"/>
          <w:w w:val="100"/>
          <w:position w:val="0"/>
        </w:rPr>
        <w:t>28.68</w:t>
      </w:r>
      <w:r>
        <w:rPr>
          <w:color w:val="000000"/>
          <w:spacing w:val="0"/>
          <w:w w:val="100"/>
          <w:position w:val="0"/>
        </w:rPr>
        <w:t>亿的集中偿付压力。</w:t>
      </w:r>
    </w:p>
    <w:p>
      <w:pPr>
        <w:pStyle w:val="Style16"/>
        <w:keepNext w:val="0"/>
        <w:keepLines w:val="0"/>
        <w:widowControl w:val="0"/>
        <w:shd w:val="clear" w:color="auto" w:fill="auto"/>
        <w:bidi w:val="0"/>
        <w:spacing w:before="0" w:after="660" w:line="311" w:lineRule="exact"/>
        <w:ind w:left="620" w:right="0" w:firstLine="460"/>
        <w:jc w:val="both"/>
      </w:pPr>
      <w:r>
        <w:rPr>
          <w:color w:val="000000"/>
          <w:spacing w:val="0"/>
          <w:w w:val="100"/>
          <w:position w:val="0"/>
        </w:rPr>
        <w:t>公司积极与债权人、受托管理人逐一反复协商沟通，结合公司实际资金情况，寻求切实可行的偿付方 案。在各方不懈努力下，公司完成了</w:t>
      </w:r>
      <w:r>
        <w:rPr>
          <w:rFonts w:ascii="Times New Roman" w:eastAsia="Times New Roman" w:hAnsi="Times New Roman" w:cs="Times New Roman"/>
          <w:color w:val="000000"/>
          <w:spacing w:val="0"/>
          <w:w w:val="100"/>
          <w:position w:val="0"/>
        </w:rPr>
        <w:t>“16</w:t>
      </w:r>
      <w:r>
        <w:rPr>
          <w:color w:val="000000"/>
          <w:spacing w:val="0"/>
          <w:w w:val="100"/>
          <w:position w:val="0"/>
        </w:rPr>
        <w:t>国盛金</w:t>
      </w:r>
      <w:r>
        <w:rPr>
          <w:rFonts w:ascii="Times New Roman" w:eastAsia="Times New Roman" w:hAnsi="Times New Roman" w:cs="Times New Roman"/>
          <w:color w:val="000000"/>
          <w:spacing w:val="0"/>
          <w:w w:val="100"/>
          <w:position w:val="0"/>
        </w:rPr>
        <w:t>”</w:t>
      </w:r>
      <w:r>
        <w:rPr>
          <w:color w:val="000000"/>
          <w:spacing w:val="0"/>
          <w:w w:val="100"/>
          <w:position w:val="0"/>
        </w:rPr>
        <w:t>债券的本息兑付、</w:t>
      </w:r>
      <w:r>
        <w:rPr>
          <w:rFonts w:ascii="Times New Roman" w:eastAsia="Times New Roman" w:hAnsi="Times New Roman" w:cs="Times New Roman"/>
          <w:color w:val="000000"/>
          <w:spacing w:val="0"/>
          <w:w w:val="100"/>
          <w:position w:val="0"/>
        </w:rPr>
        <w:t>“16</w:t>
      </w:r>
      <w:r>
        <w:rPr>
          <w:color w:val="000000"/>
          <w:spacing w:val="0"/>
          <w:w w:val="100"/>
          <w:position w:val="0"/>
        </w:rPr>
        <w:t>国盛控</w:t>
      </w:r>
      <w:r>
        <w:rPr>
          <w:rFonts w:ascii="Times New Roman" w:eastAsia="Times New Roman" w:hAnsi="Times New Roman" w:cs="Times New Roman"/>
          <w:color w:val="000000"/>
          <w:spacing w:val="0"/>
          <w:w w:val="100"/>
          <w:position w:val="0"/>
        </w:rPr>
        <w:t>”</w:t>
      </w:r>
      <w:r>
        <w:rPr>
          <w:color w:val="000000"/>
          <w:spacing w:val="0"/>
          <w:w w:val="100"/>
          <w:position w:val="0"/>
        </w:rPr>
        <w:t>债券的付息以及</w:t>
      </w:r>
      <w:r>
        <w:rPr>
          <w:rFonts w:ascii="Times New Roman" w:eastAsia="Times New Roman" w:hAnsi="Times New Roman" w:cs="Times New Roman"/>
          <w:color w:val="000000"/>
          <w:spacing w:val="0"/>
          <w:w w:val="100"/>
          <w:position w:val="0"/>
        </w:rPr>
        <w:t>“17</w:t>
      </w:r>
      <w:r>
        <w:rPr>
          <w:color w:val="000000"/>
          <w:spacing w:val="0"/>
          <w:w w:val="100"/>
          <w:position w:val="0"/>
        </w:rPr>
        <w:t>国盛金</w:t>
      </w:r>
      <w:r>
        <w:rPr>
          <w:rFonts w:ascii="Times New Roman" w:eastAsia="Times New Roman" w:hAnsi="Times New Roman" w:cs="Times New Roman"/>
          <w:color w:val="000000"/>
          <w:spacing w:val="0"/>
          <w:w w:val="100"/>
          <w:position w:val="0"/>
        </w:rPr>
        <w:t xml:space="preserve">” </w:t>
      </w:r>
      <w:r>
        <w:rPr>
          <w:color w:val="000000"/>
          <w:spacing w:val="0"/>
          <w:w w:val="100"/>
          <w:position w:val="0"/>
        </w:rPr>
        <w:t>债券的付息和回售支付日调整工作，妥善化解了公司</w:t>
      </w:r>
      <w:r>
        <w:rPr>
          <w:rFonts w:ascii="Times New Roman" w:eastAsia="Times New Roman" w:hAnsi="Times New Roman" w:cs="Times New Roman"/>
          <w:color w:val="000000"/>
          <w:spacing w:val="0"/>
          <w:w w:val="100"/>
          <w:position w:val="0"/>
        </w:rPr>
        <w:t>2020</w:t>
      </w:r>
      <w:r>
        <w:rPr>
          <w:color w:val="000000"/>
          <w:spacing w:val="0"/>
          <w:w w:val="100"/>
          <w:position w:val="0"/>
        </w:rPr>
        <w:t>年度债券偿付风险，确保了公司稳定发展。</w:t>
      </w:r>
    </w:p>
    <w:p>
      <w:pPr>
        <w:pStyle w:val="Style29"/>
        <w:keepNext/>
        <w:keepLines/>
        <w:widowControl w:val="0"/>
        <w:shd w:val="clear" w:color="auto" w:fill="auto"/>
        <w:bidi w:val="0"/>
        <w:spacing w:before="0" w:after="380" w:line="240" w:lineRule="auto"/>
        <w:ind w:left="0" w:right="0"/>
        <w:jc w:val="both"/>
      </w:pPr>
      <w:bookmarkStart w:id="109" w:name="bookmark109"/>
      <w:bookmarkStart w:id="110" w:name="bookmark110"/>
      <w:bookmarkStart w:id="111" w:name="bookmark111"/>
      <w:bookmarkStart w:id="112" w:name="bookmark112"/>
      <w:r>
        <w:rPr>
          <w:color w:val="000000"/>
          <w:spacing w:val="0"/>
          <w:w w:val="100"/>
          <w:position w:val="0"/>
          <w:sz w:val="24"/>
          <w:szCs w:val="24"/>
        </w:rPr>
        <w:t>二</w:t>
      </w:r>
      <w:bookmarkEnd w:id="111"/>
      <w:r>
        <w:rPr>
          <w:color w:val="000000"/>
          <w:spacing w:val="0"/>
          <w:w w:val="100"/>
          <w:position w:val="0"/>
          <w:sz w:val="24"/>
          <w:szCs w:val="24"/>
        </w:rPr>
        <w:t>、主营业务分析</w:t>
      </w:r>
      <w:bookmarkEnd w:id="109"/>
      <w:bookmarkEnd w:id="110"/>
      <w:bookmarkEnd w:id="112"/>
    </w:p>
    <w:p>
      <w:pPr>
        <w:pStyle w:val="Style37"/>
        <w:keepNext/>
        <w:keepLines/>
        <w:widowControl w:val="0"/>
        <w:shd w:val="clear" w:color="auto" w:fill="auto"/>
        <w:tabs>
          <w:tab w:pos="964" w:val="left"/>
        </w:tabs>
        <w:bidi w:val="0"/>
        <w:spacing w:before="0" w:after="200" w:line="326" w:lineRule="auto"/>
        <w:ind w:left="0" w:right="0" w:firstLine="620"/>
        <w:jc w:val="both"/>
      </w:pPr>
      <w:bookmarkStart w:id="113" w:name="bookmark113"/>
      <w:bookmarkStart w:id="114" w:name="bookmark114"/>
      <w:bookmarkStart w:id="115" w:name="bookmark115"/>
      <w:bookmarkStart w:id="116" w:name="bookmark116"/>
      <w:r>
        <w:rPr>
          <w:rFonts w:ascii="Times New Roman" w:eastAsia="Times New Roman" w:hAnsi="Times New Roman" w:cs="Times New Roman"/>
          <w:color w:val="000000"/>
          <w:spacing w:val="0"/>
          <w:w w:val="100"/>
          <w:position w:val="0"/>
        </w:rPr>
        <w:t>1</w:t>
      </w:r>
      <w:bookmarkEnd w:id="115"/>
      <w:r>
        <w:rPr>
          <w:color w:val="000000"/>
          <w:spacing w:val="0"/>
          <w:w w:val="100"/>
          <w:position w:val="0"/>
        </w:rPr>
        <w:t>、</w:t>
        <w:tab/>
        <w:t>概述</w:t>
      </w:r>
      <w:bookmarkEnd w:id="113"/>
      <w:bookmarkEnd w:id="114"/>
      <w:bookmarkEnd w:id="116"/>
    </w:p>
    <w:p>
      <w:pPr>
        <w:pStyle w:val="Style16"/>
        <w:keepNext w:val="0"/>
        <w:keepLines w:val="0"/>
        <w:widowControl w:val="0"/>
        <w:shd w:val="clear" w:color="auto" w:fill="auto"/>
        <w:bidi w:val="0"/>
        <w:spacing w:before="0" w:after="0" w:line="313" w:lineRule="exact"/>
        <w:ind w:left="620" w:right="0" w:firstLine="460"/>
        <w:jc w:val="both"/>
      </w:pPr>
      <w:r>
        <w:rPr>
          <w:color w:val="000000"/>
          <w:spacing w:val="0"/>
          <w:w w:val="100"/>
          <w:position w:val="0"/>
        </w:rPr>
        <w:t>报告期公司实现营业总收入</w:t>
      </w:r>
      <w:r>
        <w:rPr>
          <w:rFonts w:ascii="Times New Roman" w:eastAsia="Times New Roman" w:hAnsi="Times New Roman" w:cs="Times New Roman"/>
          <w:color w:val="000000"/>
          <w:spacing w:val="0"/>
          <w:w w:val="100"/>
          <w:position w:val="0"/>
        </w:rPr>
        <w:t>22.06</w:t>
      </w:r>
      <w:r>
        <w:rPr>
          <w:color w:val="000000"/>
          <w:spacing w:val="0"/>
          <w:w w:val="100"/>
          <w:position w:val="0"/>
        </w:rPr>
        <w:t>亿，较上年增长</w:t>
      </w:r>
      <w:r>
        <w:rPr>
          <w:rFonts w:ascii="Times New Roman" w:eastAsia="Times New Roman" w:hAnsi="Times New Roman" w:cs="Times New Roman"/>
          <w:color w:val="000000"/>
          <w:spacing w:val="0"/>
          <w:w w:val="100"/>
          <w:position w:val="0"/>
        </w:rPr>
        <w:t>32.12%</w:t>
      </w:r>
      <w:r>
        <w:rPr>
          <w:color w:val="000000"/>
          <w:spacing w:val="0"/>
          <w:w w:val="100"/>
          <w:position w:val="0"/>
        </w:rPr>
        <w:t>；实现归属于上市公司股东的净利润</w:t>
      </w:r>
      <w:r>
        <w:rPr>
          <w:rFonts w:ascii="Times New Roman" w:eastAsia="Times New Roman" w:hAnsi="Times New Roman" w:cs="Times New Roman"/>
          <w:color w:val="000000"/>
          <w:spacing w:val="0"/>
          <w:w w:val="100"/>
          <w:position w:val="0"/>
        </w:rPr>
        <w:t>-3.66</w:t>
      </w:r>
      <w:r>
        <w:rPr>
          <w:color w:val="000000"/>
          <w:spacing w:val="0"/>
          <w:w w:val="100"/>
          <w:position w:val="0"/>
        </w:rPr>
        <w:t>亿 元，较上年减少</w:t>
      </w:r>
      <w:r>
        <w:rPr>
          <w:rFonts w:ascii="Times New Roman" w:eastAsia="Times New Roman" w:hAnsi="Times New Roman" w:cs="Times New Roman"/>
          <w:color w:val="000000"/>
          <w:spacing w:val="0"/>
          <w:w w:val="100"/>
          <w:position w:val="0"/>
        </w:rPr>
        <w:t>573.14%</w:t>
      </w:r>
      <w:r>
        <w:rPr>
          <w:color w:val="000000"/>
          <w:spacing w:val="0"/>
          <w:w w:val="100"/>
          <w:position w:val="0"/>
        </w:rPr>
        <w:t>；营业总成本</w:t>
      </w:r>
      <w:r>
        <w:rPr>
          <w:rFonts w:ascii="Times New Roman" w:eastAsia="Times New Roman" w:hAnsi="Times New Roman" w:cs="Times New Roman"/>
          <w:color w:val="000000"/>
          <w:spacing w:val="0"/>
          <w:w w:val="100"/>
          <w:position w:val="0"/>
        </w:rPr>
        <w:t>24.28</w:t>
      </w:r>
      <w:r>
        <w:rPr>
          <w:color w:val="000000"/>
          <w:spacing w:val="0"/>
          <w:w w:val="100"/>
          <w:position w:val="0"/>
        </w:rPr>
        <w:t>亿元，同比增长</w:t>
      </w:r>
      <w:r>
        <w:rPr>
          <w:rFonts w:ascii="Times New Roman" w:eastAsia="Times New Roman" w:hAnsi="Times New Roman" w:cs="Times New Roman"/>
          <w:color w:val="000000"/>
          <w:spacing w:val="0"/>
          <w:w w:val="100"/>
          <w:position w:val="0"/>
        </w:rPr>
        <w:t>6.17%</w:t>
      </w:r>
      <w:r>
        <w:rPr>
          <w:color w:val="000000"/>
          <w:spacing w:val="0"/>
          <w:w w:val="100"/>
          <w:position w:val="0"/>
        </w:rPr>
        <w:t>；实现投资收益</w:t>
      </w:r>
      <w:r>
        <w:rPr>
          <w:rFonts w:ascii="Times New Roman" w:eastAsia="Times New Roman" w:hAnsi="Times New Roman" w:cs="Times New Roman"/>
          <w:color w:val="000000"/>
          <w:spacing w:val="0"/>
          <w:w w:val="100"/>
          <w:position w:val="0"/>
        </w:rPr>
        <w:t>4.46</w:t>
      </w:r>
      <w:r>
        <w:rPr>
          <w:color w:val="000000"/>
          <w:spacing w:val="0"/>
          <w:w w:val="100"/>
          <w:position w:val="0"/>
        </w:rPr>
        <w:t>亿元，同比减少</w:t>
      </w:r>
      <w:r>
        <w:rPr>
          <w:rFonts w:ascii="Times New Roman" w:eastAsia="Times New Roman" w:hAnsi="Times New Roman" w:cs="Times New Roman"/>
          <w:color w:val="000000"/>
          <w:spacing w:val="0"/>
          <w:w w:val="100"/>
          <w:position w:val="0"/>
        </w:rPr>
        <w:t>26.81%</w:t>
      </w:r>
      <w:r>
        <w:rPr>
          <w:color w:val="000000"/>
          <w:spacing w:val="0"/>
          <w:w w:val="100"/>
          <w:position w:val="0"/>
        </w:rPr>
        <w:t>； 公允价值变动损益</w:t>
      </w:r>
      <w:r>
        <w:rPr>
          <w:rFonts w:ascii="Times New Roman" w:eastAsia="Times New Roman" w:hAnsi="Times New Roman" w:cs="Times New Roman"/>
          <w:color w:val="000000"/>
          <w:spacing w:val="0"/>
          <w:w w:val="100"/>
          <w:position w:val="0"/>
        </w:rPr>
        <w:t>-2.55</w:t>
      </w:r>
      <w:r>
        <w:rPr>
          <w:color w:val="000000"/>
          <w:spacing w:val="0"/>
          <w:w w:val="100"/>
          <w:position w:val="0"/>
        </w:rPr>
        <w:t>亿元，同比减少</w:t>
      </w:r>
      <w:r>
        <w:rPr>
          <w:rFonts w:ascii="Times New Roman" w:eastAsia="Times New Roman" w:hAnsi="Times New Roman" w:cs="Times New Roman"/>
          <w:color w:val="000000"/>
          <w:spacing w:val="0"/>
          <w:w w:val="100"/>
          <w:position w:val="0"/>
        </w:rPr>
        <w:t>195.39%</w:t>
      </w:r>
      <w:r>
        <w:rPr>
          <w:color w:val="000000"/>
          <w:spacing w:val="0"/>
          <w:w w:val="100"/>
          <w:position w:val="0"/>
        </w:rPr>
        <w:t>；实现经营活动产生的现金流量净额</w:t>
      </w:r>
      <w:r>
        <w:rPr>
          <w:rFonts w:ascii="Times New Roman" w:eastAsia="Times New Roman" w:hAnsi="Times New Roman" w:cs="Times New Roman"/>
          <w:color w:val="000000"/>
          <w:spacing w:val="0"/>
          <w:w w:val="100"/>
          <w:position w:val="0"/>
        </w:rPr>
        <w:t>42.90</w:t>
      </w:r>
      <w:r>
        <w:rPr>
          <w:color w:val="000000"/>
          <w:spacing w:val="0"/>
          <w:w w:val="100"/>
          <w:position w:val="0"/>
        </w:rPr>
        <w:t xml:space="preserve">亿元，同比增长 </w:t>
      </w:r>
      <w:r>
        <w:rPr>
          <w:rFonts w:ascii="Times New Roman" w:eastAsia="Times New Roman" w:hAnsi="Times New Roman" w:cs="Times New Roman"/>
          <w:color w:val="000000"/>
          <w:spacing w:val="0"/>
          <w:w w:val="100"/>
          <w:position w:val="0"/>
        </w:rPr>
        <w:t>77.16%</w:t>
      </w:r>
      <w:r>
        <w:rPr>
          <w:color w:val="000000"/>
          <w:spacing w:val="0"/>
          <w:w w:val="100"/>
          <w:position w:val="0"/>
        </w:rPr>
        <w:t>；投资活动产生的现金流量净额</w:t>
      </w:r>
      <w:r>
        <w:rPr>
          <w:rFonts w:ascii="Times New Roman" w:eastAsia="Times New Roman" w:hAnsi="Times New Roman" w:cs="Times New Roman"/>
          <w:color w:val="000000"/>
          <w:spacing w:val="0"/>
          <w:w w:val="100"/>
          <w:position w:val="0"/>
        </w:rPr>
        <w:t>-0.71</w:t>
      </w:r>
      <w:r>
        <w:rPr>
          <w:color w:val="000000"/>
          <w:spacing w:val="0"/>
          <w:w w:val="100"/>
          <w:position w:val="0"/>
        </w:rPr>
        <w:t>亿元，同比下降</w:t>
      </w:r>
      <w:r>
        <w:rPr>
          <w:rFonts w:ascii="Times New Roman" w:eastAsia="Times New Roman" w:hAnsi="Times New Roman" w:cs="Times New Roman"/>
          <w:color w:val="000000"/>
          <w:spacing w:val="0"/>
          <w:w w:val="100"/>
          <w:position w:val="0"/>
        </w:rPr>
        <w:t>105.84%</w:t>
      </w:r>
      <w:r>
        <w:rPr>
          <w:color w:val="000000"/>
          <w:spacing w:val="0"/>
          <w:w w:val="100"/>
          <w:position w:val="0"/>
        </w:rPr>
        <w:t>,筹资活动实现的现金流量净额</w:t>
      </w:r>
      <w:r>
        <w:rPr>
          <w:rFonts w:ascii="Times New Roman" w:eastAsia="Times New Roman" w:hAnsi="Times New Roman" w:cs="Times New Roman"/>
          <w:color w:val="000000"/>
          <w:spacing w:val="0"/>
          <w:w w:val="100"/>
          <w:position w:val="0"/>
        </w:rPr>
        <w:t xml:space="preserve">-10.34 </w:t>
      </w:r>
      <w:r>
        <w:rPr>
          <w:color w:val="000000"/>
          <w:spacing w:val="0"/>
          <w:w w:val="100"/>
          <w:position w:val="0"/>
        </w:rPr>
        <w:t>亿元，同比下降</w:t>
      </w:r>
      <w:r>
        <w:rPr>
          <w:rFonts w:ascii="Times New Roman" w:eastAsia="Times New Roman" w:hAnsi="Times New Roman" w:cs="Times New Roman"/>
          <w:color w:val="000000"/>
          <w:spacing w:val="0"/>
          <w:w w:val="100"/>
          <w:position w:val="0"/>
        </w:rPr>
        <w:t>39.35%</w:t>
      </w:r>
      <w:r>
        <w:rPr>
          <w:color w:val="000000"/>
          <w:spacing w:val="0"/>
          <w:w w:val="100"/>
          <w:position w:val="0"/>
        </w:rPr>
        <w:t>。</w:t>
      </w:r>
    </w:p>
    <w:p>
      <w:pPr>
        <w:pStyle w:val="Style16"/>
        <w:keepNext w:val="0"/>
        <w:keepLines w:val="0"/>
        <w:widowControl w:val="0"/>
        <w:shd w:val="clear" w:color="auto" w:fill="auto"/>
        <w:bidi w:val="0"/>
        <w:spacing w:before="0" w:after="380" w:line="313" w:lineRule="exact"/>
        <w:ind w:left="620" w:right="0" w:firstLine="460"/>
        <w:jc w:val="both"/>
      </w:pPr>
      <w:r>
        <w:rPr>
          <w:color w:val="000000"/>
          <w:spacing w:val="0"/>
          <w:w w:val="100"/>
          <w:position w:val="0"/>
        </w:rPr>
        <w:t>公司营业收入增长、归属于上市公司股东的净利润下降的主要原因：（</w:t>
      </w:r>
      <w:r>
        <w:rPr>
          <w:rFonts w:ascii="Times New Roman" w:eastAsia="Times New Roman" w:hAnsi="Times New Roman" w:cs="Times New Roman"/>
          <w:color w:val="000000"/>
          <w:spacing w:val="0"/>
          <w:w w:val="100"/>
          <w:position w:val="0"/>
        </w:rPr>
        <w:t>1</w:t>
      </w:r>
      <w:r>
        <w:rPr>
          <w:color w:val="000000"/>
          <w:spacing w:val="0"/>
          <w:w w:val="100"/>
          <w:position w:val="0"/>
        </w:rPr>
        <w:t>）证券经纪业务、投研业务 收入大幅增长，相应成本费用较上年同期有所增加；（</w:t>
      </w:r>
      <w:r>
        <w:rPr>
          <w:rFonts w:ascii="Times New Roman" w:eastAsia="Times New Roman" w:hAnsi="Times New Roman" w:cs="Times New Roman"/>
          <w:color w:val="000000"/>
          <w:spacing w:val="0"/>
          <w:w w:val="100"/>
          <w:position w:val="0"/>
        </w:rPr>
        <w:t>2</w:t>
      </w:r>
      <w:r>
        <w:rPr>
          <w:color w:val="000000"/>
          <w:spacing w:val="0"/>
          <w:w w:val="100"/>
          <w:position w:val="0"/>
        </w:rPr>
        <w:t>）证券自营业务收益较上年同期大幅下降；（</w:t>
      </w:r>
      <w:r>
        <w:rPr>
          <w:rFonts w:ascii="Times New Roman" w:eastAsia="Times New Roman" w:hAnsi="Times New Roman" w:cs="Times New Roman"/>
          <w:color w:val="000000"/>
          <w:spacing w:val="0"/>
          <w:w w:val="100"/>
          <w:position w:val="0"/>
        </w:rPr>
        <w:t>3</w:t>
      </w:r>
      <w:r>
        <w:rPr>
          <w:color w:val="000000"/>
          <w:spacing w:val="0"/>
          <w:w w:val="100"/>
          <w:position w:val="0"/>
        </w:rPr>
        <w:t>） 本期计提减值准备较上年同期有所增加。</w:t>
      </w:r>
    </w:p>
    <w:p>
      <w:pPr>
        <w:pStyle w:val="Style37"/>
        <w:keepNext/>
        <w:keepLines/>
        <w:widowControl w:val="0"/>
        <w:shd w:val="clear" w:color="auto" w:fill="auto"/>
        <w:tabs>
          <w:tab w:pos="974" w:val="left"/>
        </w:tabs>
        <w:bidi w:val="0"/>
        <w:spacing w:before="0" w:after="260" w:line="326" w:lineRule="auto"/>
        <w:ind w:left="0" w:right="0" w:firstLine="620"/>
        <w:jc w:val="both"/>
      </w:pPr>
      <w:bookmarkStart w:id="117" w:name="bookmark117"/>
      <w:bookmarkStart w:id="118" w:name="bookmark118"/>
      <w:bookmarkStart w:id="119" w:name="bookmark119"/>
      <w:bookmarkStart w:id="120" w:name="bookmark120"/>
      <w:r>
        <w:rPr>
          <w:rFonts w:ascii="Times New Roman" w:eastAsia="Times New Roman" w:hAnsi="Times New Roman" w:cs="Times New Roman"/>
          <w:color w:val="000000"/>
          <w:spacing w:val="0"/>
          <w:w w:val="100"/>
          <w:position w:val="0"/>
        </w:rPr>
        <w:t>2</w:t>
      </w:r>
      <w:bookmarkEnd w:id="119"/>
      <w:r>
        <w:rPr>
          <w:color w:val="000000"/>
          <w:spacing w:val="0"/>
          <w:w w:val="100"/>
          <w:position w:val="0"/>
        </w:rPr>
        <w:t>、</w:t>
        <w:tab/>
        <w:t>收入与支出</w:t>
      </w:r>
      <w:bookmarkEnd w:id="117"/>
      <w:bookmarkEnd w:id="118"/>
      <w:bookmarkEnd w:id="120"/>
    </w:p>
    <w:p>
      <w:pPr>
        <w:pStyle w:val="Style40"/>
        <w:keepNext w:val="0"/>
        <w:keepLines w:val="0"/>
        <w:widowControl w:val="0"/>
        <w:shd w:val="clear" w:color="auto" w:fill="auto"/>
        <w:bidi w:val="0"/>
        <w:spacing w:before="0" w:after="0" w:line="240" w:lineRule="auto"/>
        <w:ind w:left="120" w:right="0" w:firstLine="0"/>
        <w:jc w:val="left"/>
      </w:pPr>
      <w:bookmarkStart w:id="121" w:name="bookmark121"/>
      <w:r>
        <w:rPr>
          <w:rFonts w:ascii="Times New Roman" w:eastAsia="Times New Roman" w:hAnsi="Times New Roman" w:cs="Times New Roman"/>
          <w:b/>
          <w:bCs/>
          <w:color w:val="000000"/>
          <w:spacing w:val="0"/>
          <w:w w:val="100"/>
          <w:position w:val="0"/>
        </w:rPr>
        <w:t>（1</w:t>
      </w:r>
      <w:r>
        <w:rPr>
          <w:b/>
          <w:bCs/>
          <w:color w:val="000000"/>
          <w:spacing w:val="0"/>
          <w:w w:val="100"/>
          <w:position w:val="0"/>
        </w:rPr>
        <w:t>）本集团收入</w:t>
      </w:r>
      <w:r>
        <w:rPr>
          <w:rFonts w:ascii="Times New Roman" w:eastAsia="Times New Roman" w:hAnsi="Times New Roman" w:cs="Times New Roman"/>
          <w:b/>
          <w:bCs/>
          <w:color w:val="000000"/>
          <w:spacing w:val="0"/>
          <w:w w:val="100"/>
          <w:position w:val="0"/>
        </w:rPr>
        <w:t>/</w:t>
      </w:r>
      <w:r>
        <w:rPr>
          <w:b/>
          <w:bCs/>
          <w:color w:val="000000"/>
          <w:spacing w:val="0"/>
          <w:w w:val="100"/>
          <w:position w:val="0"/>
        </w:rPr>
        <w:t>收益构成</w:t>
      </w:r>
      <w:bookmarkEnd w:id="121"/>
    </w:p>
    <w:tbl>
      <w:tblPr>
        <w:tblOverlap w:val="never"/>
        <w:jc w:val="center"/>
        <w:tblLayout w:type="fixed"/>
      </w:tblPr>
      <w:tblGrid>
        <w:gridCol w:w="850"/>
        <w:gridCol w:w="2554"/>
        <w:gridCol w:w="1800"/>
        <w:gridCol w:w="1838"/>
        <w:gridCol w:w="1800"/>
        <w:gridCol w:w="859"/>
      </w:tblGrid>
      <w:tr>
        <w:trPr>
          <w:trHeight w:val="326"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pPr>
            <w:r>
              <w:rPr>
                <w:b/>
                <w:bCs/>
                <w:color w:val="000000"/>
                <w:spacing w:val="0"/>
                <w:w w:val="100"/>
                <w:position w:val="0"/>
              </w:rPr>
              <w:t>业务 类别</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本报告期（元）</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b/>
                <w:bCs/>
                <w:color w:val="000000"/>
                <w:spacing w:val="0"/>
                <w:w w:val="100"/>
                <w:position w:val="0"/>
              </w:rPr>
              <w:t>占比</w:t>
            </w:r>
          </w:p>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w:t>
            </w:r>
            <w:r>
              <w:rPr>
                <w:rFonts w:ascii="Times New Roman" w:eastAsia="Times New Roman" w:hAnsi="Times New Roman" w:cs="Times New Roman"/>
                <w:b/>
                <w:bCs/>
                <w:color w:val="000000"/>
                <w:spacing w:val="0"/>
                <w:w w:val="100"/>
                <w:position w:val="0"/>
              </w:rPr>
              <w:t>%</w:t>
            </w:r>
            <w:r>
              <w:rPr>
                <w:b/>
                <w:bCs/>
                <w:color w:val="000000"/>
                <w:spacing w:val="0"/>
                <w:w w:val="100"/>
                <w:position w:val="0"/>
              </w:rPr>
              <w:t>）</w:t>
            </w:r>
          </w:p>
        </w:tc>
      </w:tr>
      <w:tr>
        <w:trPr>
          <w:trHeight w:val="32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净收入</w:t>
            </w:r>
            <w:r>
              <w:rPr>
                <w:rFonts w:ascii="Times New Roman" w:eastAsia="Times New Roman" w:hAnsi="Times New Roman" w:cs="Times New Roman"/>
                <w:b/>
                <w:bCs/>
                <w:color w:val="000000"/>
                <w:spacing w:val="0"/>
                <w:w w:val="100"/>
                <w:position w:val="0"/>
              </w:rPr>
              <w:t>/</w:t>
            </w:r>
            <w:r>
              <w:rPr>
                <w:b/>
                <w:bCs/>
                <w:color w:val="000000"/>
                <w:spacing w:val="0"/>
                <w:w w:val="100"/>
                <w:position w:val="0"/>
              </w:rPr>
              <w:t>收益</w:t>
            </w:r>
          </w:p>
        </w:tc>
        <w:tc>
          <w:tcPr>
            <w:vMerge/>
            <w:tcBorders>
              <w:left w:val="single" w:sz="4"/>
              <w:right w:val="single" w:sz="4"/>
            </w:tcBorders>
            <w:shd w:val="clear" w:color="auto" w:fill="FFFFFF"/>
            <w:vAlign w:val="center"/>
          </w:tcPr>
          <w:p>
            <w:pP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证券 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手续费及佣金净收入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1,412,350,695.64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232,678,053.76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1,179,672,641.88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63.32</w:t>
            </w: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利息净收入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789,137,506.62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318,370,827.59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470,766,679.03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25.27</w:t>
            </w:r>
          </w:p>
        </w:tc>
      </w:tr>
    </w:tbl>
    <w:p>
      <w:pPr>
        <w:spacing w:lineRule="exact" w:line="1"/>
        <w:rPr>
          <w:sz w:val="2"/>
          <w:szCs w:val="2"/>
        </w:rPr>
      </w:pPr>
      <w:r>
        <w:br w:type="page"/>
      </w:r>
    </w:p>
    <w:tbl>
      <w:tblPr>
        <w:tblOverlap w:val="never"/>
        <w:jc w:val="center"/>
        <w:tblLayout w:type="fixed"/>
      </w:tblPr>
      <w:tblGrid>
        <w:gridCol w:w="850"/>
        <w:gridCol w:w="2554"/>
        <w:gridCol w:w="1800"/>
        <w:gridCol w:w="1838"/>
        <w:gridCol w:w="1800"/>
        <w:gridCol w:w="859"/>
      </w:tblGrid>
      <w:tr>
        <w:trPr>
          <w:trHeight w:val="408"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-139,233,149.65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-7.47</w:t>
            </w:r>
          </w:p>
        </w:tc>
      </w:tr>
      <w:tr>
        <w:trPr>
          <w:trHeight w:val="39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376,066,851.50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20.19</w:t>
            </w:r>
          </w:p>
        </w:tc>
      </w:tr>
      <w:tr>
        <w:trPr>
          <w:trHeight w:val="40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-1,171,676.74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-0.06</w:t>
            </w:r>
          </w:p>
        </w:tc>
      </w:tr>
      <w:tr>
        <w:trPr>
          <w:trHeight w:val="40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营业收入一其他业务收入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841,013.38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841,013.38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0.05</w:t>
            </w:r>
          </w:p>
        </w:tc>
      </w:tr>
      <w:tr>
        <w:trPr>
          <w:trHeight w:val="40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17,031,718.40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0.91</w:t>
            </w:r>
          </w:p>
        </w:tc>
      </w:tr>
      <w:tr>
        <w:trPr>
          <w:trHeight w:val="39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证券业务小计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2,202,329,215.64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551,048,881.35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1,903,974,077.80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102.19</w:t>
            </w: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 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66,834,682.23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3.59</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-45,926,571.49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-2.47</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营业收入一主要业务收入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313,142.55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313,142.55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0.02</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营业收入一其他业务收入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4,449.34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4,449.34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0.00</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99,883.44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0.01</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投资业务小计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317,591.89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21,325,586.07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1.14</w:t>
            </w: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 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189,421,131.74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10.17</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r>
              <w:rPr>
                <w:rFonts w:ascii="Times New Roman" w:eastAsia="Times New Roman" w:hAnsi="Times New Roman" w:cs="Times New Roman"/>
                <w:color w:val="000000"/>
                <w:spacing w:val="0"/>
                <w:w w:val="100"/>
                <w:position w:val="0"/>
              </w:rPr>
              <w:t>-</w:t>
            </w:r>
            <w:r>
              <w:rPr>
                <w:color w:val="000000"/>
                <w:spacing w:val="0"/>
                <w:w w:val="100"/>
                <w:position w:val="0"/>
              </w:rPr>
              <w:t>主营业务收入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8,353,408.96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8,353,408.96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0.45</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r>
              <w:rPr>
                <w:rFonts w:ascii="Times New Roman" w:eastAsia="Times New Roman" w:hAnsi="Times New Roman" w:cs="Times New Roman"/>
                <w:color w:val="000000"/>
                <w:spacing w:val="0"/>
                <w:w w:val="100"/>
                <w:position w:val="0"/>
              </w:rPr>
              <w:t>-</w:t>
            </w:r>
            <w:r>
              <w:rPr>
                <w:color w:val="000000"/>
                <w:spacing w:val="0"/>
                <w:w w:val="100"/>
                <w:position w:val="0"/>
              </w:rPr>
              <w:t>其他业务收入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21,969,408.85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21,969,408.85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1.18</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-69,537,973.02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-3.73</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资产处置收益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-116,444.63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-0.01</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566,511.72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0.03</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其他业务小计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30,322,817.81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150,656,043.62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8.09</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合并抵销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26,984,368.27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212,855,952.25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11.42</w:t>
            </w:r>
          </w:p>
        </w:tc>
      </w:tr>
      <w:tr>
        <w:trPr>
          <w:trHeight w:val="413" w:hRule="exact"/>
        </w:trPr>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集团合并收入</w:t>
            </w:r>
            <w:r>
              <w:rPr>
                <w:rFonts w:ascii="Times New Roman" w:eastAsia="Times New Roman" w:hAnsi="Times New Roman" w:cs="Times New Roman"/>
                <w:color w:val="000000"/>
                <w:spacing w:val="0"/>
                <w:w w:val="100"/>
                <w:position w:val="0"/>
              </w:rPr>
              <w:t>/</w:t>
            </w:r>
            <w:r>
              <w:rPr>
                <w:color w:val="000000"/>
                <w:spacing w:val="0"/>
                <w:w w:val="100"/>
                <w:position w:val="0"/>
              </w:rPr>
              <w:t>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2,205,985,257.07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551,048,881.35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1,863,099,755.24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100.00</w:t>
            </w:r>
          </w:p>
        </w:tc>
      </w:tr>
    </w:tbl>
    <w:p>
      <w:pPr>
        <w:widowControl w:val="0"/>
        <w:spacing w:after="379" w:line="1" w:lineRule="exact"/>
      </w:pPr>
    </w:p>
    <w:tbl>
      <w:tblPr>
        <w:tblOverlap w:val="never"/>
        <w:jc w:val="center"/>
        <w:tblLayout w:type="fixed"/>
      </w:tblPr>
      <w:tblGrid>
        <w:gridCol w:w="854"/>
        <w:gridCol w:w="2549"/>
        <w:gridCol w:w="1704"/>
        <w:gridCol w:w="1838"/>
        <w:gridCol w:w="1704"/>
        <w:gridCol w:w="1003"/>
      </w:tblGrid>
      <w:tr>
        <w:trPr>
          <w:trHeight w:val="331"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200" w:right="0" w:firstLine="0"/>
              <w:jc w:val="left"/>
            </w:pPr>
            <w:r>
              <w:rPr>
                <w:b/>
                <w:bCs/>
                <w:color w:val="000000"/>
                <w:spacing w:val="0"/>
                <w:w w:val="100"/>
                <w:position w:val="0"/>
              </w:rPr>
              <w:t>业务 类别</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上年同期(元)</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280"/>
              <w:jc w:val="left"/>
            </w:pPr>
            <w:r>
              <w:rPr>
                <w:b/>
                <w:bCs/>
                <w:color w:val="000000"/>
                <w:spacing w:val="0"/>
                <w:w w:val="100"/>
                <w:position w:val="0"/>
              </w:rPr>
              <w:t>占比</w:t>
            </w:r>
          </w:p>
          <w:p>
            <w:pPr>
              <w:pStyle w:val="Style2"/>
              <w:keepNext w:val="0"/>
              <w:keepLines w:val="0"/>
              <w:widowControl w:val="0"/>
              <w:shd w:val="clear" w:color="auto" w:fill="auto"/>
              <w:bidi w:val="0"/>
              <w:spacing w:before="0" w:after="0" w:line="240" w:lineRule="auto"/>
              <w:ind w:left="0" w:right="180" w:firstLine="0"/>
              <w:jc w:val="right"/>
            </w:pPr>
            <w:r>
              <w:rPr>
                <w:b/>
                <w:bCs/>
                <w:color w:val="000000"/>
                <w:spacing w:val="0"/>
                <w:w w:val="100"/>
                <w:position w:val="0"/>
              </w:rPr>
              <w:t>(</w:t>
            </w:r>
            <w:r>
              <w:rPr>
                <w:rFonts w:ascii="Times New Roman" w:eastAsia="Times New Roman" w:hAnsi="Times New Roman" w:cs="Times New Roman"/>
                <w:b/>
                <w:bCs/>
                <w:color w:val="000000"/>
                <w:spacing w:val="0"/>
                <w:w w:val="100"/>
                <w:position w:val="0"/>
              </w:rPr>
              <w:t>%</w:t>
            </w:r>
            <w:r>
              <w:rPr>
                <w:b/>
                <w:bCs/>
                <w:color w:val="000000"/>
                <w:spacing w:val="0"/>
                <w:w w:val="100"/>
                <w:position w:val="0"/>
              </w:rPr>
              <w:t>)</w:t>
            </w:r>
          </w:p>
        </w:tc>
      </w:tr>
      <w:tr>
        <w:trPr>
          <w:trHeight w:val="32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b/>
                <w:bCs/>
                <w:color w:val="000000"/>
                <w:spacing w:val="0"/>
                <w:w w:val="100"/>
                <w:position w:val="0"/>
              </w:rPr>
              <w:t>净收入</w:t>
            </w:r>
            <w:r>
              <w:rPr>
                <w:rFonts w:ascii="Times New Roman" w:eastAsia="Times New Roman" w:hAnsi="Times New Roman" w:cs="Times New Roman"/>
                <w:b/>
                <w:bCs/>
                <w:color w:val="000000"/>
                <w:spacing w:val="0"/>
                <w:w w:val="100"/>
                <w:position w:val="0"/>
              </w:rPr>
              <w:t>/</w:t>
            </w:r>
            <w:r>
              <w:rPr>
                <w:b/>
                <w:bCs/>
                <w:color w:val="000000"/>
                <w:spacing w:val="0"/>
                <w:w w:val="100"/>
                <w:position w:val="0"/>
              </w:rPr>
              <w:t>收益</w:t>
            </w:r>
          </w:p>
        </w:tc>
        <w:tc>
          <w:tcPr>
            <w:vMerge/>
            <w:tcBorders>
              <w:left w:val="single" w:sz="4"/>
              <w:right w:val="single" w:sz="4"/>
            </w:tcBorders>
            <w:shd w:val="clear" w:color="auto" w:fill="FFFFFF"/>
            <w:vAlign w:val="center"/>
          </w:tcPr>
          <w:p>
            <w:pPr/>
          </w:p>
        </w:tc>
      </w:tr>
      <w:tr>
        <w:trPr>
          <w:trHeight w:val="39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200" w:right="0" w:firstLine="0"/>
              <w:jc w:val="left"/>
            </w:pPr>
            <w:r>
              <w:rPr>
                <w:color w:val="000000"/>
                <w:spacing w:val="0"/>
                <w:w w:val="100"/>
                <w:position w:val="0"/>
              </w:rPr>
              <w:t>证券 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手续费及佣金净收入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952,264,654.23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158,163,973.40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794,100,680.83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39.69</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利息净收入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716,099,061.09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440,697,235.60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275,401,825.49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13.76</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公允价值变动收益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447,343,553.75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22.36</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319,795,416.21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15.98</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汇兑收益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317,869.61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0.02</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营业收入一其他业务收入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1,740,955.58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1,740,955.58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0.09</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资产处置收益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25,066.21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0.00</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20,274,453.01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1.01</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证券业务小计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1,670,104,670.90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598,861,209.00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1,858,999,820.69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92.90</w:t>
            </w: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200" w:right="0" w:firstLine="0"/>
              <w:jc w:val="left"/>
            </w:pPr>
            <w:r>
              <w:rPr>
                <w:color w:val="000000"/>
                <w:spacing w:val="0"/>
                <w:w w:val="100"/>
                <w:position w:val="0"/>
              </w:rPr>
              <w:t>投资 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196,242,574.73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9.81</w:t>
            </w: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-62,014,631.28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-3.10</w:t>
            </w:r>
          </w:p>
        </w:tc>
      </w:tr>
    </w:tbl>
    <w:p>
      <w:pPr>
        <w:sectPr>
          <w:footnotePr>
            <w:pos w:val="pageBottom"/>
            <w:numFmt w:val="decimal"/>
            <w:numRestart w:val="continuous"/>
          </w:footnotePr>
          <w:pgSz w:w="11900" w:h="16840"/>
          <w:pgMar w:top="1407" w:right="497" w:bottom="1474" w:left="473" w:header="0" w:footer="3" w:gutter="0"/>
          <w:cols w:space="720"/>
          <w:noEndnote/>
          <w:rtlGutter w:val="0"/>
          <w:docGrid w:linePitch="360"/>
        </w:sectPr>
      </w:pPr>
    </w:p>
    <w:tbl>
      <w:tblPr>
        <w:tblOverlap w:val="never"/>
        <w:jc w:val="center"/>
        <w:tblLayout w:type="fixed"/>
      </w:tblPr>
      <w:tblGrid>
        <w:gridCol w:w="854"/>
        <w:gridCol w:w="2549"/>
        <w:gridCol w:w="1704"/>
        <w:gridCol w:w="1838"/>
        <w:gridCol w:w="1704"/>
        <w:gridCol w:w="1003"/>
      </w:tblGrid>
      <w:tr>
        <w:trPr>
          <w:trHeight w:val="40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投资业务小计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134,227,943.45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6.71</w:t>
            </w:r>
          </w:p>
        </w:tc>
      </w:tr>
      <w:tr>
        <w:trPr>
          <w:trHeight w:val="39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 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382,765,657.81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19.13</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r>
              <w:rPr>
                <w:rFonts w:ascii="Times New Roman" w:eastAsia="Times New Roman" w:hAnsi="Times New Roman" w:cs="Times New Roman"/>
                <w:color w:val="000000"/>
                <w:spacing w:val="0"/>
                <w:w w:val="100"/>
                <w:position w:val="0"/>
              </w:rPr>
              <w:t>-</w:t>
            </w:r>
            <w:r>
              <w:rPr>
                <w:color w:val="000000"/>
                <w:spacing w:val="0"/>
                <w:w w:val="100"/>
                <w:position w:val="0"/>
              </w:rPr>
              <w:t>主营业务收入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36,299,552.90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36,299,552.90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1.81</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r>
              <w:rPr>
                <w:rFonts w:ascii="Times New Roman" w:eastAsia="Times New Roman" w:hAnsi="Times New Roman" w:cs="Times New Roman"/>
                <w:color w:val="000000"/>
                <w:spacing w:val="0"/>
                <w:w w:val="100"/>
                <w:position w:val="0"/>
              </w:rPr>
              <w:t>-</w:t>
            </w:r>
            <w:r>
              <w:rPr>
                <w:color w:val="000000"/>
                <w:spacing w:val="0"/>
                <w:w w:val="100"/>
                <w:position w:val="0"/>
              </w:rPr>
              <w:t>其他业务收入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58,979,244.48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58,979,244.48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2.95</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-118,308,416.63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-5.91</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165,906.14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0.01</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资产处置收益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15,529.69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0.00</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其他业务小计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95,278,797.38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359,917,474.39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17.99</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合并抵销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95,669,177.31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32,546,395.94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352,170,424.91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17.60</w:t>
            </w:r>
          </w:p>
        </w:tc>
      </w:tr>
      <w:tr>
        <w:trPr>
          <w:trHeight w:val="413" w:hRule="exact"/>
        </w:trPr>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集团合并收入</w:t>
            </w:r>
            <w:r>
              <w:rPr>
                <w:rFonts w:ascii="Times New Roman" w:eastAsia="Times New Roman" w:hAnsi="Times New Roman" w:cs="Times New Roman"/>
                <w:color w:val="000000"/>
                <w:spacing w:val="0"/>
                <w:w w:val="100"/>
                <w:position w:val="0"/>
              </w:rPr>
              <w:t>/</w:t>
            </w:r>
            <w:r>
              <w:rPr>
                <w:color w:val="000000"/>
                <w:spacing w:val="0"/>
                <w:w w:val="100"/>
                <w:position w:val="0"/>
              </w:rPr>
              <w:t>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1,669,714,290.97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566,314,813.06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2,000,974,813.62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bl>
    <w:p>
      <w:pPr>
        <w:pStyle w:val="Style16"/>
        <w:keepNext w:val="0"/>
        <w:keepLines w:val="0"/>
        <w:widowControl w:val="0"/>
        <w:shd w:val="clear" w:color="auto" w:fill="auto"/>
        <w:bidi w:val="0"/>
        <w:spacing w:before="0" w:after="360" w:line="317" w:lineRule="exact"/>
        <w:ind w:left="0" w:right="0" w:firstLine="0"/>
        <w:jc w:val="left"/>
      </w:pPr>
      <w:r>
        <w:rPr>
          <w:color w:val="000000"/>
          <w:spacing w:val="0"/>
          <w:w w:val="100"/>
          <w:position w:val="0"/>
        </w:rPr>
        <w:t>注：鉴于本集团从事证券、投资、金融科技等多种业务，本表列示集团合并报表收入指标和证券公司报表 净收入指标，以便于投资者理解。</w:t>
      </w:r>
    </w:p>
    <w:p>
      <w:pPr>
        <w:pStyle w:val="Style16"/>
        <w:keepNext w:val="0"/>
        <w:keepLines w:val="0"/>
        <w:widowControl w:val="0"/>
        <w:shd w:val="clear" w:color="auto" w:fill="auto"/>
        <w:tabs>
          <w:tab w:pos="7933" w:val="left"/>
        </w:tabs>
        <w:bidi w:val="0"/>
        <w:spacing w:before="0" w:after="360" w:line="240" w:lineRule="auto"/>
        <w:ind w:left="0" w:right="0" w:firstLine="0"/>
        <w:jc w:val="both"/>
      </w:pPr>
      <w:bookmarkStart w:id="122" w:name="bookmark122"/>
      <w:bookmarkStart w:id="123" w:name="bookmark123"/>
      <w:r>
        <w:rPr>
          <w:rFonts w:ascii="Times New Roman" w:eastAsia="Times New Roman" w:hAnsi="Times New Roman" w:cs="Times New Roman"/>
          <w:b/>
          <w:bCs/>
          <w:color w:val="000000"/>
          <w:spacing w:val="0"/>
          <w:w w:val="100"/>
          <w:position w:val="0"/>
        </w:rPr>
        <w:t>（</w:t>
      </w:r>
      <w:bookmarkEnd w:id="122"/>
      <w:r>
        <w:rPr>
          <w:rFonts w:ascii="Times New Roman" w:eastAsia="Times New Roman" w:hAnsi="Times New Roman" w:cs="Times New Roman"/>
          <w:b/>
          <w:bCs/>
          <w:color w:val="000000"/>
          <w:spacing w:val="0"/>
          <w:w w:val="100"/>
          <w:position w:val="0"/>
        </w:rPr>
        <w:t>2</w:t>
      </w:r>
      <w:r>
        <w:rPr>
          <w:b/>
          <w:bCs/>
          <w:color w:val="000000"/>
          <w:spacing w:val="0"/>
          <w:w w:val="100"/>
          <w:position w:val="0"/>
        </w:rPr>
        <w:t>）占本集团收入或利润</w:t>
      </w:r>
      <w:r>
        <w:rPr>
          <w:rFonts w:ascii="Times New Roman" w:eastAsia="Times New Roman" w:hAnsi="Times New Roman" w:cs="Times New Roman"/>
          <w:b/>
          <w:bCs/>
          <w:color w:val="000000"/>
          <w:spacing w:val="0"/>
          <w:w w:val="100"/>
          <w:position w:val="0"/>
        </w:rPr>
        <w:t>10%</w:t>
      </w:r>
      <w:r>
        <w:rPr>
          <w:b/>
          <w:bCs/>
          <w:color w:val="000000"/>
          <w:spacing w:val="0"/>
          <w:w w:val="100"/>
          <w:position w:val="0"/>
        </w:rPr>
        <w:t>以上的行业、产品或地区情况</w:t>
        <w:tab/>
      </w: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bookmarkEnd w:id="123"/>
    </w:p>
    <w:p>
      <w:pPr>
        <w:pStyle w:val="Style40"/>
        <w:keepNext w:val="0"/>
        <w:keepLines w:val="0"/>
        <w:widowControl w:val="0"/>
        <w:shd w:val="clear" w:color="auto" w:fill="auto"/>
        <w:bidi w:val="0"/>
        <w:spacing w:before="0" w:after="0" w:line="240" w:lineRule="auto"/>
        <w:ind w:left="8582" w:right="0" w:firstLine="0"/>
        <w:jc w:val="left"/>
      </w:pPr>
      <w:r>
        <w:rPr>
          <w:color w:val="000000"/>
          <w:spacing w:val="0"/>
          <w:w w:val="100"/>
          <w:position w:val="0"/>
        </w:rPr>
        <w:t>单位：元</w:t>
      </w:r>
    </w:p>
    <w:tbl>
      <w:tblPr>
        <w:tblOverlap w:val="never"/>
        <w:jc w:val="center"/>
        <w:tblLayout w:type="fixed"/>
      </w:tblPr>
      <w:tblGrid>
        <w:gridCol w:w="965"/>
        <w:gridCol w:w="1560"/>
        <w:gridCol w:w="1560"/>
        <w:gridCol w:w="989"/>
        <w:gridCol w:w="1421"/>
        <w:gridCol w:w="1416"/>
        <w:gridCol w:w="1675"/>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b/>
                <w:bCs/>
                <w:color w:val="000000"/>
                <w:spacing w:val="0"/>
                <w:w w:val="100"/>
                <w:position w:val="0"/>
              </w:rPr>
              <w:t>营业利润 率（</w:t>
            </w:r>
            <w:r>
              <w:rPr>
                <w:rFonts w:ascii="Times New Roman" w:eastAsia="Times New Roman" w:hAnsi="Times New Roman" w:cs="Times New Roman"/>
                <w:b/>
                <w:bCs/>
                <w:color w:val="000000"/>
                <w:spacing w:val="0"/>
                <w:w w:val="100"/>
                <w:position w:val="0"/>
              </w:rPr>
              <w:t>%</w:t>
            </w:r>
            <w:r>
              <w:rPr>
                <w:b/>
                <w:bCs/>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right"/>
            </w:pPr>
            <w:r>
              <w:rPr>
                <w:b/>
                <w:bCs/>
                <w:color w:val="000000"/>
                <w:spacing w:val="0"/>
                <w:w w:val="100"/>
                <w:position w:val="0"/>
              </w:rPr>
              <w:t>收入比上年同 期增减（</w:t>
            </w:r>
            <w:r>
              <w:rPr>
                <w:rFonts w:ascii="Times New Roman" w:eastAsia="Times New Roman" w:hAnsi="Times New Roman" w:cs="Times New Roman"/>
                <w:b/>
                <w:bCs/>
                <w:color w:val="000000"/>
                <w:spacing w:val="0"/>
                <w:w w:val="100"/>
                <w:position w:val="0"/>
              </w:rPr>
              <w:t>%</w:t>
            </w:r>
            <w:r>
              <w:rPr>
                <w:b/>
                <w:bCs/>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right"/>
            </w:pPr>
            <w:r>
              <w:rPr>
                <w:b/>
                <w:bCs/>
                <w:color w:val="000000"/>
                <w:spacing w:val="0"/>
                <w:w w:val="100"/>
                <w:position w:val="0"/>
              </w:rPr>
              <w:t>支出比上年同 期增减（</w:t>
            </w:r>
            <w:r>
              <w:rPr>
                <w:rFonts w:ascii="Times New Roman" w:eastAsia="Times New Roman" w:hAnsi="Times New Roman" w:cs="Times New Roman"/>
                <w:b/>
                <w:bCs/>
                <w:color w:val="000000"/>
                <w:spacing w:val="0"/>
                <w:w w:val="100"/>
                <w:position w:val="0"/>
              </w:rPr>
              <w:t>%</w:t>
            </w:r>
            <w:r>
              <w:rPr>
                <w:b/>
                <w:bCs/>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right"/>
            </w:pPr>
            <w:r>
              <w:rPr>
                <w:b/>
                <w:bCs/>
                <w:color w:val="000000"/>
                <w:spacing w:val="0"/>
                <w:w w:val="100"/>
                <w:position w:val="0"/>
              </w:rPr>
              <w:t>营业利润率比上 年同期增减（</w:t>
            </w:r>
            <w:r>
              <w:rPr>
                <w:rFonts w:ascii="Times New Roman" w:eastAsia="Times New Roman" w:hAnsi="Times New Roman" w:cs="Times New Roman"/>
                <w:b/>
                <w:bCs/>
                <w:color w:val="000000"/>
                <w:spacing w:val="0"/>
                <w:w w:val="100"/>
                <w:position w:val="0"/>
              </w:rPr>
              <w:t>%</w:t>
            </w:r>
            <w:r>
              <w:rPr>
                <w:b/>
                <w:bCs/>
                <w:color w:val="000000"/>
                <w:spacing w:val="0"/>
                <w:w w:val="100"/>
                <w:position w:val="0"/>
              </w:rPr>
              <w:t>）</w:t>
            </w:r>
          </w:p>
        </w:tc>
      </w:tr>
      <w:tr>
        <w:trPr>
          <w:trHeight w:val="403" w:hRule="exact"/>
        </w:trPr>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1,903,974,077.80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1,783,048,879.70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21,325,586.07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146,990,953.18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-589.27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412.28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-667.89</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150,656,043.62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312,468,656.60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-30.73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-82.08</w:t>
            </w:r>
          </w:p>
        </w:tc>
      </w:tr>
    </w:tbl>
    <w:p>
      <w:pPr>
        <w:pStyle w:val="Style16"/>
        <w:keepNext w:val="0"/>
        <w:keepLines w:val="0"/>
        <w:widowControl w:val="0"/>
        <w:shd w:val="clear" w:color="auto" w:fill="auto"/>
        <w:bidi w:val="0"/>
        <w:spacing w:before="0" w:after="360" w:line="326" w:lineRule="exact"/>
        <w:ind w:left="0" w:right="0" w:firstLine="0"/>
        <w:jc w:val="left"/>
      </w:pPr>
      <w:r>
        <w:rPr>
          <w:color w:val="000000"/>
          <w:spacing w:val="0"/>
          <w:w w:val="100"/>
          <w:position w:val="0"/>
        </w:rPr>
        <w:t>注：本表证券业务收入口径同上表“净收入</w:t>
      </w:r>
      <w:r>
        <w:rPr>
          <w:rFonts w:ascii="Times New Roman" w:eastAsia="Times New Roman" w:hAnsi="Times New Roman" w:cs="Times New Roman"/>
          <w:color w:val="000000"/>
          <w:spacing w:val="0"/>
          <w:w w:val="100"/>
          <w:position w:val="0"/>
        </w:rPr>
        <w:t>/</w:t>
      </w:r>
      <w:r>
        <w:rPr>
          <w:color w:val="000000"/>
          <w:spacing w:val="0"/>
          <w:w w:val="100"/>
          <w:position w:val="0"/>
        </w:rPr>
        <w:t>收益”。本表支出包括营业成本、税金及附加、销售费用、管 理费用、研发费用、财务费用、信用减值损失、资产减值损失。</w:t>
      </w:r>
    </w:p>
    <w:p>
      <w:pPr>
        <w:pStyle w:val="Style16"/>
        <w:keepNext w:val="0"/>
        <w:keepLines w:val="0"/>
        <w:widowControl w:val="0"/>
        <w:shd w:val="clear" w:color="auto" w:fill="auto"/>
        <w:tabs>
          <w:tab w:pos="7933" w:val="left"/>
        </w:tabs>
        <w:bidi w:val="0"/>
        <w:spacing w:before="0" w:after="360" w:line="326"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rPr>
        <w:t>1</w:t>
      </w:r>
      <w:r>
        <w:rPr>
          <w:color w:val="000000"/>
          <w:spacing w:val="0"/>
          <w:w w:val="100"/>
          <w:position w:val="0"/>
        </w:rPr>
        <w:t>年按报告期末口径调整后的主营业务 数据</w:t>
        <w:tab/>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6"/>
        <w:keepNext w:val="0"/>
        <w:keepLines w:val="0"/>
        <w:widowControl w:val="0"/>
        <w:shd w:val="clear" w:color="auto" w:fill="auto"/>
        <w:tabs>
          <w:tab w:pos="7933" w:val="left"/>
        </w:tabs>
        <w:bidi w:val="0"/>
        <w:spacing w:before="0" w:after="0" w:line="323" w:lineRule="exact"/>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rPr>
        <w:t>30%</w:t>
      </w:r>
      <w:r>
        <w:rPr>
          <w:color w:val="000000"/>
          <w:spacing w:val="0"/>
          <w:w w:val="100"/>
          <w:position w:val="0"/>
        </w:rPr>
        <w:t>以上的原因说明</w:t>
        <w:tab/>
      </w: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6"/>
        <w:keepNext w:val="0"/>
        <w:keepLines w:val="0"/>
        <w:widowControl w:val="0"/>
        <w:shd w:val="clear" w:color="auto" w:fill="auto"/>
        <w:bidi w:val="0"/>
        <w:spacing w:before="0" w:after="360" w:line="319" w:lineRule="exact"/>
        <w:ind w:left="0" w:right="0" w:firstLine="440"/>
        <w:jc w:val="left"/>
        <w:sectPr>
          <w:footnotePr>
            <w:pos w:val="pageBottom"/>
            <w:numFmt w:val="decimal"/>
            <w:numRestart w:val="continuous"/>
          </w:footnotePr>
          <w:pgSz w:w="11900" w:h="16840"/>
          <w:pgMar w:top="1441" w:right="1102" w:bottom="1441" w:left="1112" w:header="0" w:footer="3" w:gutter="0"/>
          <w:cols w:space="720"/>
          <w:noEndnote/>
          <w:rtlGutter w:val="0"/>
          <w:docGrid w:linePitch="360"/>
        </w:sectPr>
      </w:pPr>
      <w:r>
        <w:rPr>
          <w:color w:val="000000"/>
          <w:spacing w:val="0"/>
          <w:w w:val="100"/>
          <w:position w:val="0"/>
        </w:rPr>
        <w:t>投资业务营业利润率较上年同期减少</w:t>
      </w:r>
      <w:r>
        <w:rPr>
          <w:rFonts w:ascii="Times New Roman" w:eastAsia="Times New Roman" w:hAnsi="Times New Roman" w:cs="Times New Roman"/>
          <w:color w:val="000000"/>
          <w:spacing w:val="0"/>
          <w:w w:val="100"/>
          <w:position w:val="0"/>
        </w:rPr>
        <w:t>667.89</w:t>
      </w:r>
      <w:r>
        <w:rPr>
          <w:color w:val="000000"/>
          <w:spacing w:val="0"/>
          <w:w w:val="100"/>
          <w:position w:val="0"/>
        </w:rPr>
        <w:t>个百分点，主要系受被投资单位业绩下滑影响本期损益减 少导致；其他业务营业利润率较上年同期减少</w:t>
      </w:r>
      <w:r>
        <w:rPr>
          <w:rFonts w:ascii="Times New Roman" w:eastAsia="Times New Roman" w:hAnsi="Times New Roman" w:cs="Times New Roman"/>
          <w:color w:val="000000"/>
          <w:spacing w:val="0"/>
          <w:w w:val="100"/>
          <w:position w:val="0"/>
        </w:rPr>
        <w:t>82.08</w:t>
      </w:r>
      <w:r>
        <w:rPr>
          <w:color w:val="000000"/>
          <w:spacing w:val="0"/>
          <w:w w:val="100"/>
          <w:position w:val="0"/>
        </w:rPr>
        <w:t>个百分点，主要系子公司分红减少、信托计划收益减 少导致。</w:t>
      </w:r>
    </w:p>
    <w:p>
      <w:pPr>
        <w:pStyle w:val="Style16"/>
        <w:keepNext w:val="0"/>
        <w:keepLines w:val="0"/>
        <w:widowControl w:val="0"/>
        <w:shd w:val="clear" w:color="auto" w:fill="auto"/>
        <w:tabs>
          <w:tab w:pos="713" w:val="left"/>
          <w:tab w:pos="8759" w:val="left"/>
        </w:tabs>
        <w:bidi w:val="0"/>
        <w:spacing w:before="320" w:after="340" w:line="240" w:lineRule="auto"/>
        <w:ind w:left="0" w:right="0" w:firstLine="220"/>
        <w:jc w:val="left"/>
      </w:pPr>
      <w:bookmarkStart w:id="125" w:name="bookmark125"/>
      <w:bookmarkStart w:id="126" w:name="bookmark126"/>
      <w:r>
        <w:rPr>
          <w:rFonts w:ascii="Times New Roman" w:eastAsia="Times New Roman" w:hAnsi="Times New Roman" w:cs="Times New Roman"/>
          <w:b/>
          <w:bCs/>
          <w:color w:val="000000"/>
          <w:spacing w:val="0"/>
          <w:w w:val="100"/>
          <w:position w:val="0"/>
        </w:rPr>
        <w:t>（</w:t>
      </w:r>
      <w:bookmarkEnd w:id="125"/>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公司实物销售收入是否大于劳务收入</w:t>
        <w:tab/>
      </w:r>
      <w:r>
        <w:rPr>
          <w:rFonts w:ascii="Times New Roman" w:eastAsia="Times New Roman" w:hAnsi="Times New Roman" w:cs="Times New Roman"/>
          <w:color w:val="000000"/>
          <w:spacing w:val="0"/>
          <w:w w:val="100"/>
          <w:position w:val="0"/>
        </w:rPr>
        <w:t>□</w:t>
      </w:r>
      <w:r>
        <w:rPr>
          <w:color w:val="000000"/>
          <w:spacing w:val="0"/>
          <w:w w:val="100"/>
          <w:position w:val="0"/>
        </w:rPr>
        <w:t>是</w:t>
      </w:r>
      <w:r>
        <w:rPr>
          <w:color w:val="000000"/>
          <w:spacing w:val="0"/>
          <w:w w:val="100"/>
          <w:position w:val="0"/>
        </w:rPr>
        <w:t>寸</w:t>
      </w:r>
      <w:r>
        <w:rPr>
          <w:color w:val="000000"/>
          <w:spacing w:val="0"/>
          <w:w w:val="100"/>
          <w:position w:val="0"/>
        </w:rPr>
        <w:t>否</w:t>
      </w:r>
      <w:bookmarkEnd w:id="126"/>
    </w:p>
    <w:p>
      <w:pPr>
        <w:pStyle w:val="Style16"/>
        <w:keepNext w:val="0"/>
        <w:keepLines w:val="0"/>
        <w:widowControl w:val="0"/>
        <w:shd w:val="clear" w:color="auto" w:fill="auto"/>
        <w:tabs>
          <w:tab w:pos="713" w:val="left"/>
          <w:tab w:pos="8106" w:val="left"/>
        </w:tabs>
        <w:bidi w:val="0"/>
        <w:spacing w:before="0" w:after="340" w:line="240" w:lineRule="auto"/>
        <w:ind w:left="0" w:right="0" w:firstLine="220"/>
        <w:jc w:val="left"/>
      </w:pPr>
      <w:bookmarkStart w:id="127" w:name="bookmark127"/>
      <w:bookmarkStart w:id="128" w:name="bookmark128"/>
      <w:bookmarkStart w:id="129" w:name="bookmark129"/>
      <w:r>
        <w:rPr>
          <w:rFonts w:ascii="Times New Roman" w:eastAsia="Times New Roman" w:hAnsi="Times New Roman" w:cs="Times New Roman"/>
          <w:b/>
          <w:bCs/>
          <w:color w:val="000000"/>
          <w:spacing w:val="0"/>
          <w:w w:val="100"/>
          <w:position w:val="0"/>
        </w:rPr>
        <w:t>（</w:t>
      </w:r>
      <w:bookmarkEnd w:id="127"/>
      <w:r>
        <w:rPr>
          <w:rFonts w:ascii="Times New Roman" w:eastAsia="Times New Roman" w:hAnsi="Times New Roman" w:cs="Times New Roman"/>
          <w:b/>
          <w:bCs/>
          <w:color w:val="000000"/>
          <w:spacing w:val="0"/>
          <w:w w:val="100"/>
          <w:position w:val="0"/>
        </w:rPr>
        <w:t>4</w:t>
      </w:r>
      <w:r>
        <w:rPr>
          <w:b/>
          <w:bCs/>
          <w:color w:val="000000"/>
          <w:spacing w:val="0"/>
          <w:w w:val="100"/>
          <w:position w:val="0"/>
        </w:rPr>
        <w:t>）</w:t>
        <w:tab/>
        <w:t>公司已签订的重大销售合同截至本报告期的履行情况</w:t>
        <w:tab/>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bookmarkEnd w:id="128"/>
      <w:bookmarkEnd w:id="129"/>
    </w:p>
    <w:p>
      <w:pPr>
        <w:pStyle w:val="Style51"/>
        <w:keepNext/>
        <w:keepLines/>
        <w:widowControl w:val="0"/>
        <w:shd w:val="clear" w:color="auto" w:fill="auto"/>
        <w:tabs>
          <w:tab w:pos="713" w:val="left"/>
        </w:tabs>
        <w:bidi w:val="0"/>
        <w:spacing w:before="0" w:after="340" w:line="240" w:lineRule="auto"/>
        <w:ind w:left="0" w:right="0"/>
        <w:jc w:val="left"/>
      </w:pPr>
      <w:bookmarkStart w:id="130" w:name="bookmark130"/>
      <w:bookmarkStart w:id="131" w:name="bookmark131"/>
      <w:bookmarkStart w:id="132" w:name="bookmark132"/>
      <w:bookmarkStart w:id="133" w:name="bookmark133"/>
      <w:bookmarkStart w:id="134" w:name="bookmark134"/>
      <w:bookmarkStart w:id="135" w:name="bookmark135"/>
      <w:r>
        <w:rPr>
          <w:rFonts w:ascii="Times New Roman" w:eastAsia="Times New Roman" w:hAnsi="Times New Roman" w:cs="Times New Roman"/>
          <w:color w:val="000000"/>
          <w:spacing w:val="0"/>
          <w:w w:val="100"/>
          <w:position w:val="0"/>
        </w:rPr>
        <w:t>（</w:t>
      </w:r>
      <w:bookmarkEnd w:id="132"/>
      <w:r>
        <w:rPr>
          <w:rFonts w:ascii="Times New Roman" w:eastAsia="Times New Roman" w:hAnsi="Times New Roman" w:cs="Times New Roman"/>
          <w:color w:val="000000"/>
          <w:spacing w:val="0"/>
          <w:w w:val="100"/>
          <w:position w:val="0"/>
        </w:rPr>
        <w:t>5</w:t>
      </w:r>
      <w:r>
        <w:rPr>
          <w:color w:val="000000"/>
          <w:spacing w:val="0"/>
          <w:w w:val="100"/>
          <w:position w:val="0"/>
        </w:rPr>
        <w:t>）</w:t>
        <w:tab/>
        <w:t>本集团支出构成</w:t>
      </w:r>
      <w:bookmarkEnd w:id="130"/>
      <w:bookmarkEnd w:id="131"/>
      <w:bookmarkEnd w:id="133"/>
      <w:bookmarkEnd w:id="134"/>
      <w:bookmarkEnd w:id="135"/>
    </w:p>
    <w:tbl>
      <w:tblPr>
        <w:tblOverlap w:val="never"/>
        <w:jc w:val="center"/>
        <w:tblLayout w:type="fixed"/>
      </w:tblPr>
      <w:tblGrid>
        <w:gridCol w:w="768"/>
        <w:gridCol w:w="2467"/>
        <w:gridCol w:w="2098"/>
        <w:gridCol w:w="1296"/>
        <w:gridCol w:w="1939"/>
        <w:gridCol w:w="1301"/>
      </w:tblGrid>
      <w:tr>
        <w:trPr>
          <w:trHeight w:val="326"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pPr>
            <w:r>
              <w:rPr>
                <w:b/>
                <w:bCs/>
                <w:color w:val="000000"/>
                <w:spacing w:val="0"/>
                <w:w w:val="100"/>
                <w:position w:val="0"/>
              </w:rPr>
              <w:t>业务 类别</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b/>
                <w:bCs/>
                <w:color w:val="000000"/>
                <w:spacing w:val="0"/>
                <w:w w:val="100"/>
                <w:position w:val="0"/>
              </w:rPr>
              <w:t>本报告期</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上年同期</w:t>
            </w:r>
          </w:p>
        </w:tc>
      </w:tr>
      <w:tr>
        <w:trPr>
          <w:trHeight w:val="32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b/>
                <w:bCs/>
                <w:color w:val="000000"/>
                <w:spacing w:val="0"/>
                <w:w w:val="100"/>
                <w:position w:val="0"/>
              </w:rPr>
              <w:t>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占比（</w:t>
            </w:r>
            <w:r>
              <w:rPr>
                <w:rFonts w:ascii="Times New Roman" w:eastAsia="Times New Roman" w:hAnsi="Times New Roman" w:cs="Times New Roman"/>
                <w:b/>
                <w:bCs/>
                <w:color w:val="000000"/>
                <w:spacing w:val="0"/>
                <w:w w:val="100"/>
                <w:position w:val="0"/>
              </w:rPr>
              <w:t>%</w:t>
            </w:r>
            <w:r>
              <w:rPr>
                <w:b/>
                <w:bCs/>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b/>
                <w:bCs/>
                <w:color w:val="000000"/>
                <w:spacing w:val="0"/>
                <w:w w:val="100"/>
                <w:position w:val="0"/>
              </w:rPr>
              <w:t>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占比（</w:t>
            </w:r>
            <w:r>
              <w:rPr>
                <w:rFonts w:ascii="Times New Roman" w:eastAsia="Times New Roman" w:hAnsi="Times New Roman" w:cs="Times New Roman"/>
                <w:b/>
                <w:bCs/>
                <w:color w:val="000000"/>
                <w:spacing w:val="0"/>
                <w:w w:val="100"/>
                <w:position w:val="0"/>
              </w:rPr>
              <w:t>%</w:t>
            </w:r>
            <w:r>
              <w:rPr>
                <w:b/>
                <w:bCs/>
                <w:color w:val="000000"/>
                <w:spacing w:val="0"/>
                <w:w w:val="100"/>
                <w:position w:val="0"/>
              </w:rPr>
              <w:t>）</w:t>
            </w: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证券 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11,294,547.45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0.52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9,505,020.34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0.53</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1,578,544,344.52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72.65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1,338,292,101.56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73.98</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193,011,958.64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8.88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92,550,532.11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5.12</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198,029.09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192,491.56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0.01</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证券业务支出小计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1,783,048,879.70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82.06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1,440,540,145.57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79.63</w:t>
            </w:r>
          </w:p>
        </w:tc>
      </w:tr>
      <w:tr>
        <w:trPr>
          <w:trHeight w:val="715"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 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营业成本一其他业务成 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9,745.64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140,872.70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0.01</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22,180,130.28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1.02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12,340,731.92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0.68</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21,059,565.04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0.97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16,162,288.57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0.89</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32,100.00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49,349.80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0.00</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103,709,412.22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4.77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投资业务支出小计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146,990,953.18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6.76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28,693,242.99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1.59</w:t>
            </w:r>
          </w:p>
        </w:tc>
      </w:tr>
      <w:tr>
        <w:trPr>
          <w:trHeight w:val="715"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 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营业成本一主营业务成 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8,646,483.42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0.40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32,283,336.58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1.78</w:t>
            </w:r>
          </w:p>
        </w:tc>
      </w:tr>
      <w:tr>
        <w:trPr>
          <w:trHeight w:val="71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营业成本一其他业务成 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816,444.56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8,550,659.08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0.47</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196,501.03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162,229.49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0.01</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64,456,440.63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2.97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91,406,004.16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5.05</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15,718,736.91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0.72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20,129,678.10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1.11</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223,143,991.81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10.27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302,539,333.97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16.72</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-509,941.76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-4,009,609.31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-0.22</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20,300.00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其他业务支出小计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312,468,656.60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14.38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451,081,932.07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24.94</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合并抵销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69,660,140.93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3.21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111,380,095.01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6.16</w:t>
            </w:r>
          </w:p>
        </w:tc>
      </w:tr>
      <w:tr>
        <w:trPr>
          <w:trHeight w:val="413" w:hRule="exact"/>
        </w:trPr>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集团合并支出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2,172,848,348.54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1,808,935,225.62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bl>
    <w:p>
      <w:pPr>
        <w:pStyle w:val="Style40"/>
        <w:keepNext w:val="0"/>
        <w:keepLines w:val="0"/>
        <w:widowControl w:val="0"/>
        <w:shd w:val="clear" w:color="auto" w:fill="auto"/>
        <w:bidi w:val="0"/>
        <w:spacing w:before="0" w:after="0" w:line="240" w:lineRule="auto"/>
        <w:ind w:left="96" w:right="0" w:firstLine="0"/>
        <w:jc w:val="left"/>
      </w:pPr>
      <w:r>
        <w:rPr>
          <w:color w:val="000000"/>
          <w:spacing w:val="0"/>
          <w:w w:val="100"/>
          <w:position w:val="0"/>
        </w:rPr>
        <w:t>注：本表支出包括营业成本、税金及附加、管理费用、财务费用、信用减值损失、资产减值损失。</w:t>
      </w:r>
      <w:r>
        <w:br w:type="page"/>
      </w:r>
    </w:p>
    <w:p>
      <w:pPr>
        <w:pStyle w:val="Style16"/>
        <w:keepNext w:val="0"/>
        <w:keepLines w:val="0"/>
        <w:widowControl w:val="0"/>
        <w:shd w:val="clear" w:color="auto" w:fill="auto"/>
        <w:tabs>
          <w:tab w:pos="8702" w:val="left"/>
        </w:tabs>
        <w:bidi w:val="0"/>
        <w:spacing w:before="0" w:after="0" w:line="629" w:lineRule="exact"/>
        <w:ind w:left="520" w:right="0" w:hanging="300"/>
        <w:jc w:val="left"/>
      </w:pPr>
      <w:bookmarkStart w:id="136" w:name="bookmark136"/>
      <w:bookmarkStart w:id="137" w:name="bookmark137"/>
      <w:r>
        <w:rPr>
          <w:rFonts w:ascii="Times New Roman" w:eastAsia="Times New Roman" w:hAnsi="Times New Roman" w:cs="Times New Roman"/>
          <w:b/>
          <w:bCs/>
          <w:color w:val="000000"/>
          <w:spacing w:val="0"/>
          <w:w w:val="100"/>
          <w:position w:val="0"/>
        </w:rPr>
        <w:t>（</w:t>
      </w:r>
      <w:bookmarkEnd w:id="136"/>
      <w:r>
        <w:rPr>
          <w:rFonts w:ascii="Times New Roman" w:eastAsia="Times New Roman" w:hAnsi="Times New Roman" w:cs="Times New Roman"/>
          <w:b/>
          <w:bCs/>
          <w:color w:val="000000"/>
          <w:spacing w:val="0"/>
          <w:w w:val="100"/>
          <w:position w:val="0"/>
        </w:rPr>
        <w:t>6</w:t>
      </w:r>
      <w:r>
        <w:rPr>
          <w:b/>
          <w:bCs/>
          <w:color w:val="000000"/>
          <w:spacing w:val="0"/>
          <w:w w:val="100"/>
          <w:position w:val="0"/>
        </w:rPr>
        <w:t>） 报告期内合并范围是否发生变动</w:t>
        <w:tab/>
      </w:r>
      <w:r>
        <w:rPr>
          <w:color w:val="000000"/>
          <w:spacing w:val="0"/>
          <w:w w:val="100"/>
          <w:position w:val="0"/>
        </w:rPr>
        <w:t>寸</w:t>
      </w:r>
      <w:r>
        <w:rPr>
          <w:color w:val="000000"/>
          <w:spacing w:val="0"/>
          <w:w w:val="100"/>
          <w:position w:val="0"/>
        </w:rPr>
        <w:t>是</w:t>
      </w:r>
      <w:r>
        <w:rPr>
          <w:color w:val="000000"/>
          <w:spacing w:val="0"/>
          <w:w w:val="100"/>
          <w:position w:val="0"/>
        </w:rPr>
        <w:t>口</w:t>
      </w:r>
      <w:r>
        <w:rPr>
          <w:color w:val="000000"/>
          <w:spacing w:val="0"/>
          <w:w w:val="100"/>
          <w:position w:val="0"/>
        </w:rPr>
        <w:t>否 详见</w:t>
      </w:r>
      <w:r>
        <w:rPr>
          <w:rFonts w:ascii="Times New Roman" w:eastAsia="Times New Roman" w:hAnsi="Times New Roman" w:cs="Times New Roman"/>
          <w:color w:val="000000"/>
          <w:spacing w:val="0"/>
          <w:w w:val="100"/>
          <w:position w:val="0"/>
        </w:rPr>
        <w:t>“</w:t>
      </w:r>
      <w:r>
        <w:rPr>
          <w:color w:val="000000"/>
          <w:spacing w:val="0"/>
          <w:w w:val="100"/>
          <w:position w:val="0"/>
        </w:rPr>
        <w:t>第十二节财务报告</w:t>
      </w:r>
      <w:r>
        <w:rPr>
          <w:rFonts w:ascii="Times New Roman" w:eastAsia="Times New Roman" w:hAnsi="Times New Roman" w:cs="Times New Roman"/>
          <w:color w:val="000000"/>
          <w:spacing w:val="0"/>
          <w:w w:val="100"/>
          <w:position w:val="0"/>
        </w:rPr>
        <w:t>”</w:t>
      </w:r>
      <w:r>
        <w:rPr>
          <w:color w:val="000000"/>
          <w:spacing w:val="0"/>
          <w:w w:val="100"/>
          <w:position w:val="0"/>
        </w:rPr>
        <w:t>财务报表附注中的</w:t>
      </w:r>
      <w:r>
        <w:rPr>
          <w:rFonts w:ascii="Times New Roman" w:eastAsia="Times New Roman" w:hAnsi="Times New Roman" w:cs="Times New Roman"/>
          <w:color w:val="000000"/>
          <w:spacing w:val="0"/>
          <w:w w:val="100"/>
          <w:position w:val="0"/>
        </w:rPr>
        <w:t>“</w:t>
      </w:r>
      <w:r>
        <w:rPr>
          <w:color w:val="000000"/>
          <w:spacing w:val="0"/>
          <w:w w:val="100"/>
          <w:position w:val="0"/>
        </w:rPr>
        <w:t>七、合并范围的变更</w:t>
      </w:r>
      <w:r>
        <w:rPr>
          <w:rFonts w:ascii="Times New Roman" w:eastAsia="Times New Roman" w:hAnsi="Times New Roman" w:cs="Times New Roman"/>
          <w:color w:val="000000"/>
          <w:spacing w:val="0"/>
          <w:w w:val="100"/>
          <w:position w:val="0"/>
        </w:rPr>
        <w:t>”</w:t>
      </w:r>
      <w:r>
        <w:rPr>
          <w:color w:val="000000"/>
          <w:spacing w:val="0"/>
          <w:w w:val="100"/>
          <w:position w:val="0"/>
        </w:rPr>
        <w:t>。</w:t>
      </w:r>
      <w:bookmarkEnd w:id="137"/>
    </w:p>
    <w:p>
      <w:pPr>
        <w:pStyle w:val="Style51"/>
        <w:keepNext/>
        <w:keepLines/>
        <w:widowControl w:val="0"/>
        <w:shd w:val="clear" w:color="auto" w:fill="auto"/>
        <w:tabs>
          <w:tab w:pos="8106" w:val="left"/>
        </w:tabs>
        <w:bidi w:val="0"/>
        <w:spacing w:before="0" w:after="0" w:line="629" w:lineRule="exact"/>
        <w:ind w:left="0" w:right="0"/>
        <w:jc w:val="left"/>
      </w:pPr>
      <w:bookmarkStart w:id="138" w:name="bookmark138"/>
      <w:bookmarkStart w:id="139" w:name="bookmark139"/>
      <w:bookmarkStart w:id="140" w:name="bookmark140"/>
      <w:bookmarkStart w:id="141" w:name="bookmark141"/>
      <w:bookmarkStart w:id="142" w:name="bookmark142"/>
      <w:r>
        <w:rPr>
          <w:rFonts w:ascii="Times New Roman" w:eastAsia="Times New Roman" w:hAnsi="Times New Roman" w:cs="Times New Roman"/>
          <w:color w:val="000000"/>
          <w:spacing w:val="0"/>
          <w:w w:val="100"/>
          <w:position w:val="0"/>
        </w:rPr>
        <w:t>（</w:t>
      </w:r>
      <w:bookmarkEnd w:id="140"/>
      <w:r>
        <w:rPr>
          <w:rFonts w:ascii="Times New Roman" w:eastAsia="Times New Roman" w:hAnsi="Times New Roman" w:cs="Times New Roman"/>
          <w:color w:val="000000"/>
          <w:spacing w:val="0"/>
          <w:w w:val="100"/>
          <w:position w:val="0"/>
        </w:rPr>
        <w:t>7</w:t>
      </w:r>
      <w:r>
        <w:rPr>
          <w:color w:val="000000"/>
          <w:spacing w:val="0"/>
          <w:w w:val="100"/>
          <w:position w:val="0"/>
        </w:rPr>
        <w:t>） 本集团报告期业务、产品或服务发生重大变化或调整有关情况</w:t>
        <w:tab/>
      </w:r>
      <w:r>
        <w:rPr>
          <w:b w:val="0"/>
          <w:bCs w:val="0"/>
          <w:color w:val="000000"/>
          <w:spacing w:val="0"/>
          <w:w w:val="100"/>
          <w:position w:val="0"/>
        </w:rPr>
        <w:t>口</w:t>
      </w:r>
      <w:r>
        <w:rPr>
          <w:b w:val="0"/>
          <w:bCs w:val="0"/>
          <w:color w:val="000000"/>
          <w:spacing w:val="0"/>
          <w:w w:val="100"/>
          <w:position w:val="0"/>
        </w:rPr>
        <w:t>适用</w:t>
      </w:r>
      <w:r>
        <w:rPr>
          <w:b w:val="0"/>
          <w:bCs w:val="0"/>
          <w:color w:val="000000"/>
          <w:spacing w:val="0"/>
          <w:w w:val="100"/>
          <w:position w:val="0"/>
        </w:rPr>
        <w:t>寸</w:t>
      </w:r>
      <w:r>
        <w:rPr>
          <w:b w:val="0"/>
          <w:bCs w:val="0"/>
          <w:color w:val="000000"/>
          <w:spacing w:val="0"/>
          <w:w w:val="100"/>
          <w:position w:val="0"/>
        </w:rPr>
        <w:t>不适用</w:t>
      </w:r>
      <w:bookmarkEnd w:id="138"/>
      <w:bookmarkEnd w:id="139"/>
      <w:bookmarkEnd w:id="141"/>
      <w:bookmarkEnd w:id="142"/>
    </w:p>
    <w:p>
      <w:pPr>
        <w:pStyle w:val="Style51"/>
        <w:keepNext/>
        <w:keepLines/>
        <w:widowControl w:val="0"/>
        <w:shd w:val="clear" w:color="auto" w:fill="auto"/>
        <w:tabs>
          <w:tab w:pos="713" w:val="left"/>
        </w:tabs>
        <w:bidi w:val="0"/>
        <w:spacing w:before="0" w:after="360" w:line="629" w:lineRule="exact"/>
        <w:ind w:left="0" w:right="0"/>
        <w:jc w:val="left"/>
      </w:pPr>
      <w:bookmarkStart w:id="143" w:name="bookmark143"/>
      <w:bookmarkStart w:id="144" w:name="bookmark144"/>
      <w:bookmarkStart w:id="145" w:name="bookmark145"/>
      <w:bookmarkStart w:id="146" w:name="bookmark146"/>
      <w:bookmarkStart w:id="147" w:name="bookmark147"/>
      <w:r>
        <w:rPr>
          <w:rFonts w:ascii="Times New Roman" w:eastAsia="Times New Roman" w:hAnsi="Times New Roman" w:cs="Times New Roman"/>
          <w:color w:val="000000"/>
          <w:spacing w:val="0"/>
          <w:w w:val="100"/>
          <w:position w:val="0"/>
        </w:rPr>
        <w:t>（</w:t>
      </w:r>
      <w:bookmarkEnd w:id="145"/>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43"/>
      <w:bookmarkEnd w:id="144"/>
      <w:bookmarkEnd w:id="146"/>
      <w:bookmarkEnd w:id="147"/>
    </w:p>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本集团主要销售客户情况</w:t>
      </w:r>
    </w:p>
    <w:tbl>
      <w:tblPr>
        <w:tblOverlap w:val="never"/>
        <w:jc w:val="center"/>
        <w:tblLayout w:type="fixed"/>
      </w:tblPr>
      <w:tblGrid>
        <w:gridCol w:w="5357"/>
        <w:gridCol w:w="4224"/>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112,027,424.56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5.08%</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前五名客户销售额中关联方销售额占年度销售总额比例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bl>
    <w:p>
      <w:pPr>
        <w:widowControl w:val="0"/>
        <w:spacing w:after="359" w:line="1" w:lineRule="exact"/>
      </w:pPr>
    </w:p>
    <w:p>
      <w:pPr>
        <w:widowControl w:val="0"/>
        <w:spacing w:line="1" w:lineRule="exact"/>
      </w:pPr>
    </w:p>
    <w:tbl>
      <w:tblPr>
        <w:tblOverlap w:val="never"/>
        <w:jc w:val="center"/>
        <w:tblLayout w:type="fixed"/>
      </w:tblPr>
      <w:tblGrid>
        <w:gridCol w:w="989"/>
        <w:gridCol w:w="3998"/>
        <w:gridCol w:w="2246"/>
        <w:gridCol w:w="2419"/>
      </w:tblGrid>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销售额（元）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占年度销售总额比例</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37,589,875.61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1.70%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20,928,022.47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0.95%</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19,445,011.97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0.88%</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17,331,554.54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0.79%</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16,732,959.97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0.76%</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112,027,424.56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5.08%</w:t>
            </w:r>
          </w:p>
        </w:tc>
      </w:tr>
    </w:tbl>
    <w:p>
      <w:pPr>
        <w:pStyle w:val="Style40"/>
        <w:keepNext w:val="0"/>
        <w:keepLines w:val="0"/>
        <w:widowControl w:val="0"/>
        <w:shd w:val="clear" w:color="auto" w:fill="auto"/>
        <w:tabs>
          <w:tab w:pos="7982" w:val="left"/>
        </w:tabs>
        <w:bidi w:val="0"/>
        <w:spacing w:before="0" w:after="0" w:line="240" w:lineRule="auto"/>
        <w:ind w:left="0" w:right="0" w:firstLine="0"/>
        <w:jc w:val="center"/>
      </w:pPr>
      <w:r>
        <w:rPr>
          <w:color w:val="000000"/>
          <w:spacing w:val="0"/>
          <w:w w:val="100"/>
          <w:position w:val="0"/>
        </w:rPr>
        <w:t>主要客户其他情况说明</w:t>
        <w:tab/>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widowControl w:val="0"/>
        <w:spacing w:after="419" w:line="1" w:lineRule="exact"/>
      </w:pPr>
    </w:p>
    <w:p>
      <w:pPr>
        <w:widowControl w:val="0"/>
        <w:spacing w:line="1" w:lineRule="exact"/>
      </w:pPr>
    </w:p>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本集团主要供应商情况</w:t>
      </w:r>
    </w:p>
    <w:tbl>
      <w:tblPr>
        <w:tblOverlap w:val="never"/>
        <w:jc w:val="center"/>
        <w:tblLayout w:type="fixed"/>
      </w:tblPr>
      <w:tblGrid>
        <w:gridCol w:w="5357"/>
        <w:gridCol w:w="4224"/>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62,722,126.80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15.65%</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前五名供应商采购额中关联方采购额占年度采购总额比例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bl>
    <w:p>
      <w:pPr>
        <w:widowControl w:val="0"/>
        <w:spacing w:after="359" w:line="1" w:lineRule="exact"/>
      </w:pPr>
    </w:p>
    <w:p>
      <w:pPr>
        <w:widowControl w:val="0"/>
        <w:spacing w:line="1" w:lineRule="exact"/>
      </w:pPr>
    </w:p>
    <w:tbl>
      <w:tblPr>
        <w:tblOverlap w:val="never"/>
        <w:jc w:val="center"/>
        <w:tblLayout w:type="fixed"/>
      </w:tblPr>
      <w:tblGrid>
        <w:gridCol w:w="989"/>
        <w:gridCol w:w="3998"/>
        <w:gridCol w:w="2246"/>
        <w:gridCol w:w="2419"/>
      </w:tblGrid>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销售额（元）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占年度销售总额比例</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14,384,868.96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3.59%</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13,143,586.31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3.28%</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12,550,917.19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3.13%</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12,206,257.55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3.05%</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10,436,496.79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2.60%</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62,722,126.80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15.65%</w:t>
            </w:r>
          </w:p>
        </w:tc>
      </w:tr>
    </w:tbl>
    <w:p>
      <w:pPr>
        <w:pStyle w:val="Style40"/>
        <w:keepNext w:val="0"/>
        <w:keepLines w:val="0"/>
        <w:widowControl w:val="0"/>
        <w:shd w:val="clear" w:color="auto" w:fill="auto"/>
        <w:tabs>
          <w:tab w:pos="7982" w:val="left"/>
        </w:tabs>
        <w:bidi w:val="0"/>
        <w:spacing w:before="0" w:after="0" w:line="240" w:lineRule="auto"/>
        <w:ind w:left="0" w:right="0" w:firstLine="0"/>
        <w:jc w:val="center"/>
      </w:pPr>
      <w:r>
        <w:rPr>
          <w:color w:val="000000"/>
          <w:spacing w:val="0"/>
          <w:w w:val="100"/>
          <w:position w:val="0"/>
        </w:rPr>
        <w:t>主要供应商其他情况说明</w:t>
        <w:tab/>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widowControl w:val="0"/>
        <w:spacing w:after="359" w:line="1" w:lineRule="exact"/>
      </w:pPr>
    </w:p>
    <w:p>
      <w:pPr>
        <w:pStyle w:val="Style51"/>
        <w:keepNext/>
        <w:keepLines/>
        <w:widowControl w:val="0"/>
        <w:shd w:val="clear" w:color="auto" w:fill="auto"/>
        <w:bidi w:val="0"/>
        <w:spacing w:before="0" w:after="360" w:line="240" w:lineRule="auto"/>
        <w:ind w:left="0" w:right="0" w:firstLine="0"/>
        <w:jc w:val="left"/>
      </w:pPr>
      <w:bookmarkStart w:id="148" w:name="bookmark148"/>
      <w:bookmarkStart w:id="149" w:name="bookmark149"/>
      <w:bookmarkStart w:id="150" w:name="bookmark150"/>
      <w:bookmarkStart w:id="151" w:name="bookmark151"/>
      <w:r>
        <w:rPr>
          <w:color w:val="000000"/>
          <w:spacing w:val="0"/>
          <w:w w:val="100"/>
          <w:position w:val="0"/>
        </w:rPr>
        <w:t>（</w:t>
      </w:r>
      <w:bookmarkEnd w:id="150"/>
      <w:r>
        <w:rPr>
          <w:rFonts w:ascii="Times New Roman" w:eastAsia="Times New Roman" w:hAnsi="Times New Roman" w:cs="Times New Roman"/>
          <w:color w:val="000000"/>
          <w:spacing w:val="0"/>
          <w:w w:val="100"/>
          <w:position w:val="0"/>
        </w:rPr>
        <w:t>9</w:t>
      </w:r>
      <w:r>
        <w:rPr>
          <w:color w:val="000000"/>
          <w:spacing w:val="0"/>
          <w:w w:val="100"/>
          <w:position w:val="0"/>
        </w:rPr>
        <w:t>）国盛证券（合并口径）收入支出构成</w:t>
      </w:r>
      <w:bookmarkEnd w:id="148"/>
      <w:bookmarkEnd w:id="149"/>
      <w:bookmarkEnd w:id="151"/>
    </w:p>
    <w:p>
      <w:pPr>
        <w:pStyle w:val="Style40"/>
        <w:keepNext w:val="0"/>
        <w:keepLines w:val="0"/>
        <w:widowControl w:val="0"/>
        <w:shd w:val="clear" w:color="auto" w:fill="auto"/>
        <w:bidi w:val="0"/>
        <w:spacing w:before="0" w:after="0" w:line="240" w:lineRule="auto"/>
        <w:ind w:left="101" w:right="0" w:firstLine="0"/>
        <w:jc w:val="left"/>
      </w:pPr>
      <w:r>
        <w:rPr>
          <w:b/>
          <w:bCs/>
          <w:color w:val="000000"/>
          <w:spacing w:val="0"/>
          <w:w w:val="100"/>
          <w:position w:val="0"/>
        </w:rPr>
        <w:t>收入构成</w:t>
      </w:r>
    </w:p>
    <w:tbl>
      <w:tblPr>
        <w:tblOverlap w:val="never"/>
        <w:jc w:val="center"/>
        <w:tblLayout w:type="fixed"/>
      </w:tblPr>
      <w:tblGrid>
        <w:gridCol w:w="2179"/>
        <w:gridCol w:w="2174"/>
        <w:gridCol w:w="1162"/>
        <w:gridCol w:w="2030"/>
        <w:gridCol w:w="1162"/>
        <w:gridCol w:w="1162"/>
      </w:tblGrid>
      <w:tr>
        <w:trPr>
          <w:trHeight w:val="326"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本报告期</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上年同期</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center"/>
            </w:pPr>
            <w:r>
              <w:rPr>
                <w:b/>
                <w:bCs/>
                <w:color w:val="000000"/>
                <w:spacing w:val="0"/>
                <w:w w:val="100"/>
                <w:position w:val="0"/>
              </w:rPr>
              <w:t>同比增减 （</w:t>
            </w:r>
            <w:r>
              <w:rPr>
                <w:rFonts w:ascii="Times New Roman" w:eastAsia="Times New Roman" w:hAnsi="Times New Roman" w:cs="Times New Roman"/>
                <w:b/>
                <w:bCs/>
                <w:color w:val="000000"/>
                <w:spacing w:val="0"/>
                <w:w w:val="100"/>
                <w:position w:val="0"/>
              </w:rPr>
              <w:t>%</w:t>
            </w:r>
            <w:r>
              <w:rPr>
                <w:b/>
                <w:bCs/>
                <w:color w:val="000000"/>
                <w:spacing w:val="0"/>
                <w:w w:val="100"/>
                <w:position w:val="0"/>
              </w:rPr>
              <w:t>）</w:t>
            </w:r>
          </w:p>
        </w:tc>
      </w:tr>
      <w:tr>
        <w:trPr>
          <w:trHeight w:val="331"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金额（元）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占比（</w:t>
            </w:r>
            <w:r>
              <w:rPr>
                <w:rFonts w:ascii="Times New Roman" w:eastAsia="Times New Roman" w:hAnsi="Times New Roman" w:cs="Times New Roman"/>
                <w:b/>
                <w:bCs/>
                <w:color w:val="000000"/>
                <w:spacing w:val="0"/>
                <w:w w:val="100"/>
                <w:position w:val="0"/>
              </w:rPr>
              <w:t>%</w:t>
            </w:r>
            <w:r>
              <w:rPr>
                <w:b/>
                <w:bCs/>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金额（元）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占比（</w:t>
            </w:r>
            <w:r>
              <w:rPr>
                <w:rFonts w:ascii="Times New Roman" w:eastAsia="Times New Roman" w:hAnsi="Times New Roman" w:cs="Times New Roman"/>
                <w:b/>
                <w:bCs/>
                <w:color w:val="000000"/>
                <w:spacing w:val="0"/>
                <w:w w:val="100"/>
                <w:position w:val="0"/>
              </w:rPr>
              <w:t>%</w:t>
            </w:r>
            <w:r>
              <w:rPr>
                <w:b/>
                <w:bCs/>
                <w:color w:val="000000"/>
                <w:spacing w:val="0"/>
                <w:w w:val="100"/>
                <w:position w:val="0"/>
              </w:rPr>
              <w:t>）</w:t>
            </w:r>
          </w:p>
        </w:tc>
        <w:tc>
          <w:tcPr>
            <w:vMerge/>
            <w:tcBorders>
              <w:left w:val="single" w:sz="4"/>
              <w:bottom w:val="single" w:sz="4"/>
              <w:right w:val="single" w:sz="4"/>
            </w:tcBorders>
            <w:shd w:val="clear" w:color="auto" w:fill="FFFFFF"/>
            <w:vAlign w:val="center"/>
          </w:tcPr>
          <w:p>
            <w:pPr/>
          </w:p>
        </w:tc>
      </w:tr>
    </w:tbl>
    <w:p>
      <w:pPr>
        <w:widowControl w:val="0"/>
        <w:spacing w:line="1" w:lineRule="exact"/>
      </w:pPr>
      <w:r>
        <w:br w:type="page"/>
      </w:r>
    </w:p>
    <w:tbl>
      <w:tblPr>
        <w:tblOverlap w:val="never"/>
        <w:jc w:val="center"/>
        <w:tblLayout w:type="fixed"/>
      </w:tblPr>
      <w:tblGrid>
        <w:gridCol w:w="2179"/>
        <w:gridCol w:w="2174"/>
        <w:gridCol w:w="1162"/>
        <w:gridCol w:w="2030"/>
        <w:gridCol w:w="1162"/>
        <w:gridCol w:w="1162"/>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总收入合计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1,903,974,077.80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1,858,999,820.69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2.42</w:t>
            </w:r>
          </w:p>
        </w:tc>
      </w:tr>
      <w:tr>
        <w:trPr>
          <w:trHeight w:val="398" w:hRule="exact"/>
        </w:trPr>
        <w:tc>
          <w:tcPr>
            <w:gridSpan w:val="6"/>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分业务</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证券经纪业务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1,077,567,191.43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56.60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650,082,260.92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34.97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65.76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证券自营业务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140,317,431.05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7.37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568,298,886.50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30.57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-75.31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信用交易业务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328,453,175.06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17.25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305,466,618.11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16.43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资产管理业务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81,188,877.12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97,482,184.64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投资银行业务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141,152,581.05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7.41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154,176,534.62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8.29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135,294,822.09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7.11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83,493,335.90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62.04</w:t>
            </w:r>
          </w:p>
        </w:tc>
      </w:tr>
      <w:tr>
        <w:trPr>
          <w:trHeight w:val="403" w:hRule="exact"/>
        </w:trPr>
        <w:tc>
          <w:tcPr>
            <w:gridSpan w:val="6"/>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江西省内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1,540,484,032.02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80.91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1,592,828,438.23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85.68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-3.29</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江西省外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363,490,045.78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19.09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266,171,382.46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14.32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36.56</w:t>
            </w:r>
          </w:p>
        </w:tc>
      </w:tr>
    </w:tbl>
    <w:p>
      <w:pPr>
        <w:pStyle w:val="Style16"/>
        <w:keepNext w:val="0"/>
        <w:keepLines w:val="0"/>
        <w:widowControl w:val="0"/>
        <w:shd w:val="clear" w:color="auto" w:fill="auto"/>
        <w:bidi w:val="0"/>
        <w:spacing w:before="0" w:after="440" w:line="317" w:lineRule="exact"/>
        <w:ind w:left="0" w:right="0" w:firstLine="0"/>
        <w:jc w:val="left"/>
      </w:pPr>
      <w:r>
        <w:rPr>
          <w:color w:val="000000"/>
          <w:spacing w:val="0"/>
          <w:w w:val="100"/>
          <w:position w:val="0"/>
        </w:rPr>
        <w:t>注：本表收入包括证券业务手续费及佣金净收入、利息净收入、公允价值变动收益、投资收益、资产处置 收益、汇兑收益、其他收益等。</w:t>
      </w:r>
    </w:p>
    <w:p>
      <w:pPr>
        <w:pStyle w:val="Style40"/>
        <w:keepNext w:val="0"/>
        <w:keepLines w:val="0"/>
        <w:widowControl w:val="0"/>
        <w:shd w:val="clear" w:color="auto" w:fill="auto"/>
        <w:bidi w:val="0"/>
        <w:spacing w:before="0" w:after="0" w:line="240" w:lineRule="auto"/>
        <w:ind w:left="91" w:right="0" w:firstLine="0"/>
        <w:jc w:val="left"/>
      </w:pPr>
      <w:r>
        <w:rPr>
          <w:b/>
          <w:bCs/>
          <w:color w:val="000000"/>
          <w:spacing w:val="0"/>
          <w:w w:val="100"/>
          <w:position w:val="0"/>
        </w:rPr>
        <w:t>支出构成</w:t>
      </w:r>
    </w:p>
    <w:tbl>
      <w:tblPr>
        <w:tblOverlap w:val="never"/>
        <w:jc w:val="center"/>
        <w:tblLayout w:type="fixed"/>
      </w:tblPr>
      <w:tblGrid>
        <w:gridCol w:w="2213"/>
        <w:gridCol w:w="2141"/>
        <w:gridCol w:w="1162"/>
        <w:gridCol w:w="2030"/>
        <w:gridCol w:w="1162"/>
        <w:gridCol w:w="1162"/>
      </w:tblGrid>
      <w:tr>
        <w:trPr>
          <w:trHeight w:val="326"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本报告期</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上年同期</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b/>
                <w:bCs/>
                <w:color w:val="000000"/>
                <w:spacing w:val="0"/>
                <w:w w:val="100"/>
                <w:position w:val="0"/>
              </w:rPr>
              <w:t>同比增减</w:t>
            </w:r>
          </w:p>
          <w:p>
            <w:pPr>
              <w:pStyle w:val="Style2"/>
              <w:keepNext w:val="0"/>
              <w:keepLines w:val="0"/>
              <w:widowControl w:val="0"/>
              <w:shd w:val="clear" w:color="auto" w:fill="auto"/>
              <w:bidi w:val="0"/>
              <w:spacing w:before="0" w:after="0" w:line="240" w:lineRule="auto"/>
              <w:ind w:left="0" w:right="0" w:firstLine="26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rPr>
              <w:t>%</w:t>
            </w:r>
            <w:r>
              <w:rPr>
                <w:b/>
                <w:bCs/>
                <w:color w:val="000000"/>
                <w:spacing w:val="0"/>
                <w:w w:val="100"/>
                <w:position w:val="0"/>
              </w:rPr>
              <w:t>）</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b/>
                <w:bCs/>
                <w:color w:val="000000"/>
                <w:spacing w:val="0"/>
                <w:w w:val="100"/>
                <w:position w:val="0"/>
              </w:rPr>
              <w:t>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占比（</w:t>
            </w:r>
            <w:r>
              <w:rPr>
                <w:rFonts w:ascii="Times New Roman" w:eastAsia="Times New Roman" w:hAnsi="Times New Roman" w:cs="Times New Roman"/>
                <w:b/>
                <w:bCs/>
                <w:color w:val="000000"/>
                <w:spacing w:val="0"/>
                <w:w w:val="100"/>
                <w:position w:val="0"/>
              </w:rPr>
              <w:t>%</w:t>
            </w:r>
            <w:r>
              <w:rPr>
                <w:b/>
                <w:bCs/>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占比（</w:t>
            </w:r>
            <w:r>
              <w:rPr>
                <w:rFonts w:ascii="Times New Roman" w:eastAsia="Times New Roman" w:hAnsi="Times New Roman" w:cs="Times New Roman"/>
                <w:b/>
                <w:bCs/>
                <w:color w:val="000000"/>
                <w:spacing w:val="0"/>
                <w:w w:val="100"/>
                <w:position w:val="0"/>
              </w:rPr>
              <w:t>%</w:t>
            </w:r>
            <w:r>
              <w:rPr>
                <w:b/>
                <w:bCs/>
                <w:color w:val="000000"/>
                <w:spacing w:val="0"/>
                <w:w w:val="100"/>
                <w:position w:val="0"/>
              </w:rPr>
              <w:t>）</w:t>
            </w:r>
          </w:p>
        </w:tc>
        <w:tc>
          <w:tcPr>
            <w:vMerge/>
            <w:tcBorders>
              <w:left w:val="single" w:sz="4"/>
              <w:right w:val="single" w:sz="4"/>
            </w:tcBorders>
            <w:shd w:val="clear" w:color="auto" w:fill="FFFFFF"/>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总支出合计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1,783,048,879.70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1,440,540,145.57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23.78</w:t>
            </w:r>
          </w:p>
        </w:tc>
      </w:tr>
      <w:tr>
        <w:trPr>
          <w:trHeight w:val="398" w:hRule="exact"/>
        </w:trPr>
        <w:tc>
          <w:tcPr>
            <w:gridSpan w:val="6"/>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分业务</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证券经纪业务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992,883,400.77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55.68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563,341,805.97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39.11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76.25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证券自营业务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111,882,825.61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6.27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434,852,827.00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30.19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-74.27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信用交易业务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277,072,780.81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15.54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170,606,294.77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11.84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62.40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资产管理业务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139,745,059.05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7.84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129,284,788.83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8.97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8.09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投资银行业务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114,980,762.02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6.45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77,570,030.01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48.23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146,484,051.45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8.22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64,884,398.99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125.76</w:t>
            </w:r>
          </w:p>
        </w:tc>
      </w:tr>
      <w:tr>
        <w:trPr>
          <w:trHeight w:val="403" w:hRule="exact"/>
        </w:trPr>
        <w:tc>
          <w:tcPr>
            <w:gridSpan w:val="6"/>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江西省内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1,289,052,820.53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72.29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978,141,589.87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67.90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31.79</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江西省外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493,996,059.17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27.71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462,398,555.70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32.10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6.83</w:t>
            </w:r>
          </w:p>
        </w:tc>
      </w:tr>
    </w:tbl>
    <w:p>
      <w:pPr>
        <w:widowControl w:val="0"/>
        <w:spacing w:after="79" w:line="1" w:lineRule="exact"/>
      </w:pP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注：本表支出包括证券业务税金及附加、业务及管理费、信用减值损失、资产减值损失、其他业务成本等。</w:t>
      </w:r>
    </w:p>
    <w:p>
      <w:pPr>
        <w:pStyle w:val="Style37"/>
        <w:keepNext/>
        <w:keepLines/>
        <w:widowControl w:val="0"/>
        <w:shd w:val="clear" w:color="auto" w:fill="auto"/>
        <w:bidi w:val="0"/>
        <w:spacing w:before="0" w:after="360" w:line="240" w:lineRule="auto"/>
        <w:ind w:left="0" w:right="0" w:firstLine="0"/>
        <w:jc w:val="left"/>
      </w:pPr>
      <w:bookmarkStart w:id="152" w:name="bookmark152"/>
      <w:bookmarkStart w:id="153" w:name="bookmark153"/>
      <w:bookmarkStart w:id="154" w:name="bookmark154"/>
      <w:bookmarkStart w:id="155" w:name="bookmark155"/>
      <w:r>
        <w:rPr>
          <w:rFonts w:ascii="Times New Roman" w:eastAsia="Times New Roman" w:hAnsi="Times New Roman" w:cs="Times New Roman"/>
          <w:color w:val="000000"/>
          <w:spacing w:val="0"/>
          <w:w w:val="100"/>
          <w:position w:val="0"/>
        </w:rPr>
        <w:t>3</w:t>
      </w:r>
      <w:bookmarkEnd w:id="154"/>
      <w:r>
        <w:rPr>
          <w:color w:val="000000"/>
          <w:spacing w:val="0"/>
          <w:w w:val="100"/>
          <w:position w:val="0"/>
        </w:rPr>
        <w:t>、费用</w:t>
      </w:r>
      <w:bookmarkEnd w:id="152"/>
      <w:bookmarkEnd w:id="153"/>
      <w:bookmarkEnd w:id="155"/>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49"/>
        <w:gridCol w:w="1656"/>
        <w:gridCol w:w="1661"/>
        <w:gridCol w:w="1478"/>
        <w:gridCol w:w="2966"/>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 xml:space="preserve">2020 </w:t>
            </w:r>
            <w:r>
              <w:rPr>
                <w:b/>
                <w:bCs/>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 xml:space="preserve">2019 </w:t>
            </w:r>
            <w:r>
              <w:rPr>
                <w:b/>
                <w:bCs/>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同比增减（</w:t>
            </w:r>
            <w:r>
              <w:rPr>
                <w:rFonts w:ascii="Times New Roman" w:eastAsia="Times New Roman" w:hAnsi="Times New Roman" w:cs="Times New Roman"/>
                <w:b/>
                <w:bCs/>
                <w:color w:val="000000"/>
                <w:spacing w:val="0"/>
                <w:w w:val="100"/>
                <w:position w:val="0"/>
              </w:rPr>
              <w:t>%</w:t>
            </w:r>
            <w:r>
              <w:rPr>
                <w:b/>
                <w:bCs/>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重大变动说明</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1,663,630,810.40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1,440,102,274.63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15,718,736.91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20,129,678.10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-21.91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left"/>
        <w:tblLayout w:type="fixed"/>
      </w:tblPr>
      <w:tblGrid>
        <w:gridCol w:w="1949"/>
        <w:gridCol w:w="1656"/>
        <w:gridCol w:w="1661"/>
        <w:gridCol w:w="1478"/>
        <w:gridCol w:w="2966"/>
      </w:tblGrid>
      <w:tr>
        <w:trPr>
          <w:trHeight w:val="418" w:hRule="exact"/>
        </w:trPr>
        <w:tc>
          <w:tcPr>
            <w:tcBorders>
              <w:top w:val="single" w:sz="4"/>
              <w:left w:val="single" w:sz="4"/>
              <w:bottom w:val="single" w:sz="4"/>
            </w:tcBorders>
            <w:shd w:val="clear" w:color="auto" w:fill="FFFFFF"/>
            <w:vAlign w:val="center"/>
          </w:tcPr>
          <w:p>
            <w:pPr>
              <w:pStyle w:val="Style2"/>
              <w:keepNext w:val="0"/>
              <w:keepLines w:val="0"/>
              <w:framePr w:w="9710" w:h="418" w:vSpace="595" w:wrap="notBeside" w:vAnchor="text" w:hAnchor="text" w:x="80" w:y="1"/>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bottom w:val="single" w:sz="4"/>
            </w:tcBorders>
            <w:shd w:val="clear" w:color="auto" w:fill="FFFFFF"/>
            <w:vAlign w:val="center"/>
          </w:tcPr>
          <w:p>
            <w:pPr>
              <w:pStyle w:val="Style2"/>
              <w:keepNext w:val="0"/>
              <w:keepLines w:val="0"/>
              <w:framePr w:w="9710" w:h="418" w:vSpace="595" w:wrap="notBeside" w:vAnchor="text" w:hAnchor="text" w:x="80" w:y="1"/>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181,074,181.74</w:t>
            </w:r>
          </w:p>
        </w:tc>
        <w:tc>
          <w:tcPr>
            <w:tcBorders>
              <w:top w:val="single" w:sz="4"/>
              <w:left w:val="single" w:sz="4"/>
              <w:bottom w:val="single" w:sz="4"/>
            </w:tcBorders>
            <w:shd w:val="clear" w:color="auto" w:fill="FFFFFF"/>
            <w:vAlign w:val="center"/>
          </w:tcPr>
          <w:p>
            <w:pPr>
              <w:pStyle w:val="Style2"/>
              <w:keepNext w:val="0"/>
              <w:keepLines w:val="0"/>
              <w:framePr w:w="9710" w:h="418" w:vSpace="595" w:wrap="notBeside" w:vAnchor="text" w:hAnchor="text" w:x="80" w:y="1"/>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250,106,655.63</w:t>
            </w:r>
          </w:p>
        </w:tc>
        <w:tc>
          <w:tcPr>
            <w:tcBorders>
              <w:top w:val="single" w:sz="4"/>
              <w:left w:val="single" w:sz="4"/>
              <w:bottom w:val="single" w:sz="4"/>
            </w:tcBorders>
            <w:shd w:val="clear" w:color="auto" w:fill="FFFFFF"/>
            <w:vAlign w:val="center"/>
          </w:tcPr>
          <w:p>
            <w:pPr>
              <w:pStyle w:val="Style2"/>
              <w:keepNext w:val="0"/>
              <w:keepLines w:val="0"/>
              <w:framePr w:w="9710" w:h="418" w:vSpace="595" w:wrap="notBeside" w:vAnchor="text" w:hAnchor="text" w:x="80"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-27.60</w:t>
            </w:r>
          </w:p>
        </w:tc>
        <w:tc>
          <w:tcPr>
            <w:tcBorders>
              <w:top w:val="single" w:sz="4"/>
              <w:left w:val="single" w:sz="4"/>
              <w:bottom w:val="single" w:sz="4"/>
              <w:right w:val="single" w:sz="4"/>
            </w:tcBorders>
            <w:shd w:val="clear" w:color="auto" w:fill="FFFFFF"/>
            <w:vAlign w:val="top"/>
          </w:tcPr>
          <w:p>
            <w:pPr>
              <w:framePr w:w="9710" w:h="418" w:vSpace="595" w:wrap="notBeside" w:vAnchor="text" w:hAnchor="text" w:x="80" w:y="1"/>
              <w:widowControl w:val="0"/>
              <w:rPr>
                <w:sz w:val="10"/>
                <w:szCs w:val="10"/>
              </w:rPr>
            </w:pPr>
          </w:p>
        </w:tc>
      </w:tr>
    </w:tbl>
    <w:p>
      <w:pPr>
        <w:pStyle w:val="Style40"/>
        <w:keepNext w:val="0"/>
        <w:keepLines w:val="0"/>
        <w:framePr w:w="1210" w:h="274" w:hSpace="79" w:wrap="notBeside" w:vAnchor="text" w:hAnchor="text" w:x="90" w:y="740"/>
        <w:widowControl w:val="0"/>
        <w:shd w:val="clear" w:color="auto" w:fill="auto"/>
        <w:bidi w:val="0"/>
        <w:spacing w:before="0" w:after="0" w:line="240" w:lineRule="auto"/>
        <w:ind w:left="0" w:right="0" w:firstLine="0"/>
        <w:jc w:val="left"/>
      </w:pPr>
      <w:bookmarkStart w:id="156" w:name="bookmark156"/>
      <w:r>
        <w:rPr>
          <w:rFonts w:ascii="Times New Roman" w:eastAsia="Times New Roman" w:hAnsi="Times New Roman" w:cs="Times New Roman"/>
          <w:b/>
          <w:bCs/>
          <w:color w:val="000000"/>
          <w:spacing w:val="0"/>
          <w:w w:val="100"/>
          <w:position w:val="0"/>
        </w:rPr>
        <w:t>4</w:t>
      </w:r>
      <w:r>
        <w:rPr>
          <w:b/>
          <w:bCs/>
          <w:color w:val="000000"/>
          <w:spacing w:val="0"/>
          <w:w w:val="100"/>
          <w:position w:val="0"/>
        </w:rPr>
        <w:t>、研发投入</w:t>
      </w:r>
      <w:bookmarkEnd w:id="156"/>
    </w:p>
    <w:p>
      <w:pPr>
        <w:pStyle w:val="Style40"/>
        <w:keepNext w:val="0"/>
        <w:keepLines w:val="0"/>
        <w:framePr w:w="1651" w:h="288" w:hSpace="79" w:wrap="notBeside" w:vAnchor="text" w:hAnchor="text" w:x="8082" w:y="726"/>
        <w:widowControl w:val="0"/>
        <w:shd w:val="clear" w:color="auto" w:fill="auto"/>
        <w:bidi w:val="0"/>
        <w:spacing w:before="0" w:after="0" w:line="240" w:lineRule="auto"/>
        <w:ind w:left="0" w:right="0" w:firstLine="0"/>
        <w:jc w:val="center"/>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widowControl w:val="0"/>
        <w:spacing w:line="1" w:lineRule="exact"/>
      </w:pPr>
    </w:p>
    <w:p>
      <w:pPr>
        <w:pStyle w:val="Style40"/>
        <w:keepNext w:val="0"/>
        <w:keepLines w:val="0"/>
        <w:widowControl w:val="0"/>
        <w:shd w:val="clear" w:color="auto" w:fill="auto"/>
        <w:bidi w:val="0"/>
        <w:spacing w:before="0" w:after="40" w:line="312" w:lineRule="exact"/>
        <w:ind w:left="0" w:right="0" w:firstLine="0"/>
        <w:jc w:val="left"/>
      </w:pPr>
      <w:r>
        <w:rPr>
          <w:color w:val="000000"/>
          <w:spacing w:val="0"/>
          <w:w w:val="100"/>
          <w:position w:val="0"/>
        </w:rPr>
        <w:t>报告期内，研发投入主要为子公司极盛科技开发人员薪酬，相对于</w:t>
      </w:r>
      <w:r>
        <w:rPr>
          <w:rFonts w:ascii="Times New Roman" w:eastAsia="Times New Roman" w:hAnsi="Times New Roman" w:cs="Times New Roman"/>
          <w:color w:val="000000"/>
          <w:spacing w:val="0"/>
          <w:w w:val="100"/>
          <w:position w:val="0"/>
        </w:rPr>
        <w:t>2019</w:t>
      </w:r>
      <w:r>
        <w:rPr>
          <w:color w:val="000000"/>
          <w:spacing w:val="0"/>
          <w:w w:val="100"/>
          <w:position w:val="0"/>
        </w:rPr>
        <w:t>年极盛科技没有新增项目， 主要工作是在已上线项目的基础上，进行功能优化和完善，涉及的项目包括国盛证券综合金融终端</w:t>
      </w:r>
      <w:r>
        <w:rPr>
          <w:rFonts w:ascii="Times New Roman" w:eastAsia="Times New Roman" w:hAnsi="Times New Roman" w:cs="Times New Roman"/>
          <w:color w:val="000000"/>
          <w:spacing w:val="0"/>
          <w:w w:val="100"/>
          <w:position w:val="0"/>
        </w:rPr>
        <w:t>APP</w:t>
      </w:r>
      <w:r>
        <w:rPr>
          <w:color w:val="000000"/>
          <w:spacing w:val="0"/>
          <w:w w:val="100"/>
          <w:position w:val="0"/>
        </w:rPr>
        <w:t xml:space="preserve">、 </w:t>
      </w:r>
      <w:r>
        <w:rPr>
          <w:color w:val="000000"/>
          <w:spacing w:val="0"/>
          <w:w w:val="100"/>
          <w:position w:val="0"/>
        </w:rPr>
        <w:t>研究所</w:t>
      </w:r>
      <w:r>
        <w:rPr>
          <w:rFonts w:ascii="Times New Roman" w:eastAsia="Times New Roman" w:hAnsi="Times New Roman" w:cs="Times New Roman"/>
          <w:color w:val="000000"/>
          <w:spacing w:val="0"/>
          <w:w w:val="100"/>
          <w:position w:val="0"/>
        </w:rPr>
        <w:t>APP</w:t>
      </w:r>
      <w:r>
        <w:rPr>
          <w:color w:val="000000"/>
          <w:spacing w:val="0"/>
          <w:w w:val="100"/>
          <w:position w:val="0"/>
        </w:rPr>
        <w:t>、行情大数据平台项目。</w:t>
      </w:r>
    </w:p>
    <w:p>
      <w:pPr>
        <w:pStyle w:val="Style40"/>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本集团研发投入情况</w:t>
      </w:r>
    </w:p>
    <w:tbl>
      <w:tblPr>
        <w:tblOverlap w:val="never"/>
        <w:jc w:val="center"/>
        <w:tblLayout w:type="fixed"/>
      </w:tblPr>
      <w:tblGrid>
        <w:gridCol w:w="3235"/>
        <w:gridCol w:w="1973"/>
        <w:gridCol w:w="1973"/>
        <w:gridCol w:w="2400"/>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 xml:space="preserve">2020 </w:t>
            </w:r>
            <w:r>
              <w:rPr>
                <w:b/>
                <w:bCs/>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 xml:space="preserve">2019 </w:t>
            </w:r>
            <w:r>
              <w:rPr>
                <w:b/>
                <w:bCs/>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变动比例</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-72.92%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18,268,651.42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51,545,866.20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-64.56%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研发投入占营业总收入比例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研发投入资本化的金额（元）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2,549,914.51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31,416,188.10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-91.88%</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资本化研发投入占研发投入的比例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60.95%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-46.99%</w:t>
            </w:r>
          </w:p>
        </w:tc>
      </w:tr>
    </w:tbl>
    <w:p>
      <w:pPr>
        <w:pStyle w:val="Style40"/>
        <w:keepNext w:val="0"/>
        <w:keepLines w:val="0"/>
        <w:widowControl w:val="0"/>
        <w:shd w:val="clear" w:color="auto" w:fill="auto"/>
        <w:tabs>
          <w:tab w:pos="7872" w:val="left"/>
        </w:tabs>
        <w:bidi w:val="0"/>
        <w:spacing w:before="0" w:after="120" w:line="240" w:lineRule="auto"/>
        <w:ind w:left="0" w:right="0" w:firstLine="0"/>
        <w:jc w:val="center"/>
      </w:pPr>
      <w:r>
        <w:rPr>
          <w:color w:val="000000"/>
          <w:spacing w:val="0"/>
          <w:w w:val="100"/>
          <w:position w:val="0"/>
        </w:rPr>
        <w:t>研发投入总额占营业总收入的比重较上年发生显著变化的原因</w:t>
        <w:tab/>
      </w:r>
      <w:r>
        <w:rPr>
          <w:color w:val="000000"/>
          <w:spacing w:val="0"/>
          <w:w w:val="100"/>
          <w:position w:val="0"/>
        </w:rPr>
        <w:t>寸</w:t>
      </w:r>
      <w:r>
        <w:rPr>
          <w:color w:val="000000"/>
          <w:spacing w:val="0"/>
          <w:w w:val="100"/>
          <w:position w:val="0"/>
        </w:rPr>
        <w:t>适用</w:t>
      </w:r>
      <w:r>
        <w:rPr>
          <w:b/>
          <w:bCs/>
          <w:color w:val="000000"/>
          <w:spacing w:val="0"/>
          <w:w w:val="100"/>
          <w:position w:val="0"/>
          <w:sz w:val="19"/>
          <w:szCs w:val="19"/>
        </w:rPr>
        <w:t>口</w:t>
      </w:r>
      <w:r>
        <w:rPr>
          <w:color w:val="000000"/>
          <w:spacing w:val="0"/>
          <w:w w:val="100"/>
          <w:position w:val="0"/>
        </w:rPr>
        <w:t>不适用</w:t>
      </w:r>
    </w:p>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本年金融科技业务结构发生调整，营业收入和研发投入均大幅减少。</w:t>
      </w:r>
    </w:p>
    <w:p>
      <w:pPr>
        <w:pStyle w:val="Style16"/>
        <w:keepNext w:val="0"/>
        <w:keepLines w:val="0"/>
        <w:widowControl w:val="0"/>
        <w:shd w:val="clear" w:color="auto" w:fill="auto"/>
        <w:tabs>
          <w:tab w:pos="7872" w:val="left"/>
        </w:tabs>
        <w:bidi w:val="0"/>
        <w:spacing w:before="0" w:after="0" w:line="312" w:lineRule="exact"/>
        <w:ind w:left="0" w:right="0" w:firstLine="0"/>
        <w:jc w:val="left"/>
      </w:pPr>
      <w:r>
        <w:rPr>
          <w:color w:val="000000"/>
          <w:spacing w:val="0"/>
          <w:w w:val="100"/>
          <w:position w:val="0"/>
        </w:rPr>
        <w:t>研发投入资本化率大幅变动的原因及其合理性说明</w:t>
        <w:tab/>
      </w:r>
      <w:r>
        <w:rPr>
          <w:color w:val="000000"/>
          <w:spacing w:val="0"/>
          <w:w w:val="100"/>
          <w:position w:val="0"/>
        </w:rPr>
        <w:t>寸</w:t>
      </w:r>
      <w:r>
        <w:rPr>
          <w:color w:val="000000"/>
          <w:spacing w:val="0"/>
          <w:w w:val="100"/>
          <w:position w:val="0"/>
        </w:rPr>
        <w:t>适用</w:t>
      </w:r>
      <w:r>
        <w:rPr>
          <w:b/>
          <w:bCs/>
          <w:color w:val="000000"/>
          <w:spacing w:val="0"/>
          <w:w w:val="100"/>
          <w:position w:val="0"/>
          <w:sz w:val="19"/>
          <w:szCs w:val="19"/>
        </w:rPr>
        <w:t>口</w:t>
      </w:r>
      <w:r>
        <w:rPr>
          <w:color w:val="000000"/>
          <w:spacing w:val="0"/>
          <w:w w:val="100"/>
          <w:position w:val="0"/>
        </w:rPr>
        <w:t>不适用</w:t>
      </w:r>
    </w:p>
    <w:p>
      <w:pPr>
        <w:pStyle w:val="Style16"/>
        <w:keepNext w:val="0"/>
        <w:keepLines w:val="0"/>
        <w:widowControl w:val="0"/>
        <w:shd w:val="clear" w:color="auto" w:fill="auto"/>
        <w:bidi w:val="0"/>
        <w:spacing w:before="0" w:after="380" w:line="312" w:lineRule="exact"/>
        <w:ind w:left="0" w:right="0" w:firstLine="440"/>
        <w:jc w:val="left"/>
      </w:pPr>
      <w:r>
        <w:rPr>
          <w:color w:val="000000"/>
          <w:spacing w:val="0"/>
          <w:w w:val="100"/>
          <w:position w:val="0"/>
        </w:rPr>
        <w:t>极盛科技按照集团抓利润、控成本的经营管理要求，收缩业务规模，压缩整合亏损业务，减少非盈利 性投入，聚焦国盛证券重点项目及集团信息化建设，故研发投入大幅减少，研发投入资本化率相应下降。</w:t>
      </w:r>
    </w:p>
    <w:p>
      <w:pPr>
        <w:pStyle w:val="Style37"/>
        <w:keepNext/>
        <w:keepLines/>
        <w:widowControl w:val="0"/>
        <w:shd w:val="clear" w:color="auto" w:fill="auto"/>
        <w:bidi w:val="0"/>
        <w:spacing w:before="0" w:after="280" w:line="326" w:lineRule="auto"/>
        <w:ind w:left="0" w:right="0" w:firstLine="0"/>
        <w:jc w:val="left"/>
      </w:pPr>
      <w:bookmarkStart w:id="157" w:name="bookmark157"/>
      <w:bookmarkStart w:id="158" w:name="bookmark158"/>
      <w:bookmarkStart w:id="159" w:name="bookmark159"/>
      <w:bookmarkStart w:id="160" w:name="bookmark160"/>
      <w:r>
        <w:rPr>
          <w:rFonts w:ascii="Times New Roman" w:eastAsia="Times New Roman" w:hAnsi="Times New Roman" w:cs="Times New Roman"/>
          <w:color w:val="000000"/>
          <w:spacing w:val="0"/>
          <w:w w:val="100"/>
          <w:position w:val="0"/>
        </w:rPr>
        <w:t>5</w:t>
      </w:r>
      <w:bookmarkEnd w:id="159"/>
      <w:r>
        <w:rPr>
          <w:color w:val="000000"/>
          <w:spacing w:val="0"/>
          <w:w w:val="100"/>
          <w:position w:val="0"/>
        </w:rPr>
        <w:t>、现金流</w:t>
      </w:r>
      <w:bookmarkEnd w:id="157"/>
      <w:bookmarkEnd w:id="158"/>
      <w:bookmarkEnd w:id="160"/>
    </w:p>
    <w:p>
      <w:pPr>
        <w:pStyle w:val="Style40"/>
        <w:keepNext w:val="0"/>
        <w:keepLines w:val="0"/>
        <w:widowControl w:val="0"/>
        <w:shd w:val="clear" w:color="auto" w:fill="auto"/>
        <w:bidi w:val="0"/>
        <w:spacing w:before="0" w:after="0" w:line="240" w:lineRule="auto"/>
        <w:ind w:left="8582" w:right="0" w:firstLine="0"/>
        <w:jc w:val="left"/>
      </w:pPr>
      <w:r>
        <w:rPr>
          <w:color w:val="000000"/>
          <w:spacing w:val="0"/>
          <w:w w:val="100"/>
          <w:position w:val="0"/>
        </w:rPr>
        <w:t>单位：元</w:t>
      </w:r>
    </w:p>
    <w:tbl>
      <w:tblPr>
        <w:tblOverlap w:val="never"/>
        <w:jc w:val="center"/>
        <w:tblLayout w:type="fixed"/>
      </w:tblPr>
      <w:tblGrid>
        <w:gridCol w:w="3091"/>
        <w:gridCol w:w="2160"/>
        <w:gridCol w:w="2160"/>
        <w:gridCol w:w="2170"/>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 xml:space="preserve">2020 </w:t>
            </w:r>
            <w:r>
              <w:rPr>
                <w:b/>
                <w:bCs/>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 xml:space="preserve">2019 </w:t>
            </w:r>
            <w:r>
              <w:rPr>
                <w:b/>
                <w:bCs/>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b/>
                <w:bCs/>
                <w:color w:val="000000"/>
                <w:spacing w:val="0"/>
                <w:w w:val="100"/>
                <w:position w:val="0"/>
              </w:rPr>
              <w:t>同比增减（</w:t>
            </w:r>
            <w:r>
              <w:rPr>
                <w:rFonts w:ascii="Times New Roman" w:eastAsia="Times New Roman" w:hAnsi="Times New Roman" w:cs="Times New Roman"/>
                <w:b/>
                <w:bCs/>
                <w:color w:val="000000"/>
                <w:spacing w:val="0"/>
                <w:w w:val="100"/>
                <w:position w:val="0"/>
              </w:rPr>
              <w:t>%</w:t>
            </w:r>
            <w:r>
              <w:rPr>
                <w:b/>
                <w:bCs/>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11,773,220,952.83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9,439,853,283.14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both"/>
            </w:pPr>
            <w:r>
              <w:rPr>
                <w:rFonts w:ascii="Times New Roman" w:eastAsia="Times New Roman" w:hAnsi="Times New Roman" w:cs="Times New Roman"/>
                <w:color w:val="000000"/>
                <w:spacing w:val="0"/>
                <w:w w:val="100"/>
                <w:position w:val="0"/>
              </w:rPr>
              <w:t>24.72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7,482,838,465.16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7,018,054,785.77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4,290,382,487.67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2,421,798,497.37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both"/>
            </w:pPr>
            <w:r>
              <w:rPr>
                <w:rFonts w:ascii="Times New Roman" w:eastAsia="Times New Roman" w:hAnsi="Times New Roman" w:cs="Times New Roman"/>
                <w:color w:val="000000"/>
                <w:spacing w:val="0"/>
                <w:w w:val="100"/>
                <w:position w:val="0"/>
              </w:rPr>
              <w:t>77.16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203,060,957.59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2,238,868,986.23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-90.93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274,235,092.97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1,020,019,253.31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-73.11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-71,174,135.38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1,218,849,732.92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-105.84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4,030,660,000.00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5,367,724,596.00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-24.91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5,064,852,699.29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7,073,045,361.22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-28.39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-1,034,192,699.29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-1,705,320,765.22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both"/>
            </w:pPr>
            <w:r>
              <w:rPr>
                <w:rFonts w:ascii="Times New Roman" w:eastAsia="Times New Roman" w:hAnsi="Times New Roman" w:cs="Times New Roman"/>
                <w:color w:val="000000"/>
                <w:spacing w:val="0"/>
                <w:w w:val="100"/>
                <w:position w:val="0"/>
              </w:rPr>
              <w:t>39.35</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3,182,603,939.23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1,935,680,301.33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both"/>
            </w:pPr>
            <w:r>
              <w:rPr>
                <w:rFonts w:ascii="Times New Roman" w:eastAsia="Times New Roman" w:hAnsi="Times New Roman" w:cs="Times New Roman"/>
                <w:color w:val="000000"/>
                <w:spacing w:val="0"/>
                <w:w w:val="100"/>
                <w:position w:val="0"/>
              </w:rPr>
              <w:t>64.42</w:t>
            </w:r>
          </w:p>
        </w:tc>
      </w:tr>
    </w:tbl>
    <w:p>
      <w:pPr>
        <w:pStyle w:val="Style40"/>
        <w:keepNext w:val="0"/>
        <w:keepLines w:val="0"/>
        <w:widowControl w:val="0"/>
        <w:shd w:val="clear" w:color="auto" w:fill="auto"/>
        <w:tabs>
          <w:tab w:pos="7978" w:val="left"/>
        </w:tabs>
        <w:bidi w:val="0"/>
        <w:spacing w:before="0" w:after="0" w:line="240" w:lineRule="auto"/>
        <w:ind w:left="0" w:right="0" w:firstLine="0"/>
        <w:jc w:val="center"/>
      </w:pPr>
      <w:r>
        <w:rPr>
          <w:color w:val="000000"/>
          <w:spacing w:val="0"/>
          <w:w w:val="100"/>
          <w:position w:val="0"/>
        </w:rPr>
        <w:t>相关数据同比发生重大变动的主要影响因素说明</w:t>
        <w:tab/>
      </w: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6"/>
        <w:keepNext w:val="0"/>
        <w:keepLines w:val="0"/>
        <w:widowControl w:val="0"/>
        <w:shd w:val="clear" w:color="auto" w:fill="auto"/>
        <w:bidi w:val="0"/>
        <w:spacing w:before="0" w:after="0" w:line="322" w:lineRule="exact"/>
        <w:ind w:left="0" w:right="0" w:firstLine="440"/>
        <w:jc w:val="both"/>
      </w:pPr>
      <w:bookmarkStart w:id="161" w:name="bookmark161"/>
      <w:r>
        <w:rPr>
          <w:color w:val="000000"/>
          <w:spacing w:val="0"/>
          <w:w w:val="100"/>
          <w:position w:val="0"/>
        </w:rPr>
        <w:t>（</w:t>
      </w:r>
      <w:bookmarkEnd w:id="161"/>
      <w:r>
        <w:rPr>
          <w:rFonts w:ascii="Times New Roman" w:eastAsia="Times New Roman" w:hAnsi="Times New Roman" w:cs="Times New Roman"/>
          <w:color w:val="000000"/>
          <w:spacing w:val="0"/>
          <w:w w:val="100"/>
          <w:position w:val="0"/>
        </w:rPr>
        <w:t>1</w:t>
      </w:r>
      <w:r>
        <w:rPr>
          <w:color w:val="000000"/>
          <w:spacing w:val="0"/>
          <w:w w:val="100"/>
          <w:position w:val="0"/>
        </w:rPr>
        <w:t>）本期经营活动产生的现金流量净额较上年同期增长</w:t>
      </w:r>
      <w:r>
        <w:rPr>
          <w:rFonts w:ascii="Times New Roman" w:eastAsia="Times New Roman" w:hAnsi="Times New Roman" w:cs="Times New Roman"/>
          <w:color w:val="000000"/>
          <w:spacing w:val="0"/>
          <w:w w:val="100"/>
          <w:position w:val="0"/>
        </w:rPr>
        <w:t>24.72%</w:t>
      </w:r>
      <w:r>
        <w:rPr>
          <w:color w:val="000000"/>
          <w:spacing w:val="0"/>
          <w:w w:val="100"/>
          <w:position w:val="0"/>
        </w:rPr>
        <w:t xml:space="preserve">，主要由于本期证券业务利息、手续 费及佣金收入现金净流入增加；证券自营业务及信用业务规模减少回流现金；债券正回购业务规模减少现 </w:t>
      </w:r>
      <w:r>
        <w:rPr>
          <w:color w:val="000000"/>
          <w:spacing w:val="0"/>
          <w:w w:val="100"/>
          <w:position w:val="0"/>
        </w:rPr>
        <w:t>金流出。</w:t>
      </w:r>
    </w:p>
    <w:p>
      <w:pPr>
        <w:pStyle w:val="Style16"/>
        <w:keepNext w:val="0"/>
        <w:keepLines w:val="0"/>
        <w:widowControl w:val="0"/>
        <w:shd w:val="clear" w:color="auto" w:fill="auto"/>
        <w:tabs>
          <w:tab w:pos="1001" w:val="left"/>
        </w:tabs>
        <w:bidi w:val="0"/>
        <w:spacing w:before="0" w:after="0" w:line="334" w:lineRule="exact"/>
        <w:ind w:left="0" w:right="0" w:firstLine="440"/>
        <w:jc w:val="both"/>
      </w:pPr>
      <w:bookmarkStart w:id="162" w:name="bookmark162"/>
      <w:r>
        <w:rPr>
          <w:color w:val="000000"/>
          <w:spacing w:val="0"/>
          <w:w w:val="100"/>
          <w:position w:val="0"/>
        </w:rPr>
        <w:t>（</w:t>
      </w:r>
      <w:bookmarkEnd w:id="162"/>
      <w:r>
        <w:rPr>
          <w:rFonts w:ascii="Times New Roman" w:eastAsia="Times New Roman" w:hAnsi="Times New Roman" w:cs="Times New Roman"/>
          <w:color w:val="000000"/>
          <w:spacing w:val="0"/>
          <w:w w:val="100"/>
          <w:position w:val="0"/>
        </w:rPr>
        <w:t>2</w:t>
      </w:r>
      <w:r>
        <w:rPr>
          <w:color w:val="000000"/>
          <w:spacing w:val="0"/>
          <w:w w:val="100"/>
          <w:position w:val="0"/>
        </w:rPr>
        <w:t>）</w:t>
        <w:tab/>
        <w:t>本期投资活动产生的现金流量净额较上年同期减少</w:t>
      </w:r>
      <w:r>
        <w:rPr>
          <w:rFonts w:ascii="Times New Roman" w:eastAsia="Times New Roman" w:hAnsi="Times New Roman" w:cs="Times New Roman"/>
          <w:color w:val="000000"/>
          <w:spacing w:val="0"/>
          <w:w w:val="100"/>
          <w:position w:val="0"/>
        </w:rPr>
        <w:t>105.84%</w:t>
      </w:r>
      <w:r>
        <w:rPr>
          <w:color w:val="000000"/>
          <w:spacing w:val="0"/>
          <w:w w:val="100"/>
          <w:position w:val="0"/>
        </w:rPr>
        <w:t>,主要由于本期购建长期资产现金流 出，上期收回单一资金信托计划现金净流入。</w:t>
      </w:r>
    </w:p>
    <w:p>
      <w:pPr>
        <w:pStyle w:val="Style16"/>
        <w:keepNext w:val="0"/>
        <w:keepLines w:val="0"/>
        <w:widowControl w:val="0"/>
        <w:shd w:val="clear" w:color="auto" w:fill="auto"/>
        <w:tabs>
          <w:tab w:pos="1016" w:val="left"/>
        </w:tabs>
        <w:bidi w:val="0"/>
        <w:spacing w:before="0" w:after="0" w:line="334" w:lineRule="exact"/>
        <w:ind w:left="0" w:right="0" w:firstLine="440"/>
        <w:jc w:val="both"/>
      </w:pPr>
      <w:bookmarkStart w:id="163" w:name="bookmark163"/>
      <w:r>
        <w:rPr>
          <w:color w:val="000000"/>
          <w:spacing w:val="0"/>
          <w:w w:val="100"/>
          <w:position w:val="0"/>
        </w:rPr>
        <w:t>（</w:t>
      </w:r>
      <w:bookmarkEnd w:id="163"/>
      <w:r>
        <w:rPr>
          <w:rFonts w:ascii="Times New Roman" w:eastAsia="Times New Roman" w:hAnsi="Times New Roman" w:cs="Times New Roman"/>
          <w:color w:val="000000"/>
          <w:spacing w:val="0"/>
          <w:w w:val="100"/>
          <w:position w:val="0"/>
        </w:rPr>
        <w:t>3</w:t>
      </w:r>
      <w:r>
        <w:rPr>
          <w:color w:val="000000"/>
          <w:spacing w:val="0"/>
          <w:w w:val="100"/>
          <w:position w:val="0"/>
        </w:rPr>
        <w:t>）</w:t>
        <w:tab/>
        <w:t>本期筹资活动产生的现金流量净额较上年同期增长</w:t>
      </w:r>
      <w:r>
        <w:rPr>
          <w:rFonts w:ascii="Times New Roman" w:eastAsia="Times New Roman" w:hAnsi="Times New Roman" w:cs="Times New Roman"/>
          <w:color w:val="000000"/>
          <w:spacing w:val="0"/>
          <w:w w:val="100"/>
          <w:position w:val="0"/>
        </w:rPr>
        <w:t>39.35%</w:t>
      </w:r>
      <w:r>
        <w:rPr>
          <w:color w:val="000000"/>
          <w:spacing w:val="0"/>
          <w:w w:val="100"/>
          <w:position w:val="0"/>
        </w:rPr>
        <w:t>，主要由于本期发行收益凭证规模、 兑付债务工具本息均较上年同期减少。</w:t>
      </w:r>
    </w:p>
    <w:p>
      <w:pPr>
        <w:pStyle w:val="Style16"/>
        <w:keepNext w:val="0"/>
        <w:keepLines w:val="0"/>
        <w:widowControl w:val="0"/>
        <w:shd w:val="clear" w:color="auto" w:fill="auto"/>
        <w:tabs>
          <w:tab w:pos="7752" w:val="left"/>
        </w:tabs>
        <w:bidi w:val="0"/>
        <w:spacing w:before="0" w:after="0" w:line="334" w:lineRule="exact"/>
        <w:ind w:left="0" w:right="0" w:firstLine="0"/>
        <w:jc w:val="both"/>
      </w:pPr>
      <w:r>
        <w:rPr>
          <w:color w:val="000000"/>
          <w:spacing w:val="0"/>
          <w:w w:val="100"/>
          <w:position w:val="0"/>
        </w:rPr>
        <w:t>报告期公司经营活动产生的现金净流量与本年度净利润存在重大差异的原因说明</w:t>
        <w:tab/>
      </w: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6"/>
        <w:keepNext w:val="0"/>
        <w:keepLines w:val="0"/>
        <w:widowControl w:val="0"/>
        <w:shd w:val="clear" w:color="auto" w:fill="auto"/>
        <w:bidi w:val="0"/>
        <w:spacing w:before="0" w:after="380" w:line="314" w:lineRule="exact"/>
        <w:ind w:left="0" w:right="0" w:firstLine="440"/>
        <w:jc w:val="both"/>
      </w:pPr>
      <w:r>
        <w:rPr>
          <w:color w:val="000000"/>
          <w:spacing w:val="0"/>
          <w:w w:val="100"/>
          <w:position w:val="0"/>
        </w:rPr>
        <w:t>报告期公司经营活动产生的现金净流量与本年度净利润金额存在差异主要由于证券公司代理买卖证 券款增加净流入现金</w:t>
      </w:r>
      <w:r>
        <w:rPr>
          <w:rFonts w:ascii="Times New Roman" w:eastAsia="Times New Roman" w:hAnsi="Times New Roman" w:cs="Times New Roman"/>
          <w:color w:val="000000"/>
          <w:spacing w:val="0"/>
          <w:w w:val="100"/>
          <w:position w:val="0"/>
        </w:rPr>
        <w:t>26.09</w:t>
      </w:r>
      <w:r>
        <w:rPr>
          <w:color w:val="000000"/>
          <w:spacing w:val="0"/>
          <w:w w:val="100"/>
          <w:position w:val="0"/>
        </w:rPr>
        <w:t>亿元及信用业务规模减少净流入现金</w:t>
      </w:r>
      <w:r>
        <w:rPr>
          <w:rFonts w:ascii="Times New Roman" w:eastAsia="Times New Roman" w:hAnsi="Times New Roman" w:cs="Times New Roman"/>
          <w:color w:val="000000"/>
          <w:spacing w:val="0"/>
          <w:w w:val="100"/>
          <w:position w:val="0"/>
        </w:rPr>
        <w:t>21.25</w:t>
      </w:r>
      <w:r>
        <w:rPr>
          <w:color w:val="000000"/>
          <w:spacing w:val="0"/>
          <w:w w:val="100"/>
          <w:position w:val="0"/>
        </w:rPr>
        <w:t>亿元。剔除上述影响，报告期公司经 营活动产生的现金净流量与本年度净利润金额不存在重大差异。</w:t>
      </w:r>
    </w:p>
    <w:p>
      <w:pPr>
        <w:pStyle w:val="Style16"/>
        <w:keepNext w:val="0"/>
        <w:keepLines w:val="0"/>
        <w:widowControl w:val="0"/>
        <w:shd w:val="clear" w:color="auto" w:fill="auto"/>
        <w:bidi w:val="0"/>
        <w:spacing w:before="0" w:after="940" w:line="240" w:lineRule="auto"/>
        <w:ind w:left="0" w:right="0" w:firstLine="0"/>
        <w:jc w:val="right"/>
      </w:pPr>
      <w:r>
        <mc:AlternateContent>
          <mc:Choice Requires="wps">
            <w:drawing>
              <wp:anchor distT="0" distB="0" distL="114300" distR="114300" simplePos="0" relativeHeight="125829384" behindDoc="0" locked="0" layoutInCell="1" allowOverlap="1">
                <wp:simplePos x="0" y="0"/>
                <wp:positionH relativeFrom="page">
                  <wp:posOffset>980440</wp:posOffset>
                </wp:positionH>
                <wp:positionV relativeFrom="paragraph">
                  <wp:posOffset>12700</wp:posOffset>
                </wp:positionV>
                <wp:extent cx="1094105" cy="186055"/>
                <wp:wrapSquare wrapText="right"/>
                <wp:docPr id="19" name="Shape 19"/>
                <a:graphic xmlns:a="http://schemas.openxmlformats.org/drawingml/2006/main">
                  <a:graphicData uri="http://schemas.microsoft.com/office/word/2010/wordprocessingShape">
                    <wps:wsp>
                      <wps:cNvSpPr txBox="1"/>
                      <wps:spPr>
                        <a:xfrm>
                          <a:ext cx="1094105" cy="18605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24"/>
                                <w:szCs w:val="24"/>
                              </w:rPr>
                            </w:pPr>
                            <w:bookmarkStart w:id="124" w:name="bookmark124"/>
                            <w:r>
                              <w:rPr>
                                <w:b/>
                                <w:bCs/>
                                <w:color w:val="000000"/>
                                <w:spacing w:val="0"/>
                                <w:w w:val="100"/>
                                <w:position w:val="0"/>
                                <w:sz w:val="24"/>
                                <w:szCs w:val="24"/>
                              </w:rPr>
                              <w:t>非主营业务分析</w:t>
                            </w:r>
                            <w:bookmarkEnd w:id="124"/>
                          </w:p>
                        </w:txbxContent>
                      </wps:txbx>
                      <wps:bodyPr wrap="none" lIns="0" tIns="0" rIns="0" bIns="0">
                        <a:noAutoFit/>
                      </wps:bodyPr>
                    </wps:wsp>
                  </a:graphicData>
                </a:graphic>
              </wp:anchor>
            </w:drawing>
          </mc:Choice>
          <mc:Fallback>
            <w:pict>
              <v:shape id="_x0000_s1045" type="#_x0000_t202" style="position:absolute;margin-left:77.200000000000003pt;margin-top:1.pt;width:86.150000000000006pt;height:14.65pt;z-index:-125829369;mso-wrap-distance-left:9.pt;mso-wrap-distance-right: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24"/>
                          <w:szCs w:val="24"/>
                        </w:rPr>
                      </w:pPr>
                      <w:bookmarkStart w:id="124" w:name="bookmark124"/>
                      <w:r>
                        <w:rPr>
                          <w:b/>
                          <w:bCs/>
                          <w:color w:val="000000"/>
                          <w:spacing w:val="0"/>
                          <w:w w:val="100"/>
                          <w:position w:val="0"/>
                          <w:sz w:val="24"/>
                          <w:szCs w:val="24"/>
                        </w:rPr>
                        <w:t>非主营业务分析</w:t>
                      </w:r>
                      <w:bookmarkEnd w:id="124"/>
                    </w:p>
                  </w:txbxContent>
                </v:textbox>
                <w10:wrap type="square" side="right" anchorx="page"/>
              </v:shape>
            </w:pict>
          </mc:Fallback>
        </mc:AlternateContent>
      </w:r>
      <w:r>
        <w:rPr>
          <w:rFonts w:ascii="Times New Roman" w:eastAsia="Times New Roman" w:hAnsi="Times New Roman" w:cs="Times New Roman"/>
          <w:b/>
          <w:bCs/>
          <w:color w:val="000000"/>
          <w:spacing w:val="0"/>
          <w:w w:val="100"/>
          <w:position w:val="0"/>
        </w:rPr>
        <w:t>□</w:t>
      </w:r>
      <w:r>
        <w:rPr>
          <w:color w:val="000000"/>
          <w:spacing w:val="0"/>
          <w:w w:val="100"/>
          <w:position w:val="0"/>
        </w:rPr>
        <w:t>适用</w:t>
      </w:r>
      <w:r>
        <w:rPr>
          <w:rFonts w:ascii="Times New Roman" w:eastAsia="Times New Roman" w:hAnsi="Times New Roman" w:cs="Times New Roman"/>
          <w:b/>
          <w:bCs/>
          <w:color w:val="000000"/>
          <w:spacing w:val="0"/>
          <w:w w:val="100"/>
          <w:position w:val="0"/>
        </w:rPr>
        <w:t>7</w:t>
      </w:r>
      <w:r>
        <w:rPr>
          <w:color w:val="000000"/>
          <w:spacing w:val="0"/>
          <w:w w:val="100"/>
          <w:position w:val="0"/>
        </w:rPr>
        <w:t>不适用</w:t>
      </w:r>
    </w:p>
    <w:p>
      <w:pPr>
        <w:pStyle w:val="Style29"/>
        <w:keepNext/>
        <w:keepLines/>
        <w:widowControl w:val="0"/>
        <w:shd w:val="clear" w:color="auto" w:fill="auto"/>
        <w:bidi w:val="0"/>
        <w:spacing w:before="0" w:line="240" w:lineRule="auto"/>
        <w:ind w:left="0" w:right="0" w:firstLine="0"/>
        <w:jc w:val="both"/>
      </w:pPr>
      <w:bookmarkStart w:id="164" w:name="bookmark164"/>
      <w:bookmarkStart w:id="165" w:name="bookmark165"/>
      <w:bookmarkStart w:id="166" w:name="bookmark166"/>
      <w:bookmarkStart w:id="167" w:name="bookmark167"/>
      <w:r>
        <w:rPr>
          <w:color w:val="000000"/>
          <w:spacing w:val="0"/>
          <w:w w:val="100"/>
          <w:position w:val="0"/>
          <w:sz w:val="24"/>
          <w:szCs w:val="24"/>
        </w:rPr>
        <w:t>四</w:t>
      </w:r>
      <w:bookmarkEnd w:id="166"/>
      <w:r>
        <w:rPr>
          <w:color w:val="000000"/>
          <w:spacing w:val="0"/>
          <w:w w:val="100"/>
          <w:position w:val="0"/>
          <w:sz w:val="24"/>
          <w:szCs w:val="24"/>
        </w:rPr>
        <w:t>、资产及负债状况分析</w:t>
      </w:r>
      <w:bookmarkEnd w:id="164"/>
      <w:bookmarkEnd w:id="165"/>
      <w:bookmarkEnd w:id="167"/>
    </w:p>
    <w:p>
      <w:pPr>
        <w:pStyle w:val="Style16"/>
        <w:keepNext w:val="0"/>
        <w:keepLines w:val="0"/>
        <w:widowControl w:val="0"/>
        <w:shd w:val="clear" w:color="auto" w:fill="auto"/>
        <w:bidi w:val="0"/>
        <w:spacing w:before="0" w:after="300" w:line="313" w:lineRule="exact"/>
        <w:ind w:left="0" w:right="0" w:firstLine="440"/>
        <w:jc w:val="both"/>
      </w:pPr>
      <w:r>
        <w:rPr>
          <w:color w:val="000000"/>
          <w:spacing w:val="0"/>
          <w:w w:val="100"/>
          <w:position w:val="0"/>
        </w:rPr>
        <w:t>报告期末，公司资产总额</w:t>
      </w:r>
      <w:r>
        <w:rPr>
          <w:rFonts w:ascii="Times New Roman" w:eastAsia="Times New Roman" w:hAnsi="Times New Roman" w:cs="Times New Roman"/>
          <w:color w:val="000000"/>
          <w:spacing w:val="0"/>
          <w:w w:val="100"/>
          <w:position w:val="0"/>
        </w:rPr>
        <w:t>313.19</w:t>
      </w:r>
      <w:r>
        <w:rPr>
          <w:color w:val="000000"/>
          <w:spacing w:val="0"/>
          <w:w w:val="100"/>
          <w:position w:val="0"/>
        </w:rPr>
        <w:t>亿元，较上年减少</w:t>
      </w:r>
      <w:r>
        <w:rPr>
          <w:rFonts w:ascii="Times New Roman" w:eastAsia="Times New Roman" w:hAnsi="Times New Roman" w:cs="Times New Roman"/>
          <w:color w:val="000000"/>
          <w:spacing w:val="0"/>
          <w:w w:val="100"/>
          <w:position w:val="0"/>
        </w:rPr>
        <w:t>7.55%</w:t>
      </w:r>
      <w:r>
        <w:rPr>
          <w:color w:val="000000"/>
          <w:spacing w:val="0"/>
          <w:w w:val="100"/>
          <w:position w:val="0"/>
        </w:rPr>
        <w:t>，扣除代理买卖证券款后资产总额为</w:t>
      </w:r>
      <w:r>
        <w:rPr>
          <w:rFonts w:ascii="Times New Roman" w:eastAsia="Times New Roman" w:hAnsi="Times New Roman" w:cs="Times New Roman"/>
          <w:color w:val="000000"/>
          <w:spacing w:val="0"/>
          <w:w w:val="100"/>
          <w:position w:val="0"/>
        </w:rPr>
        <w:t xml:space="preserve">219.15 </w:t>
      </w:r>
      <w:r>
        <w:rPr>
          <w:color w:val="000000"/>
          <w:spacing w:val="0"/>
          <w:w w:val="100"/>
          <w:position w:val="0"/>
        </w:rPr>
        <w:t>亿元，较上年减少</w:t>
      </w:r>
      <w:r>
        <w:rPr>
          <w:rFonts w:ascii="Times New Roman" w:eastAsia="Times New Roman" w:hAnsi="Times New Roman" w:cs="Times New Roman"/>
          <w:color w:val="000000"/>
          <w:spacing w:val="0"/>
          <w:w w:val="100"/>
          <w:position w:val="0"/>
        </w:rPr>
        <w:t>19.09%</w:t>
      </w:r>
      <w:r>
        <w:rPr>
          <w:color w:val="000000"/>
          <w:spacing w:val="0"/>
          <w:w w:val="100"/>
          <w:position w:val="0"/>
        </w:rPr>
        <w:t>。占比较大的资产包括货币资金及结算备付金、交易性金融资产、融出资金等, 均具有较强的变现能力。报告期末，公司负债总额</w:t>
      </w:r>
      <w:r>
        <w:rPr>
          <w:rFonts w:ascii="Times New Roman" w:eastAsia="Times New Roman" w:hAnsi="Times New Roman" w:cs="Times New Roman"/>
          <w:color w:val="000000"/>
          <w:spacing w:val="0"/>
          <w:w w:val="100"/>
          <w:position w:val="0"/>
        </w:rPr>
        <w:t>200.22</w:t>
      </w:r>
      <w:r>
        <w:rPr>
          <w:color w:val="000000"/>
          <w:spacing w:val="0"/>
          <w:w w:val="100"/>
          <w:position w:val="0"/>
        </w:rPr>
        <w:t>亿元，较上年减少</w:t>
      </w:r>
      <w:r>
        <w:rPr>
          <w:rFonts w:ascii="Times New Roman" w:eastAsia="Times New Roman" w:hAnsi="Times New Roman" w:cs="Times New Roman"/>
          <w:color w:val="000000"/>
          <w:spacing w:val="0"/>
          <w:w w:val="100"/>
          <w:position w:val="0"/>
        </w:rPr>
        <w:t>9.61%</w:t>
      </w:r>
      <w:r>
        <w:rPr>
          <w:color w:val="000000"/>
          <w:spacing w:val="0"/>
          <w:w w:val="100"/>
          <w:position w:val="0"/>
        </w:rPr>
        <w:t>，扣除代理买卖证券款 后负债总额为</w:t>
      </w:r>
      <w:r>
        <w:rPr>
          <w:rFonts w:ascii="Times New Roman" w:eastAsia="Times New Roman" w:hAnsi="Times New Roman" w:cs="Times New Roman"/>
          <w:color w:val="000000"/>
          <w:spacing w:val="0"/>
          <w:w w:val="100"/>
          <w:position w:val="0"/>
        </w:rPr>
        <w:t>106.18</w:t>
      </w:r>
      <w:r>
        <w:rPr>
          <w:color w:val="000000"/>
          <w:spacing w:val="0"/>
          <w:w w:val="100"/>
          <w:position w:val="0"/>
        </w:rPr>
        <w:t>亿元，较上年减少</w:t>
      </w:r>
      <w:r>
        <w:rPr>
          <w:rFonts w:ascii="Times New Roman" w:eastAsia="Times New Roman" w:hAnsi="Times New Roman" w:cs="Times New Roman"/>
          <w:color w:val="000000"/>
          <w:spacing w:val="0"/>
          <w:w w:val="100"/>
          <w:position w:val="0"/>
        </w:rPr>
        <w:t>30.87%</w:t>
      </w:r>
      <w:r>
        <w:rPr>
          <w:color w:val="000000"/>
          <w:spacing w:val="0"/>
          <w:w w:val="100"/>
          <w:position w:val="0"/>
        </w:rPr>
        <w:t>。负债构成中，剔除代理买卖证券款后，金额占比较大的 负债包括一年内到期的非流动负债、卖出回购金融资产款、拆入资金等。公司资产负债率</w:t>
      </w:r>
      <w:r>
        <w:rPr>
          <w:rFonts w:ascii="Times New Roman" w:eastAsia="Times New Roman" w:hAnsi="Times New Roman" w:cs="Times New Roman"/>
          <w:color w:val="000000"/>
          <w:spacing w:val="0"/>
          <w:w w:val="100"/>
          <w:position w:val="0"/>
        </w:rPr>
        <w:t>63.93%</w:t>
      </w:r>
      <w:r>
        <w:rPr>
          <w:color w:val="000000"/>
          <w:spacing w:val="0"/>
          <w:w w:val="100"/>
          <w:position w:val="0"/>
        </w:rPr>
        <w:t>，较上年 下降</w:t>
      </w:r>
      <w:r>
        <w:rPr>
          <w:rFonts w:ascii="Times New Roman" w:eastAsia="Times New Roman" w:hAnsi="Times New Roman" w:cs="Times New Roman"/>
          <w:color w:val="000000"/>
          <w:spacing w:val="0"/>
          <w:w w:val="100"/>
          <w:position w:val="0"/>
        </w:rPr>
        <w:t>1.46%</w:t>
      </w:r>
      <w:r>
        <w:rPr>
          <w:color w:val="000000"/>
          <w:spacing w:val="0"/>
          <w:w w:val="100"/>
          <w:position w:val="0"/>
        </w:rPr>
        <w:t>,财务结构稳健。</w:t>
      </w:r>
    </w:p>
    <w:p>
      <w:pPr>
        <w:pStyle w:val="Style37"/>
        <w:keepNext/>
        <w:keepLines/>
        <w:widowControl w:val="0"/>
        <w:shd w:val="clear" w:color="auto" w:fill="auto"/>
        <w:bidi w:val="0"/>
        <w:spacing w:before="0" w:after="220" w:line="313" w:lineRule="exact"/>
        <w:ind w:left="0" w:right="0" w:firstLine="0"/>
        <w:jc w:val="both"/>
      </w:pPr>
      <w:bookmarkStart w:id="168" w:name="bookmark168"/>
      <w:bookmarkStart w:id="169" w:name="bookmark169"/>
      <w:bookmarkStart w:id="170" w:name="bookmark170"/>
      <w:bookmarkStart w:id="171" w:name="bookmark171"/>
      <w:r>
        <w:rPr>
          <w:rFonts w:ascii="Times New Roman" w:eastAsia="Times New Roman" w:hAnsi="Times New Roman" w:cs="Times New Roman"/>
          <w:color w:val="000000"/>
          <w:spacing w:val="0"/>
          <w:w w:val="100"/>
          <w:position w:val="0"/>
        </w:rPr>
        <w:t>1</w:t>
      </w:r>
      <w:bookmarkEnd w:id="170"/>
      <w:r>
        <w:rPr>
          <w:color w:val="000000"/>
          <w:spacing w:val="0"/>
          <w:w w:val="100"/>
          <w:position w:val="0"/>
        </w:rPr>
        <w:t>、资产及负债构成重大变动情况</w:t>
      </w:r>
      <w:bookmarkEnd w:id="168"/>
      <w:bookmarkEnd w:id="169"/>
      <w:bookmarkEnd w:id="171"/>
    </w:p>
    <w:p>
      <w:pPr>
        <w:pStyle w:val="Style40"/>
        <w:keepNext w:val="0"/>
        <w:keepLines w:val="0"/>
        <w:widowControl w:val="0"/>
        <w:shd w:val="clear" w:color="auto" w:fill="auto"/>
        <w:bidi w:val="0"/>
        <w:spacing w:before="0" w:after="0" w:line="365" w:lineRule="exact"/>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年起首次执行新收入准则或新租赁准则且调整执行当年年初财务报表相关项目 </w:t>
      </w: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675"/>
        <w:gridCol w:w="1560"/>
        <w:gridCol w:w="989"/>
        <w:gridCol w:w="1560"/>
        <w:gridCol w:w="994"/>
        <w:gridCol w:w="706"/>
        <w:gridCol w:w="2102"/>
      </w:tblGrid>
      <w:tr>
        <w:trPr>
          <w:trHeight w:val="40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2020</w:t>
            </w:r>
            <w:r>
              <w:rPr>
                <w:b/>
                <w:bCs/>
                <w:color w:val="000000"/>
                <w:spacing w:val="0"/>
                <w:w w:val="100"/>
                <w:position w:val="0"/>
              </w:rPr>
              <w:t>年末</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2020</w:t>
            </w:r>
            <w:r>
              <w:rPr>
                <w:b/>
                <w:bCs/>
                <w:color w:val="000000"/>
                <w:spacing w:val="0"/>
                <w:w w:val="100"/>
                <w:position w:val="0"/>
              </w:rPr>
              <w:t>年初</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center"/>
            </w:pPr>
            <w:r>
              <w:rPr>
                <w:b/>
                <w:bCs/>
                <w:color w:val="000000"/>
                <w:spacing w:val="0"/>
                <w:w w:val="100"/>
                <w:position w:val="0"/>
              </w:rPr>
              <w:t>比重 增减 （</w:t>
            </w:r>
            <w:r>
              <w:rPr>
                <w:rFonts w:ascii="Times New Roman" w:eastAsia="Times New Roman" w:hAnsi="Times New Roman" w:cs="Times New Roman"/>
                <w:b/>
                <w:bCs/>
                <w:color w:val="000000"/>
                <w:spacing w:val="0"/>
                <w:w w:val="100"/>
                <w:position w:val="0"/>
              </w:rPr>
              <w:t>%</w:t>
            </w:r>
            <w:r>
              <w:rPr>
                <w:b/>
                <w:bCs/>
                <w:color w:val="000000"/>
                <w:spacing w:val="0"/>
                <w:w w:val="100"/>
                <w:position w:val="0"/>
              </w:rPr>
              <w:t>）</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重大变动说明</w:t>
            </w:r>
          </w:p>
        </w:tc>
      </w:tr>
      <w:tr>
        <w:trPr>
          <w:trHeight w:val="71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b/>
                <w:bCs/>
                <w:color w:val="000000"/>
                <w:spacing w:val="0"/>
                <w:w w:val="100"/>
                <w:position w:val="0"/>
              </w:rPr>
              <w:t>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b/>
                <w:bCs/>
                <w:color w:val="000000"/>
                <w:spacing w:val="0"/>
                <w:w w:val="100"/>
                <w:position w:val="0"/>
              </w:rPr>
              <w:t>占总资产 比例（</w:t>
            </w:r>
            <w:r>
              <w:rPr>
                <w:rFonts w:ascii="Times New Roman" w:eastAsia="Times New Roman" w:hAnsi="Times New Roman" w:cs="Times New Roman"/>
                <w:b/>
                <w:bCs/>
                <w:color w:val="000000"/>
                <w:spacing w:val="0"/>
                <w:w w:val="100"/>
                <w:position w:val="0"/>
              </w:rPr>
              <w:t>%</w:t>
            </w:r>
            <w:r>
              <w:rPr>
                <w:b/>
                <w:bCs/>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b/>
                <w:bCs/>
                <w:color w:val="000000"/>
                <w:spacing w:val="0"/>
                <w:w w:val="100"/>
                <w:position w:val="0"/>
              </w:rPr>
              <w:t>占总资产 比例（</w:t>
            </w:r>
            <w:r>
              <w:rPr>
                <w:rFonts w:ascii="Times New Roman" w:eastAsia="Times New Roman" w:hAnsi="Times New Roman" w:cs="Times New Roman"/>
                <w:b/>
                <w:bCs/>
                <w:color w:val="000000"/>
                <w:spacing w:val="0"/>
                <w:w w:val="100"/>
                <w:position w:val="0"/>
              </w:rPr>
              <w:t>%</w:t>
            </w:r>
            <w:r>
              <w:rPr>
                <w:b/>
                <w:bCs/>
                <w:color w:val="000000"/>
                <w:spacing w:val="0"/>
                <w:w w:val="100"/>
                <w:position w:val="0"/>
              </w:rPr>
              <w:t>）</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6,740,139.29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7,558,561.99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61,026.56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1148" w:right="995" w:bottom="1479" w:left="1035" w:header="0" w:footer="3" w:gutter="0"/>
          <w:cols w:space="720"/>
          <w:noEndnote/>
          <w:rtlGutter w:val="0"/>
          <w:docGrid w:linePitch="360"/>
        </w:sectPr>
      </w:pPr>
    </w:p>
    <w:p>
      <w:pPr>
        <w:pStyle w:val="Style16"/>
        <w:keepNext w:val="0"/>
        <w:keepLines w:val="0"/>
        <w:widowControl w:val="0"/>
        <w:shd w:val="clear" w:color="auto" w:fill="auto"/>
        <w:bidi w:val="0"/>
        <w:spacing w:before="0" w:after="100" w:line="240" w:lineRule="auto"/>
        <w:ind w:left="0" w:right="240" w:firstLine="0"/>
        <w:jc w:val="right"/>
      </w:pPr>
      <w:r>
        <mc:AlternateContent>
          <mc:Choice Requires="wps">
            <w:drawing>
              <wp:anchor distT="0" distB="0" distL="114300" distR="114300" simplePos="0" relativeHeight="125829386" behindDoc="0" locked="0" layoutInCell="1" allowOverlap="1">
                <wp:simplePos x="0" y="0"/>
                <wp:positionH relativeFrom="page">
                  <wp:posOffset>899795</wp:posOffset>
                </wp:positionH>
                <wp:positionV relativeFrom="paragraph">
                  <wp:posOffset>12700</wp:posOffset>
                </wp:positionV>
                <wp:extent cx="1938655" cy="173990"/>
                <wp:wrapSquare wrapText="bothSides"/>
                <wp:docPr id="21" name="Shape 21"/>
                <a:graphic xmlns:a="http://schemas.openxmlformats.org/drawingml/2006/main">
                  <a:graphicData uri="http://schemas.microsoft.com/office/word/2010/wordprocessingShape">
                    <wps:wsp>
                      <wps:cNvSpPr txBox="1"/>
                      <wps:spPr>
                        <a:xfrm>
                          <a:ext cx="1938655" cy="17399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pPr>
                            <w:bookmarkStart w:id="172" w:name="bookmark172"/>
                            <w:r>
                              <w:rPr>
                                <w:rFonts w:ascii="Times New Roman" w:eastAsia="Times New Roman" w:hAnsi="Times New Roman" w:cs="Times New Roman"/>
                                <w:b/>
                                <w:bCs/>
                                <w:color w:val="000000"/>
                                <w:spacing w:val="0"/>
                                <w:w w:val="100"/>
                                <w:position w:val="0"/>
                              </w:rPr>
                              <w:t>2</w:t>
                            </w:r>
                            <w:r>
                              <w:rPr>
                                <w:b/>
                                <w:bCs/>
                                <w:color w:val="000000"/>
                                <w:spacing w:val="0"/>
                                <w:w w:val="100"/>
                                <w:position w:val="0"/>
                              </w:rPr>
                              <w:t>、以公允价值计量的资产和负债</w:t>
                            </w:r>
                            <w:bookmarkEnd w:id="172"/>
                          </w:p>
                        </w:txbxContent>
                      </wps:txbx>
                      <wps:bodyPr wrap="none" lIns="0" tIns="0" rIns="0" bIns="0">
                        <a:noAutoFit/>
                      </wps:bodyPr>
                    </wps:wsp>
                  </a:graphicData>
                </a:graphic>
              </wp:anchor>
            </w:drawing>
          </mc:Choice>
          <mc:Fallback>
            <w:pict>
              <v:shape id="_x0000_s1047" type="#_x0000_t202" style="position:absolute;margin-left:70.850000000000009pt;margin-top:1.pt;width:152.65000000000001pt;height:13.700000000000001pt;z-index:-125829367;mso-wrap-distance-left:9.pt;mso-wrap-distance-right:9.pt;mso-position-horizontal-relative:page" filled="f" stroked="f">
                <v:textbox inset="0,0,0,0">
                  <w:txbxContent>
                    <w:p>
                      <w:pPr>
                        <w:pStyle w:val="Style16"/>
                        <w:keepNext w:val="0"/>
                        <w:keepLines w:val="0"/>
                        <w:widowControl w:val="0"/>
                        <w:shd w:val="clear" w:color="auto" w:fill="auto"/>
                        <w:bidi w:val="0"/>
                        <w:spacing w:before="0" w:after="0" w:line="240" w:lineRule="auto"/>
                        <w:ind w:left="0" w:right="0" w:firstLine="0"/>
                        <w:jc w:val="left"/>
                      </w:pPr>
                      <w:bookmarkStart w:id="172" w:name="bookmark172"/>
                      <w:r>
                        <w:rPr>
                          <w:rFonts w:ascii="Times New Roman" w:eastAsia="Times New Roman" w:hAnsi="Times New Roman" w:cs="Times New Roman"/>
                          <w:b/>
                          <w:bCs/>
                          <w:color w:val="000000"/>
                          <w:spacing w:val="0"/>
                          <w:w w:val="100"/>
                          <w:position w:val="0"/>
                        </w:rPr>
                        <w:t>2</w:t>
                      </w:r>
                      <w:r>
                        <w:rPr>
                          <w:b/>
                          <w:bCs/>
                          <w:color w:val="000000"/>
                          <w:spacing w:val="0"/>
                          <w:w w:val="100"/>
                          <w:position w:val="0"/>
                        </w:rPr>
                        <w:t>、以公允价值计量的资产和负债</w:t>
                      </w:r>
                      <w:bookmarkEnd w:id="172"/>
                    </w:p>
                  </w:txbxContent>
                </v:textbox>
                <w10:wrap type="square" anchorx="page"/>
              </v:shape>
            </w:pict>
          </mc:Fallback>
        </mc:AlternateContent>
      </w:r>
      <w:r>
        <w:rPr>
          <w:i/>
          <w:iCs/>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 xml:space="preserve">不适用 </w:t>
      </w:r>
      <w:r>
        <w:rPr>
          <w:color w:val="000000"/>
          <w:spacing w:val="0"/>
          <w:w w:val="100"/>
          <w:position w:val="0"/>
        </w:rPr>
        <w:t>单位：元</w:t>
      </w:r>
    </w:p>
    <w:tbl>
      <w:tblPr>
        <w:tblOverlap w:val="never"/>
        <w:jc w:val="center"/>
        <w:tblLayout w:type="fixed"/>
      </w:tblPr>
      <w:tblGrid>
        <w:gridCol w:w="1963"/>
        <w:gridCol w:w="1426"/>
        <w:gridCol w:w="1282"/>
        <w:gridCol w:w="1426"/>
        <w:gridCol w:w="994"/>
        <w:gridCol w:w="1570"/>
        <w:gridCol w:w="1570"/>
        <w:gridCol w:w="1282"/>
        <w:gridCol w:w="1282"/>
        <w:gridCol w:w="1430"/>
      </w:tblGrid>
      <w:tr>
        <w:trPr>
          <w:trHeight w:val="7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期初数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b/>
                <w:bCs/>
                <w:color w:val="000000"/>
                <w:spacing w:val="0"/>
                <w:w w:val="100"/>
                <w:position w:val="0"/>
                <w:sz w:val="18"/>
                <w:szCs w:val="18"/>
              </w:rPr>
              <w:t>本期公允价值 变动损益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8"/>
                <w:szCs w:val="18"/>
              </w:rPr>
            </w:pPr>
            <w:r>
              <w:rPr>
                <w:b/>
                <w:bCs/>
                <w:color w:val="000000"/>
                <w:spacing w:val="0"/>
                <w:w w:val="100"/>
                <w:position w:val="0"/>
                <w:sz w:val="18"/>
                <w:szCs w:val="18"/>
              </w:rPr>
              <w:t>计入权益的累计</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公允价值变动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b/>
                <w:bCs/>
                <w:color w:val="000000"/>
                <w:spacing w:val="0"/>
                <w:w w:val="100"/>
                <w:position w:val="0"/>
                <w:sz w:val="18"/>
                <w:szCs w:val="18"/>
              </w:rPr>
              <w:t>本期计提的 减值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本期购买金额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本期出售金额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重分类调整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其他变动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期末数</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金融资产</w:t>
            </w:r>
          </w:p>
        </w:tc>
        <w:tc>
          <w:tcPr>
            <w:gridSpan w:val="9"/>
            <w:tcBorders>
              <w:top w:val="single" w:sz="4"/>
              <w:left w:val="single" w:sz="4"/>
              <w:right w:val="single" w:sz="4"/>
            </w:tcBorders>
            <w:shd w:val="clear" w:color="auto" w:fill="FFFFFF"/>
            <w:vAlign w:val="top"/>
          </w:tcPr>
          <w:p>
            <w:pPr>
              <w:widowControl w:val="0"/>
              <w:rPr>
                <w:sz w:val="10"/>
                <w:szCs w:val="10"/>
              </w:rPr>
            </w:pPr>
          </w:p>
        </w:tc>
      </w:tr>
      <w:tr>
        <w:trPr>
          <w:trHeight w:val="75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交易性金融资产</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（不含衍生金融资产）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10,150,540,636.33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-223,879,905.79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128,896,161,227.23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133,303,069,637.89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86,857,743.66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-347,967.82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5,606,262,095.72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其他债权投资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360,350,271.32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2,299,056.50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-247,601.32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1,022,223,549.93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501,309,741.66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884,288,400.00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100,000,000.00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其他非流动金融资产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368,244,351.66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-14,916,367.65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-86,857,743.66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-12,842,386.00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247,627,854.35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金融资产小计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10,979,135,259.31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-238,796,273.44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2,299,056.50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-247,601.32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129,920,384,777.16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133,812,379,379.55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-13,190,353.82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6,838,178,350.07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上述合计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10,979,135,259.31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-238,796,273.44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2,299,056.50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-247,601.32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129,920,384,777.16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133,812,379,379.55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-13,190,353.82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6,838,178,350.07</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金融负债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-979,648,491.75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-15,901,420.72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6,110,420,017.49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5,282,980,507.35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-168,110,402.33</w:t>
            </w:r>
          </w:p>
        </w:tc>
      </w:tr>
    </w:tbl>
    <w:p>
      <w:pPr>
        <w:widowControl w:val="0"/>
        <w:spacing w:after="439" w:line="1" w:lineRule="exact"/>
      </w:pPr>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其他变动的内容</w:t>
      </w:r>
    </w:p>
    <w:p>
      <w:pPr>
        <w:pStyle w:val="Style16"/>
        <w:keepNext w:val="0"/>
        <w:keepLines w:val="0"/>
        <w:widowControl w:val="0"/>
        <w:shd w:val="clear" w:color="auto" w:fill="auto"/>
        <w:bidi w:val="0"/>
        <w:spacing w:before="0" w:after="100" w:line="240" w:lineRule="auto"/>
        <w:ind w:left="0" w:right="0" w:firstLine="440"/>
        <w:jc w:val="left"/>
      </w:pPr>
      <w:r>
        <w:rPr>
          <w:color w:val="000000"/>
          <w:spacing w:val="0"/>
          <w:w w:val="100"/>
          <w:position w:val="0"/>
        </w:rPr>
        <w:t>其他变动是期初期末汇率不同产生的汇兑差异金额。</w:t>
      </w:r>
    </w:p>
    <w:p>
      <w:pPr>
        <w:pStyle w:val="Style16"/>
        <w:keepNext w:val="0"/>
        <w:keepLines w:val="0"/>
        <w:widowControl w:val="0"/>
        <w:shd w:val="clear" w:color="auto" w:fill="auto"/>
        <w:tabs>
          <w:tab w:pos="12902" w:val="left"/>
        </w:tabs>
        <w:bidi w:val="0"/>
        <w:spacing w:before="0" w:after="240" w:line="240" w:lineRule="auto"/>
        <w:ind w:left="0" w:right="0" w:firstLine="0"/>
        <w:jc w:val="left"/>
        <w:sectPr>
          <w:headerReference w:type="default" r:id="rId11"/>
          <w:footerReference w:type="default" r:id="rId12"/>
          <w:footnotePr>
            <w:pos w:val="pageBottom"/>
            <w:numFmt w:val="decimal"/>
            <w:numRestart w:val="continuous"/>
          </w:footnotePr>
          <w:pgSz w:w="16840" w:h="11900" w:orient="landscape"/>
          <w:pgMar w:top="1155" w:right="1182" w:bottom="1155" w:left="1417" w:header="0" w:footer="3" w:gutter="0"/>
          <w:cols w:space="720"/>
          <w:noEndnote/>
          <w:rtlGutter w:val="0"/>
          <w:docGrid w:linePitch="360"/>
        </w:sectPr>
      </w:pPr>
      <w:r>
        <w:rPr>
          <w:color w:val="000000"/>
          <w:spacing w:val="0"/>
          <w:w w:val="100"/>
          <w:position w:val="0"/>
        </w:rPr>
        <w:t>报告期公司主要资产计量属性是否发生重大变化</w:t>
        <w:tab/>
      </w:r>
      <w:r>
        <w:rPr>
          <w:b/>
          <w:bCs/>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40"/>
        <w:keepNext w:val="0"/>
        <w:keepLines w:val="0"/>
        <w:widowControl w:val="0"/>
        <w:shd w:val="clear" w:color="auto" w:fill="auto"/>
        <w:bidi w:val="0"/>
        <w:spacing w:before="0" w:after="0" w:line="240" w:lineRule="auto"/>
        <w:ind w:left="91" w:right="0" w:firstLine="0"/>
        <w:jc w:val="left"/>
      </w:pPr>
      <w:bookmarkStart w:id="173" w:name="bookmark173"/>
      <w:r>
        <w:rPr>
          <w:rFonts w:ascii="Times New Roman" w:eastAsia="Times New Roman" w:hAnsi="Times New Roman" w:cs="Times New Roman"/>
          <w:b/>
          <w:bCs/>
          <w:color w:val="000000"/>
          <w:spacing w:val="0"/>
          <w:w w:val="100"/>
          <w:position w:val="0"/>
        </w:rPr>
        <w:t>3</w:t>
      </w:r>
      <w:r>
        <w:rPr>
          <w:b/>
          <w:bCs/>
          <w:color w:val="000000"/>
          <w:spacing w:val="0"/>
          <w:w w:val="100"/>
          <w:position w:val="0"/>
        </w:rPr>
        <w:t>、截至报告期末的资产权利受限情况</w:t>
      </w:r>
      <w:bookmarkEnd w:id="173"/>
    </w:p>
    <w:tbl>
      <w:tblPr>
        <w:tblOverlap w:val="never"/>
        <w:jc w:val="center"/>
        <w:tblLayout w:type="fixed"/>
      </w:tblPr>
      <w:tblGrid>
        <w:gridCol w:w="1646"/>
        <w:gridCol w:w="1051"/>
        <w:gridCol w:w="2410"/>
        <w:gridCol w:w="1699"/>
        <w:gridCol w:w="2702"/>
      </w:tblGrid>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b/>
                <w:bCs/>
                <w:color w:val="000000"/>
                <w:spacing w:val="0"/>
                <w:w w:val="100"/>
                <w:position w:val="0"/>
                <w:sz w:val="18"/>
                <w:szCs w:val="18"/>
              </w:rPr>
              <w:t>报表项目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资产类别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受限类型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b/>
                <w:bCs/>
                <w:color w:val="000000"/>
                <w:spacing w:val="0"/>
                <w:w w:val="100"/>
                <w:position w:val="0"/>
                <w:sz w:val="18"/>
                <w:szCs w:val="18"/>
              </w:rPr>
              <w:t>受限金额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受限原因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存出保证金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质押/担保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138,481,597.05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转融通借款担保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债券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质押/担保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2,891,652,115.80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正回购借款担保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债券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质押/担保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267,039,690.00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转融通借款担保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暂未上市交易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109,537.02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中签新股暂未上市交易</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其他债权投资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债券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质押/担保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501,498,833.54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正回购/转融通借款担保</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3,798,781,773.41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79" w:line="1" w:lineRule="exact"/>
      </w:pPr>
    </w:p>
    <w:p>
      <w:pPr>
        <w:pStyle w:val="Style37"/>
        <w:keepNext/>
        <w:keepLines/>
        <w:widowControl w:val="0"/>
        <w:shd w:val="clear" w:color="auto" w:fill="auto"/>
        <w:bidi w:val="0"/>
        <w:spacing w:before="0" w:after="300" w:line="313" w:lineRule="exact"/>
        <w:ind w:left="0" w:right="0" w:firstLine="0"/>
        <w:jc w:val="both"/>
      </w:pPr>
      <w:bookmarkStart w:id="174" w:name="bookmark174"/>
      <w:bookmarkStart w:id="175" w:name="bookmark175"/>
      <w:bookmarkStart w:id="176" w:name="bookmark176"/>
      <w:bookmarkStart w:id="177" w:name="bookmark177"/>
      <w:r>
        <w:rPr>
          <w:rFonts w:ascii="Times New Roman" w:eastAsia="Times New Roman" w:hAnsi="Times New Roman" w:cs="Times New Roman"/>
          <w:color w:val="000000"/>
          <w:spacing w:val="0"/>
          <w:w w:val="100"/>
          <w:position w:val="0"/>
        </w:rPr>
        <w:t>4</w:t>
      </w:r>
      <w:bookmarkEnd w:id="176"/>
      <w:r>
        <w:rPr>
          <w:color w:val="000000"/>
          <w:spacing w:val="0"/>
          <w:w w:val="100"/>
          <w:position w:val="0"/>
        </w:rPr>
        <w:t>、负债结构和融资能力分析</w:t>
      </w:r>
      <w:bookmarkEnd w:id="174"/>
      <w:bookmarkEnd w:id="175"/>
      <w:bookmarkEnd w:id="177"/>
    </w:p>
    <w:p>
      <w:pPr>
        <w:pStyle w:val="Style16"/>
        <w:keepNext w:val="0"/>
        <w:keepLines w:val="0"/>
        <w:widowControl w:val="0"/>
        <w:numPr>
          <w:ilvl w:val="0"/>
          <w:numId w:val="1"/>
        </w:numPr>
        <w:shd w:val="clear" w:color="auto" w:fill="auto"/>
        <w:tabs>
          <w:tab w:pos="952" w:val="left"/>
        </w:tabs>
        <w:bidi w:val="0"/>
        <w:spacing w:before="0" w:after="40" w:line="313" w:lineRule="exact"/>
        <w:ind w:left="0" w:right="0" w:firstLine="520"/>
        <w:jc w:val="both"/>
      </w:pPr>
      <w:bookmarkStart w:id="178" w:name="bookmark178"/>
      <w:bookmarkEnd w:id="178"/>
      <w:r>
        <w:rPr>
          <w:color w:val="000000"/>
          <w:spacing w:val="0"/>
          <w:w w:val="100"/>
          <w:position w:val="0"/>
        </w:rPr>
        <w:t>负债结构</w:t>
      </w:r>
    </w:p>
    <w:p>
      <w:pPr>
        <w:pStyle w:val="Style16"/>
        <w:keepNext w:val="0"/>
        <w:keepLines w:val="0"/>
        <w:widowControl w:val="0"/>
        <w:shd w:val="clear" w:color="auto" w:fill="auto"/>
        <w:bidi w:val="0"/>
        <w:spacing w:before="0" w:after="40" w:line="314" w:lineRule="exact"/>
        <w:ind w:left="0" w:right="0" w:firstLine="520"/>
        <w:jc w:val="both"/>
      </w:pPr>
      <w:r>
        <w:rPr>
          <w:color w:val="000000"/>
          <w:spacing w:val="0"/>
          <w:w w:val="100"/>
          <w:position w:val="0"/>
        </w:rPr>
        <w:t>期末本集团负债合计</w:t>
      </w:r>
      <w:r>
        <w:rPr>
          <w:rFonts w:ascii="Times New Roman" w:eastAsia="Times New Roman" w:hAnsi="Times New Roman" w:cs="Times New Roman"/>
          <w:color w:val="000000"/>
          <w:spacing w:val="0"/>
          <w:w w:val="100"/>
          <w:position w:val="0"/>
        </w:rPr>
        <w:t>200.22</w:t>
      </w:r>
      <w:r>
        <w:rPr>
          <w:color w:val="000000"/>
          <w:spacing w:val="0"/>
          <w:w w:val="100"/>
          <w:position w:val="0"/>
        </w:rPr>
        <w:t>亿元，较期初减少</w:t>
      </w:r>
      <w:r>
        <w:rPr>
          <w:rFonts w:ascii="Times New Roman" w:eastAsia="Times New Roman" w:hAnsi="Times New Roman" w:cs="Times New Roman"/>
          <w:color w:val="000000"/>
          <w:spacing w:val="0"/>
          <w:w w:val="100"/>
          <w:position w:val="0"/>
        </w:rPr>
        <w:t>9.61%</w:t>
      </w:r>
      <w:r>
        <w:rPr>
          <w:color w:val="000000"/>
          <w:spacing w:val="0"/>
          <w:w w:val="100"/>
          <w:position w:val="0"/>
        </w:rPr>
        <w:t>，其中代理买卖证券款余额为</w:t>
      </w:r>
      <w:r>
        <w:rPr>
          <w:rFonts w:ascii="Times New Roman" w:eastAsia="Times New Roman" w:hAnsi="Times New Roman" w:cs="Times New Roman"/>
          <w:color w:val="000000"/>
          <w:spacing w:val="0"/>
          <w:w w:val="100"/>
          <w:position w:val="0"/>
        </w:rPr>
        <w:t>94.04</w:t>
      </w:r>
      <w:r>
        <w:rPr>
          <w:color w:val="000000"/>
          <w:spacing w:val="0"/>
          <w:w w:val="100"/>
          <w:position w:val="0"/>
        </w:rPr>
        <w:t>亿元。代理 买卖证券款是证券公司接受客户委托代理买卖股票、债券和基金等有价证券而收到的款项，剔除该项目后 本集团期末负债合计</w:t>
      </w:r>
      <w:r>
        <w:rPr>
          <w:rFonts w:ascii="Times New Roman" w:eastAsia="Times New Roman" w:hAnsi="Times New Roman" w:cs="Times New Roman"/>
          <w:color w:val="000000"/>
          <w:spacing w:val="0"/>
          <w:w w:val="100"/>
          <w:position w:val="0"/>
        </w:rPr>
        <w:t>106.18</w:t>
      </w:r>
      <w:r>
        <w:rPr>
          <w:color w:val="000000"/>
          <w:spacing w:val="0"/>
          <w:w w:val="100"/>
          <w:position w:val="0"/>
        </w:rPr>
        <w:t>亿元，较期初下降</w:t>
      </w:r>
      <w:r>
        <w:rPr>
          <w:rFonts w:ascii="Times New Roman" w:eastAsia="Times New Roman" w:hAnsi="Times New Roman" w:cs="Times New Roman"/>
          <w:color w:val="000000"/>
          <w:spacing w:val="0"/>
          <w:w w:val="100"/>
          <w:position w:val="0"/>
        </w:rPr>
        <w:t>30.87%</w:t>
      </w:r>
      <w:r>
        <w:rPr>
          <w:color w:val="000000"/>
          <w:spacing w:val="0"/>
          <w:w w:val="100"/>
          <w:position w:val="0"/>
        </w:rPr>
        <w:t>。</w:t>
      </w:r>
    </w:p>
    <w:p>
      <w:pPr>
        <w:pStyle w:val="Style16"/>
        <w:keepNext w:val="0"/>
        <w:keepLines w:val="0"/>
        <w:widowControl w:val="0"/>
        <w:shd w:val="clear" w:color="auto" w:fill="auto"/>
        <w:bidi w:val="0"/>
        <w:spacing w:before="0" w:after="40" w:line="313" w:lineRule="exact"/>
        <w:ind w:left="0" w:right="0" w:firstLine="520"/>
        <w:jc w:val="both"/>
      </w:pPr>
      <w:r>
        <w:rPr>
          <w:color w:val="000000"/>
          <w:spacing w:val="0"/>
          <w:w w:val="100"/>
          <w:position w:val="0"/>
        </w:rPr>
        <w:t>剔除代理买卖证券款后的负债</w:t>
      </w:r>
      <w:r>
        <w:rPr>
          <w:rFonts w:ascii="Times New Roman" w:eastAsia="Times New Roman" w:hAnsi="Times New Roman" w:cs="Times New Roman"/>
          <w:color w:val="000000"/>
          <w:spacing w:val="0"/>
          <w:w w:val="100"/>
          <w:position w:val="0"/>
        </w:rPr>
        <w:t>106.18</w:t>
      </w:r>
      <w:r>
        <w:rPr>
          <w:color w:val="000000"/>
          <w:spacing w:val="0"/>
          <w:w w:val="100"/>
          <w:position w:val="0"/>
        </w:rPr>
        <w:t>亿元中，流动负债</w:t>
      </w:r>
      <w:r>
        <w:rPr>
          <w:rFonts w:ascii="Times New Roman" w:eastAsia="Times New Roman" w:hAnsi="Times New Roman" w:cs="Times New Roman"/>
          <w:color w:val="000000"/>
          <w:spacing w:val="0"/>
          <w:w w:val="100"/>
          <w:position w:val="0"/>
        </w:rPr>
        <w:t>106.04</w:t>
      </w:r>
      <w:r>
        <w:rPr>
          <w:color w:val="000000"/>
          <w:spacing w:val="0"/>
          <w:w w:val="100"/>
          <w:position w:val="0"/>
        </w:rPr>
        <w:t>亿元、占比</w:t>
      </w:r>
      <w:r>
        <w:rPr>
          <w:rFonts w:ascii="Times New Roman" w:eastAsia="Times New Roman" w:hAnsi="Times New Roman" w:cs="Times New Roman"/>
          <w:color w:val="000000"/>
          <w:spacing w:val="0"/>
          <w:w w:val="100"/>
          <w:position w:val="0"/>
        </w:rPr>
        <w:t>99.86%</w:t>
      </w:r>
      <w:r>
        <w:rPr>
          <w:color w:val="000000"/>
          <w:spacing w:val="0"/>
          <w:w w:val="100"/>
          <w:position w:val="0"/>
        </w:rPr>
        <w:t>。受债券正回购融 资规模减少影响，集团期末流动负债较期初下降</w:t>
      </w:r>
      <w:r>
        <w:rPr>
          <w:rFonts w:ascii="Times New Roman" w:eastAsia="Times New Roman" w:hAnsi="Times New Roman" w:cs="Times New Roman"/>
          <w:color w:val="000000"/>
          <w:spacing w:val="0"/>
          <w:w w:val="100"/>
          <w:position w:val="0"/>
        </w:rPr>
        <w:t>25.18%</w:t>
      </w:r>
      <w:r>
        <w:rPr>
          <w:color w:val="000000"/>
          <w:spacing w:val="0"/>
          <w:w w:val="100"/>
          <w:position w:val="0"/>
        </w:rPr>
        <w:t>；受“</w:t>
      </w:r>
      <w:r>
        <w:rPr>
          <w:rFonts w:ascii="Times New Roman" w:eastAsia="Times New Roman" w:hAnsi="Times New Roman" w:cs="Times New Roman"/>
          <w:color w:val="000000"/>
          <w:spacing w:val="0"/>
          <w:w w:val="100"/>
          <w:position w:val="0"/>
        </w:rPr>
        <w:t>16</w:t>
      </w:r>
      <w:r>
        <w:rPr>
          <w:color w:val="000000"/>
          <w:spacing w:val="0"/>
          <w:w w:val="100"/>
          <w:position w:val="0"/>
        </w:rPr>
        <w:t>国盛</w:t>
      </w:r>
      <w:r>
        <w:rPr>
          <w:rFonts w:ascii="Times New Roman" w:eastAsia="Times New Roman" w:hAnsi="Times New Roman" w:cs="Times New Roman"/>
          <w:color w:val="000000"/>
          <w:spacing w:val="0"/>
          <w:w w:val="100"/>
          <w:position w:val="0"/>
        </w:rPr>
        <w:t>01</w:t>
      </w:r>
      <w:r>
        <w:rPr>
          <w:color w:val="000000"/>
          <w:spacing w:val="0"/>
          <w:w w:val="100"/>
          <w:position w:val="0"/>
        </w:rPr>
        <w:t>” “</w:t>
      </w:r>
      <w:r>
        <w:rPr>
          <w:rFonts w:ascii="Times New Roman" w:eastAsia="Times New Roman" w:hAnsi="Times New Roman" w:cs="Times New Roman"/>
          <w:color w:val="000000"/>
          <w:spacing w:val="0"/>
          <w:w w:val="100"/>
          <w:position w:val="0"/>
        </w:rPr>
        <w:t>16</w:t>
      </w:r>
      <w:r>
        <w:rPr>
          <w:color w:val="000000"/>
          <w:spacing w:val="0"/>
          <w:w w:val="100"/>
          <w:position w:val="0"/>
        </w:rPr>
        <w:t>国盛控”剩余期限不足</w:t>
      </w:r>
      <w:r>
        <w:rPr>
          <w:rFonts w:ascii="Times New Roman" w:eastAsia="Times New Roman" w:hAnsi="Times New Roman" w:cs="Times New Roman"/>
          <w:color w:val="000000"/>
          <w:spacing w:val="0"/>
          <w:w w:val="100"/>
          <w:position w:val="0"/>
        </w:rPr>
        <w:t xml:space="preserve">12 </w:t>
      </w:r>
      <w:r>
        <w:rPr>
          <w:color w:val="000000"/>
          <w:spacing w:val="0"/>
          <w:w w:val="100"/>
          <w:position w:val="0"/>
        </w:rPr>
        <w:t>个月并于期末重分类至流动负债影响，非流动负债较期初下降</w:t>
      </w:r>
      <w:r>
        <w:rPr>
          <w:rFonts w:ascii="Times New Roman" w:eastAsia="Times New Roman" w:hAnsi="Times New Roman" w:cs="Times New Roman"/>
          <w:color w:val="000000"/>
          <w:spacing w:val="0"/>
          <w:w w:val="100"/>
          <w:position w:val="0"/>
        </w:rPr>
        <w:t>98.78%</w:t>
      </w:r>
      <w:r>
        <w:rPr>
          <w:color w:val="000000"/>
          <w:spacing w:val="0"/>
          <w:w w:val="100"/>
          <w:position w:val="0"/>
        </w:rPr>
        <w:t>。剔除代理买卖证券款后的流动负债 主要包括两个方面，一是国盛证券利用各类短期融资工具形成的债务本息合计</w:t>
      </w:r>
      <w:r>
        <w:rPr>
          <w:rFonts w:ascii="Times New Roman" w:eastAsia="Times New Roman" w:hAnsi="Times New Roman" w:cs="Times New Roman"/>
          <w:color w:val="000000"/>
          <w:spacing w:val="0"/>
          <w:w w:val="100"/>
          <w:position w:val="0"/>
        </w:rPr>
        <w:t>65.35</w:t>
      </w:r>
      <w:r>
        <w:rPr>
          <w:color w:val="000000"/>
          <w:spacing w:val="0"/>
          <w:w w:val="100"/>
          <w:position w:val="0"/>
        </w:rPr>
        <w:t>亿元，二是母公司和 国盛证券发行债券形成的一年期内到期债务本息</w:t>
      </w:r>
      <w:r>
        <w:rPr>
          <w:rFonts w:ascii="Times New Roman" w:eastAsia="Times New Roman" w:hAnsi="Times New Roman" w:cs="Times New Roman"/>
          <w:color w:val="000000"/>
          <w:spacing w:val="0"/>
          <w:w w:val="100"/>
          <w:position w:val="0"/>
        </w:rPr>
        <w:t>31.79</w:t>
      </w:r>
      <w:r>
        <w:rPr>
          <w:color w:val="000000"/>
          <w:spacing w:val="0"/>
          <w:w w:val="100"/>
          <w:position w:val="0"/>
        </w:rPr>
        <w:t>亿元。</w:t>
      </w:r>
    </w:p>
    <w:p>
      <w:pPr>
        <w:pStyle w:val="Style16"/>
        <w:keepNext w:val="0"/>
        <w:keepLines w:val="0"/>
        <w:widowControl w:val="0"/>
        <w:shd w:val="clear" w:color="auto" w:fill="auto"/>
        <w:bidi w:val="0"/>
        <w:spacing w:before="0" w:after="40" w:line="313" w:lineRule="exact"/>
        <w:ind w:left="0" w:right="0" w:firstLine="520"/>
        <w:jc w:val="both"/>
      </w:pPr>
      <w:r>
        <w:rPr>
          <w:color w:val="000000"/>
          <w:spacing w:val="0"/>
          <w:w w:val="100"/>
          <w:position w:val="0"/>
        </w:rPr>
        <w:t>上述短期融资工具形成的期末债务本息主要包括国盛证券应付短期融资款</w:t>
      </w:r>
      <w:r>
        <w:rPr>
          <w:rFonts w:ascii="Times New Roman" w:eastAsia="Times New Roman" w:hAnsi="Times New Roman" w:cs="Times New Roman"/>
          <w:color w:val="000000"/>
          <w:spacing w:val="0"/>
          <w:w w:val="100"/>
          <w:position w:val="0"/>
        </w:rPr>
        <w:t>13.98</w:t>
      </w:r>
      <w:r>
        <w:rPr>
          <w:color w:val="000000"/>
          <w:spacing w:val="0"/>
          <w:w w:val="100"/>
          <w:position w:val="0"/>
        </w:rPr>
        <w:t>亿元、拆入资金</w:t>
      </w:r>
      <w:r>
        <w:rPr>
          <w:rFonts w:ascii="Times New Roman" w:eastAsia="Times New Roman" w:hAnsi="Times New Roman" w:cs="Times New Roman"/>
          <w:color w:val="000000"/>
          <w:spacing w:val="0"/>
          <w:w w:val="100"/>
          <w:position w:val="0"/>
        </w:rPr>
        <w:t xml:space="preserve">23.59 </w:t>
      </w:r>
      <w:r>
        <w:rPr>
          <w:color w:val="000000"/>
          <w:spacing w:val="0"/>
          <w:w w:val="100"/>
          <w:position w:val="0"/>
        </w:rPr>
        <w:t>亿元、卖出回购金融资产款</w:t>
      </w:r>
      <w:r>
        <w:rPr>
          <w:rFonts w:ascii="Times New Roman" w:eastAsia="Times New Roman" w:hAnsi="Times New Roman" w:cs="Times New Roman"/>
          <w:color w:val="000000"/>
          <w:spacing w:val="0"/>
          <w:w w:val="100"/>
          <w:position w:val="0"/>
        </w:rPr>
        <w:t>26.10</w:t>
      </w:r>
      <w:r>
        <w:rPr>
          <w:color w:val="000000"/>
          <w:spacing w:val="0"/>
          <w:w w:val="100"/>
          <w:position w:val="0"/>
        </w:rPr>
        <w:t>亿元，较期初分别变动</w:t>
      </w:r>
      <w:r>
        <w:rPr>
          <w:rFonts w:ascii="Times New Roman" w:eastAsia="Times New Roman" w:hAnsi="Times New Roman" w:cs="Times New Roman"/>
          <w:color w:val="000000"/>
          <w:spacing w:val="0"/>
          <w:w w:val="100"/>
          <w:position w:val="0"/>
        </w:rPr>
        <w:t>-24.61%</w:t>
      </w:r>
      <w:r>
        <w:rPr>
          <w:color w:val="000000"/>
          <w:spacing w:val="0"/>
          <w:w w:val="100"/>
          <w:position w:val="0"/>
        </w:rPr>
        <w:t>、</w:t>
      </w:r>
      <w:r>
        <w:rPr>
          <w:rFonts w:ascii="Times New Roman" w:eastAsia="Times New Roman" w:hAnsi="Times New Roman" w:cs="Times New Roman"/>
          <w:color w:val="000000"/>
          <w:spacing w:val="0"/>
          <w:w w:val="100"/>
          <w:position w:val="0"/>
        </w:rPr>
        <w:t>-14.78%</w:t>
      </w:r>
      <w:r>
        <w:rPr>
          <w:color w:val="000000"/>
          <w:spacing w:val="0"/>
          <w:w w:val="100"/>
          <w:position w:val="0"/>
        </w:rPr>
        <w:t>、</w:t>
      </w:r>
      <w:r>
        <w:rPr>
          <w:rFonts w:ascii="Times New Roman" w:eastAsia="Times New Roman" w:hAnsi="Times New Roman" w:cs="Times New Roman"/>
          <w:color w:val="000000"/>
          <w:spacing w:val="0"/>
          <w:w w:val="100"/>
          <w:position w:val="0"/>
        </w:rPr>
        <w:t>-51.30%</w:t>
      </w:r>
      <w:r>
        <w:rPr>
          <w:color w:val="000000"/>
          <w:spacing w:val="0"/>
          <w:w w:val="100"/>
          <w:position w:val="0"/>
        </w:rPr>
        <w:t>，变动原因主要系业 务策略与融资规模缩减。该等短期融资工具形成的债务系国盛证券开展正常经营活动形成，具有公开性高、 流动性强、存在活跃交易市场等特征，不存在偿付风险，且国盛证券在持有该等负债后即通过相关业务活 动形成对应资产，对资产负债率的影响较小。</w:t>
      </w:r>
    </w:p>
    <w:p>
      <w:pPr>
        <w:pStyle w:val="Style16"/>
        <w:keepNext w:val="0"/>
        <w:keepLines w:val="0"/>
        <w:widowControl w:val="0"/>
        <w:shd w:val="clear" w:color="auto" w:fill="auto"/>
        <w:bidi w:val="0"/>
        <w:spacing w:before="0" w:after="40" w:line="312" w:lineRule="exact"/>
        <w:ind w:left="0" w:right="0" w:firstLine="520"/>
        <w:jc w:val="both"/>
      </w:pPr>
      <w:r>
        <w:rPr>
          <w:color w:val="000000"/>
          <w:spacing w:val="0"/>
          <w:w w:val="100"/>
          <w:position w:val="0"/>
        </w:rPr>
        <w:t>上述发行债券形成的一年内到期债务涉及三只债券，具体包括：①“</w:t>
      </w:r>
      <w:r>
        <w:rPr>
          <w:rFonts w:ascii="Times New Roman" w:eastAsia="Times New Roman" w:hAnsi="Times New Roman" w:cs="Times New Roman"/>
          <w:color w:val="000000"/>
          <w:spacing w:val="0"/>
          <w:w w:val="100"/>
          <w:position w:val="0"/>
        </w:rPr>
        <w:t>16</w:t>
      </w:r>
      <w:r>
        <w:rPr>
          <w:color w:val="000000"/>
          <w:spacing w:val="0"/>
          <w:w w:val="100"/>
          <w:position w:val="0"/>
        </w:rPr>
        <w:t>国盛控”本金</w:t>
      </w:r>
      <w:r>
        <w:rPr>
          <w:rFonts w:ascii="Times New Roman" w:eastAsia="Times New Roman" w:hAnsi="Times New Roman" w:cs="Times New Roman"/>
          <w:color w:val="000000"/>
          <w:spacing w:val="0"/>
          <w:w w:val="100"/>
          <w:position w:val="0"/>
        </w:rPr>
        <w:t>6</w:t>
      </w:r>
      <w:r>
        <w:rPr>
          <w:color w:val="000000"/>
          <w:spacing w:val="0"/>
          <w:w w:val="100"/>
          <w:position w:val="0"/>
        </w:rPr>
        <w:t>亿元和截至期 末应付利息</w:t>
      </w:r>
      <w:r>
        <w:rPr>
          <w:rFonts w:ascii="Times New Roman" w:eastAsia="Times New Roman" w:hAnsi="Times New Roman" w:cs="Times New Roman"/>
          <w:color w:val="000000"/>
          <w:spacing w:val="0"/>
          <w:w w:val="100"/>
          <w:position w:val="0"/>
        </w:rPr>
        <w:t>0.03</w:t>
      </w:r>
      <w:r>
        <w:rPr>
          <w:color w:val="000000"/>
          <w:spacing w:val="0"/>
          <w:w w:val="100"/>
          <w:position w:val="0"/>
        </w:rPr>
        <w:t>亿元，该债券本息将于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月兑付；②“</w:t>
      </w:r>
      <w:r>
        <w:rPr>
          <w:rFonts w:ascii="Times New Roman" w:eastAsia="Times New Roman" w:hAnsi="Times New Roman" w:cs="Times New Roman"/>
          <w:color w:val="000000"/>
          <w:spacing w:val="0"/>
          <w:w w:val="100"/>
          <w:position w:val="0"/>
        </w:rPr>
        <w:t>17</w:t>
      </w:r>
      <w:r>
        <w:rPr>
          <w:color w:val="000000"/>
          <w:spacing w:val="0"/>
          <w:w w:val="100"/>
          <w:position w:val="0"/>
        </w:rPr>
        <w:t>国盛金”本金</w:t>
      </w:r>
      <w:r>
        <w:rPr>
          <w:rFonts w:ascii="Times New Roman" w:eastAsia="Times New Roman" w:hAnsi="Times New Roman" w:cs="Times New Roman"/>
          <w:color w:val="000000"/>
          <w:spacing w:val="0"/>
          <w:w w:val="100"/>
          <w:position w:val="0"/>
        </w:rPr>
        <w:t>20</w:t>
      </w:r>
      <w:r>
        <w:rPr>
          <w:color w:val="000000"/>
          <w:spacing w:val="0"/>
          <w:w w:val="100"/>
          <w:position w:val="0"/>
        </w:rPr>
        <w:t>亿元和截至期末应 付利息</w:t>
      </w:r>
      <w:r>
        <w:rPr>
          <w:rFonts w:ascii="Times New Roman" w:eastAsia="Times New Roman" w:hAnsi="Times New Roman" w:cs="Times New Roman"/>
          <w:color w:val="000000"/>
          <w:spacing w:val="0"/>
          <w:w w:val="100"/>
          <w:position w:val="0"/>
        </w:rPr>
        <w:t>0.04</w:t>
      </w:r>
      <w:r>
        <w:rPr>
          <w:color w:val="000000"/>
          <w:spacing w:val="0"/>
          <w:w w:val="100"/>
          <w:position w:val="0"/>
        </w:rPr>
        <w:t>亿元，将于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月兑付；③“</w:t>
      </w:r>
      <w:r>
        <w:rPr>
          <w:rFonts w:ascii="Times New Roman" w:eastAsia="Times New Roman" w:hAnsi="Times New Roman" w:cs="Times New Roman"/>
          <w:color w:val="000000"/>
          <w:spacing w:val="0"/>
          <w:w w:val="100"/>
          <w:position w:val="0"/>
        </w:rPr>
        <w:t>16</w:t>
      </w:r>
      <w:r>
        <w:rPr>
          <w:color w:val="000000"/>
          <w:spacing w:val="0"/>
          <w:w w:val="100"/>
          <w:position w:val="0"/>
        </w:rPr>
        <w:t>国盛</w:t>
      </w:r>
      <w:r>
        <w:rPr>
          <w:rFonts w:ascii="Times New Roman" w:eastAsia="Times New Roman" w:hAnsi="Times New Roman" w:cs="Times New Roman"/>
          <w:color w:val="000000"/>
          <w:spacing w:val="0"/>
          <w:w w:val="100"/>
          <w:position w:val="0"/>
        </w:rPr>
        <w:t>01</w:t>
      </w:r>
      <w:r>
        <w:rPr>
          <w:color w:val="000000"/>
          <w:spacing w:val="0"/>
          <w:w w:val="100"/>
          <w:position w:val="0"/>
        </w:rPr>
        <w:t>”本金</w:t>
      </w:r>
      <w:r>
        <w:rPr>
          <w:rFonts w:ascii="Times New Roman" w:eastAsia="Times New Roman" w:hAnsi="Times New Roman" w:cs="Times New Roman"/>
          <w:color w:val="000000"/>
          <w:spacing w:val="0"/>
          <w:w w:val="100"/>
          <w:position w:val="0"/>
        </w:rPr>
        <w:t>5.56</w:t>
      </w:r>
      <w:r>
        <w:rPr>
          <w:color w:val="000000"/>
          <w:spacing w:val="0"/>
          <w:w w:val="100"/>
          <w:position w:val="0"/>
        </w:rPr>
        <w:t>亿元和截至期末应付利息</w:t>
      </w:r>
      <w:r>
        <w:rPr>
          <w:rFonts w:ascii="Times New Roman" w:eastAsia="Times New Roman" w:hAnsi="Times New Roman" w:cs="Times New Roman"/>
          <w:color w:val="000000"/>
          <w:spacing w:val="0"/>
          <w:w w:val="100"/>
          <w:position w:val="0"/>
        </w:rPr>
        <w:t>0.16</w:t>
      </w:r>
      <w:r>
        <w:rPr>
          <w:color w:val="000000"/>
          <w:spacing w:val="0"/>
          <w:w w:val="100"/>
          <w:position w:val="0"/>
        </w:rPr>
        <w:t>亿元， 该债券本息将于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月到期兑付。</w:t>
      </w:r>
    </w:p>
    <w:p>
      <w:pPr>
        <w:pStyle w:val="Style16"/>
        <w:keepNext w:val="0"/>
        <w:keepLines w:val="0"/>
        <w:widowControl w:val="0"/>
        <w:numPr>
          <w:ilvl w:val="0"/>
          <w:numId w:val="1"/>
        </w:numPr>
        <w:shd w:val="clear" w:color="auto" w:fill="auto"/>
        <w:tabs>
          <w:tab w:pos="952" w:val="left"/>
        </w:tabs>
        <w:bidi w:val="0"/>
        <w:spacing w:before="0" w:after="40" w:line="313" w:lineRule="exact"/>
        <w:ind w:left="0" w:right="0" w:firstLine="520"/>
        <w:jc w:val="both"/>
      </w:pPr>
      <w:bookmarkStart w:id="179" w:name="bookmark179"/>
      <w:bookmarkEnd w:id="179"/>
      <w:r>
        <w:rPr>
          <w:color w:val="000000"/>
          <w:spacing w:val="0"/>
          <w:w w:val="100"/>
          <w:position w:val="0"/>
        </w:rPr>
        <w:t>融资能力</w:t>
      </w:r>
    </w:p>
    <w:p>
      <w:pPr>
        <w:pStyle w:val="Style16"/>
        <w:keepNext w:val="0"/>
        <w:keepLines w:val="0"/>
        <w:widowControl w:val="0"/>
        <w:shd w:val="clear" w:color="auto" w:fill="auto"/>
        <w:bidi w:val="0"/>
        <w:spacing w:before="0" w:after="40" w:line="307" w:lineRule="exact"/>
        <w:ind w:left="0" w:right="0" w:firstLine="520"/>
        <w:jc w:val="both"/>
      </w:pPr>
      <w:r>
        <w:rPr>
          <w:color w:val="000000"/>
          <w:spacing w:val="0"/>
          <w:w w:val="100"/>
          <w:position w:val="0"/>
        </w:rPr>
        <w:t>本集团坚持诚信经营，信用良好，与多家金融机构均保持良好的合作关系。报告期本集团获得银行授 信合计</w:t>
      </w:r>
      <w:r>
        <w:rPr>
          <w:rFonts w:ascii="Times New Roman" w:eastAsia="Times New Roman" w:hAnsi="Times New Roman" w:cs="Times New Roman"/>
          <w:color w:val="000000"/>
          <w:spacing w:val="0"/>
          <w:w w:val="100"/>
          <w:position w:val="0"/>
        </w:rPr>
        <w:t>266.80</w:t>
      </w:r>
      <w:r>
        <w:rPr>
          <w:color w:val="000000"/>
          <w:spacing w:val="0"/>
          <w:w w:val="100"/>
          <w:position w:val="0"/>
        </w:rPr>
        <w:t>亿元、到期授信合计</w:t>
      </w:r>
      <w:r>
        <w:rPr>
          <w:rFonts w:ascii="Times New Roman" w:eastAsia="Times New Roman" w:hAnsi="Times New Roman" w:cs="Times New Roman"/>
          <w:color w:val="000000"/>
          <w:spacing w:val="0"/>
          <w:w w:val="100"/>
          <w:position w:val="0"/>
        </w:rPr>
        <w:t>175</w:t>
      </w:r>
      <w:r>
        <w:rPr>
          <w:color w:val="000000"/>
          <w:spacing w:val="0"/>
          <w:w w:val="100"/>
          <w:position w:val="0"/>
        </w:rPr>
        <w:t>亿元，银行授信均在额度范围内循环使用。截至期末使用中的授信 合计</w:t>
      </w:r>
      <w:r>
        <w:rPr>
          <w:rFonts w:ascii="Times New Roman" w:eastAsia="Times New Roman" w:hAnsi="Times New Roman" w:cs="Times New Roman"/>
          <w:color w:val="000000"/>
          <w:spacing w:val="0"/>
          <w:w w:val="100"/>
          <w:position w:val="0"/>
        </w:rPr>
        <w:t>31.80</w:t>
      </w:r>
      <w:r>
        <w:rPr>
          <w:color w:val="000000"/>
          <w:spacing w:val="0"/>
          <w:w w:val="100"/>
          <w:position w:val="0"/>
        </w:rPr>
        <w:t>亿元，期内未出现逾期偿还银行贷款情况。</w:t>
      </w:r>
    </w:p>
    <w:p>
      <w:pPr>
        <w:pStyle w:val="Style16"/>
        <w:keepNext w:val="0"/>
        <w:keepLines w:val="0"/>
        <w:widowControl w:val="0"/>
        <w:shd w:val="clear" w:color="auto" w:fill="auto"/>
        <w:bidi w:val="0"/>
        <w:spacing w:before="0" w:after="40" w:line="317" w:lineRule="exact"/>
        <w:ind w:left="0" w:right="0" w:firstLine="520"/>
        <w:jc w:val="both"/>
      </w:pPr>
      <w:r>
        <w:rPr>
          <w:color w:val="000000"/>
          <w:spacing w:val="0"/>
          <w:w w:val="100"/>
          <w:position w:val="0"/>
        </w:rPr>
        <w:t>融资工具方面，本集团融资工具包括股权融资工具和债权融资工具。其中，债权融资工具可分为短期 工具和中长期工具。短期债权工具包括：银行间市场信用拆借、银行间和交易所市场债券回购、收益凭证 等；中长期债权工具包括公开发行公司债券、非公开发行公司债券等。</w:t>
      </w:r>
    </w:p>
    <w:p>
      <w:pPr>
        <w:pStyle w:val="Style16"/>
        <w:keepNext w:val="0"/>
        <w:keepLines w:val="0"/>
        <w:widowControl w:val="0"/>
        <w:shd w:val="clear" w:color="auto" w:fill="auto"/>
        <w:bidi w:val="0"/>
        <w:spacing w:before="0" w:after="40" w:line="312" w:lineRule="exact"/>
        <w:ind w:left="0" w:right="0" w:firstLine="520"/>
        <w:jc w:val="both"/>
      </w:pPr>
      <w:r>
        <w:rPr>
          <w:color w:val="000000"/>
          <w:spacing w:val="0"/>
          <w:w w:val="100"/>
          <w:position w:val="0"/>
        </w:rPr>
        <w:t>报告期，本集团综合运用各类融资工具筹措资金，包括但不限于开展信用拆借、实施债券回购、发行 收益凭证、申请公开发行公司债券等方式，持续增强和完善融资能力。</w:t>
      </w:r>
    </w:p>
    <w:p>
      <w:pPr>
        <w:pStyle w:val="Style16"/>
        <w:keepNext w:val="0"/>
        <w:keepLines w:val="0"/>
        <w:widowControl w:val="0"/>
        <w:numPr>
          <w:ilvl w:val="0"/>
          <w:numId w:val="1"/>
        </w:numPr>
        <w:shd w:val="clear" w:color="auto" w:fill="auto"/>
        <w:tabs>
          <w:tab w:pos="952" w:val="left"/>
        </w:tabs>
        <w:bidi w:val="0"/>
        <w:spacing w:before="0" w:after="40" w:line="313" w:lineRule="exact"/>
        <w:ind w:left="0" w:right="0" w:firstLine="520"/>
        <w:jc w:val="both"/>
      </w:pPr>
      <w:bookmarkStart w:id="180" w:name="bookmark180"/>
      <w:bookmarkEnd w:id="180"/>
      <w:r>
        <w:rPr>
          <w:color w:val="000000"/>
          <w:spacing w:val="0"/>
          <w:w w:val="100"/>
          <w:position w:val="0"/>
        </w:rPr>
        <w:t>流动性管理措施与政策</w:t>
      </w:r>
    </w:p>
    <w:p>
      <w:pPr>
        <w:pStyle w:val="Style16"/>
        <w:keepNext w:val="0"/>
        <w:keepLines w:val="0"/>
        <w:widowControl w:val="0"/>
        <w:shd w:val="clear" w:color="auto" w:fill="auto"/>
        <w:bidi w:val="0"/>
        <w:spacing w:before="0" w:after="340" w:line="313" w:lineRule="exact"/>
        <w:ind w:left="0" w:right="0" w:firstLine="440"/>
        <w:jc w:val="left"/>
      </w:pPr>
      <w:r>
        <w:rPr>
          <w:color w:val="000000"/>
          <w:spacing w:val="0"/>
          <w:w w:val="100"/>
          <w:position w:val="0"/>
        </w:rPr>
        <w:t>本集团一贯重视流动性安全，以流动性、安全性、收益性为原则实施资金管理，通过前瞻性的灵活融 资安排，实现资金来源与资金运用之结构和期限的合理匹配。本集团各项业务发展良好，资产质量优良， 从根本上保障了资产的流动性。实际工作中，本集团制定《财务管理制度》、《资金管理工作指引》等文件， 从制度上规范资金管理工作；本集团母公司成立资金部，子公司国盛证券成立资金运营部，专职负责资金 管理工作，确保集团流动性安全。</w:t>
      </w:r>
    </w:p>
    <w:p>
      <w:pPr>
        <w:pStyle w:val="Style29"/>
        <w:keepNext/>
        <w:keepLines/>
        <w:widowControl w:val="0"/>
        <w:shd w:val="clear" w:color="auto" w:fill="auto"/>
        <w:bidi w:val="0"/>
        <w:spacing w:before="0" w:after="340" w:line="240" w:lineRule="auto"/>
        <w:ind w:left="0" w:right="0" w:firstLine="0"/>
        <w:jc w:val="left"/>
      </w:pPr>
      <w:bookmarkStart w:id="181" w:name="bookmark181"/>
      <w:bookmarkStart w:id="182" w:name="bookmark182"/>
      <w:bookmarkStart w:id="183" w:name="bookmark183"/>
      <w:bookmarkStart w:id="184" w:name="bookmark184"/>
      <w:r>
        <w:rPr>
          <w:color w:val="000000"/>
          <w:spacing w:val="0"/>
          <w:w w:val="100"/>
          <w:position w:val="0"/>
          <w:sz w:val="24"/>
          <w:szCs w:val="24"/>
        </w:rPr>
        <w:t>五</w:t>
      </w:r>
      <w:bookmarkEnd w:id="183"/>
      <w:r>
        <w:rPr>
          <w:color w:val="000000"/>
          <w:spacing w:val="0"/>
          <w:w w:val="100"/>
          <w:position w:val="0"/>
          <w:sz w:val="24"/>
          <w:szCs w:val="24"/>
        </w:rPr>
        <w:t>、投资状况分析</w:t>
      </w:r>
      <w:bookmarkEnd w:id="181"/>
      <w:bookmarkEnd w:id="182"/>
      <w:bookmarkEnd w:id="184"/>
    </w:p>
    <w:p>
      <w:pPr>
        <w:pStyle w:val="Style40"/>
        <w:keepNext w:val="0"/>
        <w:keepLines w:val="0"/>
        <w:widowControl w:val="0"/>
        <w:shd w:val="clear" w:color="auto" w:fill="auto"/>
        <w:tabs>
          <w:tab w:pos="7978" w:val="left"/>
        </w:tabs>
        <w:bidi w:val="0"/>
        <w:spacing w:before="0" w:after="0" w:line="240" w:lineRule="auto"/>
        <w:ind w:left="0" w:right="0" w:firstLine="0"/>
        <w:jc w:val="center"/>
      </w:pPr>
      <w:bookmarkStart w:id="185" w:name="bookmark185"/>
      <w:r>
        <w:rPr>
          <w:rFonts w:ascii="Times New Roman" w:eastAsia="Times New Roman" w:hAnsi="Times New Roman" w:cs="Times New Roman"/>
          <w:b/>
          <w:bCs/>
          <w:color w:val="000000"/>
          <w:spacing w:val="0"/>
          <w:w w:val="100"/>
          <w:position w:val="0"/>
        </w:rPr>
        <w:t>1</w:t>
      </w:r>
      <w:r>
        <w:rPr>
          <w:b/>
          <w:bCs/>
          <w:color w:val="000000"/>
          <w:spacing w:val="0"/>
          <w:w w:val="100"/>
          <w:position w:val="0"/>
        </w:rPr>
        <w:t>、总体情况</w:t>
        <w:tab/>
      </w: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bookmarkEnd w:id="185"/>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报告期投资额（元）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上年同期投资额（元）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变动幅度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1,000,000.00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191,723,051.17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-99.48%</w:t>
            </w:r>
          </w:p>
        </w:tc>
      </w:tr>
    </w:tbl>
    <w:p>
      <w:pPr>
        <w:pStyle w:val="Style40"/>
        <w:keepNext w:val="0"/>
        <w:keepLines w:val="0"/>
        <w:widowControl w:val="0"/>
        <w:shd w:val="clear" w:color="auto" w:fill="auto"/>
        <w:bidi w:val="0"/>
        <w:spacing w:before="0" w:after="0" w:line="326"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、报告期投资额主要为本集团投资业务板块发生的对外股权投资。</w:t>
      </w:r>
      <w:r>
        <w:rPr>
          <w:rFonts w:ascii="Times New Roman" w:eastAsia="Times New Roman" w:hAnsi="Times New Roman" w:cs="Times New Roman"/>
          <w:color w:val="000000"/>
          <w:spacing w:val="0"/>
          <w:w w:val="100"/>
          <w:position w:val="0"/>
        </w:rPr>
        <w:t>2</w:t>
      </w:r>
      <w:r>
        <w:rPr>
          <w:color w:val="000000"/>
          <w:spacing w:val="0"/>
          <w:w w:val="100"/>
          <w:position w:val="0"/>
        </w:rPr>
        <w:t>、上表不含本集团购买的短期理 财产品以及国盛证券及其下属企业从事日常经营活动涉及的股票、基金、债券等投资行为。</w:t>
      </w:r>
    </w:p>
    <w:p>
      <w:pPr>
        <w:widowControl w:val="0"/>
        <w:spacing w:after="279" w:line="1" w:lineRule="exact"/>
      </w:pPr>
    </w:p>
    <w:p>
      <w:pPr>
        <w:pStyle w:val="Style16"/>
        <w:keepNext w:val="0"/>
        <w:keepLines w:val="0"/>
        <w:widowControl w:val="0"/>
        <w:shd w:val="clear" w:color="auto" w:fill="auto"/>
        <w:tabs>
          <w:tab w:pos="378" w:val="left"/>
          <w:tab w:pos="7994" w:val="left"/>
        </w:tabs>
        <w:bidi w:val="0"/>
        <w:spacing w:before="0" w:after="280" w:line="312" w:lineRule="exact"/>
        <w:ind w:left="0" w:right="0" w:firstLine="0"/>
        <w:jc w:val="left"/>
      </w:pPr>
      <w:bookmarkStart w:id="186" w:name="bookmark186"/>
      <w:bookmarkStart w:id="187" w:name="bookmark187"/>
      <w:r>
        <w:rPr>
          <w:rFonts w:ascii="Times New Roman" w:eastAsia="Times New Roman" w:hAnsi="Times New Roman" w:cs="Times New Roman"/>
          <w:b/>
          <w:bCs/>
          <w:color w:val="000000"/>
          <w:spacing w:val="0"/>
          <w:w w:val="100"/>
          <w:position w:val="0"/>
        </w:rPr>
        <w:t>2</w:t>
      </w:r>
      <w:bookmarkEnd w:id="186"/>
      <w:r>
        <w:rPr>
          <w:b/>
          <w:bCs/>
          <w:color w:val="000000"/>
          <w:spacing w:val="0"/>
          <w:w w:val="100"/>
          <w:position w:val="0"/>
        </w:rPr>
        <w:t>、</w:t>
        <w:tab/>
        <w:t>报告期内获取的重大的股权投资情况</w:t>
        <w:tab/>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bookmarkEnd w:id="187"/>
    </w:p>
    <w:p>
      <w:pPr>
        <w:pStyle w:val="Style16"/>
        <w:keepNext w:val="0"/>
        <w:keepLines w:val="0"/>
        <w:widowControl w:val="0"/>
        <w:shd w:val="clear" w:color="auto" w:fill="auto"/>
        <w:tabs>
          <w:tab w:pos="378" w:val="left"/>
          <w:tab w:pos="7994" w:val="left"/>
        </w:tabs>
        <w:bidi w:val="0"/>
        <w:spacing w:before="0" w:after="280" w:line="312" w:lineRule="exact"/>
        <w:ind w:left="0" w:right="0" w:firstLine="0"/>
        <w:jc w:val="left"/>
      </w:pPr>
      <w:bookmarkStart w:id="188" w:name="bookmark188"/>
      <w:bookmarkStart w:id="189" w:name="bookmark189"/>
      <w:bookmarkStart w:id="190" w:name="bookmark190"/>
      <w:r>
        <w:rPr>
          <w:rFonts w:ascii="Times New Roman" w:eastAsia="Times New Roman" w:hAnsi="Times New Roman" w:cs="Times New Roman"/>
          <w:b/>
          <w:bCs/>
          <w:color w:val="000000"/>
          <w:spacing w:val="0"/>
          <w:w w:val="100"/>
          <w:position w:val="0"/>
        </w:rPr>
        <w:t>3</w:t>
      </w:r>
      <w:bookmarkEnd w:id="188"/>
      <w:r>
        <w:rPr>
          <w:b/>
          <w:bCs/>
          <w:color w:val="000000"/>
          <w:spacing w:val="0"/>
          <w:w w:val="100"/>
          <w:position w:val="0"/>
        </w:rPr>
        <w:t>、</w:t>
        <w:tab/>
        <w:t>报告期内正在进行的重大的非股权投资情况</w:t>
        <w:tab/>
      </w: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bookmarkEnd w:id="189"/>
      <w:bookmarkEnd w:id="190"/>
    </w:p>
    <w:p>
      <w:pPr>
        <w:pStyle w:val="Style16"/>
        <w:keepNext w:val="0"/>
        <w:keepLines w:val="0"/>
        <w:widowControl w:val="0"/>
        <w:shd w:val="clear" w:color="auto" w:fill="auto"/>
        <w:bidi w:val="0"/>
        <w:spacing w:before="0" w:after="300" w:line="312" w:lineRule="exact"/>
        <w:ind w:left="0" w:right="0" w:firstLine="440"/>
        <w:jc w:val="both"/>
        <w:sectPr>
          <w:headerReference w:type="default" r:id="rId13"/>
          <w:footerReference w:type="default" r:id="rId14"/>
          <w:footnotePr>
            <w:pos w:val="pageBottom"/>
            <w:numFmt w:val="decimal"/>
            <w:numRestart w:val="continuous"/>
          </w:footnotePr>
          <w:pgSz w:w="11900" w:h="16840"/>
          <w:pgMar w:top="1402" w:right="978" w:bottom="1728" w:left="1040" w:header="0" w:footer="3" w:gutter="0"/>
          <w:cols w:space="720"/>
          <w:noEndnote/>
          <w:rtlGutter w:val="0"/>
          <w:docGrid w:linePitch="360"/>
        </w:sectPr>
      </w:pPr>
      <w:bookmarkStart w:id="191" w:name="bookmark191"/>
      <w:bookmarkStart w:id="192" w:name="bookmark192"/>
      <w:r>
        <w:rPr>
          <w:color w:val="000000"/>
          <w:spacing w:val="0"/>
          <w:w w:val="100"/>
          <w:position w:val="0"/>
        </w:rPr>
        <w:t>公司持有的的</w:t>
      </w:r>
      <w:r>
        <w:rPr>
          <w:rFonts w:ascii="Times New Roman" w:eastAsia="Times New Roman" w:hAnsi="Times New Roman" w:cs="Times New Roman"/>
          <w:color w:val="000000"/>
          <w:spacing w:val="0"/>
          <w:w w:val="100"/>
          <w:position w:val="0"/>
        </w:rPr>
        <w:t>4</w:t>
      </w:r>
      <w:r>
        <w:rPr>
          <w:color w:val="000000"/>
          <w:spacing w:val="0"/>
          <w:w w:val="100"/>
          <w:position w:val="0"/>
        </w:rPr>
        <w:t>个集合资金信托计划截至期末尚未完全退出。具体情况见</w:t>
      </w:r>
      <w:r>
        <w:rPr>
          <w:rFonts w:ascii="Times New Roman" w:eastAsia="Times New Roman" w:hAnsi="Times New Roman" w:cs="Times New Roman"/>
          <w:color w:val="000000"/>
          <w:spacing w:val="0"/>
          <w:w w:val="100"/>
          <w:position w:val="0"/>
        </w:rPr>
        <w:t>“</w:t>
      </w:r>
      <w:r>
        <w:rPr>
          <w:color w:val="000000"/>
          <w:spacing w:val="0"/>
          <w:w w:val="100"/>
          <w:position w:val="0"/>
        </w:rPr>
        <w:t>第五节重要事项''之</w:t>
      </w:r>
      <w:r>
        <w:rPr>
          <w:rFonts w:ascii="Times New Roman" w:eastAsia="Times New Roman" w:hAnsi="Times New Roman" w:cs="Times New Roman"/>
          <w:color w:val="000000"/>
          <w:spacing w:val="0"/>
          <w:w w:val="100"/>
          <w:position w:val="0"/>
        </w:rPr>
        <w:t>“</w:t>
      </w:r>
      <w:r>
        <w:rPr>
          <w:color w:val="000000"/>
          <w:spacing w:val="0"/>
          <w:w w:val="100"/>
          <w:position w:val="0"/>
        </w:rPr>
        <w:t>十七、 重大合同及其履行情况</w:t>
      </w:r>
      <w:r>
        <w:rPr>
          <w:rFonts w:ascii="Times New Roman" w:eastAsia="Times New Roman" w:hAnsi="Times New Roman" w:cs="Times New Roman"/>
          <w:color w:val="000000"/>
          <w:spacing w:val="0"/>
          <w:w w:val="100"/>
          <w:position w:val="0"/>
        </w:rPr>
        <w:t>3</w:t>
      </w:r>
      <w:r>
        <w:rPr>
          <w:color w:val="000000"/>
          <w:spacing w:val="0"/>
          <w:w w:val="100"/>
          <w:position w:val="0"/>
        </w:rPr>
        <w:t>、委托他人进行现金资产管理情况</w:t>
      </w:r>
      <w:r>
        <w:rPr>
          <w:rFonts w:ascii="Times New Roman" w:eastAsia="Times New Roman" w:hAnsi="Times New Roman" w:cs="Times New Roman"/>
          <w:color w:val="000000"/>
          <w:spacing w:val="0"/>
          <w:w w:val="100"/>
          <w:position w:val="0"/>
        </w:rPr>
        <w:t>”</w:t>
      </w:r>
      <w:r>
        <w:rPr>
          <w:color w:val="000000"/>
          <w:spacing w:val="0"/>
          <w:w w:val="100"/>
          <w:position w:val="0"/>
        </w:rPr>
        <w:t>。</w:t>
      </w:r>
      <w:bookmarkEnd w:id="191"/>
      <w:bookmarkEnd w:id="192"/>
    </w:p>
    <w:p>
      <w:pPr>
        <w:pStyle w:val="Style16"/>
        <w:keepNext w:val="0"/>
        <w:keepLines w:val="0"/>
        <w:widowControl w:val="0"/>
        <w:shd w:val="clear" w:color="auto" w:fill="auto"/>
        <w:bidi w:val="0"/>
        <w:spacing w:before="0" w:after="60" w:line="240" w:lineRule="auto"/>
        <w:ind w:left="0" w:right="240" w:firstLine="0"/>
        <w:jc w:val="right"/>
      </w:pPr>
      <w:r>
        <mc:AlternateContent>
          <mc:Choice Requires="wps">
            <w:drawing>
              <wp:anchor distT="0" distB="0" distL="114300" distR="114300" simplePos="0" relativeHeight="125829388" behindDoc="0" locked="0" layoutInCell="1" allowOverlap="1">
                <wp:simplePos x="0" y="0"/>
                <wp:positionH relativeFrom="page">
                  <wp:posOffset>902970</wp:posOffset>
                </wp:positionH>
                <wp:positionV relativeFrom="paragraph">
                  <wp:posOffset>12700</wp:posOffset>
                </wp:positionV>
                <wp:extent cx="1804670" cy="173990"/>
                <wp:wrapSquare wrapText="bothSides"/>
                <wp:docPr id="33" name="Shape 33"/>
                <a:graphic xmlns:a="http://schemas.openxmlformats.org/drawingml/2006/main">
                  <a:graphicData uri="http://schemas.microsoft.com/office/word/2010/wordprocessingShape">
                    <wps:wsp>
                      <wps:cNvSpPr txBox="1"/>
                      <wps:spPr>
                        <a:xfrm>
                          <a:ext cx="1804670" cy="17399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pPr>
                            <w:bookmarkStart w:id="193" w:name="bookmark193"/>
                            <w:r>
                              <w:rPr>
                                <w:rFonts w:ascii="Times New Roman" w:eastAsia="Times New Roman" w:hAnsi="Times New Roman" w:cs="Times New Roman"/>
                                <w:b/>
                                <w:bCs/>
                                <w:color w:val="000000"/>
                                <w:spacing w:val="0"/>
                                <w:w w:val="100"/>
                                <w:position w:val="0"/>
                              </w:rPr>
                              <w:t>4</w:t>
                            </w:r>
                            <w:r>
                              <w:rPr>
                                <w:b/>
                                <w:bCs/>
                                <w:color w:val="000000"/>
                                <w:spacing w:val="0"/>
                                <w:w w:val="100"/>
                                <w:position w:val="0"/>
                              </w:rPr>
                              <w:t>、以公允价值计量的金融资产</w:t>
                            </w:r>
                            <w:bookmarkEnd w:id="193"/>
                          </w:p>
                        </w:txbxContent>
                      </wps:txbx>
                      <wps:bodyPr wrap="none" lIns="0" tIns="0" rIns="0" bIns="0">
                        <a:noAutoFit/>
                      </wps:bodyPr>
                    </wps:wsp>
                  </a:graphicData>
                </a:graphic>
              </wp:anchor>
            </w:drawing>
          </mc:Choice>
          <mc:Fallback>
            <w:pict>
              <v:shape id="_x0000_s1059" type="#_x0000_t202" style="position:absolute;margin-left:71.100000000000009pt;margin-top:1.pt;width:142.09999999999999pt;height:13.700000000000001pt;z-index:-125829365;mso-wrap-distance-left:9.pt;mso-wrap-distance-right:9.pt;mso-position-horizontal-relative:page" filled="f" stroked="f">
                <v:textbox inset="0,0,0,0">
                  <w:txbxContent>
                    <w:p>
                      <w:pPr>
                        <w:pStyle w:val="Style16"/>
                        <w:keepNext w:val="0"/>
                        <w:keepLines w:val="0"/>
                        <w:widowControl w:val="0"/>
                        <w:shd w:val="clear" w:color="auto" w:fill="auto"/>
                        <w:bidi w:val="0"/>
                        <w:spacing w:before="0" w:after="0" w:line="240" w:lineRule="auto"/>
                        <w:ind w:left="0" w:right="0" w:firstLine="0"/>
                        <w:jc w:val="left"/>
                      </w:pPr>
                      <w:bookmarkStart w:id="193" w:name="bookmark193"/>
                      <w:r>
                        <w:rPr>
                          <w:rFonts w:ascii="Times New Roman" w:eastAsia="Times New Roman" w:hAnsi="Times New Roman" w:cs="Times New Roman"/>
                          <w:b/>
                          <w:bCs/>
                          <w:color w:val="000000"/>
                          <w:spacing w:val="0"/>
                          <w:w w:val="100"/>
                          <w:position w:val="0"/>
                        </w:rPr>
                        <w:t>4</w:t>
                      </w:r>
                      <w:r>
                        <w:rPr>
                          <w:b/>
                          <w:bCs/>
                          <w:color w:val="000000"/>
                          <w:spacing w:val="0"/>
                          <w:w w:val="100"/>
                          <w:position w:val="0"/>
                        </w:rPr>
                        <w:t>、以公允价值计量的金融资产</w:t>
                      </w:r>
                      <w:bookmarkEnd w:id="193"/>
                    </w:p>
                  </w:txbxContent>
                </v:textbox>
                <w10:wrap type="square" anchorx="page"/>
              </v:shape>
            </w:pict>
          </mc:Fallback>
        </mc:AlternateContent>
      </w:r>
      <w:r>
        <w:rPr>
          <w:i/>
          <w:iCs/>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 xml:space="preserve">不适用 </w:t>
      </w:r>
      <w:r>
        <w:rPr>
          <w:color w:val="000000"/>
          <w:spacing w:val="0"/>
          <w:w w:val="100"/>
          <w:position w:val="0"/>
        </w:rPr>
        <w:t>单位：元</w:t>
      </w:r>
    </w:p>
    <w:tbl>
      <w:tblPr>
        <w:tblOverlap w:val="never"/>
        <w:jc w:val="center"/>
        <w:tblLayout w:type="fixed"/>
      </w:tblPr>
      <w:tblGrid>
        <w:gridCol w:w="1392"/>
        <w:gridCol w:w="1555"/>
        <w:gridCol w:w="1704"/>
        <w:gridCol w:w="1843"/>
        <w:gridCol w:w="1843"/>
        <w:gridCol w:w="1555"/>
        <w:gridCol w:w="1421"/>
        <w:gridCol w:w="1699"/>
        <w:gridCol w:w="1003"/>
      </w:tblGrid>
      <w:tr>
        <w:trPr>
          <w:trHeight w:val="7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b/>
                <w:bCs/>
                <w:color w:val="000000"/>
                <w:spacing w:val="0"/>
                <w:w w:val="100"/>
                <w:position w:val="0"/>
              </w:rPr>
              <w:t>资产类别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初始投资成本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6" w:lineRule="exact"/>
              <w:ind w:left="0" w:right="0" w:firstLine="0"/>
              <w:jc w:val="center"/>
            </w:pPr>
            <w:r>
              <w:rPr>
                <w:b/>
                <w:bCs/>
                <w:color w:val="000000"/>
                <w:spacing w:val="0"/>
                <w:w w:val="100"/>
                <w:position w:val="0"/>
              </w:rPr>
              <w:t>本期公允价值 变动损益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55" w:lineRule="exact"/>
              <w:ind w:left="0" w:right="0" w:firstLine="0"/>
              <w:jc w:val="center"/>
            </w:pPr>
            <w:r>
              <w:rPr>
                <w:b/>
                <w:bCs/>
                <w:color w:val="000000"/>
                <w:spacing w:val="0"/>
                <w:w w:val="100"/>
                <w:position w:val="0"/>
              </w:rPr>
              <w:t>计入权益的 累计公允价值变动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rPr>
              <w:t>报告期购入金额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报告期售出金额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累计投资收益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b/>
                <w:bCs/>
                <w:color w:val="000000"/>
                <w:spacing w:val="0"/>
                <w:w w:val="100"/>
                <w:position w:val="0"/>
              </w:rPr>
              <w:t>期末金额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资金来源</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-27,533,979.49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202,863.97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220,295.67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20,472,814.26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自有</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自有</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资管计划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11,224.35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1,011,224.35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自有</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结构性存款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459,744.13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自有</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224,647,699.00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-14,927,592.00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3,160,000.00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245,616,630.00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自有</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297,130,000.00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-62,799,197.37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108,135,218.00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自有</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13,620,000.00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-10,215,000.00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3,405,000.00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自有</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537,397,699.00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-115,464,544.51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125,822,863.97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118,220,295.67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24,092,558.39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359,168,072.35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9" w:line="1" w:lineRule="exact"/>
      </w:pPr>
    </w:p>
    <w:p>
      <w:pPr>
        <w:pStyle w:val="Style16"/>
        <w:keepNext w:val="0"/>
        <w:keepLines w:val="0"/>
        <w:widowControl w:val="0"/>
        <w:shd w:val="clear" w:color="auto" w:fill="auto"/>
        <w:bidi w:val="0"/>
        <w:spacing w:before="0" w:after="340" w:line="240" w:lineRule="auto"/>
        <w:ind w:left="0" w:right="0" w:firstLine="0"/>
        <w:jc w:val="left"/>
      </w:pPr>
      <w:r>
        <w:rPr>
          <w:color w:val="000000"/>
          <w:spacing w:val="0"/>
          <w:w w:val="100"/>
          <w:position w:val="0"/>
        </w:rPr>
        <w:t>注：该表不含国盛证券及其下属企业从事日常经营活动涉及的股票、基金、债券等投资行为形成的资产。</w:t>
      </w:r>
    </w:p>
    <w:p>
      <w:pPr>
        <w:pStyle w:val="Style16"/>
        <w:keepNext w:val="0"/>
        <w:keepLines w:val="0"/>
        <w:widowControl w:val="0"/>
        <w:shd w:val="clear" w:color="auto" w:fill="auto"/>
        <w:bidi w:val="0"/>
        <w:spacing w:before="0" w:after="340" w:line="240" w:lineRule="auto"/>
        <w:ind w:left="0" w:right="0" w:firstLine="0"/>
        <w:jc w:val="left"/>
      </w:pPr>
      <w:r>
        <mc:AlternateContent>
          <mc:Choice Requires="wps">
            <w:drawing>
              <wp:anchor distT="0" distB="0" distL="114300" distR="114300" simplePos="0" relativeHeight="125829390" behindDoc="0" locked="0" layoutInCell="1" allowOverlap="1">
                <wp:simplePos x="0" y="0"/>
                <wp:positionH relativeFrom="page">
                  <wp:posOffset>8721090</wp:posOffset>
                </wp:positionH>
                <wp:positionV relativeFrom="paragraph">
                  <wp:posOffset>12700</wp:posOffset>
                </wp:positionV>
                <wp:extent cx="1042670" cy="186055"/>
                <wp:wrapSquare wrapText="left"/>
                <wp:docPr id="35" name="Shape 35"/>
                <a:graphic xmlns:a="http://schemas.openxmlformats.org/drawingml/2006/main">
                  <a:graphicData uri="http://schemas.microsoft.com/office/word/2010/wordprocessingShape">
                    <wps:wsp>
                      <wps:cNvSpPr txBox="1"/>
                      <wps:spPr>
                        <a:xfrm>
                          <a:ext cx="1042670" cy="18605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txbxContent>
                      </wps:txbx>
                      <wps:bodyPr wrap="none" lIns="0" tIns="0" rIns="0" bIns="0">
                        <a:noAutoFit/>
                      </wps:bodyPr>
                    </wps:wsp>
                  </a:graphicData>
                </a:graphic>
              </wp:anchor>
            </w:drawing>
          </mc:Choice>
          <mc:Fallback>
            <w:pict>
              <v:shape id="_x0000_s1061" type="#_x0000_t202" style="position:absolute;margin-left:686.70000000000005pt;margin-top:1.pt;width:82.100000000000009pt;height:14.65pt;z-index:-125829363;mso-wrap-distance-left:9.pt;mso-wrap-distance-right:9.pt;mso-position-horizontal-relative:page" filled="f" stroked="f">
                <v:textbox inset="0,0,0,0">
                  <w:txbxContent>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txbxContent>
                </v:textbox>
                <w10:wrap type="square" side="left" anchorx="page"/>
              </v:shape>
            </w:pict>
          </mc:Fallback>
        </mc:AlternateContent>
      </w:r>
      <w:bookmarkStart w:id="194" w:name="bookmark194"/>
      <w:bookmarkStart w:id="195" w:name="bookmark195"/>
      <w:r>
        <w:rPr>
          <w:rFonts w:ascii="Times New Roman" w:eastAsia="Times New Roman" w:hAnsi="Times New Roman" w:cs="Times New Roman"/>
          <w:b/>
          <w:bCs/>
          <w:color w:val="000000"/>
          <w:spacing w:val="0"/>
          <w:w w:val="100"/>
          <w:position w:val="0"/>
        </w:rPr>
        <w:t>5</w:t>
      </w:r>
      <w:bookmarkEnd w:id="194"/>
      <w:r>
        <w:rPr>
          <w:b/>
          <w:bCs/>
          <w:color w:val="000000"/>
          <w:spacing w:val="0"/>
          <w:w w:val="100"/>
          <w:position w:val="0"/>
        </w:rPr>
        <w:t>、募集资金使用情况</w:t>
      </w:r>
      <w:bookmarkEnd w:id="195"/>
    </w:p>
    <w:p>
      <w:pPr>
        <w:pStyle w:val="Style29"/>
        <w:keepNext/>
        <w:keepLines/>
        <w:widowControl w:val="0"/>
        <w:shd w:val="clear" w:color="auto" w:fill="auto"/>
        <w:bidi w:val="0"/>
        <w:spacing w:before="0" w:after="340" w:line="240" w:lineRule="auto"/>
        <w:ind w:left="0" w:right="0" w:firstLine="0"/>
        <w:jc w:val="left"/>
      </w:pPr>
      <w:bookmarkStart w:id="196" w:name="bookmark196"/>
      <w:bookmarkStart w:id="197" w:name="bookmark197"/>
      <w:bookmarkStart w:id="198" w:name="bookmark198"/>
      <w:bookmarkStart w:id="199" w:name="bookmark199"/>
      <w:r>
        <w:rPr>
          <w:color w:val="000000"/>
          <w:spacing w:val="0"/>
          <w:w w:val="100"/>
          <w:position w:val="0"/>
          <w:sz w:val="24"/>
          <w:szCs w:val="24"/>
        </w:rPr>
        <w:t>六</w:t>
      </w:r>
      <w:bookmarkEnd w:id="198"/>
      <w:r>
        <w:rPr>
          <w:color w:val="000000"/>
          <w:spacing w:val="0"/>
          <w:w w:val="100"/>
          <w:position w:val="0"/>
          <w:sz w:val="24"/>
          <w:szCs w:val="24"/>
        </w:rPr>
        <w:t>、重大资产和股权出售</w:t>
      </w:r>
      <w:bookmarkEnd w:id="196"/>
      <w:bookmarkEnd w:id="197"/>
      <w:bookmarkEnd w:id="199"/>
    </w:p>
    <w:tbl>
      <w:tblPr>
        <w:tblOverlap w:val="never"/>
        <w:jc w:val="center"/>
        <w:tblLayout w:type="fixed"/>
      </w:tblPr>
      <w:tblGrid>
        <w:gridCol w:w="9202"/>
        <w:gridCol w:w="4810"/>
      </w:tblGrid>
      <w:tr>
        <w:trPr>
          <w:trHeight w:val="446"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bookmarkStart w:id="200" w:name="bookmark200"/>
            <w:r>
              <w:rPr>
                <w:rFonts w:ascii="Times New Roman" w:eastAsia="Times New Roman" w:hAnsi="Times New Roman" w:cs="Times New Roman"/>
                <w:b/>
                <w:bCs/>
                <w:color w:val="000000"/>
                <w:spacing w:val="0"/>
                <w:w w:val="100"/>
                <w:position w:val="0"/>
              </w:rPr>
              <w:t>1</w:t>
            </w:r>
            <w:r>
              <w:rPr>
                <w:b/>
                <w:bCs/>
                <w:color w:val="000000"/>
                <w:spacing w:val="0"/>
                <w:w w:val="100"/>
                <w:position w:val="0"/>
              </w:rPr>
              <w:t>、出售重大资产情况</w:t>
            </w:r>
            <w:bookmarkEnd w:id="200"/>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tc>
      </w:tr>
      <w:tr>
        <w:trPr>
          <w:trHeight w:val="610"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bookmarkStart w:id="201" w:name="bookmark201"/>
            <w:r>
              <w:rPr>
                <w:rFonts w:ascii="Times New Roman" w:eastAsia="Times New Roman" w:hAnsi="Times New Roman" w:cs="Times New Roman"/>
                <w:b/>
                <w:bCs/>
                <w:color w:val="000000"/>
                <w:spacing w:val="0"/>
                <w:w w:val="100"/>
                <w:position w:val="0"/>
              </w:rPr>
              <w:t>2</w:t>
            </w:r>
            <w:r>
              <w:rPr>
                <w:b/>
                <w:bCs/>
                <w:color w:val="000000"/>
                <w:spacing w:val="0"/>
                <w:w w:val="100"/>
                <w:position w:val="0"/>
              </w:rPr>
              <w:t>、出售重大股权情况</w:t>
            </w:r>
            <w:bookmarkEnd w:id="201"/>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tc>
      </w:tr>
      <w:tr>
        <w:trPr>
          <w:trHeight w:val="451"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4"/>
                <w:szCs w:val="24"/>
              </w:rPr>
            </w:pPr>
            <w:bookmarkStart w:id="202" w:name="bookmark202"/>
            <w:r>
              <w:rPr>
                <w:b/>
                <w:bCs/>
                <w:color w:val="000000"/>
                <w:spacing w:val="0"/>
                <w:w w:val="100"/>
                <w:position w:val="0"/>
                <w:sz w:val="24"/>
                <w:szCs w:val="24"/>
              </w:rPr>
              <w:t>七、主要控股参股公司分析</w:t>
            </w:r>
            <w:bookmarkEnd w:id="202"/>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c>
      </w:tr>
    </w:tbl>
    <w:p>
      <w:pPr>
        <w:widowControl w:val="0"/>
        <w:spacing w:after="339" w:line="1" w:lineRule="exact"/>
      </w:pPr>
    </w:p>
    <w:p>
      <w:pPr>
        <w:widowControl w:val="0"/>
        <w:spacing w:line="1" w:lineRule="exact"/>
      </w:pPr>
    </w:p>
    <w:tbl>
      <w:tblPr>
        <w:tblOverlap w:val="never"/>
        <w:jc w:val="center"/>
        <w:tblLayout w:type="fixed"/>
      </w:tblPr>
      <w:tblGrid>
        <w:gridCol w:w="9202"/>
        <w:gridCol w:w="4814"/>
      </w:tblGrid>
      <w:tr>
        <w:trPr>
          <w:trHeight w:val="600"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、主要子公司及对本集团净利润影响达</w:t>
            </w:r>
            <w:r>
              <w:rPr>
                <w:rFonts w:ascii="Times New Roman" w:eastAsia="Times New Roman" w:hAnsi="Times New Roman" w:cs="Times New Roman"/>
                <w:color w:val="000000"/>
                <w:spacing w:val="0"/>
                <w:w w:val="100"/>
                <w:position w:val="0"/>
              </w:rPr>
              <w:t>10%</w:t>
            </w:r>
            <w:r>
              <w:rPr>
                <w:color w:val="000000"/>
                <w:spacing w:val="0"/>
                <w:w w:val="100"/>
                <w:position w:val="0"/>
              </w:rPr>
              <w:t>以上的参股公司情况</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bl>
    <w:p>
      <w:pPr>
        <w:widowControl w:val="0"/>
        <w:spacing w:line="1" w:lineRule="exact"/>
      </w:pPr>
      <w:r>
        <w:br w:type="page"/>
      </w:r>
    </w:p>
    <w:tbl>
      <w:tblPr>
        <w:tblOverlap w:val="never"/>
        <w:jc w:val="center"/>
        <w:tblLayout w:type="fixed"/>
      </w:tblPr>
      <w:tblGrid>
        <w:gridCol w:w="2678"/>
        <w:gridCol w:w="994"/>
        <w:gridCol w:w="1003"/>
        <w:gridCol w:w="1560"/>
        <w:gridCol w:w="1709"/>
        <w:gridCol w:w="1570"/>
        <w:gridCol w:w="1570"/>
        <w:gridCol w:w="1382"/>
        <w:gridCol w:w="1565"/>
      </w:tblGrid>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公司名称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公司类型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主要业务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b/>
                <w:bCs/>
                <w:color w:val="000000"/>
                <w:spacing w:val="0"/>
                <w:w w:val="100"/>
                <w:position w:val="0"/>
              </w:rPr>
              <w:t>注册资本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总资产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净资产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b/>
                <w:bCs/>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营业利润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净利润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国盛证券有限责任公司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4,695,346,247.95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25,670,027,961.55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9,640,698,835.24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1,785,932,899.22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205,453,665.39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153,873,882.49</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国盛证券资产管理有限公司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证券资产 管理业务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434,734,616.20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417,992,423.40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81,188,877.12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-58,556,181.93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-64,340,932.32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珠海横琴极盛科技有限公司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46,436,888.08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-159,539,427.63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9,009,210.42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-50,490,490.56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-50,609,424.61</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Qudian Inc.</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消费金融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13,398,032,000.00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11,909,844,000.00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3,687,974,000.00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865,598,000.00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958,819,000.00</w:t>
            </w:r>
          </w:p>
        </w:tc>
      </w:tr>
    </w:tbl>
    <w:p>
      <w:pPr>
        <w:widowControl w:val="0"/>
        <w:spacing w:after="79" w:line="1" w:lineRule="exact"/>
      </w:pPr>
    </w:p>
    <w:p>
      <w:pPr>
        <w:pStyle w:val="Style16"/>
        <w:keepNext w:val="0"/>
        <w:keepLines w:val="0"/>
        <w:widowControl w:val="0"/>
        <w:shd w:val="clear" w:color="auto" w:fill="auto"/>
        <w:bidi w:val="0"/>
        <w:spacing w:before="0" w:after="0" w:line="240" w:lineRule="auto"/>
        <w:ind w:left="0" w:right="0" w:firstLine="0"/>
        <w:jc w:val="left"/>
        <w:sectPr>
          <w:headerReference w:type="default" r:id="rId15"/>
          <w:footerReference w:type="default" r:id="rId16"/>
          <w:footnotePr>
            <w:pos w:val="pageBottom"/>
            <w:numFmt w:val="decimal"/>
            <w:numRestart w:val="continuous"/>
          </w:footnotePr>
          <w:pgSz w:w="16840" w:h="11900" w:orient="landscape"/>
          <w:pgMar w:top="1123" w:right="1379" w:bottom="1445" w:left="1417" w:header="0" w:footer="3" w:gutter="0"/>
          <w:cols w:space="720"/>
          <w:noEndnote/>
          <w:rtlGutter w:val="0"/>
          <w:docGrid w:linePitch="360"/>
        </w:sectPr>
      </w:pPr>
      <w:r>
        <w:rPr>
          <w:color w:val="000000"/>
          <w:spacing w:val="0"/>
          <w:w w:val="100"/>
          <w:position w:val="0"/>
        </w:rPr>
        <w:t>注：上述财务数据为子公司个别财务报表数据。</w:t>
      </w:r>
    </w:p>
    <w:p>
      <w:pPr>
        <w:pStyle w:val="Style16"/>
        <w:keepNext w:val="0"/>
        <w:keepLines w:val="0"/>
        <w:widowControl w:val="0"/>
        <w:shd w:val="clear" w:color="auto" w:fill="auto"/>
        <w:tabs>
          <w:tab w:pos="7742" w:val="left"/>
        </w:tabs>
        <w:bidi w:val="0"/>
        <w:spacing w:before="0" w:after="0" w:line="318" w:lineRule="exact"/>
        <w:ind w:left="0" w:right="0" w:firstLine="0"/>
        <w:jc w:val="left"/>
      </w:pPr>
      <w:bookmarkStart w:id="203" w:name="bookmark203"/>
      <w:r>
        <w:rPr>
          <w:rFonts w:ascii="Times New Roman" w:eastAsia="Times New Roman" w:hAnsi="Times New Roman" w:cs="Times New Roman"/>
          <w:color w:val="000000"/>
          <w:spacing w:val="0"/>
          <w:w w:val="100"/>
          <w:position w:val="0"/>
        </w:rPr>
        <w:t>2</w:t>
      </w:r>
      <w:bookmarkEnd w:id="203"/>
      <w:r>
        <w:rPr>
          <w:color w:val="000000"/>
          <w:spacing w:val="0"/>
          <w:w w:val="100"/>
          <w:position w:val="0"/>
        </w:rPr>
        <w:t>、 报告期取得和处置子公司的情况</w:t>
        <w:tab/>
      </w: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6"/>
        <w:keepNext w:val="0"/>
        <w:keepLines w:val="0"/>
        <w:widowControl w:val="0"/>
        <w:shd w:val="clear" w:color="auto" w:fill="auto"/>
        <w:bidi w:val="0"/>
        <w:spacing w:before="0" w:after="0" w:line="322" w:lineRule="exact"/>
        <w:ind w:left="0" w:right="0" w:firstLine="440"/>
        <w:jc w:val="both"/>
      </w:pPr>
      <w:r>
        <w:rPr>
          <w:color w:val="000000"/>
          <w:spacing w:val="0"/>
          <w:w w:val="100"/>
          <w:position w:val="0"/>
        </w:rPr>
        <w:t>报告期本集团受让取得深圳弘大智合投资合伙企业（有限合伙）</w:t>
      </w:r>
      <w:r>
        <w:rPr>
          <w:rFonts w:ascii="Times New Roman" w:eastAsia="Times New Roman" w:hAnsi="Times New Roman" w:cs="Times New Roman"/>
          <w:color w:val="000000"/>
          <w:spacing w:val="0"/>
          <w:w w:val="100"/>
          <w:position w:val="0"/>
        </w:rPr>
        <w:t>99.95%</w:t>
      </w:r>
      <w:r>
        <w:rPr>
          <w:color w:val="000000"/>
          <w:spacing w:val="0"/>
          <w:w w:val="100"/>
          <w:position w:val="0"/>
        </w:rPr>
        <w:t>的份额，对集团整体经营业绩 影响不大。</w:t>
      </w:r>
    </w:p>
    <w:p>
      <w:pPr>
        <w:pStyle w:val="Style16"/>
        <w:keepNext w:val="0"/>
        <w:keepLines w:val="0"/>
        <w:widowControl w:val="0"/>
        <w:shd w:val="clear" w:color="auto" w:fill="auto"/>
        <w:tabs>
          <w:tab w:pos="430" w:val="left"/>
        </w:tabs>
        <w:bidi w:val="0"/>
        <w:spacing w:before="0" w:after="0" w:line="318" w:lineRule="exact"/>
        <w:ind w:left="0" w:right="0" w:firstLine="0"/>
        <w:jc w:val="left"/>
      </w:pPr>
      <w:bookmarkStart w:id="204" w:name="bookmark204"/>
      <w:r>
        <w:rPr>
          <w:rFonts w:ascii="Times New Roman" w:eastAsia="Times New Roman" w:hAnsi="Times New Roman" w:cs="Times New Roman"/>
          <w:color w:val="000000"/>
          <w:spacing w:val="0"/>
          <w:w w:val="100"/>
          <w:position w:val="0"/>
        </w:rPr>
        <w:t>3</w:t>
      </w:r>
      <w:bookmarkEnd w:id="204"/>
      <w:r>
        <w:rPr>
          <w:color w:val="000000"/>
          <w:spacing w:val="0"/>
          <w:w w:val="100"/>
          <w:position w:val="0"/>
        </w:rPr>
        <w:t>、</w:t>
        <w:tab/>
        <w:t>主要控股参股公司情况</w:t>
      </w:r>
    </w:p>
    <w:p>
      <w:pPr>
        <w:pStyle w:val="Style16"/>
        <w:keepNext w:val="0"/>
        <w:keepLines w:val="0"/>
        <w:widowControl w:val="0"/>
        <w:shd w:val="clear" w:color="auto" w:fill="auto"/>
        <w:bidi w:val="0"/>
        <w:spacing w:before="0" w:after="0" w:line="317" w:lineRule="exact"/>
        <w:ind w:left="0" w:right="0" w:firstLine="440"/>
        <w:jc w:val="both"/>
      </w:pPr>
      <w:r>
        <w:rPr>
          <w:color w:val="000000"/>
          <w:spacing w:val="0"/>
          <w:w w:val="100"/>
          <w:position w:val="0"/>
        </w:rPr>
        <w:t>报告期，国盛证券（单体）实现营业收入</w:t>
      </w:r>
      <w:r>
        <w:rPr>
          <w:rFonts w:ascii="Times New Roman" w:eastAsia="Times New Roman" w:hAnsi="Times New Roman" w:cs="Times New Roman"/>
          <w:color w:val="000000"/>
          <w:spacing w:val="0"/>
          <w:w w:val="100"/>
          <w:position w:val="0"/>
        </w:rPr>
        <w:t>17.86</w:t>
      </w:r>
      <w:r>
        <w:rPr>
          <w:color w:val="000000"/>
          <w:spacing w:val="0"/>
          <w:w w:val="100"/>
          <w:position w:val="0"/>
        </w:rPr>
        <w:t>亿元、营业利润</w:t>
      </w:r>
      <w:r>
        <w:rPr>
          <w:rFonts w:ascii="Times New Roman" w:eastAsia="Times New Roman" w:hAnsi="Times New Roman" w:cs="Times New Roman"/>
          <w:color w:val="000000"/>
          <w:spacing w:val="0"/>
          <w:w w:val="100"/>
          <w:position w:val="0"/>
        </w:rPr>
        <w:t>2.05</w:t>
      </w:r>
      <w:r>
        <w:rPr>
          <w:color w:val="000000"/>
          <w:spacing w:val="0"/>
          <w:w w:val="100"/>
          <w:position w:val="0"/>
        </w:rPr>
        <w:t>亿元、净利润</w:t>
      </w:r>
      <w:r>
        <w:rPr>
          <w:rFonts w:ascii="Times New Roman" w:eastAsia="Times New Roman" w:hAnsi="Times New Roman" w:cs="Times New Roman"/>
          <w:color w:val="000000"/>
          <w:spacing w:val="0"/>
          <w:w w:val="100"/>
          <w:position w:val="0"/>
        </w:rPr>
        <w:t>1.54</w:t>
      </w:r>
      <w:r>
        <w:rPr>
          <w:color w:val="000000"/>
          <w:spacing w:val="0"/>
          <w:w w:val="100"/>
          <w:position w:val="0"/>
        </w:rPr>
        <w:t>亿元，营业收 入较上年同期增长</w:t>
      </w:r>
      <w:r>
        <w:rPr>
          <w:rFonts w:ascii="Times New Roman" w:eastAsia="Times New Roman" w:hAnsi="Times New Roman" w:cs="Times New Roman"/>
          <w:color w:val="000000"/>
          <w:spacing w:val="0"/>
          <w:w w:val="100"/>
          <w:position w:val="0"/>
        </w:rPr>
        <w:t>2.47%</w:t>
      </w:r>
      <w:r>
        <w:rPr>
          <w:color w:val="000000"/>
          <w:spacing w:val="0"/>
          <w:w w:val="100"/>
          <w:position w:val="0"/>
        </w:rPr>
        <w:t>、营业利润和净利润分别较上年同期下降</w:t>
      </w:r>
      <w:r>
        <w:rPr>
          <w:rFonts w:ascii="Times New Roman" w:eastAsia="Times New Roman" w:hAnsi="Times New Roman" w:cs="Times New Roman"/>
          <w:color w:val="000000"/>
          <w:spacing w:val="0"/>
          <w:w w:val="100"/>
          <w:position w:val="0"/>
        </w:rPr>
        <w:t>55.94%</w:t>
      </w:r>
      <w:r>
        <w:rPr>
          <w:color w:val="000000"/>
          <w:spacing w:val="0"/>
          <w:w w:val="100"/>
          <w:position w:val="0"/>
        </w:rPr>
        <w:t>、</w:t>
      </w:r>
      <w:r>
        <w:rPr>
          <w:rFonts w:ascii="Times New Roman" w:eastAsia="Times New Roman" w:hAnsi="Times New Roman" w:cs="Times New Roman"/>
          <w:color w:val="000000"/>
          <w:spacing w:val="0"/>
          <w:w w:val="100"/>
          <w:position w:val="0"/>
        </w:rPr>
        <w:t>56.21%</w:t>
      </w:r>
      <w:r>
        <w:rPr>
          <w:color w:val="000000"/>
          <w:spacing w:val="0"/>
          <w:w w:val="100"/>
          <w:position w:val="0"/>
        </w:rPr>
        <w:t>，主要由于经纪业务收 入大幅增长，相应成本费用较上年同期有所增加；自营业务收益较上年同期大幅减少；信用业务资产计提 减值准备较同期增加。截至期末，总资产、净资产较上年末分别下降</w:t>
      </w:r>
      <w:r>
        <w:rPr>
          <w:rFonts w:ascii="Times New Roman" w:eastAsia="Times New Roman" w:hAnsi="Times New Roman" w:cs="Times New Roman"/>
          <w:color w:val="000000"/>
          <w:spacing w:val="0"/>
          <w:w w:val="100"/>
          <w:position w:val="0"/>
        </w:rPr>
        <w:t>11.12%</w:t>
      </w:r>
      <w:r>
        <w:rPr>
          <w:color w:val="000000"/>
          <w:spacing w:val="0"/>
          <w:w w:val="100"/>
          <w:position w:val="0"/>
        </w:rPr>
        <w:t>、</w:t>
      </w:r>
      <w:r>
        <w:rPr>
          <w:rFonts w:ascii="Times New Roman" w:eastAsia="Times New Roman" w:hAnsi="Times New Roman" w:cs="Times New Roman"/>
          <w:color w:val="000000"/>
          <w:spacing w:val="0"/>
          <w:w w:val="100"/>
          <w:position w:val="0"/>
        </w:rPr>
        <w:t>0.32%</w:t>
      </w:r>
      <w:r>
        <w:rPr>
          <w:color w:val="000000"/>
          <w:spacing w:val="0"/>
          <w:w w:val="100"/>
          <w:position w:val="0"/>
        </w:rPr>
        <w:t>。</w:t>
      </w:r>
    </w:p>
    <w:p>
      <w:pPr>
        <w:pStyle w:val="Style16"/>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报告期，国盛资管（单体）实现营业收入</w:t>
      </w:r>
      <w:r>
        <w:rPr>
          <w:rFonts w:ascii="Times New Roman" w:eastAsia="Times New Roman" w:hAnsi="Times New Roman" w:cs="Times New Roman"/>
          <w:color w:val="000000"/>
          <w:spacing w:val="0"/>
          <w:w w:val="100"/>
          <w:position w:val="0"/>
        </w:rPr>
        <w:t>0.81</w:t>
      </w:r>
      <w:r>
        <w:rPr>
          <w:color w:val="000000"/>
          <w:spacing w:val="0"/>
          <w:w w:val="100"/>
          <w:position w:val="0"/>
        </w:rPr>
        <w:t>亿元、营业利润</w:t>
      </w:r>
      <w:r>
        <w:rPr>
          <w:rFonts w:ascii="Times New Roman" w:eastAsia="Times New Roman" w:hAnsi="Times New Roman" w:cs="Times New Roman"/>
          <w:color w:val="000000"/>
          <w:spacing w:val="0"/>
          <w:w w:val="100"/>
          <w:position w:val="0"/>
        </w:rPr>
        <w:t>-0.59</w:t>
      </w:r>
      <w:r>
        <w:rPr>
          <w:color w:val="000000"/>
          <w:spacing w:val="0"/>
          <w:w w:val="100"/>
          <w:position w:val="0"/>
        </w:rPr>
        <w:t>亿元、净利润</w:t>
      </w:r>
      <w:r>
        <w:rPr>
          <w:rFonts w:ascii="Times New Roman" w:eastAsia="Times New Roman" w:hAnsi="Times New Roman" w:cs="Times New Roman"/>
          <w:color w:val="000000"/>
          <w:spacing w:val="0"/>
          <w:w w:val="100"/>
          <w:position w:val="0"/>
        </w:rPr>
        <w:t>-0.64</w:t>
      </w:r>
      <w:r>
        <w:rPr>
          <w:color w:val="000000"/>
          <w:spacing w:val="0"/>
          <w:w w:val="100"/>
          <w:position w:val="0"/>
        </w:rPr>
        <w:t>亿元，营业收 入较上年同期下降</w:t>
      </w:r>
      <w:r>
        <w:rPr>
          <w:rFonts w:ascii="Times New Roman" w:eastAsia="Times New Roman" w:hAnsi="Times New Roman" w:cs="Times New Roman"/>
          <w:color w:val="000000"/>
          <w:spacing w:val="0"/>
          <w:w w:val="100"/>
          <w:position w:val="0"/>
        </w:rPr>
        <w:t>16.71%</w:t>
      </w:r>
      <w:r>
        <w:rPr>
          <w:color w:val="000000"/>
          <w:spacing w:val="0"/>
          <w:w w:val="100"/>
          <w:position w:val="0"/>
        </w:rPr>
        <w:t>、营业利润和净利润较上年同期下降</w:t>
      </w:r>
      <w:r>
        <w:rPr>
          <w:rFonts w:ascii="Times New Roman" w:eastAsia="Times New Roman" w:hAnsi="Times New Roman" w:cs="Times New Roman"/>
          <w:color w:val="000000"/>
          <w:spacing w:val="0"/>
          <w:w w:val="100"/>
          <w:position w:val="0"/>
        </w:rPr>
        <w:t>84.12%</w:t>
      </w:r>
      <w:r>
        <w:rPr>
          <w:color w:val="000000"/>
          <w:spacing w:val="0"/>
          <w:w w:val="100"/>
          <w:position w:val="0"/>
        </w:rPr>
        <w:t>、</w:t>
      </w:r>
      <w:r>
        <w:rPr>
          <w:rFonts w:ascii="Times New Roman" w:eastAsia="Times New Roman" w:hAnsi="Times New Roman" w:cs="Times New Roman"/>
          <w:color w:val="000000"/>
          <w:spacing w:val="0"/>
          <w:w w:val="100"/>
          <w:position w:val="0"/>
        </w:rPr>
        <w:t>140.31%</w:t>
      </w:r>
      <w:r>
        <w:rPr>
          <w:color w:val="000000"/>
          <w:spacing w:val="0"/>
          <w:w w:val="100"/>
          <w:position w:val="0"/>
        </w:rPr>
        <w:t xml:space="preserve">，主要由于资管规模下降， 营业收入较上年同期减少，同时计提减值准备较上年同期增加。截至期末，总资产、净资产分别较上年末 下降 </w:t>
      </w:r>
      <w:r>
        <w:rPr>
          <w:rFonts w:ascii="Times New Roman" w:eastAsia="Times New Roman" w:hAnsi="Times New Roman" w:cs="Times New Roman"/>
          <w:color w:val="000000"/>
          <w:spacing w:val="0"/>
          <w:w w:val="100"/>
          <w:position w:val="0"/>
        </w:rPr>
        <w:t>12.84%</w:t>
      </w:r>
      <w:r>
        <w:rPr>
          <w:color w:val="000000"/>
          <w:spacing w:val="0"/>
          <w:w w:val="100"/>
          <w:position w:val="0"/>
        </w:rPr>
        <w:t>、</w:t>
      </w:r>
      <w:r>
        <w:rPr>
          <w:rFonts w:ascii="Times New Roman" w:eastAsia="Times New Roman" w:hAnsi="Times New Roman" w:cs="Times New Roman"/>
          <w:color w:val="000000"/>
          <w:spacing w:val="0"/>
          <w:w w:val="100"/>
          <w:position w:val="0"/>
        </w:rPr>
        <w:t>13.34%</w:t>
      </w:r>
      <w:r>
        <w:rPr>
          <w:color w:val="000000"/>
          <w:spacing w:val="0"/>
          <w:w w:val="100"/>
          <w:position w:val="0"/>
        </w:rPr>
        <w:t>。</w:t>
      </w:r>
    </w:p>
    <w:p>
      <w:pPr>
        <w:pStyle w:val="Style16"/>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报告期，极盛科技（单体）营业收入较上年同期下降</w:t>
      </w:r>
      <w:r>
        <w:rPr>
          <w:rFonts w:ascii="Times New Roman" w:eastAsia="Times New Roman" w:hAnsi="Times New Roman" w:cs="Times New Roman"/>
          <w:color w:val="000000"/>
          <w:spacing w:val="0"/>
          <w:w w:val="100"/>
          <w:position w:val="0"/>
        </w:rPr>
        <w:t>76.01%</w:t>
      </w:r>
      <w:r>
        <w:rPr>
          <w:color w:val="000000"/>
          <w:spacing w:val="0"/>
          <w:w w:val="100"/>
          <w:position w:val="0"/>
        </w:rPr>
        <w:t>，营业利润较上年同期增长</w:t>
      </w:r>
      <w:r>
        <w:rPr>
          <w:rFonts w:ascii="Times New Roman" w:eastAsia="Times New Roman" w:hAnsi="Times New Roman" w:cs="Times New Roman"/>
          <w:color w:val="000000"/>
          <w:spacing w:val="0"/>
          <w:w w:val="100"/>
          <w:position w:val="0"/>
        </w:rPr>
        <w:t>1.04%</w:t>
      </w:r>
      <w:r>
        <w:rPr>
          <w:color w:val="000000"/>
          <w:spacing w:val="0"/>
          <w:w w:val="100"/>
          <w:position w:val="0"/>
        </w:rPr>
        <w:t>，净利 润较上年同期增长</w:t>
      </w:r>
      <w:r>
        <w:rPr>
          <w:rFonts w:ascii="Times New Roman" w:eastAsia="Times New Roman" w:hAnsi="Times New Roman" w:cs="Times New Roman"/>
          <w:color w:val="000000"/>
          <w:spacing w:val="0"/>
          <w:w w:val="100"/>
          <w:position w:val="0"/>
        </w:rPr>
        <w:t>1.39%</w:t>
      </w:r>
      <w:r>
        <w:rPr>
          <w:color w:val="000000"/>
          <w:spacing w:val="0"/>
          <w:w w:val="100"/>
          <w:position w:val="0"/>
        </w:rPr>
        <w:t>，主要由于极盛科技收缩业务范围，聚焦集团信息化建设并有效控成本，营业收 入虽大幅减少但净利润基本持平。截至期末，总资产、净资产分别较上年末下降</w:t>
      </w:r>
      <w:r>
        <w:rPr>
          <w:rFonts w:ascii="Times New Roman" w:eastAsia="Times New Roman" w:hAnsi="Times New Roman" w:cs="Times New Roman"/>
          <w:color w:val="000000"/>
          <w:spacing w:val="0"/>
          <w:w w:val="100"/>
          <w:position w:val="0"/>
        </w:rPr>
        <w:t>48.75%</w:t>
      </w:r>
      <w:r>
        <w:rPr>
          <w:color w:val="000000"/>
          <w:spacing w:val="0"/>
          <w:w w:val="100"/>
          <w:position w:val="0"/>
        </w:rPr>
        <w:t>、</w:t>
      </w:r>
      <w:r>
        <w:rPr>
          <w:rFonts w:ascii="Times New Roman" w:eastAsia="Times New Roman" w:hAnsi="Times New Roman" w:cs="Times New Roman"/>
          <w:color w:val="000000"/>
          <w:spacing w:val="0"/>
          <w:w w:val="100"/>
          <w:position w:val="0"/>
        </w:rPr>
        <w:t>46.08%</w:t>
      </w:r>
      <w:r>
        <w:rPr>
          <w:color w:val="000000"/>
          <w:spacing w:val="0"/>
          <w:w w:val="100"/>
          <w:position w:val="0"/>
        </w:rPr>
        <w:t>。</w:t>
      </w:r>
    </w:p>
    <w:p>
      <w:pPr>
        <w:pStyle w:val="Style16"/>
        <w:keepNext w:val="0"/>
        <w:keepLines w:val="0"/>
        <w:widowControl w:val="0"/>
        <w:shd w:val="clear" w:color="auto" w:fill="auto"/>
        <w:bidi w:val="0"/>
        <w:spacing w:before="0" w:after="340" w:line="312" w:lineRule="exact"/>
        <w:ind w:left="0" w:right="0" w:firstLine="440"/>
        <w:jc w:val="both"/>
      </w:pPr>
      <w:r>
        <w:rPr>
          <w:color w:val="000000"/>
          <w:spacing w:val="0"/>
          <w:w w:val="100"/>
          <w:position w:val="0"/>
        </w:rPr>
        <w:t>报告期，</w:t>
      </w:r>
      <w:r>
        <w:rPr>
          <w:rFonts w:ascii="Times New Roman" w:eastAsia="Times New Roman" w:hAnsi="Times New Roman" w:cs="Times New Roman"/>
          <w:color w:val="000000"/>
          <w:spacing w:val="0"/>
          <w:w w:val="100"/>
          <w:position w:val="0"/>
        </w:rPr>
        <w:t>QD</w:t>
      </w:r>
      <w:r>
        <w:rPr>
          <w:color w:val="000000"/>
          <w:spacing w:val="0"/>
          <w:w w:val="100"/>
          <w:position w:val="0"/>
        </w:rPr>
        <w:t>营业利润、净利润分别较上年同期下降</w:t>
      </w:r>
      <w:r>
        <w:rPr>
          <w:rFonts w:ascii="Times New Roman" w:eastAsia="Times New Roman" w:hAnsi="Times New Roman" w:cs="Times New Roman"/>
          <w:color w:val="000000"/>
          <w:spacing w:val="0"/>
          <w:w w:val="100"/>
          <w:position w:val="0"/>
        </w:rPr>
        <w:t>77.51%</w:t>
      </w:r>
      <w:r>
        <w:rPr>
          <w:color w:val="000000"/>
          <w:spacing w:val="0"/>
          <w:w w:val="100"/>
          <w:position w:val="0"/>
        </w:rPr>
        <w:t>、</w:t>
      </w:r>
      <w:r>
        <w:rPr>
          <w:rFonts w:ascii="Times New Roman" w:eastAsia="Times New Roman" w:hAnsi="Times New Roman" w:cs="Times New Roman"/>
          <w:color w:val="000000"/>
          <w:spacing w:val="0"/>
          <w:w w:val="100"/>
          <w:position w:val="0"/>
        </w:rPr>
        <w:t>70.63%</w:t>
      </w:r>
      <w:r>
        <w:rPr>
          <w:color w:val="000000"/>
          <w:spacing w:val="0"/>
          <w:w w:val="100"/>
          <w:position w:val="0"/>
        </w:rPr>
        <w:t>。期末总资产、净资产分别较上 年末下降</w:t>
      </w:r>
      <w:r>
        <w:rPr>
          <w:rFonts w:ascii="Times New Roman" w:eastAsia="Times New Roman" w:hAnsi="Times New Roman" w:cs="Times New Roman"/>
          <w:color w:val="000000"/>
          <w:spacing w:val="0"/>
          <w:w w:val="100"/>
          <w:position w:val="0"/>
        </w:rPr>
        <w:t>27.03%</w:t>
      </w:r>
      <w:r>
        <w:rPr>
          <w:color w:val="000000"/>
          <w:spacing w:val="0"/>
          <w:w w:val="100"/>
          <w:position w:val="0"/>
        </w:rPr>
        <w:t>、</w:t>
      </w:r>
      <w:r>
        <w:rPr>
          <w:rFonts w:ascii="Times New Roman" w:eastAsia="Times New Roman" w:hAnsi="Times New Roman" w:cs="Times New Roman"/>
          <w:color w:val="000000"/>
          <w:spacing w:val="0"/>
          <w:w w:val="100"/>
          <w:position w:val="0"/>
        </w:rPr>
        <w:t>0.12%</w:t>
      </w:r>
      <w:r>
        <w:rPr>
          <w:color w:val="000000"/>
          <w:spacing w:val="0"/>
          <w:w w:val="100"/>
          <w:position w:val="0"/>
        </w:rPr>
        <w:t>,主要由于趣店主动收缩信贷业务规模导致融资类收入大幅减少，同时布局新业 务增加投入成本。</w:t>
      </w:r>
    </w:p>
    <w:p>
      <w:pPr>
        <w:pStyle w:val="Style2"/>
        <w:keepNext w:val="0"/>
        <w:keepLines w:val="0"/>
        <w:widowControl w:val="0"/>
        <w:shd w:val="clear" w:color="auto" w:fill="auto"/>
        <w:tabs>
          <w:tab w:pos="519" w:val="left"/>
          <w:tab w:pos="8006" w:val="left"/>
        </w:tabs>
        <w:bidi w:val="0"/>
        <w:spacing w:before="0" w:after="340" w:line="240" w:lineRule="auto"/>
        <w:ind w:left="0" w:right="0" w:firstLine="0"/>
        <w:jc w:val="left"/>
      </w:pPr>
      <w:bookmarkStart w:id="205" w:name="bookmark205"/>
      <w:bookmarkStart w:id="206" w:name="bookmark206"/>
      <w:r>
        <w:rPr>
          <w:b/>
          <w:bCs/>
          <w:color w:val="000000"/>
          <w:spacing w:val="0"/>
          <w:w w:val="100"/>
          <w:position w:val="0"/>
          <w:sz w:val="24"/>
          <w:szCs w:val="24"/>
        </w:rPr>
        <w:t>八</w:t>
      </w:r>
      <w:bookmarkEnd w:id="205"/>
      <w:r>
        <w:rPr>
          <w:b/>
          <w:bCs/>
          <w:color w:val="000000"/>
          <w:spacing w:val="0"/>
          <w:w w:val="100"/>
          <w:position w:val="0"/>
          <w:sz w:val="24"/>
          <w:szCs w:val="24"/>
        </w:rPr>
        <w:t>、</w:t>
        <w:tab/>
        <w:t>公司控制的结构化主体情况</w:t>
        <w:tab/>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bookmarkEnd w:id="206"/>
    </w:p>
    <w:p>
      <w:pPr>
        <w:pStyle w:val="Style29"/>
        <w:keepNext/>
        <w:keepLines/>
        <w:widowControl w:val="0"/>
        <w:shd w:val="clear" w:color="auto" w:fill="auto"/>
        <w:tabs>
          <w:tab w:pos="519" w:val="left"/>
        </w:tabs>
        <w:bidi w:val="0"/>
        <w:spacing w:before="0" w:after="260" w:line="240" w:lineRule="auto"/>
        <w:ind w:left="0" w:right="0" w:firstLine="0"/>
        <w:jc w:val="left"/>
      </w:pPr>
      <w:bookmarkStart w:id="207" w:name="bookmark207"/>
      <w:bookmarkStart w:id="208" w:name="bookmark208"/>
      <w:bookmarkStart w:id="209" w:name="bookmark209"/>
      <w:bookmarkStart w:id="210" w:name="bookmark210"/>
      <w:bookmarkStart w:id="211" w:name="bookmark211"/>
      <w:r>
        <w:rPr>
          <w:color w:val="000000"/>
          <w:spacing w:val="0"/>
          <w:w w:val="100"/>
          <w:position w:val="0"/>
          <w:sz w:val="24"/>
          <w:szCs w:val="24"/>
        </w:rPr>
        <w:t>九</w:t>
      </w:r>
      <w:bookmarkEnd w:id="209"/>
      <w:r>
        <w:rPr>
          <w:color w:val="000000"/>
          <w:spacing w:val="0"/>
          <w:w w:val="100"/>
          <w:position w:val="0"/>
          <w:sz w:val="24"/>
          <w:szCs w:val="24"/>
        </w:rPr>
        <w:t>、</w:t>
        <w:tab/>
        <w:t>公司未来发展的展望</w:t>
      </w:r>
      <w:bookmarkEnd w:id="207"/>
      <w:bookmarkEnd w:id="208"/>
      <w:bookmarkEnd w:id="210"/>
      <w:bookmarkEnd w:id="211"/>
    </w:p>
    <w:p>
      <w:pPr>
        <w:pStyle w:val="Style16"/>
        <w:keepNext w:val="0"/>
        <w:keepLines w:val="0"/>
        <w:widowControl w:val="0"/>
        <w:shd w:val="clear" w:color="auto" w:fill="auto"/>
        <w:tabs>
          <w:tab w:pos="1031" w:val="left"/>
        </w:tabs>
        <w:bidi w:val="0"/>
        <w:spacing w:before="0" w:after="0" w:line="318" w:lineRule="exact"/>
        <w:ind w:left="0" w:right="0" w:firstLine="440"/>
        <w:jc w:val="both"/>
      </w:pPr>
      <w:bookmarkStart w:id="212" w:name="bookmark212"/>
      <w:bookmarkStart w:id="213" w:name="bookmark213"/>
      <w:r>
        <w:rPr>
          <w:color w:val="000000"/>
          <w:spacing w:val="0"/>
          <w:w w:val="100"/>
          <w:position w:val="0"/>
        </w:rPr>
        <w:t>（</w:t>
      </w:r>
      <w:bookmarkEnd w:id="212"/>
      <w:r>
        <w:rPr>
          <w:color w:val="000000"/>
          <w:spacing w:val="0"/>
          <w:w w:val="100"/>
          <w:position w:val="0"/>
        </w:rPr>
        <w:t>一）</w:t>
        <w:tab/>
        <w:t>未来发展战略</w:t>
      </w:r>
      <w:bookmarkEnd w:id="213"/>
    </w:p>
    <w:p>
      <w:pPr>
        <w:pStyle w:val="Style16"/>
        <w:keepNext w:val="0"/>
        <w:keepLines w:val="0"/>
        <w:widowControl w:val="0"/>
        <w:shd w:val="clear" w:color="auto" w:fill="auto"/>
        <w:bidi w:val="0"/>
        <w:spacing w:before="0" w:after="0" w:line="318" w:lineRule="exact"/>
        <w:ind w:left="0" w:right="0" w:firstLine="440"/>
        <w:jc w:val="both"/>
      </w:pPr>
      <w:bookmarkStart w:id="214" w:name="bookmark214"/>
      <w:r>
        <w:rPr>
          <w:rFonts w:ascii="Times New Roman" w:eastAsia="Times New Roman" w:hAnsi="Times New Roman" w:cs="Times New Roman"/>
          <w:color w:val="000000"/>
          <w:spacing w:val="0"/>
          <w:w w:val="100"/>
          <w:position w:val="0"/>
        </w:rPr>
        <w:t>2021</w:t>
      </w:r>
      <w:r>
        <w:rPr>
          <w:color w:val="000000"/>
          <w:spacing w:val="0"/>
          <w:w w:val="100"/>
          <w:position w:val="0"/>
        </w:rPr>
        <w:t>年，面对错综复杂的外部市场环境，公司将继续贯彻“稳定经营、防控风险”的经营方针，力争 做到“稳中有进”，以“稳”为基础和前提，以“进”为目标和方向，不断优化业务结构，推进降本增效， 实现业务收益增长，确保公司健康可持续性发展。</w:t>
      </w:r>
      <w:bookmarkEnd w:id="214"/>
    </w:p>
    <w:p>
      <w:pPr>
        <w:pStyle w:val="Style16"/>
        <w:keepNext w:val="0"/>
        <w:keepLines w:val="0"/>
        <w:widowControl w:val="0"/>
        <w:shd w:val="clear" w:color="auto" w:fill="auto"/>
        <w:bidi w:val="0"/>
        <w:spacing w:before="0" w:after="0" w:line="318" w:lineRule="exact"/>
        <w:ind w:left="0" w:right="0" w:firstLine="440"/>
        <w:jc w:val="both"/>
      </w:pPr>
      <w:r>
        <w:rPr>
          <w:color w:val="000000"/>
          <w:spacing w:val="0"/>
          <w:w w:val="100"/>
          <w:position w:val="0"/>
        </w:rPr>
        <w:t>相较上年度，公司发展战略和长期经营目标没有改变。</w:t>
      </w:r>
    </w:p>
    <w:p>
      <w:pPr>
        <w:pStyle w:val="Style16"/>
        <w:keepNext w:val="0"/>
        <w:keepLines w:val="0"/>
        <w:widowControl w:val="0"/>
        <w:shd w:val="clear" w:color="auto" w:fill="auto"/>
        <w:tabs>
          <w:tab w:pos="1031" w:val="left"/>
        </w:tabs>
        <w:bidi w:val="0"/>
        <w:spacing w:before="0" w:after="0" w:line="318" w:lineRule="exact"/>
        <w:ind w:left="0" w:right="0" w:firstLine="440"/>
        <w:jc w:val="both"/>
      </w:pPr>
      <w:bookmarkStart w:id="215" w:name="bookmark215"/>
      <w:r>
        <w:rPr>
          <w:color w:val="000000"/>
          <w:spacing w:val="0"/>
          <w:w w:val="100"/>
          <w:position w:val="0"/>
        </w:rPr>
        <w:t>（</w:t>
      </w:r>
      <w:bookmarkEnd w:id="215"/>
      <w:r>
        <w:rPr>
          <w:color w:val="000000"/>
          <w:spacing w:val="0"/>
          <w:w w:val="100"/>
          <w:position w:val="0"/>
        </w:rPr>
        <w:t>二）</w:t>
        <w:tab/>
      </w:r>
      <w:r>
        <w:rPr>
          <w:rFonts w:ascii="Times New Roman" w:eastAsia="Times New Roman" w:hAnsi="Times New Roman" w:cs="Times New Roman"/>
          <w:color w:val="000000"/>
          <w:spacing w:val="0"/>
          <w:w w:val="100"/>
          <w:position w:val="0"/>
        </w:rPr>
        <w:t>2021</w:t>
      </w:r>
      <w:r>
        <w:rPr>
          <w:color w:val="000000"/>
          <w:spacing w:val="0"/>
          <w:w w:val="100"/>
          <w:position w:val="0"/>
        </w:rPr>
        <w:t>年度工作规划</w:t>
      </w:r>
    </w:p>
    <w:p>
      <w:pPr>
        <w:pStyle w:val="Style16"/>
        <w:keepNext w:val="0"/>
        <w:keepLines w:val="0"/>
        <w:widowControl w:val="0"/>
        <w:shd w:val="clear" w:color="auto" w:fill="auto"/>
        <w:tabs>
          <w:tab w:pos="791" w:val="left"/>
        </w:tabs>
        <w:bidi w:val="0"/>
        <w:spacing w:before="0" w:after="0" w:line="318" w:lineRule="exact"/>
        <w:ind w:left="0" w:right="0" w:firstLine="440"/>
        <w:jc w:val="both"/>
      </w:pPr>
      <w:bookmarkStart w:id="216" w:name="bookmark216"/>
      <w:r>
        <w:rPr>
          <w:rFonts w:ascii="Times New Roman" w:eastAsia="Times New Roman" w:hAnsi="Times New Roman" w:cs="Times New Roman"/>
          <w:color w:val="000000"/>
          <w:spacing w:val="0"/>
          <w:w w:val="100"/>
          <w:position w:val="0"/>
        </w:rPr>
        <w:t>1</w:t>
      </w:r>
      <w:bookmarkEnd w:id="216"/>
      <w:r>
        <w:rPr>
          <w:color w:val="000000"/>
          <w:spacing w:val="0"/>
          <w:w w:val="100"/>
          <w:position w:val="0"/>
        </w:rPr>
        <w:t>、</w:t>
        <w:tab/>
        <w:t>积极推进公司债券偿付风险的化解工作</w:t>
      </w:r>
    </w:p>
    <w:p>
      <w:pPr>
        <w:pStyle w:val="Style16"/>
        <w:keepNext w:val="0"/>
        <w:keepLines w:val="0"/>
        <w:widowControl w:val="0"/>
        <w:shd w:val="clear" w:color="auto" w:fill="auto"/>
        <w:bidi w:val="0"/>
        <w:spacing w:before="0" w:after="0" w:line="318"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年，公司面临的债券偿付压力依然十分严峻，公司将继续与相关方持续沟通，对外开拓融资渠道， 对内统筹各类资源，共同推动公司债券偿付问题的解决，确保公司经营的基本面保持稳定。</w:t>
      </w:r>
    </w:p>
    <w:p>
      <w:pPr>
        <w:pStyle w:val="Style16"/>
        <w:keepNext w:val="0"/>
        <w:keepLines w:val="0"/>
        <w:widowControl w:val="0"/>
        <w:shd w:val="clear" w:color="auto" w:fill="auto"/>
        <w:tabs>
          <w:tab w:pos="810" w:val="left"/>
        </w:tabs>
        <w:bidi w:val="0"/>
        <w:spacing w:before="0" w:after="0" w:line="318" w:lineRule="exact"/>
        <w:ind w:left="0" w:right="0" w:firstLine="440"/>
        <w:jc w:val="both"/>
      </w:pPr>
      <w:bookmarkStart w:id="217" w:name="bookmark217"/>
      <w:r>
        <w:rPr>
          <w:rFonts w:ascii="Times New Roman" w:eastAsia="Times New Roman" w:hAnsi="Times New Roman" w:cs="Times New Roman"/>
          <w:color w:val="000000"/>
          <w:spacing w:val="0"/>
          <w:w w:val="100"/>
          <w:position w:val="0"/>
        </w:rPr>
        <w:t>2</w:t>
      </w:r>
      <w:bookmarkEnd w:id="217"/>
      <w:r>
        <w:rPr>
          <w:color w:val="000000"/>
          <w:spacing w:val="0"/>
          <w:w w:val="100"/>
          <w:position w:val="0"/>
        </w:rPr>
        <w:t>、</w:t>
        <w:tab/>
        <w:t>做大做强自身优势，实现业务稳健增长</w:t>
      </w:r>
    </w:p>
    <w:p>
      <w:pPr>
        <w:pStyle w:val="Style16"/>
        <w:keepNext w:val="0"/>
        <w:keepLines w:val="0"/>
        <w:widowControl w:val="0"/>
        <w:shd w:val="clear" w:color="auto" w:fill="auto"/>
        <w:bidi w:val="0"/>
        <w:spacing w:before="0" w:after="0" w:line="318" w:lineRule="exact"/>
        <w:ind w:left="0" w:right="0" w:firstLine="440"/>
        <w:jc w:val="both"/>
      </w:pPr>
      <w:r>
        <w:rPr>
          <w:color w:val="000000"/>
          <w:spacing w:val="0"/>
          <w:w w:val="100"/>
          <w:position w:val="0"/>
        </w:rPr>
        <w:t>公司将继续贯彻以“证券为核心、投资为纽带、科技为支撑”的战略指引，充分发挥证券研究业务和 各业务条线的协同带动能力，做大做强自身优势，提高经营水平。</w:t>
      </w:r>
    </w:p>
    <w:p>
      <w:pPr>
        <w:pStyle w:val="Style16"/>
        <w:keepNext w:val="0"/>
        <w:keepLines w:val="0"/>
        <w:widowControl w:val="0"/>
        <w:shd w:val="clear" w:color="auto" w:fill="auto"/>
        <w:bidi w:val="0"/>
        <w:spacing w:before="0" w:after="0" w:line="318"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年，证券业务将基于以下四点发展：一是做大客户总量，重点拓展高净值客户和机构客户，确保 稳步提升市占率和盈利能力，继续推动向财富管理的转型；二是持续开发证券研究领域，增强公司内部横 向协作，在投顾业务和引进头部基金产品业务方向持续发力；三是发挥江西本土优势，在江西省内全力提 高经纪业务市占率，服务当地企业资本市场需求，发挥本土券商优势；四是利用多总部的布局优势，在长 三角、珠三角、京津冀等沿海发达区域深耕细作，积极扩展市场份额。</w:t>
      </w:r>
    </w:p>
    <w:p>
      <w:pPr>
        <w:pStyle w:val="Style16"/>
        <w:keepNext w:val="0"/>
        <w:keepLines w:val="0"/>
        <w:widowControl w:val="0"/>
        <w:shd w:val="clear" w:color="auto" w:fill="auto"/>
        <w:bidi w:val="0"/>
        <w:spacing w:before="0" w:after="0" w:line="318"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年，公司将积极开拓股权基金融资渠道，寻求与优质企业合作。同时，公司将持续推动金融科技 的发展，助力金融业务提升服务效率、盈利能力和风控水平。</w:t>
      </w:r>
    </w:p>
    <w:p>
      <w:pPr>
        <w:pStyle w:val="Style16"/>
        <w:keepNext w:val="0"/>
        <w:keepLines w:val="0"/>
        <w:widowControl w:val="0"/>
        <w:shd w:val="clear" w:color="auto" w:fill="auto"/>
        <w:tabs>
          <w:tab w:pos="810" w:val="left"/>
        </w:tabs>
        <w:bidi w:val="0"/>
        <w:spacing w:before="0" w:after="0" w:line="318" w:lineRule="exact"/>
        <w:ind w:left="0" w:right="0" w:firstLine="440"/>
        <w:jc w:val="both"/>
      </w:pPr>
      <w:bookmarkStart w:id="218" w:name="bookmark218"/>
      <w:r>
        <w:rPr>
          <w:rFonts w:ascii="Times New Roman" w:eastAsia="Times New Roman" w:hAnsi="Times New Roman" w:cs="Times New Roman"/>
          <w:color w:val="000000"/>
          <w:spacing w:val="0"/>
          <w:w w:val="100"/>
          <w:position w:val="0"/>
        </w:rPr>
        <w:t>3</w:t>
      </w:r>
      <w:bookmarkEnd w:id="218"/>
      <w:r>
        <w:rPr>
          <w:color w:val="000000"/>
          <w:spacing w:val="0"/>
          <w:w w:val="100"/>
          <w:position w:val="0"/>
        </w:rPr>
        <w:t>、</w:t>
        <w:tab/>
        <w:t>提高风控水平，坚持合规经营</w:t>
      </w:r>
    </w:p>
    <w:p>
      <w:pPr>
        <w:pStyle w:val="Style16"/>
        <w:keepNext w:val="0"/>
        <w:keepLines w:val="0"/>
        <w:widowControl w:val="0"/>
        <w:shd w:val="clear" w:color="auto" w:fill="auto"/>
        <w:bidi w:val="0"/>
        <w:spacing w:before="0" w:after="80" w:line="318" w:lineRule="exact"/>
        <w:ind w:left="0" w:right="0" w:firstLine="440"/>
        <w:jc w:val="both"/>
      </w:pPr>
      <w:r>
        <w:rPr>
          <w:color w:val="000000"/>
          <w:spacing w:val="0"/>
          <w:w w:val="100"/>
          <w:position w:val="0"/>
        </w:rPr>
        <w:t xml:space="preserve">公司始终坚持合规经营作为发展业务的底线，提高全体人员的风险管控意识，做到风险控制关口前移， </w:t>
      </w:r>
      <w:r>
        <w:rPr>
          <w:color w:val="000000"/>
          <w:spacing w:val="0"/>
          <w:w w:val="100"/>
          <w:position w:val="0"/>
        </w:rPr>
        <w:t>持续完善制度建设，优化业务流程，提高研究能力及分析判断能力，将各项业务做到稳扎稳打，专业高效。 对于存量业务，公司将持续重视其后续管理和风险预警工作，提高风控水平，用最高的效率将风险控制在 最低程度。</w:t>
      </w:r>
    </w:p>
    <w:p>
      <w:pPr>
        <w:pStyle w:val="Style16"/>
        <w:keepNext w:val="0"/>
        <w:keepLines w:val="0"/>
        <w:widowControl w:val="0"/>
        <w:shd w:val="clear" w:color="auto" w:fill="auto"/>
        <w:bidi w:val="0"/>
        <w:spacing w:before="0" w:after="0" w:line="329" w:lineRule="auto"/>
        <w:ind w:left="0" w:right="0" w:firstLine="440"/>
        <w:jc w:val="both"/>
      </w:pPr>
      <w:bookmarkStart w:id="219" w:name="bookmark219"/>
      <w:r>
        <w:rPr>
          <w:rFonts w:ascii="Times New Roman" w:eastAsia="Times New Roman" w:hAnsi="Times New Roman" w:cs="Times New Roman"/>
          <w:color w:val="000000"/>
          <w:spacing w:val="0"/>
          <w:w w:val="100"/>
          <w:position w:val="0"/>
        </w:rPr>
        <w:t>4</w:t>
      </w:r>
      <w:bookmarkEnd w:id="219"/>
      <w:r>
        <w:rPr>
          <w:color w:val="000000"/>
          <w:spacing w:val="0"/>
          <w:w w:val="100"/>
          <w:position w:val="0"/>
        </w:rPr>
        <w:t>、持续加强内部管理，合理配置经营资源</w:t>
      </w:r>
    </w:p>
    <w:p>
      <w:pPr>
        <w:pStyle w:val="Style16"/>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公司将以“抓利润，控成本”为目的加强内部管理，提高全员创新力、竞争力和执行力，建立有效薪 酬考核制度，提升人均效能。同时，多维度全方面进行成本控制，推进公司整体的降费增效。</w:t>
      </w:r>
    </w:p>
    <w:p>
      <w:pPr>
        <w:pStyle w:val="Style16"/>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此外，公司将结合市场形势，确定经营资源的配置，对持续亏损、扭亏无望的业务团队和分支机构坚 决整合，并对投资项目进行合理分析，设定相应退出机制。</w:t>
      </w:r>
    </w:p>
    <w:p>
      <w:pPr>
        <w:pStyle w:val="Style16"/>
        <w:keepNext w:val="0"/>
        <w:keepLines w:val="0"/>
        <w:widowControl w:val="0"/>
        <w:shd w:val="clear" w:color="auto" w:fill="auto"/>
        <w:bidi w:val="0"/>
        <w:spacing w:before="0" w:after="0" w:line="314"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年是我国“十四五”规划开局之年，机遇与挑战并存，双循环经济格局的转型是强国发展的必由 之路，把握产业发展趋势，推动创新发展，亦是公司自身发展的迫切需求。公司将带领全体员工继续拼搏 奋进、稳中求进，努力将公司建设成为“专业、创新、开放”具有核心竞争力的综合性金融服务平台！</w:t>
      </w:r>
    </w:p>
    <w:p>
      <w:pPr>
        <w:pStyle w:val="Style16"/>
        <w:keepNext w:val="0"/>
        <w:keepLines w:val="0"/>
        <w:widowControl w:val="0"/>
        <w:shd w:val="clear" w:color="auto" w:fill="auto"/>
        <w:tabs>
          <w:tab w:pos="990" w:val="left"/>
        </w:tabs>
        <w:bidi w:val="0"/>
        <w:spacing w:before="0" w:after="80" w:line="314" w:lineRule="exact"/>
        <w:ind w:left="0" w:right="0" w:firstLine="440"/>
        <w:jc w:val="both"/>
      </w:pPr>
      <w:bookmarkStart w:id="220" w:name="bookmark220"/>
      <w:r>
        <w:rPr>
          <w:color w:val="000000"/>
          <w:spacing w:val="0"/>
          <w:w w:val="100"/>
          <w:position w:val="0"/>
        </w:rPr>
        <w:t>（</w:t>
      </w:r>
      <w:bookmarkEnd w:id="220"/>
      <w:r>
        <w:rPr>
          <w:color w:val="000000"/>
          <w:spacing w:val="0"/>
          <w:w w:val="100"/>
          <w:position w:val="0"/>
        </w:rPr>
        <w:t>三）</w:t>
        <w:tab/>
        <w:t>未来重点资本支出计划</w:t>
      </w:r>
    </w:p>
    <w:p>
      <w:pPr>
        <w:pStyle w:val="Style16"/>
        <w:keepNext w:val="0"/>
        <w:keepLines w:val="0"/>
        <w:widowControl w:val="0"/>
        <w:shd w:val="clear" w:color="auto" w:fill="auto"/>
        <w:bidi w:val="0"/>
        <w:spacing w:before="0" w:after="0" w:line="329" w:lineRule="auto"/>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年公司无重大基建扩能类项目投资计划。</w:t>
      </w:r>
    </w:p>
    <w:p>
      <w:pPr>
        <w:pStyle w:val="Style16"/>
        <w:keepNext w:val="0"/>
        <w:keepLines w:val="0"/>
        <w:widowControl w:val="0"/>
        <w:shd w:val="clear" w:color="auto" w:fill="auto"/>
        <w:tabs>
          <w:tab w:pos="990" w:val="left"/>
        </w:tabs>
        <w:bidi w:val="0"/>
        <w:spacing w:before="0" w:after="0" w:line="314" w:lineRule="exact"/>
        <w:ind w:left="0" w:right="0" w:firstLine="440"/>
        <w:jc w:val="both"/>
      </w:pPr>
      <w:bookmarkStart w:id="221" w:name="bookmark221"/>
      <w:r>
        <w:rPr>
          <w:color w:val="000000"/>
          <w:spacing w:val="0"/>
          <w:w w:val="100"/>
          <w:position w:val="0"/>
        </w:rPr>
        <w:t>（</w:t>
      </w:r>
      <w:bookmarkEnd w:id="221"/>
      <w:r>
        <w:rPr>
          <w:color w:val="000000"/>
          <w:spacing w:val="0"/>
          <w:w w:val="100"/>
          <w:position w:val="0"/>
        </w:rPr>
        <w:t>四）</w:t>
        <w:tab/>
        <w:t>公司面临的风险</w:t>
      </w:r>
    </w:p>
    <w:p>
      <w:pPr>
        <w:pStyle w:val="Style16"/>
        <w:keepNext w:val="0"/>
        <w:keepLines w:val="0"/>
        <w:widowControl w:val="0"/>
        <w:shd w:val="clear" w:color="auto" w:fill="auto"/>
        <w:bidi w:val="0"/>
        <w:spacing w:before="0" w:after="80" w:line="314" w:lineRule="exact"/>
        <w:ind w:left="0" w:right="0" w:firstLine="440"/>
        <w:jc w:val="both"/>
      </w:pPr>
      <w:r>
        <w:rPr>
          <w:color w:val="000000"/>
          <w:spacing w:val="0"/>
          <w:w w:val="100"/>
          <w:position w:val="0"/>
        </w:rPr>
        <w:t>报告期，影响本集团业务经营活动的风险主要有政策风险、经营风险、管理风险、流动性风险、诉讼 风险、特殊事项等，主要表现在以下方面：</w:t>
      </w:r>
    </w:p>
    <w:p>
      <w:pPr>
        <w:pStyle w:val="Style16"/>
        <w:keepNext w:val="0"/>
        <w:keepLines w:val="0"/>
        <w:widowControl w:val="0"/>
        <w:shd w:val="clear" w:color="auto" w:fill="auto"/>
        <w:tabs>
          <w:tab w:pos="757" w:val="left"/>
        </w:tabs>
        <w:bidi w:val="0"/>
        <w:spacing w:before="0" w:after="0" w:line="329" w:lineRule="auto"/>
        <w:ind w:left="0" w:right="0" w:firstLine="440"/>
        <w:jc w:val="both"/>
      </w:pPr>
      <w:bookmarkStart w:id="222" w:name="bookmark222"/>
      <w:r>
        <w:rPr>
          <w:rFonts w:ascii="Times New Roman" w:eastAsia="Times New Roman" w:hAnsi="Times New Roman" w:cs="Times New Roman"/>
          <w:color w:val="000000"/>
          <w:spacing w:val="0"/>
          <w:w w:val="100"/>
          <w:position w:val="0"/>
        </w:rPr>
        <w:t>1</w:t>
      </w:r>
      <w:bookmarkEnd w:id="222"/>
      <w:r>
        <w:rPr>
          <w:color w:val="000000"/>
          <w:spacing w:val="0"/>
          <w:w w:val="100"/>
          <w:position w:val="0"/>
        </w:rPr>
        <w:t>、</w:t>
        <w:tab/>
        <w:t>政策风险</w:t>
      </w:r>
    </w:p>
    <w:p>
      <w:pPr>
        <w:pStyle w:val="Style16"/>
        <w:keepNext w:val="0"/>
        <w:keepLines w:val="0"/>
        <w:widowControl w:val="0"/>
        <w:shd w:val="clear" w:color="auto" w:fill="auto"/>
        <w:bidi w:val="0"/>
        <w:spacing w:before="0" w:after="80" w:line="314" w:lineRule="exact"/>
        <w:ind w:left="0" w:right="0" w:firstLine="440"/>
        <w:jc w:val="both"/>
      </w:pPr>
      <w:r>
        <w:rPr>
          <w:color w:val="000000"/>
          <w:spacing w:val="0"/>
          <w:w w:val="100"/>
          <w:position w:val="0"/>
        </w:rPr>
        <w:t>集团经营受国家相关法律、法规及规范性文件的规制，涉及证券、投资行业的法律、法规及政策发生 变化时，可能会引起证券市场的波动和证券、投资行业发展环境的变化，继而影响本集团业务的经营管理 和业务开展。</w:t>
      </w:r>
    </w:p>
    <w:p>
      <w:pPr>
        <w:pStyle w:val="Style16"/>
        <w:keepNext w:val="0"/>
        <w:keepLines w:val="0"/>
        <w:widowControl w:val="0"/>
        <w:shd w:val="clear" w:color="auto" w:fill="auto"/>
        <w:tabs>
          <w:tab w:pos="769" w:val="left"/>
        </w:tabs>
        <w:bidi w:val="0"/>
        <w:spacing w:before="0" w:after="0" w:line="329" w:lineRule="auto"/>
        <w:ind w:left="0" w:right="0" w:firstLine="440"/>
        <w:jc w:val="both"/>
      </w:pPr>
      <w:bookmarkStart w:id="223" w:name="bookmark223"/>
      <w:r>
        <w:rPr>
          <w:rFonts w:ascii="Times New Roman" w:eastAsia="Times New Roman" w:hAnsi="Times New Roman" w:cs="Times New Roman"/>
          <w:color w:val="000000"/>
          <w:spacing w:val="0"/>
          <w:w w:val="100"/>
          <w:position w:val="0"/>
        </w:rPr>
        <w:t>2</w:t>
      </w:r>
      <w:bookmarkEnd w:id="223"/>
      <w:r>
        <w:rPr>
          <w:color w:val="000000"/>
          <w:spacing w:val="0"/>
          <w:w w:val="100"/>
          <w:position w:val="0"/>
        </w:rPr>
        <w:t>、</w:t>
        <w:tab/>
        <w:t>经营风险</w:t>
      </w:r>
    </w:p>
    <w:p>
      <w:pPr>
        <w:pStyle w:val="Style16"/>
        <w:keepNext w:val="0"/>
        <w:keepLines w:val="0"/>
        <w:widowControl w:val="0"/>
        <w:shd w:val="clear" w:color="auto" w:fill="auto"/>
        <w:tabs>
          <w:tab w:pos="977" w:val="left"/>
        </w:tabs>
        <w:bidi w:val="0"/>
        <w:spacing w:before="0" w:after="0" w:line="314" w:lineRule="exact"/>
        <w:ind w:left="0" w:right="0" w:firstLine="440"/>
        <w:jc w:val="both"/>
      </w:pPr>
      <w:bookmarkStart w:id="224" w:name="bookmark224"/>
      <w:r>
        <w:rPr>
          <w:color w:val="000000"/>
          <w:spacing w:val="0"/>
          <w:w w:val="100"/>
          <w:position w:val="0"/>
        </w:rPr>
        <w:t>（</w:t>
      </w:r>
      <w:bookmarkEnd w:id="224"/>
      <w:r>
        <w:rPr>
          <w:rFonts w:ascii="Times New Roman" w:eastAsia="Times New Roman" w:hAnsi="Times New Roman" w:cs="Times New Roman"/>
          <w:color w:val="000000"/>
          <w:spacing w:val="0"/>
          <w:w w:val="100"/>
          <w:position w:val="0"/>
        </w:rPr>
        <w:t>1</w:t>
      </w:r>
      <w:r>
        <w:rPr>
          <w:color w:val="000000"/>
          <w:spacing w:val="0"/>
          <w:w w:val="100"/>
          <w:position w:val="0"/>
        </w:rPr>
        <w:t>）</w:t>
        <w:tab/>
        <w:t>宏观经济波动风险。本集团所从事的证券、投资等业务均与经济发展状况密切相关。在国民经 济发展的不同时期，国家的宏观经济调控政策会不断进行调整，该类调整将直接影响本集团所处行业经济 形势，并可能造成本集团主营业务盈利能力波动。</w:t>
      </w:r>
    </w:p>
    <w:p>
      <w:pPr>
        <w:pStyle w:val="Style16"/>
        <w:keepNext w:val="0"/>
        <w:keepLines w:val="0"/>
        <w:widowControl w:val="0"/>
        <w:shd w:val="clear" w:color="auto" w:fill="auto"/>
        <w:tabs>
          <w:tab w:pos="977" w:val="left"/>
        </w:tabs>
        <w:bidi w:val="0"/>
        <w:spacing w:before="0" w:after="0" w:line="314" w:lineRule="exact"/>
        <w:ind w:left="0" w:right="0" w:firstLine="440"/>
        <w:jc w:val="both"/>
      </w:pPr>
      <w:bookmarkStart w:id="225" w:name="bookmark225"/>
      <w:r>
        <w:rPr>
          <w:color w:val="000000"/>
          <w:spacing w:val="0"/>
          <w:w w:val="100"/>
          <w:position w:val="0"/>
        </w:rPr>
        <w:t>（</w:t>
      </w:r>
      <w:bookmarkEnd w:id="225"/>
      <w:r>
        <w:rPr>
          <w:rFonts w:ascii="Times New Roman" w:eastAsia="Times New Roman" w:hAnsi="Times New Roman" w:cs="Times New Roman"/>
          <w:color w:val="000000"/>
          <w:spacing w:val="0"/>
          <w:w w:val="100"/>
          <w:position w:val="0"/>
        </w:rPr>
        <w:t>2</w:t>
      </w:r>
      <w:r>
        <w:rPr>
          <w:color w:val="000000"/>
          <w:spacing w:val="0"/>
          <w:w w:val="100"/>
          <w:position w:val="0"/>
        </w:rPr>
        <w:t>）</w:t>
        <w:tab/>
        <w:t>证券业务经营风险。本集团证券业务涉及证券经纪、投资银行、自营投资、资产管理等，经营 状况与宏观经济及资本市场发展状况关系紧密。市场波动和不利的金融或经济状况会对经纪业务产生不利 影响，打击投资者投资信心，证券市场存在活跃程度持续低迷的可能。不利的金融或经济状况和证券市场 政策调整会导致承销保荐及财务顾问业务在项目数量及规模上明显下降，进而影响投资银行业务收入。自 营投资、资产管理业务存在市场研判、投资品种配置操作不当引致的风险，进而对本集团的经营业绩、财 务状况及流动性造成不利影响。另外，随着资本市场改革的不断深入，本集团证券业务经营也面临挑战和 压力，包括业务创新发展复杂化、产品多元化和经营国际化；行业头部集中态势持续发展、行业转型升级 加速也给本集团证券业务经营带来压力。</w:t>
      </w:r>
    </w:p>
    <w:p>
      <w:pPr>
        <w:pStyle w:val="Style16"/>
        <w:keepNext w:val="0"/>
        <w:keepLines w:val="0"/>
        <w:widowControl w:val="0"/>
        <w:shd w:val="clear" w:color="auto" w:fill="auto"/>
        <w:tabs>
          <w:tab w:pos="977" w:val="left"/>
        </w:tabs>
        <w:bidi w:val="0"/>
        <w:spacing w:before="0" w:after="0" w:line="314" w:lineRule="exact"/>
        <w:ind w:left="0" w:right="0" w:firstLine="440"/>
        <w:jc w:val="both"/>
      </w:pPr>
      <w:bookmarkStart w:id="226" w:name="bookmark226"/>
      <w:r>
        <w:rPr>
          <w:color w:val="000000"/>
          <w:spacing w:val="0"/>
          <w:w w:val="100"/>
          <w:position w:val="0"/>
        </w:rPr>
        <w:t>（</w:t>
      </w:r>
      <w:bookmarkEnd w:id="226"/>
      <w:r>
        <w:rPr>
          <w:rFonts w:ascii="Times New Roman" w:eastAsia="Times New Roman" w:hAnsi="Times New Roman" w:cs="Times New Roman"/>
          <w:color w:val="000000"/>
          <w:spacing w:val="0"/>
          <w:w w:val="100"/>
          <w:position w:val="0"/>
        </w:rPr>
        <w:t>3</w:t>
      </w:r>
      <w:r>
        <w:rPr>
          <w:color w:val="000000"/>
          <w:spacing w:val="0"/>
          <w:w w:val="100"/>
          <w:position w:val="0"/>
        </w:rPr>
        <w:t>）</w:t>
        <w:tab/>
        <w:t>投资业务经营风险。股权投资存在投资退出和资金流动性风险。直接投资业务的投资周期较长， 退出方式较为单一，这在一定程度增加了直接投资业务的经营风险。投资管理业务受私募投资市场融资端、 投资端景气度双重影响。近年经济下行压力带来的不确定性导致私募股权市场出现募资困境，这也对本集 团私募股权投资业务发展带来不利影响。</w:t>
      </w:r>
    </w:p>
    <w:p>
      <w:pPr>
        <w:pStyle w:val="Style16"/>
        <w:keepNext w:val="0"/>
        <w:keepLines w:val="0"/>
        <w:widowControl w:val="0"/>
        <w:shd w:val="clear" w:color="auto" w:fill="auto"/>
        <w:tabs>
          <w:tab w:pos="977" w:val="left"/>
        </w:tabs>
        <w:bidi w:val="0"/>
        <w:spacing w:before="0" w:after="80" w:line="315" w:lineRule="exact"/>
        <w:ind w:left="0" w:right="0" w:firstLine="440"/>
        <w:jc w:val="both"/>
      </w:pPr>
      <w:bookmarkStart w:id="227" w:name="bookmark227"/>
      <w:r>
        <w:rPr>
          <w:color w:val="000000"/>
          <w:spacing w:val="0"/>
          <w:w w:val="100"/>
          <w:position w:val="0"/>
        </w:rPr>
        <w:t>（</w:t>
      </w:r>
      <w:bookmarkEnd w:id="227"/>
      <w:r>
        <w:rPr>
          <w:rFonts w:ascii="Times New Roman" w:eastAsia="Times New Roman" w:hAnsi="Times New Roman" w:cs="Times New Roman"/>
          <w:color w:val="000000"/>
          <w:spacing w:val="0"/>
          <w:w w:val="100"/>
          <w:position w:val="0"/>
        </w:rPr>
        <w:t>4</w:t>
      </w:r>
      <w:r>
        <w:rPr>
          <w:color w:val="000000"/>
          <w:spacing w:val="0"/>
          <w:w w:val="100"/>
          <w:position w:val="0"/>
        </w:rPr>
        <w:t>）</w:t>
        <w:tab/>
        <w:t>金融科技业务经营风险。金融科技行业具有研究开发时间长、前期投入成本大、技术更新迭代 快等特点，如果研究成果不能及时转化成市场化的产品、无法持续对科技研发进行投入或未能及时跟随行 业技术变化，将会给本集团金融科技业务带来不利影响。</w:t>
      </w:r>
    </w:p>
    <w:p>
      <w:pPr>
        <w:pStyle w:val="Style16"/>
        <w:keepNext w:val="0"/>
        <w:keepLines w:val="0"/>
        <w:widowControl w:val="0"/>
        <w:shd w:val="clear" w:color="auto" w:fill="auto"/>
        <w:tabs>
          <w:tab w:pos="769" w:val="left"/>
        </w:tabs>
        <w:bidi w:val="0"/>
        <w:spacing w:before="0" w:after="0" w:line="329" w:lineRule="auto"/>
        <w:ind w:left="0" w:right="0" w:firstLine="440"/>
        <w:jc w:val="both"/>
      </w:pPr>
      <w:bookmarkStart w:id="228" w:name="bookmark228"/>
      <w:r>
        <w:rPr>
          <w:rFonts w:ascii="Times New Roman" w:eastAsia="Times New Roman" w:hAnsi="Times New Roman" w:cs="Times New Roman"/>
          <w:color w:val="000000"/>
          <w:spacing w:val="0"/>
          <w:w w:val="100"/>
          <w:position w:val="0"/>
        </w:rPr>
        <w:t>3</w:t>
      </w:r>
      <w:bookmarkEnd w:id="228"/>
      <w:r>
        <w:rPr>
          <w:color w:val="000000"/>
          <w:spacing w:val="0"/>
          <w:w w:val="100"/>
          <w:position w:val="0"/>
        </w:rPr>
        <w:t>、</w:t>
        <w:tab/>
        <w:t>管理风险</w:t>
      </w:r>
    </w:p>
    <w:p>
      <w:pPr>
        <w:pStyle w:val="Style16"/>
        <w:keepNext w:val="0"/>
        <w:keepLines w:val="0"/>
        <w:widowControl w:val="0"/>
        <w:shd w:val="clear" w:color="auto" w:fill="auto"/>
        <w:bidi w:val="0"/>
        <w:spacing w:before="0" w:after="0" w:line="315" w:lineRule="exact"/>
        <w:ind w:left="0" w:right="0" w:firstLine="440"/>
        <w:jc w:val="both"/>
      </w:pPr>
      <w:bookmarkStart w:id="229" w:name="bookmark229"/>
      <w:r>
        <w:rPr>
          <w:color w:val="000000"/>
          <w:spacing w:val="0"/>
          <w:w w:val="100"/>
          <w:position w:val="0"/>
        </w:rPr>
        <w:t>（</w:t>
      </w:r>
      <w:bookmarkEnd w:id="229"/>
      <w:r>
        <w:rPr>
          <w:rFonts w:ascii="Times New Roman" w:eastAsia="Times New Roman" w:hAnsi="Times New Roman" w:cs="Times New Roman"/>
          <w:color w:val="000000"/>
          <w:spacing w:val="0"/>
          <w:w w:val="100"/>
          <w:position w:val="0"/>
        </w:rPr>
        <w:t>1</w:t>
      </w:r>
      <w:r>
        <w:rPr>
          <w:color w:val="000000"/>
          <w:spacing w:val="0"/>
          <w:w w:val="100"/>
          <w:position w:val="0"/>
        </w:rPr>
        <w:t xml:space="preserve">）操作风险。操作风险通常包括因集团内部流程缺陷、信息系统故障、人为失误或不当行为、交 易故障等原因而导致的风险，也包括集团外部发生欺诈行为给集团造成损失的风险。尽管本集团在各业务 领域均制定了较为完善的内部控制与风险管理制度，但任何内部控制制度均有其固有限制。公司规模扩大、 新业务新产品推出、更加复杂的业务流程、内部及外部环境变化、当事人认知程度不够、执行人不严格执 </w:t>
      </w:r>
      <w:r>
        <w:rPr>
          <w:color w:val="000000"/>
          <w:spacing w:val="0"/>
          <w:w w:val="100"/>
          <w:position w:val="0"/>
        </w:rPr>
        <w:t>行制度、从业人员操作不当、从业人员主观故意、突发事件等原因，可能会使内部控制机制的作用受到限 制甚至失去效用，产生财务上与声誉上的损失，从而造成操作风险。</w:t>
      </w:r>
    </w:p>
    <w:p>
      <w:pPr>
        <w:pStyle w:val="Style16"/>
        <w:keepNext w:val="0"/>
        <w:keepLines w:val="0"/>
        <w:widowControl w:val="0"/>
        <w:shd w:val="clear" w:color="auto" w:fill="auto"/>
        <w:bidi w:val="0"/>
        <w:spacing w:before="0" w:after="80" w:line="315" w:lineRule="exact"/>
        <w:ind w:left="0" w:right="0" w:firstLine="440"/>
        <w:jc w:val="both"/>
      </w:pPr>
      <w:bookmarkStart w:id="230" w:name="bookmark230"/>
      <w:r>
        <w:rPr>
          <w:color w:val="000000"/>
          <w:spacing w:val="0"/>
          <w:w w:val="100"/>
          <w:position w:val="0"/>
        </w:rPr>
        <w:t>（</w:t>
      </w:r>
      <w:bookmarkEnd w:id="230"/>
      <w:r>
        <w:rPr>
          <w:rFonts w:ascii="Times New Roman" w:eastAsia="Times New Roman" w:hAnsi="Times New Roman" w:cs="Times New Roman"/>
          <w:color w:val="000000"/>
          <w:spacing w:val="0"/>
          <w:w w:val="100"/>
          <w:position w:val="0"/>
        </w:rPr>
        <w:t>2</w:t>
      </w:r>
      <w:r>
        <w:rPr>
          <w:color w:val="000000"/>
          <w:spacing w:val="0"/>
          <w:w w:val="100"/>
          <w:position w:val="0"/>
        </w:rPr>
        <w:t>）人才流失和人才储备不足的风险。金融机构的竞争主要表现为人才的竞争。同行业间的激烈竞 争、行业创新业务快速发展在一定程度上加剧了对专业人才的争夺，使得本集团面临人才流失及人才储备 不足的风险，从而对本集团的经营管理和业务发展产生不利影响。</w:t>
      </w:r>
    </w:p>
    <w:p>
      <w:pPr>
        <w:pStyle w:val="Style16"/>
        <w:keepNext w:val="0"/>
        <w:keepLines w:val="0"/>
        <w:widowControl w:val="0"/>
        <w:shd w:val="clear" w:color="auto" w:fill="auto"/>
        <w:tabs>
          <w:tab w:pos="813" w:val="left"/>
        </w:tabs>
        <w:bidi w:val="0"/>
        <w:spacing w:before="0" w:after="0" w:line="329" w:lineRule="auto"/>
        <w:ind w:left="0" w:right="0" w:firstLine="440"/>
        <w:jc w:val="both"/>
      </w:pPr>
      <w:bookmarkStart w:id="231" w:name="bookmark231"/>
      <w:r>
        <w:rPr>
          <w:rFonts w:ascii="Times New Roman" w:eastAsia="Times New Roman" w:hAnsi="Times New Roman" w:cs="Times New Roman"/>
          <w:color w:val="000000"/>
          <w:spacing w:val="0"/>
          <w:w w:val="100"/>
          <w:position w:val="0"/>
        </w:rPr>
        <w:t>4</w:t>
      </w:r>
      <w:bookmarkEnd w:id="231"/>
      <w:r>
        <w:rPr>
          <w:color w:val="000000"/>
          <w:spacing w:val="0"/>
          <w:w w:val="100"/>
          <w:position w:val="0"/>
        </w:rPr>
        <w:t>、</w:t>
        <w:tab/>
        <w:t>流动性风险</w:t>
      </w:r>
    </w:p>
    <w:p>
      <w:pPr>
        <w:pStyle w:val="Style16"/>
        <w:keepNext w:val="0"/>
        <w:keepLines w:val="0"/>
        <w:widowControl w:val="0"/>
        <w:shd w:val="clear" w:color="auto" w:fill="auto"/>
        <w:bidi w:val="0"/>
        <w:spacing w:before="0" w:after="80" w:line="315" w:lineRule="exact"/>
        <w:ind w:left="0" w:right="0" w:firstLine="440"/>
        <w:jc w:val="both"/>
      </w:pPr>
      <w:r>
        <w:rPr>
          <w:color w:val="000000"/>
          <w:spacing w:val="0"/>
          <w:w w:val="100"/>
          <w:position w:val="0"/>
        </w:rPr>
        <w:t>流动性风险是指无法以合理成本及时获得充足资金，以偿付到期债务、履行其他支付义务和满足正常 业务开展的资金需求的风险。本集团历来重视流动性管理，资产负债结构稳健，资产负债率低于行业均值。 受子公司被接管影响，本集团可能面临一定的流动性风险。</w:t>
      </w:r>
    </w:p>
    <w:p>
      <w:pPr>
        <w:pStyle w:val="Style16"/>
        <w:keepNext w:val="0"/>
        <w:keepLines w:val="0"/>
        <w:widowControl w:val="0"/>
        <w:shd w:val="clear" w:color="auto" w:fill="auto"/>
        <w:tabs>
          <w:tab w:pos="813" w:val="left"/>
        </w:tabs>
        <w:bidi w:val="0"/>
        <w:spacing w:before="0" w:after="0" w:line="329" w:lineRule="auto"/>
        <w:ind w:left="0" w:right="0" w:firstLine="440"/>
        <w:jc w:val="left"/>
      </w:pPr>
      <w:bookmarkStart w:id="232" w:name="bookmark232"/>
      <w:r>
        <w:rPr>
          <w:rFonts w:ascii="Times New Roman" w:eastAsia="Times New Roman" w:hAnsi="Times New Roman" w:cs="Times New Roman"/>
          <w:color w:val="000000"/>
          <w:spacing w:val="0"/>
          <w:w w:val="100"/>
          <w:position w:val="0"/>
        </w:rPr>
        <w:t>5</w:t>
      </w:r>
      <w:bookmarkEnd w:id="232"/>
      <w:r>
        <w:rPr>
          <w:color w:val="000000"/>
          <w:spacing w:val="0"/>
          <w:w w:val="100"/>
          <w:position w:val="0"/>
        </w:rPr>
        <w:t>、</w:t>
        <w:tab/>
        <w:t>诉讼风险</w:t>
      </w:r>
    </w:p>
    <w:p>
      <w:pPr>
        <w:pStyle w:val="Style16"/>
        <w:keepNext w:val="0"/>
        <w:keepLines w:val="0"/>
        <w:widowControl w:val="0"/>
        <w:shd w:val="clear" w:color="auto" w:fill="auto"/>
        <w:bidi w:val="0"/>
        <w:spacing w:before="0" w:after="80" w:line="315" w:lineRule="exact"/>
        <w:ind w:left="0" w:right="0" w:firstLine="440"/>
        <w:jc w:val="left"/>
      </w:pPr>
      <w:r>
        <w:rPr>
          <w:color w:val="000000"/>
          <w:spacing w:val="0"/>
          <w:w w:val="100"/>
          <w:position w:val="0"/>
        </w:rPr>
        <w:t>另见本报告</w:t>
      </w:r>
      <w:r>
        <w:rPr>
          <w:rFonts w:ascii="Times New Roman" w:eastAsia="Times New Roman" w:hAnsi="Times New Roman" w:cs="Times New Roman"/>
          <w:color w:val="000000"/>
          <w:spacing w:val="0"/>
          <w:w w:val="100"/>
          <w:position w:val="0"/>
        </w:rPr>
        <w:t>“</w:t>
      </w:r>
      <w:r>
        <w:rPr>
          <w:color w:val="000000"/>
          <w:spacing w:val="0"/>
          <w:w w:val="100"/>
          <w:position w:val="0"/>
        </w:rPr>
        <w:t>第五节重要事项十二、重大诉讼、仲裁事项</w:t>
      </w:r>
    </w:p>
    <w:p>
      <w:pPr>
        <w:pStyle w:val="Style16"/>
        <w:keepNext w:val="0"/>
        <w:keepLines w:val="0"/>
        <w:widowControl w:val="0"/>
        <w:shd w:val="clear" w:color="auto" w:fill="auto"/>
        <w:tabs>
          <w:tab w:pos="813" w:val="left"/>
        </w:tabs>
        <w:bidi w:val="0"/>
        <w:spacing w:before="0" w:after="0" w:line="329" w:lineRule="auto"/>
        <w:ind w:left="0" w:right="0" w:firstLine="440"/>
        <w:jc w:val="left"/>
      </w:pPr>
      <w:bookmarkStart w:id="233" w:name="bookmark233"/>
      <w:r>
        <w:rPr>
          <w:rFonts w:ascii="Times New Roman" w:eastAsia="Times New Roman" w:hAnsi="Times New Roman" w:cs="Times New Roman"/>
          <w:color w:val="000000"/>
          <w:spacing w:val="0"/>
          <w:w w:val="100"/>
          <w:position w:val="0"/>
        </w:rPr>
        <w:t>6</w:t>
      </w:r>
      <w:bookmarkEnd w:id="233"/>
      <w:r>
        <w:rPr>
          <w:color w:val="000000"/>
          <w:spacing w:val="0"/>
          <w:w w:val="100"/>
          <w:position w:val="0"/>
        </w:rPr>
        <w:t>、</w:t>
        <w:tab/>
        <w:t>特殊事项</w:t>
      </w:r>
    </w:p>
    <w:p>
      <w:pPr>
        <w:pStyle w:val="Style16"/>
        <w:keepNext w:val="0"/>
        <w:keepLines w:val="0"/>
        <w:widowControl w:val="0"/>
        <w:shd w:val="clear" w:color="auto" w:fill="auto"/>
        <w:bidi w:val="0"/>
        <w:spacing w:before="0" w:after="0" w:line="315" w:lineRule="exact"/>
        <w:ind w:left="0" w:right="0" w:firstLine="440"/>
        <w:jc w:val="left"/>
      </w:pPr>
      <w:r>
        <w:rPr>
          <w:color w:val="000000"/>
          <w:spacing w:val="0"/>
          <w:w w:val="100"/>
          <w:position w:val="0"/>
        </w:rPr>
        <w:t>子公司被接管使本集团未来经营面临一定程度的不确定性。</w:t>
      </w:r>
    </w:p>
    <w:p>
      <w:pPr>
        <w:pStyle w:val="Style16"/>
        <w:keepNext w:val="0"/>
        <w:keepLines w:val="0"/>
        <w:widowControl w:val="0"/>
        <w:shd w:val="clear" w:color="auto" w:fill="auto"/>
        <w:bidi w:val="0"/>
        <w:spacing w:before="0" w:after="0" w:line="315" w:lineRule="exact"/>
        <w:ind w:left="0" w:right="0" w:firstLine="440"/>
        <w:jc w:val="both"/>
      </w:pPr>
      <w:bookmarkStart w:id="234" w:name="bookmark234"/>
      <w:r>
        <w:rPr>
          <w:color w:val="000000"/>
          <w:spacing w:val="0"/>
          <w:w w:val="100"/>
          <w:position w:val="0"/>
        </w:rPr>
        <w:t>（</w:t>
      </w:r>
      <w:bookmarkEnd w:id="234"/>
      <w:r>
        <w:rPr>
          <w:color w:val="000000"/>
          <w:spacing w:val="0"/>
          <w:w w:val="100"/>
          <w:position w:val="0"/>
        </w:rPr>
        <w:t>五）风险应对措施</w:t>
      </w:r>
    </w:p>
    <w:p>
      <w:pPr>
        <w:pStyle w:val="Style16"/>
        <w:keepNext w:val="0"/>
        <w:keepLines w:val="0"/>
        <w:widowControl w:val="0"/>
        <w:shd w:val="clear" w:color="auto" w:fill="auto"/>
        <w:bidi w:val="0"/>
        <w:spacing w:before="0" w:after="0" w:line="315" w:lineRule="exact"/>
        <w:ind w:left="0" w:right="0" w:firstLine="440"/>
        <w:jc w:val="both"/>
      </w:pPr>
      <w:r>
        <w:rPr>
          <w:color w:val="000000"/>
          <w:spacing w:val="0"/>
          <w:w w:val="100"/>
          <w:position w:val="0"/>
        </w:rPr>
        <w:t>针对上述风险，本集团已（拟）采取的风险防范对策和措施如下：</w:t>
      </w:r>
    </w:p>
    <w:p>
      <w:pPr>
        <w:pStyle w:val="Style16"/>
        <w:keepNext w:val="0"/>
        <w:keepLines w:val="0"/>
        <w:widowControl w:val="0"/>
        <w:shd w:val="clear" w:color="auto" w:fill="auto"/>
        <w:bidi w:val="0"/>
        <w:spacing w:before="0" w:after="0" w:line="315" w:lineRule="exact"/>
        <w:ind w:left="0" w:right="0" w:firstLine="440"/>
        <w:jc w:val="both"/>
      </w:pPr>
      <w:bookmarkStart w:id="235" w:name="bookmark235"/>
      <w:r>
        <w:rPr>
          <w:rFonts w:ascii="Times New Roman" w:eastAsia="Times New Roman" w:hAnsi="Times New Roman" w:cs="Times New Roman"/>
          <w:color w:val="000000"/>
          <w:spacing w:val="0"/>
          <w:w w:val="100"/>
          <w:position w:val="0"/>
        </w:rPr>
        <w:t>1</w:t>
      </w:r>
      <w:bookmarkEnd w:id="235"/>
      <w:r>
        <w:rPr>
          <w:color w:val="000000"/>
          <w:spacing w:val="0"/>
          <w:w w:val="100"/>
          <w:position w:val="0"/>
        </w:rPr>
        <w:t>、 集团将一如既往地严格按照相关法律法规和政策规定开展业务。同时，亦将积极跟踪和研究行业 相关政策及变化，根据最新政策及时做出反应并进行相应调整，将政策性风险对本集团各项业务经营活动 的影响降至最低范围内。</w:t>
      </w:r>
    </w:p>
    <w:p>
      <w:pPr>
        <w:pStyle w:val="Style16"/>
        <w:keepNext w:val="0"/>
        <w:keepLines w:val="0"/>
        <w:widowControl w:val="0"/>
        <w:shd w:val="clear" w:color="auto" w:fill="auto"/>
        <w:tabs>
          <w:tab w:pos="790" w:val="left"/>
        </w:tabs>
        <w:bidi w:val="0"/>
        <w:spacing w:before="0" w:after="0" w:line="315" w:lineRule="exact"/>
        <w:ind w:left="0" w:right="0" w:firstLine="440"/>
        <w:jc w:val="both"/>
      </w:pPr>
      <w:bookmarkStart w:id="236" w:name="bookmark236"/>
      <w:r>
        <w:rPr>
          <w:rFonts w:ascii="Times New Roman" w:eastAsia="Times New Roman" w:hAnsi="Times New Roman" w:cs="Times New Roman"/>
          <w:color w:val="000000"/>
          <w:spacing w:val="0"/>
          <w:w w:val="100"/>
          <w:position w:val="0"/>
        </w:rPr>
        <w:t>2</w:t>
      </w:r>
      <w:bookmarkEnd w:id="236"/>
      <w:r>
        <w:rPr>
          <w:color w:val="000000"/>
          <w:spacing w:val="0"/>
          <w:w w:val="100"/>
          <w:position w:val="0"/>
        </w:rPr>
        <w:t>、</w:t>
        <w:tab/>
        <w:t>集团将持续加强落实主动合规意识和全面风险管理工作，深化全员合规理念，不断完善全面风险 管理体系与风险管理机制，保障集团合规风险管控能力与业务发展相适应。建立健全全面风险管理体系框 架，包括但不限于良好的风险管理文化、健全的风险管理治理架构、可操作的风险管理制度、量化的风险 指标体系、可靠的信息技术系统、专业的人才队伍、有效的风险应对机制，将风险控制在与本集团风险偏 好相匹配的范围内，支持各项业务稳步发展。</w:t>
      </w:r>
    </w:p>
    <w:p>
      <w:pPr>
        <w:pStyle w:val="Style16"/>
        <w:keepNext w:val="0"/>
        <w:keepLines w:val="0"/>
        <w:widowControl w:val="0"/>
        <w:shd w:val="clear" w:color="auto" w:fill="auto"/>
        <w:bidi w:val="0"/>
        <w:spacing w:before="0" w:after="0" w:line="315" w:lineRule="exact"/>
        <w:ind w:left="0" w:right="0" w:firstLine="440"/>
        <w:jc w:val="both"/>
      </w:pPr>
      <w:bookmarkStart w:id="237" w:name="bookmark237"/>
      <w:r>
        <w:rPr>
          <w:rFonts w:ascii="Times New Roman" w:eastAsia="Times New Roman" w:hAnsi="Times New Roman" w:cs="Times New Roman"/>
          <w:color w:val="000000"/>
          <w:spacing w:val="0"/>
          <w:w w:val="100"/>
          <w:position w:val="0"/>
        </w:rPr>
        <w:t>3</w:t>
      </w:r>
      <w:bookmarkEnd w:id="237"/>
      <w:r>
        <w:rPr>
          <w:color w:val="000000"/>
          <w:spacing w:val="0"/>
          <w:w w:val="100"/>
          <w:position w:val="0"/>
        </w:rPr>
        <w:t>、 集团将进一步健全和完善各项管理制度、优化业务流程、加强各项业务的实时风险监控工作；重 视内部审计、稽核监察，做好事前防范、事后纠偏，同时集团将加强信息技术系统的建设和管理维护，确 保各系统的安全稳定运行得到保障，有效控制管理风险、防范操作风险。</w:t>
      </w:r>
    </w:p>
    <w:p>
      <w:pPr>
        <w:pStyle w:val="Style16"/>
        <w:keepNext w:val="0"/>
        <w:keepLines w:val="0"/>
        <w:widowControl w:val="0"/>
        <w:shd w:val="clear" w:color="auto" w:fill="auto"/>
        <w:tabs>
          <w:tab w:pos="790" w:val="left"/>
        </w:tabs>
        <w:bidi w:val="0"/>
        <w:spacing w:before="0" w:after="0" w:line="315" w:lineRule="exact"/>
        <w:ind w:left="0" w:right="0" w:firstLine="440"/>
        <w:jc w:val="both"/>
      </w:pPr>
      <w:bookmarkStart w:id="238" w:name="bookmark238"/>
      <w:r>
        <w:rPr>
          <w:rFonts w:ascii="Times New Roman" w:eastAsia="Times New Roman" w:hAnsi="Times New Roman" w:cs="Times New Roman"/>
          <w:color w:val="000000"/>
          <w:spacing w:val="0"/>
          <w:w w:val="100"/>
          <w:position w:val="0"/>
        </w:rPr>
        <w:t>4</w:t>
      </w:r>
      <w:bookmarkEnd w:id="238"/>
      <w:r>
        <w:rPr>
          <w:color w:val="000000"/>
          <w:spacing w:val="0"/>
          <w:w w:val="100"/>
          <w:position w:val="0"/>
        </w:rPr>
        <w:t>、</w:t>
        <w:tab/>
        <w:t>通过制定《投资管理制度》、《投资管理细则》以及基金管理相关制度，从制度、流程、系统、 人员等各层面；从募、投、管、退等各环节入手，不断提升投资业务的运营水平，不断提高投资决策的科 学性、决策执行的规范性以及投后管理的有效性。</w:t>
      </w:r>
    </w:p>
    <w:p>
      <w:pPr>
        <w:pStyle w:val="Style16"/>
        <w:keepNext w:val="0"/>
        <w:keepLines w:val="0"/>
        <w:widowControl w:val="0"/>
        <w:shd w:val="clear" w:color="auto" w:fill="auto"/>
        <w:tabs>
          <w:tab w:pos="786" w:val="left"/>
        </w:tabs>
        <w:bidi w:val="0"/>
        <w:spacing w:before="0" w:after="0" w:line="315" w:lineRule="exact"/>
        <w:ind w:left="0" w:right="0" w:firstLine="440"/>
        <w:jc w:val="both"/>
      </w:pPr>
      <w:bookmarkStart w:id="239" w:name="bookmark239"/>
      <w:r>
        <w:rPr>
          <w:rFonts w:ascii="Times New Roman" w:eastAsia="Times New Roman" w:hAnsi="Times New Roman" w:cs="Times New Roman"/>
          <w:color w:val="000000"/>
          <w:spacing w:val="0"/>
          <w:w w:val="100"/>
          <w:position w:val="0"/>
        </w:rPr>
        <w:t>5</w:t>
      </w:r>
      <w:bookmarkEnd w:id="239"/>
      <w:r>
        <w:rPr>
          <w:color w:val="000000"/>
          <w:spacing w:val="0"/>
          <w:w w:val="100"/>
          <w:position w:val="0"/>
        </w:rPr>
        <w:t>、</w:t>
        <w:tab/>
        <w:t>持续提升本集团治理水平，开展企业文化建设、制度建设以及信息化建设，提高企业凝聚力、管 理有效性、作业标准性，降低人才流失率，增加核心人才储备。</w:t>
      </w:r>
    </w:p>
    <w:p>
      <w:pPr>
        <w:pStyle w:val="Style16"/>
        <w:keepNext w:val="0"/>
        <w:keepLines w:val="0"/>
        <w:widowControl w:val="0"/>
        <w:shd w:val="clear" w:color="auto" w:fill="auto"/>
        <w:tabs>
          <w:tab w:pos="795" w:val="left"/>
        </w:tabs>
        <w:bidi w:val="0"/>
        <w:spacing w:before="0" w:after="340" w:line="315" w:lineRule="exact"/>
        <w:ind w:left="0" w:right="0" w:firstLine="440"/>
        <w:jc w:val="both"/>
      </w:pPr>
      <w:bookmarkStart w:id="240" w:name="bookmark240"/>
      <w:r>
        <w:rPr>
          <w:rFonts w:ascii="Times New Roman" w:eastAsia="Times New Roman" w:hAnsi="Times New Roman" w:cs="Times New Roman"/>
          <w:color w:val="000000"/>
          <w:spacing w:val="0"/>
          <w:w w:val="100"/>
          <w:position w:val="0"/>
        </w:rPr>
        <w:t>6</w:t>
      </w:r>
      <w:bookmarkEnd w:id="240"/>
      <w:r>
        <w:rPr>
          <w:color w:val="000000"/>
          <w:spacing w:val="0"/>
          <w:w w:val="100"/>
          <w:position w:val="0"/>
        </w:rPr>
        <w:t>、</w:t>
        <w:tab/>
        <w:t>全面配合接管安排，保持经营稳定，配合规范公司股权和治理结构；加强与证券监管部门、接管 组、债权人、债券受托管理人和评级机构等单位和部门的沟通，妥善处理债券集中偿付问题。</w:t>
      </w:r>
    </w:p>
    <w:p>
      <w:pPr>
        <w:pStyle w:val="Style29"/>
        <w:keepNext/>
        <w:keepLines/>
        <w:widowControl w:val="0"/>
        <w:shd w:val="clear" w:color="auto" w:fill="auto"/>
        <w:bidi w:val="0"/>
        <w:spacing w:before="0" w:after="340" w:line="240" w:lineRule="auto"/>
        <w:ind w:left="0" w:right="0" w:firstLine="0"/>
        <w:jc w:val="both"/>
      </w:pPr>
      <w:bookmarkStart w:id="241" w:name="bookmark241"/>
      <w:bookmarkStart w:id="242" w:name="bookmark242"/>
      <w:bookmarkStart w:id="243" w:name="bookmark243"/>
      <w:r>
        <w:rPr>
          <w:color w:val="000000"/>
          <w:spacing w:val="0"/>
          <w:w w:val="100"/>
          <w:position w:val="0"/>
          <w:sz w:val="24"/>
          <w:szCs w:val="24"/>
        </w:rPr>
        <w:t>十、接待调研、沟通、采访等活动</w:t>
      </w:r>
      <w:bookmarkEnd w:id="241"/>
      <w:bookmarkEnd w:id="242"/>
      <w:bookmarkEnd w:id="243"/>
    </w:p>
    <w:p>
      <w:pPr>
        <w:pStyle w:val="Style16"/>
        <w:keepNext w:val="0"/>
        <w:keepLines w:val="0"/>
        <w:widowControl w:val="0"/>
        <w:shd w:val="clear" w:color="auto" w:fill="auto"/>
        <w:tabs>
          <w:tab w:pos="8016" w:val="left"/>
        </w:tabs>
        <w:bidi w:val="0"/>
        <w:spacing w:before="0" w:after="200" w:line="329" w:lineRule="auto"/>
        <w:ind w:left="0" w:right="0" w:firstLine="0"/>
        <w:jc w:val="both"/>
      </w:pPr>
      <w:bookmarkStart w:id="244" w:name="bookmark244"/>
      <w:bookmarkStart w:id="245" w:name="bookmark245"/>
      <w:r>
        <w:rPr>
          <w:rFonts w:ascii="Times New Roman" w:eastAsia="Times New Roman" w:hAnsi="Times New Roman" w:cs="Times New Roman"/>
          <w:b/>
          <w:bCs/>
          <w:color w:val="000000"/>
          <w:spacing w:val="0"/>
          <w:w w:val="100"/>
          <w:position w:val="0"/>
        </w:rPr>
        <w:t>1</w:t>
      </w:r>
      <w:bookmarkEnd w:id="244"/>
      <w:r>
        <w:rPr>
          <w:b/>
          <w:bCs/>
          <w:color w:val="000000"/>
          <w:spacing w:val="0"/>
          <w:w w:val="100"/>
          <w:position w:val="0"/>
        </w:rPr>
        <w:t>、报告期内接待调研、沟通、采访等活动登记表</w:t>
        <w:tab/>
      </w: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bookmarkEnd w:id="245"/>
    </w:p>
    <w:p>
      <w:pPr>
        <w:pStyle w:val="Style16"/>
        <w:keepNext w:val="0"/>
        <w:keepLines w:val="0"/>
        <w:widowControl w:val="0"/>
        <w:shd w:val="clear" w:color="auto" w:fill="auto"/>
        <w:bidi w:val="0"/>
        <w:spacing w:before="0" w:after="80" w:line="315" w:lineRule="exact"/>
        <w:ind w:left="0" w:right="0" w:firstLine="440"/>
        <w:jc w:val="left"/>
      </w:pPr>
      <w:bookmarkStart w:id="246" w:name="bookmark246"/>
      <w:r>
        <w:rPr>
          <w:color w:val="000000"/>
          <w:spacing w:val="0"/>
          <w:w w:val="100"/>
          <w:position w:val="0"/>
        </w:rPr>
        <w:t>本集团报告期未发生接待调研、沟通、采访等活动。</w:t>
      </w:r>
      <w:bookmarkEnd w:id="246"/>
      <w:r>
        <w:br w:type="page"/>
      </w:r>
    </w:p>
    <w:p>
      <w:pPr>
        <w:pStyle w:val="Style14"/>
        <w:keepNext/>
        <w:keepLines/>
        <w:widowControl w:val="0"/>
        <w:shd w:val="clear" w:color="auto" w:fill="auto"/>
        <w:bidi w:val="0"/>
        <w:spacing w:before="0" w:after="520" w:line="240" w:lineRule="auto"/>
        <w:ind w:left="0" w:right="0" w:firstLine="0"/>
        <w:jc w:val="center"/>
      </w:pPr>
      <w:bookmarkStart w:id="247" w:name="bookmark247"/>
      <w:bookmarkStart w:id="248" w:name="bookmark248"/>
      <w:bookmarkStart w:id="249" w:name="bookmark249"/>
      <w:r>
        <w:rPr>
          <w:color w:val="000000"/>
          <w:spacing w:val="0"/>
          <w:w w:val="100"/>
          <w:position w:val="0"/>
        </w:rPr>
        <w:t>第五节重要事项</w:t>
      </w:r>
      <w:bookmarkEnd w:id="247"/>
      <w:bookmarkEnd w:id="248"/>
      <w:bookmarkEnd w:id="249"/>
    </w:p>
    <w:p>
      <w:pPr>
        <w:pStyle w:val="Style29"/>
        <w:keepNext/>
        <w:keepLines/>
        <w:widowControl w:val="0"/>
        <w:shd w:val="clear" w:color="auto" w:fill="auto"/>
        <w:bidi w:val="0"/>
        <w:spacing w:before="0" w:after="360" w:line="240" w:lineRule="auto"/>
        <w:ind w:left="0" w:right="0" w:firstLine="0"/>
        <w:jc w:val="left"/>
      </w:pPr>
      <w:bookmarkStart w:id="250" w:name="bookmark250"/>
      <w:bookmarkStart w:id="251" w:name="bookmark251"/>
      <w:bookmarkStart w:id="252" w:name="bookmark252"/>
      <w:bookmarkStart w:id="253" w:name="bookmark253"/>
      <w:bookmarkStart w:id="254" w:name="bookmark254"/>
      <w:r>
        <w:rPr>
          <w:color w:val="000000"/>
          <w:spacing w:val="0"/>
          <w:w w:val="100"/>
          <w:position w:val="0"/>
          <w:sz w:val="24"/>
          <w:szCs w:val="24"/>
        </w:rPr>
        <w:t>一</w:t>
      </w:r>
      <w:bookmarkEnd w:id="253"/>
      <w:r>
        <w:rPr>
          <w:color w:val="000000"/>
          <w:spacing w:val="0"/>
          <w:w w:val="100"/>
          <w:position w:val="0"/>
          <w:sz w:val="24"/>
          <w:szCs w:val="24"/>
        </w:rPr>
        <w:t>、公司普通股利润分配及资本公积金转增股本情况</w:t>
      </w:r>
      <w:bookmarkEnd w:id="251"/>
      <w:bookmarkEnd w:id="252"/>
      <w:bookmarkEnd w:id="254"/>
      <w:bookmarkEnd w:id="250"/>
    </w:p>
    <w:p>
      <w:pPr>
        <w:pStyle w:val="Style16"/>
        <w:keepNext w:val="0"/>
        <w:keepLines w:val="0"/>
        <w:widowControl w:val="0"/>
        <w:shd w:val="clear" w:color="auto" w:fill="auto"/>
        <w:tabs>
          <w:tab w:pos="8030" w:val="left"/>
        </w:tabs>
        <w:bidi w:val="0"/>
        <w:spacing w:before="0" w:after="60" w:line="240" w:lineRule="auto"/>
        <w:ind w:left="0" w:right="0" w:firstLine="0"/>
        <w:jc w:val="left"/>
      </w:pPr>
      <w:r>
        <w:rPr>
          <w:color w:val="000000"/>
          <w:spacing w:val="0"/>
          <w:w w:val="100"/>
          <w:position w:val="0"/>
        </w:rPr>
        <w:t>报告期内普通股利润分配政策，特别是现金分红政策的制定、执行或调整情况</w:t>
        <w:tab/>
      </w: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40"/>
        <w:keepNext w:val="0"/>
        <w:keepLines w:val="0"/>
        <w:widowControl w:val="0"/>
        <w:shd w:val="clear" w:color="auto" w:fill="auto"/>
        <w:bidi w:val="0"/>
        <w:spacing w:before="0" w:after="0" w:line="310" w:lineRule="exact"/>
        <w:ind w:left="0" w:right="0" w:firstLine="0"/>
        <w:jc w:val="distribute"/>
      </w:pPr>
      <w:r>
        <w:rPr>
          <w:color w:val="000000"/>
          <w:spacing w:val="0"/>
          <w:w w:val="100"/>
          <w:position w:val="0"/>
        </w:rPr>
        <w:t>《公司章程》载明利润分配方案尤其是现金分红方案的决策程序和机制，明确现金分红在利润分配中 的优先顺序。公司利润分配政策的制定、修订均透明、合规，符合《公司章程》及审议程序的规定。报告 期内，公司严格执行《公司章程》规定的利润分配政策。</w:t>
      </w:r>
    </w:p>
    <w:tbl>
      <w:tblPr>
        <w:tblOverlap w:val="never"/>
        <w:jc w:val="center"/>
        <w:tblLayout w:type="fixed"/>
      </w:tblPr>
      <w:tblGrid>
        <w:gridCol w:w="7483"/>
        <w:gridCol w:w="2098"/>
      </w:tblGrid>
      <w:tr>
        <w:trPr>
          <w:trHeight w:val="408"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中小股东是否有充分表达意见和诉求的机会，其合法权益是否得到了充分保护：</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现金分红政策进行调整或变更的，条件及程序是否合规、透明：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bl>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公司近</w:t>
      </w:r>
      <w:r>
        <w:rPr>
          <w:rFonts w:ascii="Times New Roman" w:eastAsia="Times New Roman" w:hAnsi="Times New Roman" w:cs="Times New Roman"/>
          <w:color w:val="000000"/>
          <w:spacing w:val="0"/>
          <w:w w:val="100"/>
          <w:position w:val="0"/>
        </w:rPr>
        <w:t>3</w:t>
      </w:r>
      <w:r>
        <w:rPr>
          <w:color w:val="000000"/>
          <w:spacing w:val="0"/>
          <w:w w:val="100"/>
          <w:position w:val="0"/>
        </w:rPr>
        <w:t>年（包括本报告期）的普通股股利分配方案（预案）、资本公积金转增股本方案（预案）情况</w:t>
      </w:r>
    </w:p>
    <w:p>
      <w:pPr>
        <w:widowControl w:val="0"/>
        <w:spacing w:after="59" w:line="1" w:lineRule="exact"/>
      </w:pPr>
    </w:p>
    <w:p>
      <w:pPr>
        <w:pStyle w:val="Style16"/>
        <w:keepNext w:val="0"/>
        <w:keepLines w:val="0"/>
        <w:widowControl w:val="0"/>
        <w:shd w:val="clear" w:color="auto" w:fill="auto"/>
        <w:tabs>
          <w:tab w:pos="794" w:val="left"/>
        </w:tabs>
        <w:bidi w:val="0"/>
        <w:spacing w:before="0" w:after="60" w:line="240" w:lineRule="auto"/>
        <w:ind w:left="0" w:right="0" w:firstLine="440"/>
        <w:jc w:val="left"/>
      </w:pPr>
      <w:bookmarkStart w:id="255" w:name="bookmark255"/>
      <w:r>
        <w:rPr>
          <w:rFonts w:ascii="Times New Roman" w:eastAsia="Times New Roman" w:hAnsi="Times New Roman" w:cs="Times New Roman"/>
          <w:color w:val="000000"/>
          <w:spacing w:val="0"/>
          <w:w w:val="100"/>
          <w:position w:val="0"/>
        </w:rPr>
        <w:t>1</w:t>
      </w:r>
      <w:bookmarkEnd w:id="255"/>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年度利润分配预案</w:t>
      </w:r>
    </w:p>
    <w:p>
      <w:pPr>
        <w:pStyle w:val="Style16"/>
        <w:keepNext w:val="0"/>
        <w:keepLines w:val="0"/>
        <w:widowControl w:val="0"/>
        <w:shd w:val="clear" w:color="auto" w:fill="auto"/>
        <w:bidi w:val="0"/>
        <w:spacing w:before="0" w:after="60" w:line="240" w:lineRule="auto"/>
        <w:ind w:left="0" w:right="0" w:firstLine="440"/>
        <w:jc w:val="left"/>
      </w:pPr>
      <w:bookmarkStart w:id="256" w:name="bookmark256"/>
      <w:r>
        <w:rPr>
          <w:color w:val="000000"/>
          <w:spacing w:val="0"/>
          <w:w w:val="100"/>
          <w:position w:val="0"/>
        </w:rPr>
        <w:t>公</w:t>
      </w:r>
      <w:bookmarkEnd w:id="256"/>
      <w:r>
        <w:rPr>
          <w:color w:val="000000"/>
          <w:spacing w:val="0"/>
          <w:w w:val="100"/>
          <w:position w:val="0"/>
        </w:rPr>
        <w:t>司</w:t>
      </w:r>
      <w:r>
        <w:rPr>
          <w:rFonts w:ascii="Times New Roman" w:eastAsia="Times New Roman" w:hAnsi="Times New Roman" w:cs="Times New Roman"/>
          <w:color w:val="000000"/>
          <w:spacing w:val="0"/>
          <w:w w:val="100"/>
          <w:position w:val="0"/>
        </w:rPr>
        <w:t>2020</w:t>
      </w:r>
      <w:r>
        <w:rPr>
          <w:color w:val="000000"/>
          <w:spacing w:val="0"/>
          <w:w w:val="100"/>
          <w:position w:val="0"/>
        </w:rPr>
        <w:t>年度利润分配预案为：不派发现金红利、不送红股，不以公积金转增股本。</w:t>
      </w:r>
    </w:p>
    <w:p>
      <w:pPr>
        <w:pStyle w:val="Style16"/>
        <w:keepNext w:val="0"/>
        <w:keepLines w:val="0"/>
        <w:widowControl w:val="0"/>
        <w:shd w:val="clear" w:color="auto" w:fill="auto"/>
        <w:tabs>
          <w:tab w:pos="813" w:val="left"/>
        </w:tabs>
        <w:bidi w:val="0"/>
        <w:spacing w:before="0" w:after="60" w:line="240" w:lineRule="auto"/>
        <w:ind w:left="0" w:right="0" w:firstLine="440"/>
        <w:jc w:val="left"/>
      </w:pPr>
      <w:bookmarkStart w:id="257" w:name="bookmark257"/>
      <w:r>
        <w:rPr>
          <w:rFonts w:ascii="Times New Roman" w:eastAsia="Times New Roman" w:hAnsi="Times New Roman" w:cs="Times New Roman"/>
          <w:color w:val="000000"/>
          <w:spacing w:val="0"/>
          <w:w w:val="100"/>
          <w:position w:val="0"/>
        </w:rPr>
        <w:t>2</w:t>
      </w:r>
      <w:bookmarkEnd w:id="257"/>
      <w:r>
        <w:rPr>
          <w:color w:val="000000"/>
          <w:spacing w:val="0"/>
          <w:w w:val="100"/>
          <w:position w:val="0"/>
        </w:rPr>
        <w:t>、</w:t>
        <w:tab/>
      </w:r>
      <w:r>
        <w:rPr>
          <w:rFonts w:ascii="Times New Roman" w:eastAsia="Times New Roman" w:hAnsi="Times New Roman" w:cs="Times New Roman"/>
          <w:color w:val="000000"/>
          <w:spacing w:val="0"/>
          <w:w w:val="100"/>
          <w:position w:val="0"/>
        </w:rPr>
        <w:t>2018-2019</w:t>
      </w:r>
      <w:r>
        <w:rPr>
          <w:color w:val="000000"/>
          <w:spacing w:val="0"/>
          <w:w w:val="100"/>
          <w:position w:val="0"/>
        </w:rPr>
        <w:t>年度利润分配方案</w:t>
      </w:r>
    </w:p>
    <w:p>
      <w:pPr>
        <w:pStyle w:val="Style16"/>
        <w:keepNext w:val="0"/>
        <w:keepLines w:val="0"/>
        <w:widowControl w:val="0"/>
        <w:shd w:val="clear" w:color="auto" w:fill="auto"/>
        <w:bidi w:val="0"/>
        <w:spacing w:before="0" w:after="60" w:line="240" w:lineRule="auto"/>
        <w:ind w:left="0" w:right="0" w:firstLine="440"/>
        <w:jc w:val="left"/>
      </w:pPr>
      <w:r>
        <w:rPr>
          <w:color w:val="000000"/>
          <w:spacing w:val="0"/>
          <w:w w:val="100"/>
          <w:position w:val="0"/>
        </w:rPr>
        <w:t>公司</w:t>
      </w:r>
      <w:r>
        <w:rPr>
          <w:rFonts w:ascii="Times New Roman" w:eastAsia="Times New Roman" w:hAnsi="Times New Roman" w:cs="Times New Roman"/>
          <w:color w:val="000000"/>
          <w:spacing w:val="0"/>
          <w:w w:val="100"/>
          <w:position w:val="0"/>
        </w:rPr>
        <w:t>2019</w:t>
      </w:r>
      <w:r>
        <w:rPr>
          <w:color w:val="000000"/>
          <w:spacing w:val="0"/>
          <w:w w:val="100"/>
          <w:position w:val="0"/>
        </w:rPr>
        <w:t>年度利润分配方案为：不派发现金红利、不送红股，不以公积金转增股本。</w:t>
      </w:r>
    </w:p>
    <w:p>
      <w:pPr>
        <w:pStyle w:val="Style16"/>
        <w:keepNext w:val="0"/>
        <w:keepLines w:val="0"/>
        <w:widowControl w:val="0"/>
        <w:shd w:val="clear" w:color="auto" w:fill="auto"/>
        <w:bidi w:val="0"/>
        <w:spacing w:before="0" w:after="420" w:line="240" w:lineRule="auto"/>
        <w:ind w:left="0" w:right="0" w:firstLine="440"/>
        <w:jc w:val="left"/>
      </w:pPr>
      <w:r>
        <w:rPr>
          <w:color w:val="000000"/>
          <w:spacing w:val="0"/>
          <w:w w:val="100"/>
          <w:position w:val="0"/>
        </w:rPr>
        <w:t>公司</w:t>
      </w:r>
      <w:r>
        <w:rPr>
          <w:rFonts w:ascii="Times New Roman" w:eastAsia="Times New Roman" w:hAnsi="Times New Roman" w:cs="Times New Roman"/>
          <w:color w:val="000000"/>
          <w:spacing w:val="0"/>
          <w:w w:val="100"/>
          <w:position w:val="0"/>
        </w:rPr>
        <w:t>2018</w:t>
      </w:r>
      <w:r>
        <w:rPr>
          <w:color w:val="000000"/>
          <w:spacing w:val="0"/>
          <w:w w:val="100"/>
          <w:position w:val="0"/>
        </w:rPr>
        <w:t>年度利润分配方案为：不派发现金红利、不送红股，不以公积金转增股本。</w:t>
      </w:r>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公司近三年（包括本报告期）普通股现金分红情况表</w:t>
      </w:r>
    </w:p>
    <w:p>
      <w:pPr>
        <w:pStyle w:val="Style40"/>
        <w:keepNext w:val="0"/>
        <w:keepLines w:val="0"/>
        <w:widowControl w:val="0"/>
        <w:shd w:val="clear" w:color="auto" w:fill="auto"/>
        <w:bidi w:val="0"/>
        <w:spacing w:before="0" w:after="0" w:line="240" w:lineRule="auto"/>
        <w:ind w:left="8582" w:right="0" w:firstLine="0"/>
        <w:jc w:val="left"/>
      </w:pPr>
      <w:r>
        <w:rPr>
          <w:color w:val="000000"/>
          <w:spacing w:val="0"/>
          <w:w w:val="100"/>
          <w:position w:val="0"/>
        </w:rPr>
        <w:t>单位：元</w:t>
      </w:r>
    </w:p>
    <w:tbl>
      <w:tblPr>
        <w:tblOverlap w:val="never"/>
        <w:jc w:val="center"/>
        <w:tblLayout w:type="fixed"/>
      </w:tblPr>
      <w:tblGrid>
        <w:gridCol w:w="821"/>
        <w:gridCol w:w="1138"/>
        <w:gridCol w:w="1555"/>
        <w:gridCol w:w="1138"/>
        <w:gridCol w:w="1334"/>
        <w:gridCol w:w="1075"/>
        <w:gridCol w:w="1315"/>
        <w:gridCol w:w="1205"/>
      </w:tblGrid>
      <w:tr>
        <w:trPr>
          <w:trHeight w:val="25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center"/>
            </w:pPr>
            <w:r>
              <w:rPr>
                <w:b/>
                <w:bCs/>
                <w:color w:val="000000"/>
                <w:spacing w:val="0"/>
                <w:w w:val="100"/>
                <w:position w:val="0"/>
              </w:rPr>
              <w:t>分红</w:t>
            </w:r>
          </w:p>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b/>
                <w:bCs/>
                <w:color w:val="000000"/>
                <w:spacing w:val="0"/>
                <w:w w:val="100"/>
                <w:position w:val="0"/>
              </w:rPr>
              <w:t>现金分红金 额（含税）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center"/>
            </w:pPr>
            <w:r>
              <w:rPr>
                <w:b/>
                <w:bCs/>
                <w:color w:val="000000"/>
                <w:spacing w:val="0"/>
                <w:w w:val="100"/>
                <w:position w:val="0"/>
              </w:rPr>
              <w:t>分红年度合并报 表中归属于上市 公司普通股股东 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center"/>
            </w:pPr>
            <w:r>
              <w:rPr>
                <w:b/>
                <w:bCs/>
                <w:color w:val="000000"/>
                <w:spacing w:val="0"/>
                <w:w w:val="100"/>
                <w:position w:val="0"/>
              </w:rPr>
              <w:t>现金分红金 额占合并报 表中归属于 上市公司普 通股股东的 净利润的比 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center"/>
            </w:pPr>
            <w:r>
              <w:rPr>
                <w:b/>
                <w:bCs/>
                <w:color w:val="000000"/>
                <w:spacing w:val="0"/>
                <w:w w:val="100"/>
                <w:position w:val="0"/>
              </w:rPr>
              <w:t>以其他方式</w:t>
            </w:r>
          </w:p>
          <w:p>
            <w:pPr>
              <w:pStyle w:val="Style2"/>
              <w:keepNext w:val="0"/>
              <w:keepLines w:val="0"/>
              <w:widowControl w:val="0"/>
              <w:shd w:val="clear" w:color="auto" w:fill="auto"/>
              <w:bidi w:val="0"/>
              <w:spacing w:before="0" w:after="0" w:line="314" w:lineRule="exact"/>
              <w:ind w:left="0" w:right="0" w:firstLine="0"/>
              <w:jc w:val="center"/>
            </w:pPr>
            <w:r>
              <w:rPr>
                <w:b/>
                <w:bCs/>
                <w:color w:val="000000"/>
                <w:spacing w:val="0"/>
                <w:w w:val="100"/>
                <w:position w:val="0"/>
              </w:rPr>
              <w:t>（如回购股 份）现金分红 的金额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b/>
                <w:bCs/>
                <w:color w:val="000000"/>
                <w:spacing w:val="0"/>
                <w:w w:val="100"/>
                <w:position w:val="0"/>
              </w:rPr>
              <w:t>以其他方式 现金分红金 额占合并报 表中归属于 上市公司普 通股股东的 净利润的比 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pPr>
            <w:r>
              <w:rPr>
                <w:b/>
                <w:bCs/>
                <w:color w:val="000000"/>
                <w:spacing w:val="0"/>
                <w:w w:val="100"/>
                <w:position w:val="0"/>
              </w:rPr>
              <w:t>现金分红总额</w:t>
            </w:r>
          </w:p>
          <w:p>
            <w:pPr>
              <w:pStyle w:val="Style2"/>
              <w:keepNext w:val="0"/>
              <w:keepLines w:val="0"/>
              <w:widowControl w:val="0"/>
              <w:shd w:val="clear" w:color="auto" w:fill="auto"/>
              <w:bidi w:val="0"/>
              <w:spacing w:before="0" w:after="0" w:line="307" w:lineRule="exact"/>
              <w:ind w:left="0" w:right="0" w:firstLine="0"/>
              <w:jc w:val="center"/>
            </w:pPr>
            <w:r>
              <w:rPr>
                <w:b/>
                <w:bCs/>
                <w:color w:val="000000"/>
                <w:spacing w:val="0"/>
                <w:w w:val="100"/>
                <w:position w:val="0"/>
              </w:rPr>
              <w:t>（含其他方 式）</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center"/>
            </w:pPr>
            <w:r>
              <w:rPr>
                <w:b/>
                <w:bCs/>
                <w:color w:val="000000"/>
                <w:spacing w:val="0"/>
                <w:w w:val="100"/>
                <w:position w:val="0"/>
              </w:rPr>
              <w:t>现金分红总 额（含其他方 式）占合并报 表中归属于 上市公司普 通股股东的 净利润的比 率</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-365,875,868.24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77,329,597.60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-429,030,047.74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161,277,853.83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161,277,853.83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-37.59%</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公司报告期内盈利且母公司可供普通股股东分配利润为正但未提出普通股现金红利分配预案</w:t>
      </w:r>
    </w:p>
    <w:p>
      <w:pPr>
        <w:widowControl w:val="0"/>
        <w:spacing w:after="119" w:line="1" w:lineRule="exact"/>
      </w:pPr>
    </w:p>
    <w:p>
      <w:pPr>
        <w:pStyle w:val="Style16"/>
        <w:keepNext w:val="0"/>
        <w:keepLines w:val="0"/>
        <w:widowControl w:val="0"/>
        <w:shd w:val="clear" w:color="auto" w:fill="auto"/>
        <w:bidi w:val="0"/>
        <w:spacing w:before="0" w:after="80" w:line="240" w:lineRule="auto"/>
        <w:ind w:left="0" w:right="0" w:firstLine="0"/>
        <w:jc w:val="right"/>
        <w:sectPr>
          <w:headerReference w:type="default" r:id="rId17"/>
          <w:footerReference w:type="default" r:id="rId18"/>
          <w:footnotePr>
            <w:pos w:val="pageBottom"/>
            <w:numFmt w:val="decimal"/>
            <w:numRestart w:val="continuous"/>
          </w:footnotePr>
          <w:pgSz w:w="11900" w:h="16840"/>
          <w:pgMar w:top="1398" w:right="1025" w:bottom="1480" w:left="1083" w:header="0" w:footer="3" w:gutter="0"/>
          <w:cols w:space="720"/>
          <w:noEndnote/>
          <w:rtlGutter w:val="0"/>
          <w:docGrid w:linePitch="360"/>
        </w:sectPr>
      </w:pPr>
      <w:r>
        <w:rPr>
          <w:rFonts w:ascii="Times New Roman" w:eastAsia="Times New Roman" w:hAnsi="Times New Roman" w:cs="Times New Roman"/>
          <w:b/>
          <w:bCs/>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widowControl w:val="0"/>
        <w:spacing w:line="239" w:lineRule="exact"/>
        <w:rPr>
          <w:sz w:val="19"/>
          <w:szCs w:val="19"/>
        </w:rPr>
      </w:pPr>
    </w:p>
    <w:p>
      <w:pPr>
        <w:widowControl w:val="0"/>
        <w:spacing w:line="1" w:lineRule="exact"/>
        <w:sectPr>
          <w:footnotePr>
            <w:pos w:val="pageBottom"/>
            <w:numFmt w:val="decimal"/>
            <w:numRestart w:val="continuous"/>
          </w:footnotePr>
          <w:pgSz w:w="11900" w:h="16840"/>
          <w:pgMar w:top="1147" w:right="1102" w:bottom="1257" w:left="1112" w:header="0" w:footer="3" w:gutter="0"/>
          <w:cols w:space="720"/>
          <w:noEndnote/>
          <w:rtlGutter w:val="0"/>
          <w:docGrid w:linePitch="360"/>
        </w:sectPr>
      </w:pPr>
    </w:p>
    <w:p>
      <w:pPr>
        <w:pStyle w:val="Style2"/>
        <w:keepNext w:val="0"/>
        <w:keepLines w:val="0"/>
        <w:framePr w:w="5309" w:h="293" w:wrap="none" w:vAnchor="text" w:hAnchor="page" w:x="1113" w:y="21"/>
        <w:widowControl w:val="0"/>
        <w:shd w:val="clear" w:color="auto" w:fill="auto"/>
        <w:bidi w:val="0"/>
        <w:spacing w:before="0" w:after="0" w:line="240" w:lineRule="auto"/>
        <w:ind w:left="0" w:right="0" w:firstLine="0"/>
        <w:jc w:val="left"/>
        <w:rPr>
          <w:sz w:val="24"/>
          <w:szCs w:val="24"/>
        </w:rPr>
      </w:pPr>
      <w:bookmarkStart w:id="258" w:name="bookmark258"/>
      <w:r>
        <w:rPr>
          <w:b/>
          <w:bCs/>
          <w:color w:val="000000"/>
          <w:spacing w:val="0"/>
          <w:w w:val="100"/>
          <w:position w:val="0"/>
          <w:sz w:val="24"/>
          <w:szCs w:val="24"/>
        </w:rPr>
        <w:t>二、本报告期利润分配及资本公积金转增股本情况</w:t>
      </w:r>
      <w:bookmarkEnd w:id="258"/>
    </w:p>
    <w:p>
      <w:pPr>
        <w:pStyle w:val="Style16"/>
        <w:keepNext w:val="0"/>
        <w:keepLines w:val="0"/>
        <w:framePr w:w="1642" w:h="298" w:wrap="none" w:vAnchor="text" w:hAnchor="page" w:x="9157" w:y="2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widowControl w:val="0"/>
        <w:spacing w:after="306" w:line="1" w:lineRule="exact"/>
      </w:pPr>
    </w:p>
    <w:p>
      <w:pPr>
        <w:widowControl w:val="0"/>
        <w:spacing w:line="1" w:lineRule="exact"/>
        <w:sectPr>
          <w:footnotePr>
            <w:pos w:val="pageBottom"/>
            <w:numFmt w:val="decimal"/>
            <w:numRestart w:val="continuous"/>
          </w:footnotePr>
          <w:type w:val="continuous"/>
          <w:pgSz w:w="11900" w:h="16840"/>
          <w:pgMar w:top="1147" w:right="1102" w:bottom="1257" w:left="1112" w:header="0" w:footer="3" w:gutter="0"/>
          <w:cols w:space="720"/>
          <w:noEndnote/>
          <w:rtlGutter w:val="0"/>
          <w:docGrid w:linePitch="360"/>
        </w:sectPr>
      </w:pPr>
    </w:p>
    <w:p>
      <w:pPr>
        <w:widowControl w:val="0"/>
        <w:spacing w:line="62" w:lineRule="exact"/>
        <w:rPr>
          <w:sz w:val="5"/>
          <w:szCs w:val="5"/>
        </w:rPr>
      </w:pPr>
    </w:p>
    <w:p>
      <w:pPr>
        <w:widowControl w:val="0"/>
        <w:spacing w:line="1" w:lineRule="exact"/>
        <w:sectPr>
          <w:footnotePr>
            <w:pos w:val="pageBottom"/>
            <w:numFmt w:val="decimal"/>
            <w:numRestart w:val="continuous"/>
          </w:footnotePr>
          <w:type w:val="continuous"/>
          <w:pgSz w:w="11900" w:h="16840"/>
          <w:pgMar w:top="1446" w:right="0" w:bottom="1446" w:left="0" w:header="0" w:footer="3" w:gutter="0"/>
          <w:cols w:space="720"/>
          <w:noEndnote/>
          <w:rtlGutter w:val="0"/>
          <w:docGrid w:linePitch="360"/>
        </w:sectPr>
      </w:pPr>
    </w:p>
    <w:p>
      <w:pPr>
        <w:pStyle w:val="Style16"/>
        <w:keepNext w:val="0"/>
        <w:keepLines w:val="0"/>
        <w:widowControl w:val="0"/>
        <w:shd w:val="clear" w:color="auto" w:fill="auto"/>
        <w:bidi w:val="0"/>
        <w:spacing w:before="0" w:after="0" w:line="240" w:lineRule="auto"/>
        <w:ind w:left="0" w:right="0" w:firstLine="0"/>
        <w:jc w:val="right"/>
        <w:sectPr>
          <w:footnotePr>
            <w:pos w:val="pageBottom"/>
            <w:numFmt w:val="decimal"/>
            <w:numRestart w:val="continuous"/>
          </w:footnotePr>
          <w:type w:val="continuous"/>
          <w:pgSz w:w="11900" w:h="16840"/>
          <w:pgMar w:top="1446" w:right="3709" w:bottom="1446" w:left="1112" w:header="0" w:footer="3" w:gutter="0"/>
          <w:cols w:space="720"/>
          <w:noEndnote/>
          <w:rtlGutter w:val="0"/>
          <w:docGrid w:linePitch="360"/>
        </w:sectPr>
      </w:pPr>
      <w:r>
        <w:rPr>
          <w:color w:val="000000"/>
          <w:spacing w:val="0"/>
          <w:w w:val="100"/>
          <w:position w:val="0"/>
        </w:rPr>
        <w:t>公司计划</w:t>
      </w:r>
      <w:r>
        <w:rPr>
          <w:rFonts w:ascii="Times New Roman" w:eastAsia="Times New Roman" w:hAnsi="Times New Roman" w:cs="Times New Roman"/>
          <w:color w:val="000000"/>
          <w:spacing w:val="0"/>
          <w:w w:val="100"/>
          <w:position w:val="0"/>
        </w:rPr>
        <w:t>2020</w:t>
      </w:r>
      <w:r>
        <w:rPr>
          <w:color w:val="000000"/>
          <w:spacing w:val="0"/>
          <w:w w:val="100"/>
          <w:position w:val="0"/>
        </w:rPr>
        <w:t>年度不派发现金红利，不送红股，不以公积金转增股本。</w:t>
      </w:r>
    </w:p>
    <w:p>
      <w:pPr>
        <w:pStyle w:val="Style29"/>
        <w:keepNext/>
        <w:keepLines/>
        <w:widowControl w:val="0"/>
        <w:shd w:val="clear" w:color="auto" w:fill="auto"/>
        <w:bidi w:val="0"/>
        <w:spacing w:before="0" w:after="320" w:line="240" w:lineRule="auto"/>
        <w:ind w:left="0" w:right="0" w:firstLine="0"/>
        <w:jc w:val="left"/>
      </w:pPr>
      <w:bookmarkStart w:id="259" w:name="bookmark259"/>
      <w:bookmarkStart w:id="260" w:name="bookmark260"/>
      <w:bookmarkStart w:id="261" w:name="bookmark261"/>
      <w:bookmarkStart w:id="262" w:name="bookmark262"/>
      <w:r>
        <w:rPr>
          <w:color w:val="000000"/>
          <w:spacing w:val="0"/>
          <w:w w:val="100"/>
          <w:position w:val="0"/>
          <w:sz w:val="24"/>
          <w:szCs w:val="24"/>
        </w:rPr>
        <w:t>三</w:t>
      </w:r>
      <w:bookmarkEnd w:id="261"/>
      <w:r>
        <w:rPr>
          <w:color w:val="000000"/>
          <w:spacing w:val="0"/>
          <w:w w:val="100"/>
          <w:position w:val="0"/>
          <w:sz w:val="24"/>
          <w:szCs w:val="24"/>
        </w:rPr>
        <w:t>、承诺事项履行情况</w:t>
      </w:r>
      <w:bookmarkEnd w:id="259"/>
      <w:bookmarkEnd w:id="260"/>
      <w:bookmarkEnd w:id="262"/>
    </w:p>
    <w:p>
      <w:pPr>
        <w:pStyle w:val="Style40"/>
        <w:keepNext w:val="0"/>
        <w:keepLines w:val="0"/>
        <w:widowControl w:val="0"/>
        <w:shd w:val="clear" w:color="auto" w:fill="auto"/>
        <w:tabs>
          <w:tab w:pos="12331" w:val="left"/>
        </w:tabs>
        <w:bidi w:val="0"/>
        <w:spacing w:before="0" w:after="0" w:line="240" w:lineRule="auto"/>
        <w:ind w:left="0" w:right="0" w:firstLine="0"/>
        <w:jc w:val="center"/>
      </w:pPr>
      <w:bookmarkStart w:id="263" w:name="bookmark263"/>
      <w:r>
        <w:rPr>
          <w:rFonts w:ascii="Times New Roman" w:eastAsia="Times New Roman" w:hAnsi="Times New Roman" w:cs="Times New Roman"/>
          <w:b/>
          <w:bCs/>
          <w:color w:val="000000"/>
          <w:spacing w:val="0"/>
          <w:w w:val="100"/>
          <w:position w:val="0"/>
        </w:rPr>
        <w:t>1</w:t>
      </w:r>
      <w:r>
        <w:rPr>
          <w:b/>
          <w:bCs/>
          <w:color w:val="000000"/>
          <w:spacing w:val="0"/>
          <w:w w:val="100"/>
          <w:position w:val="0"/>
        </w:rPr>
        <w:t>、公司实际控制人、股东、关联方、收购人以及公司等承诺相关方在报告期内履行完毕及截至报告期末尚未履行完毕的承诺事项</w:t>
        <w:tab/>
      </w: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bookmarkEnd w:id="263"/>
    </w:p>
    <w:tbl>
      <w:tblPr>
        <w:tblOverlap w:val="never"/>
        <w:jc w:val="center"/>
        <w:tblLayout w:type="fixed"/>
      </w:tblPr>
      <w:tblGrid>
        <w:gridCol w:w="538"/>
        <w:gridCol w:w="1138"/>
        <w:gridCol w:w="566"/>
        <w:gridCol w:w="8645"/>
        <w:gridCol w:w="994"/>
        <w:gridCol w:w="994"/>
        <w:gridCol w:w="1142"/>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承诺 事由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right"/>
            </w:pPr>
            <w:r>
              <w:rPr>
                <w:color w:val="000000"/>
                <w:spacing w:val="0"/>
                <w:w w:val="100"/>
                <w:position w:val="0"/>
              </w:rPr>
              <w:t>承诺 类型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承诺期限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137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收购 报告 书或 权益 变动 报告 书中 所作 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凤凰财智、 杜力、张巍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同业 竞争</w:t>
            </w:r>
          </w:p>
        </w:tc>
        <w:tc>
          <w:tcPr>
            <w:tcBorders>
              <w:top w:val="single" w:sz="4"/>
              <w:left w:val="single" w:sz="4"/>
            </w:tcBorders>
            <w:shd w:val="clear" w:color="auto" w:fill="FFFFFF"/>
            <w:vAlign w:val="center"/>
          </w:tcPr>
          <w:p>
            <w:pPr>
              <w:pStyle w:val="Style2"/>
              <w:keepNext w:val="0"/>
              <w:keepLines w:val="0"/>
              <w:widowControl w:val="0"/>
              <w:shd w:val="clear" w:color="auto" w:fill="auto"/>
              <w:tabs>
                <w:tab w:pos="302" w:val="left"/>
              </w:tabs>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tab/>
              <w:t>本企业</w:t>
            </w:r>
            <w:r>
              <w:rPr>
                <w:rFonts w:ascii="Times New Roman" w:eastAsia="Times New Roman" w:hAnsi="Times New Roman" w:cs="Times New Roman"/>
                <w:color w:val="000000"/>
                <w:spacing w:val="0"/>
                <w:w w:val="100"/>
                <w:position w:val="0"/>
              </w:rPr>
              <w:t>/</w:t>
            </w:r>
            <w:r>
              <w:rPr>
                <w:color w:val="000000"/>
                <w:spacing w:val="0"/>
                <w:w w:val="100"/>
                <w:position w:val="0"/>
              </w:rPr>
              <w:t>本人未来不会直接或间接从事与公司的主营业务构成或可能构成竞争的业务。</w:t>
            </w:r>
          </w:p>
          <w:p>
            <w:pPr>
              <w:pStyle w:val="Style2"/>
              <w:keepNext w:val="0"/>
              <w:keepLines w:val="0"/>
              <w:widowControl w:val="0"/>
              <w:shd w:val="clear" w:color="auto" w:fill="auto"/>
              <w:tabs>
                <w:tab w:pos="322" w:val="left"/>
              </w:tabs>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tab/>
              <w:t>本企业</w:t>
            </w:r>
            <w:r>
              <w:rPr>
                <w:rFonts w:ascii="Times New Roman" w:eastAsia="Times New Roman" w:hAnsi="Times New Roman" w:cs="Times New Roman"/>
                <w:color w:val="000000"/>
                <w:spacing w:val="0"/>
                <w:w w:val="100"/>
                <w:position w:val="0"/>
              </w:rPr>
              <w:t>/</w:t>
            </w:r>
            <w:r>
              <w:rPr>
                <w:color w:val="000000"/>
                <w:spacing w:val="0"/>
                <w:w w:val="100"/>
                <w:position w:val="0"/>
              </w:rPr>
              <w:t>本人不会利用对公司的控制权干涉公司的生产经营活动，对于任何与公司主营业务 构成实质竞争的业务或业务机会，本企业将采取一切措施促使该业务或业务机会按合理和公平 的条件由公司优先开展。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05</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r>
        <w:trPr>
          <w:trHeight w:val="266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凤凰财智、 杜力、张巍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关联 交易</w:t>
            </w:r>
          </w:p>
        </w:tc>
        <w:tc>
          <w:tcPr>
            <w:tcBorders>
              <w:top w:val="single" w:sz="4"/>
              <w:left w:val="single" w:sz="4"/>
            </w:tcBorders>
            <w:shd w:val="clear" w:color="auto" w:fill="FFFFFF"/>
            <w:vAlign w:val="center"/>
          </w:tcPr>
          <w:p>
            <w:pPr>
              <w:pStyle w:val="Style2"/>
              <w:keepNext w:val="0"/>
              <w:keepLines w:val="0"/>
              <w:widowControl w:val="0"/>
              <w:shd w:val="clear" w:color="auto" w:fill="auto"/>
              <w:tabs>
                <w:tab w:pos="307" w:val="left"/>
              </w:tabs>
              <w:bidi w:val="0"/>
              <w:spacing w:before="0" w:after="0" w:line="320"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tab/>
              <w:t>在公司今后的经营活动中，本企业</w:t>
            </w:r>
            <w:r>
              <w:rPr>
                <w:rFonts w:ascii="Times New Roman" w:eastAsia="Times New Roman" w:hAnsi="Times New Roman" w:cs="Times New Roman"/>
                <w:color w:val="000000"/>
                <w:spacing w:val="0"/>
                <w:w w:val="100"/>
                <w:position w:val="0"/>
              </w:rPr>
              <w:t>/</w:t>
            </w:r>
            <w:r>
              <w:rPr>
                <w:color w:val="000000"/>
                <w:spacing w:val="0"/>
                <w:w w:val="100"/>
                <w:position w:val="0"/>
              </w:rPr>
              <w:t>本人及控制的其他企业将尽最大的努力减少或避免与公 司之间的关联交易行为。</w:t>
            </w:r>
          </w:p>
          <w:p>
            <w:pPr>
              <w:pStyle w:val="Style2"/>
              <w:keepNext w:val="0"/>
              <w:keepLines w:val="0"/>
              <w:widowControl w:val="0"/>
              <w:shd w:val="clear" w:color="auto" w:fill="auto"/>
              <w:tabs>
                <w:tab w:pos="322" w:val="left"/>
              </w:tabs>
              <w:bidi w:val="0"/>
              <w:spacing w:before="0" w:after="0" w:line="320"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tab/>
              <w:t>若本企业</w:t>
            </w:r>
            <w:r>
              <w:rPr>
                <w:rFonts w:ascii="Times New Roman" w:eastAsia="Times New Roman" w:hAnsi="Times New Roman" w:cs="Times New Roman"/>
                <w:color w:val="000000"/>
                <w:spacing w:val="0"/>
                <w:w w:val="100"/>
                <w:position w:val="0"/>
              </w:rPr>
              <w:t>/</w:t>
            </w:r>
            <w:r>
              <w:rPr>
                <w:color w:val="000000"/>
                <w:spacing w:val="0"/>
                <w:w w:val="100"/>
                <w:position w:val="0"/>
              </w:rPr>
              <w:t>本人及控制的其他企业与公司发生无法避免的关联交易，则此种关联交易须遵循 正常商业行为准则，遵循公开、公平、公正的市场定价原则，不要求或接受公司以低于市场价 或公司给予其他任何第三方的价格向本企业及控制的其他企业销售货物或提供劳务，不以高于 市场价或本企业</w:t>
            </w:r>
            <w:r>
              <w:rPr>
                <w:rFonts w:ascii="Times New Roman" w:eastAsia="Times New Roman" w:hAnsi="Times New Roman" w:cs="Times New Roman"/>
                <w:color w:val="000000"/>
                <w:spacing w:val="0"/>
                <w:w w:val="100"/>
                <w:position w:val="0"/>
              </w:rPr>
              <w:t>/</w:t>
            </w:r>
            <w:r>
              <w:rPr>
                <w:color w:val="000000"/>
                <w:spacing w:val="0"/>
                <w:w w:val="100"/>
                <w:position w:val="0"/>
              </w:rPr>
              <w:t>本人及控制的其他企业给予任何第三方的价格向公司销售货物或提供劳务。</w:t>
            </w:r>
          </w:p>
          <w:p>
            <w:pPr>
              <w:pStyle w:val="Style2"/>
              <w:keepNext w:val="0"/>
              <w:keepLines w:val="0"/>
              <w:widowControl w:val="0"/>
              <w:shd w:val="clear" w:color="auto" w:fill="auto"/>
              <w:tabs>
                <w:tab w:pos="331" w:val="left"/>
              </w:tabs>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w:t>
              <w:tab/>
              <w:t>除非凤凰财智不再为公司控股股东，本承诺始终为有效之承诺。本企业</w:t>
            </w:r>
            <w:r>
              <w:rPr>
                <w:rFonts w:ascii="Times New Roman" w:eastAsia="Times New Roman" w:hAnsi="Times New Roman" w:cs="Times New Roman"/>
                <w:color w:val="000000"/>
                <w:spacing w:val="0"/>
                <w:w w:val="100"/>
                <w:position w:val="0"/>
              </w:rPr>
              <w:t>/</w:t>
            </w:r>
            <w:r>
              <w:rPr>
                <w:color w:val="000000"/>
                <w:spacing w:val="0"/>
                <w:w w:val="100"/>
                <w:position w:val="0"/>
              </w:rPr>
              <w:t>本人同意对因未履 行上述承诺而给公司造成的一切损失承担赔偿责任。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05</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r>
        <w:trPr>
          <w:trHeight w:val="3422"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凤凰财智、 杜力、张巍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保持 上市 公司 独立 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tabs>
                <w:tab w:pos="302" w:val="left"/>
              </w:tabs>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tab/>
              <w:t>保证公司人员独立</w:t>
            </w:r>
          </w:p>
          <w:p>
            <w:pPr>
              <w:pStyle w:val="Style2"/>
              <w:keepNext w:val="0"/>
              <w:keepLines w:val="0"/>
              <w:widowControl w:val="0"/>
              <w:shd w:val="clear" w:color="auto" w:fill="auto"/>
              <w:tabs>
                <w:tab w:pos="413" w:val="left"/>
              </w:tabs>
              <w:bidi w:val="0"/>
              <w:spacing w:before="0" w:after="0" w:line="319"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w:t>
              <w:tab/>
              <w:t>保证公司的生产经营与行政管理（包括劳动、人事及工资管理等）完全独立于凤凰财智。</w:t>
            </w:r>
          </w:p>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 保证公司的董事、监事及高级管理人员严格按照《中华人民共和国公司法》、公司章程的 有关规定选举产生；保证凤凰财智推荐出任公司董事、监事和高级管理人员的人选都通过合法 的程序产生，本企业</w:t>
            </w:r>
            <w:r>
              <w:rPr>
                <w:rFonts w:ascii="Times New Roman" w:eastAsia="Times New Roman" w:hAnsi="Times New Roman" w:cs="Times New Roman"/>
                <w:color w:val="000000"/>
                <w:spacing w:val="0"/>
                <w:w w:val="100"/>
                <w:position w:val="0"/>
              </w:rPr>
              <w:t>/</w:t>
            </w:r>
            <w:r>
              <w:rPr>
                <w:color w:val="000000"/>
                <w:spacing w:val="0"/>
                <w:w w:val="100"/>
                <w:position w:val="0"/>
              </w:rPr>
              <w:t>本人不干预公司董事会、监事会和股东大会已经做出的人事任免决定。</w:t>
            </w:r>
          </w:p>
          <w:p>
            <w:pPr>
              <w:pStyle w:val="Style2"/>
              <w:keepNext w:val="0"/>
              <w:keepLines w:val="0"/>
              <w:widowControl w:val="0"/>
              <w:shd w:val="clear" w:color="auto" w:fill="auto"/>
              <w:tabs>
                <w:tab w:pos="538" w:val="left"/>
              </w:tabs>
              <w:bidi w:val="0"/>
              <w:spacing w:before="0" w:after="0" w:line="319"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w:t>
              <w:tab/>
              <w:t>保证公司的总经理、副总经理、财务负责人、董事会秘书等高级管理人员在公司专职工 作，不在本企业</w:t>
            </w:r>
            <w:r>
              <w:rPr>
                <w:rFonts w:ascii="Times New Roman" w:eastAsia="Times New Roman" w:hAnsi="Times New Roman" w:cs="Times New Roman"/>
                <w:color w:val="000000"/>
                <w:spacing w:val="0"/>
                <w:w w:val="100"/>
                <w:position w:val="0"/>
              </w:rPr>
              <w:t>/</w:t>
            </w:r>
            <w:r>
              <w:rPr>
                <w:color w:val="000000"/>
                <w:spacing w:val="0"/>
                <w:w w:val="100"/>
                <w:position w:val="0"/>
              </w:rPr>
              <w:t xml:space="preserve">凤凰财智及本人控制的其他企业担任除董事、监事以外的职务，不会在本企业 </w:t>
            </w:r>
            <w:r>
              <w:rPr>
                <w:rFonts w:ascii="Times New Roman" w:eastAsia="Times New Roman" w:hAnsi="Times New Roman" w:cs="Times New Roman"/>
                <w:color w:val="000000"/>
                <w:spacing w:val="0"/>
                <w:w w:val="100"/>
                <w:position w:val="0"/>
              </w:rPr>
              <w:t>/</w:t>
            </w:r>
            <w:r>
              <w:rPr>
                <w:color w:val="000000"/>
                <w:spacing w:val="0"/>
                <w:w w:val="100"/>
                <w:position w:val="0"/>
              </w:rPr>
              <w:t>凤凰财智及本人控制的其他企业领薪。</w:t>
            </w:r>
          </w:p>
          <w:p>
            <w:pPr>
              <w:pStyle w:val="Style2"/>
              <w:keepNext w:val="0"/>
              <w:keepLines w:val="0"/>
              <w:widowControl w:val="0"/>
              <w:shd w:val="clear" w:color="auto" w:fill="auto"/>
              <w:tabs>
                <w:tab w:pos="418" w:val="left"/>
              </w:tabs>
              <w:bidi w:val="0"/>
              <w:spacing w:before="0" w:after="0" w:line="319"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w:t>
              <w:tab/>
              <w:t>保证公司的财务人员独立，不在凤凰财智兼职和领取报酬。</w:t>
            </w:r>
          </w:p>
          <w:p>
            <w:pPr>
              <w:pStyle w:val="Style2"/>
              <w:keepNext w:val="0"/>
              <w:keepLines w:val="0"/>
              <w:widowControl w:val="0"/>
              <w:shd w:val="clear" w:color="auto" w:fill="auto"/>
              <w:tabs>
                <w:tab w:pos="322" w:val="left"/>
              </w:tabs>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tab/>
              <w:t>保证公司资产独立完整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05</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538"/>
        <w:gridCol w:w="1138"/>
        <w:gridCol w:w="566"/>
        <w:gridCol w:w="8645"/>
        <w:gridCol w:w="994"/>
        <w:gridCol w:w="994"/>
        <w:gridCol w:w="1142"/>
      </w:tblGrid>
      <w:tr>
        <w:trPr>
          <w:trHeight w:val="8525"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tabs>
                <w:tab w:pos="528" w:val="left"/>
              </w:tabs>
              <w:bidi w:val="0"/>
              <w:spacing w:before="0" w:after="0" w:line="307"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w:t>
              <w:tab/>
              <w:t>保证公司具有独立完整的资产，公司的资产全部处于公司的控制之下，并为公司独立拥 有和运营。</w:t>
            </w:r>
          </w:p>
          <w:p>
            <w:pPr>
              <w:pStyle w:val="Style2"/>
              <w:keepNext w:val="0"/>
              <w:keepLines w:val="0"/>
              <w:widowControl w:val="0"/>
              <w:shd w:val="clear" w:color="auto" w:fill="auto"/>
              <w:tabs>
                <w:tab w:pos="528" w:val="left"/>
              </w:tabs>
              <w:bidi w:val="0"/>
              <w:spacing w:before="0" w:after="0" w:line="336"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w:t>
              <w:tab/>
              <w:t>保证本企业</w:t>
            </w:r>
            <w:r>
              <w:rPr>
                <w:rFonts w:ascii="Times New Roman" w:eastAsia="Times New Roman" w:hAnsi="Times New Roman" w:cs="Times New Roman"/>
                <w:color w:val="000000"/>
                <w:spacing w:val="0"/>
                <w:w w:val="100"/>
                <w:position w:val="0"/>
              </w:rPr>
              <w:t>/</w:t>
            </w:r>
            <w:r>
              <w:rPr>
                <w:color w:val="000000"/>
                <w:spacing w:val="0"/>
                <w:w w:val="100"/>
                <w:position w:val="0"/>
              </w:rPr>
              <w:t>凤凰财智及本人控制的其他企业不以任何方式违法违规占有公司的资金、资 产。</w:t>
            </w:r>
          </w:p>
          <w:p>
            <w:pPr>
              <w:pStyle w:val="Style2"/>
              <w:keepNext w:val="0"/>
              <w:keepLines w:val="0"/>
              <w:widowControl w:val="0"/>
              <w:shd w:val="clear" w:color="auto" w:fill="auto"/>
              <w:tabs>
                <w:tab w:pos="322" w:val="left"/>
              </w:tabs>
              <w:bidi w:val="0"/>
              <w:spacing w:before="0" w:after="0" w:line="336"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tab/>
              <w:t>保证公司的财务独立</w:t>
            </w:r>
          </w:p>
          <w:p>
            <w:pPr>
              <w:pStyle w:val="Style2"/>
              <w:keepNext w:val="0"/>
              <w:keepLines w:val="0"/>
              <w:widowControl w:val="0"/>
              <w:shd w:val="clear" w:color="auto" w:fill="auto"/>
              <w:tabs>
                <w:tab w:pos="418" w:val="left"/>
              </w:tabs>
              <w:bidi w:val="0"/>
              <w:spacing w:before="0" w:after="0" w:line="334"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w:t>
              <w:tab/>
              <w:t>保证公司建立独立的财务部门和独立的财务核算体系。</w:t>
            </w:r>
          </w:p>
          <w:p>
            <w:pPr>
              <w:pStyle w:val="Style2"/>
              <w:keepNext w:val="0"/>
              <w:keepLines w:val="0"/>
              <w:widowControl w:val="0"/>
              <w:shd w:val="clear" w:color="auto" w:fill="auto"/>
              <w:tabs>
                <w:tab w:pos="418" w:val="left"/>
              </w:tabs>
              <w:bidi w:val="0"/>
              <w:spacing w:before="0" w:after="0" w:line="334"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w:t>
              <w:tab/>
              <w:t>保证公司具有规范、独立的财务会计制度和对分公司、子公司的财务管理制度。</w:t>
            </w:r>
          </w:p>
          <w:p>
            <w:pPr>
              <w:pStyle w:val="Style2"/>
              <w:keepNext w:val="0"/>
              <w:keepLines w:val="0"/>
              <w:widowControl w:val="0"/>
              <w:shd w:val="clear" w:color="auto" w:fill="auto"/>
              <w:tabs>
                <w:tab w:pos="528" w:val="left"/>
              </w:tabs>
              <w:bidi w:val="0"/>
              <w:spacing w:before="0" w:after="0" w:line="334"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w:t>
              <w:tab/>
              <w:t>保证公司保持自己独立的银行帐户，不与本企业</w:t>
            </w:r>
            <w:r>
              <w:rPr>
                <w:rFonts w:ascii="Times New Roman" w:eastAsia="Times New Roman" w:hAnsi="Times New Roman" w:cs="Times New Roman"/>
                <w:color w:val="000000"/>
                <w:spacing w:val="0"/>
                <w:w w:val="100"/>
                <w:position w:val="0"/>
              </w:rPr>
              <w:t>/</w:t>
            </w:r>
            <w:r>
              <w:rPr>
                <w:color w:val="000000"/>
                <w:spacing w:val="0"/>
                <w:w w:val="100"/>
                <w:position w:val="0"/>
              </w:rPr>
              <w:t>凤凰财智及本人控制的其他企业共用银 行账户。</w:t>
            </w:r>
          </w:p>
          <w:p>
            <w:pPr>
              <w:pStyle w:val="Style2"/>
              <w:keepNext w:val="0"/>
              <w:keepLines w:val="0"/>
              <w:widowControl w:val="0"/>
              <w:shd w:val="clear" w:color="auto" w:fill="auto"/>
              <w:tabs>
                <w:tab w:pos="418" w:val="left"/>
              </w:tabs>
              <w:bidi w:val="0"/>
              <w:spacing w:before="0" w:after="0" w:line="334"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w:t>
              <w:tab/>
              <w:t>保证公司依法独立纳税。</w:t>
            </w:r>
          </w:p>
          <w:p>
            <w:pPr>
              <w:pStyle w:val="Style2"/>
              <w:keepNext w:val="0"/>
              <w:keepLines w:val="0"/>
              <w:widowControl w:val="0"/>
              <w:shd w:val="clear" w:color="auto" w:fill="auto"/>
              <w:bidi w:val="0"/>
              <w:spacing w:before="0" w:after="0" w:line="334"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 保证公司能够独立作出财务决策，本企业</w:t>
            </w:r>
            <w:r>
              <w:rPr>
                <w:rFonts w:ascii="Times New Roman" w:eastAsia="Times New Roman" w:hAnsi="Times New Roman" w:cs="Times New Roman"/>
                <w:color w:val="000000"/>
                <w:spacing w:val="0"/>
                <w:w w:val="100"/>
                <w:position w:val="0"/>
              </w:rPr>
              <w:t>/</w:t>
            </w:r>
            <w:r>
              <w:rPr>
                <w:color w:val="000000"/>
                <w:spacing w:val="0"/>
                <w:w w:val="100"/>
                <w:position w:val="0"/>
              </w:rPr>
              <w:t>凤凰财智及本人控制的其他企业不干预公司的 资金使用调度。</w:t>
            </w:r>
          </w:p>
          <w:p>
            <w:pPr>
              <w:pStyle w:val="Style2"/>
              <w:keepNext w:val="0"/>
              <w:keepLines w:val="0"/>
              <w:widowControl w:val="0"/>
              <w:shd w:val="clear" w:color="auto" w:fill="auto"/>
              <w:tabs>
                <w:tab w:pos="322" w:val="left"/>
              </w:tabs>
              <w:bidi w:val="0"/>
              <w:spacing w:before="0" w:after="0" w:line="334"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tab/>
              <w:t>保证公司机构独立</w:t>
            </w:r>
          </w:p>
          <w:p>
            <w:pPr>
              <w:pStyle w:val="Style2"/>
              <w:keepNext w:val="0"/>
              <w:keepLines w:val="0"/>
              <w:widowControl w:val="0"/>
              <w:shd w:val="clear" w:color="auto" w:fill="auto"/>
              <w:bidi w:val="0"/>
              <w:spacing w:before="0" w:after="0" w:line="329"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）保证公司的机构设置独立于本企业</w:t>
            </w:r>
            <w:r>
              <w:rPr>
                <w:rFonts w:ascii="Times New Roman" w:eastAsia="Times New Roman" w:hAnsi="Times New Roman" w:cs="Times New Roman"/>
                <w:color w:val="000000"/>
                <w:spacing w:val="0"/>
                <w:w w:val="100"/>
                <w:position w:val="0"/>
              </w:rPr>
              <w:t>/</w:t>
            </w:r>
            <w:r>
              <w:rPr>
                <w:color w:val="000000"/>
                <w:spacing w:val="0"/>
                <w:w w:val="100"/>
                <w:position w:val="0"/>
              </w:rPr>
              <w:t>凤凰财智及本人控制的其他企业，并能独立自主地运 作。</w:t>
            </w:r>
          </w:p>
          <w:p>
            <w:pPr>
              <w:pStyle w:val="Style2"/>
              <w:keepNext w:val="0"/>
              <w:keepLines w:val="0"/>
              <w:widowControl w:val="0"/>
              <w:shd w:val="clear" w:color="auto" w:fill="auto"/>
              <w:bidi w:val="0"/>
              <w:spacing w:before="0" w:after="0" w:line="329"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 xml:space="preserve">2 </w:t>
            </w:r>
            <w:r>
              <w:rPr>
                <w:color w:val="000000"/>
                <w:spacing w:val="0"/>
                <w:w w:val="100"/>
                <w:position w:val="0"/>
              </w:rPr>
              <w:t>）保证公司办公机构和生产经营场所与本企业</w:t>
            </w:r>
            <w:r>
              <w:rPr>
                <w:rFonts w:ascii="Times New Roman" w:eastAsia="Times New Roman" w:hAnsi="Times New Roman" w:cs="Times New Roman"/>
                <w:color w:val="000000"/>
                <w:spacing w:val="0"/>
                <w:w w:val="100"/>
                <w:position w:val="0"/>
              </w:rPr>
              <w:t>/</w:t>
            </w:r>
            <w:r>
              <w:rPr>
                <w:color w:val="000000"/>
                <w:spacing w:val="0"/>
                <w:w w:val="100"/>
                <w:position w:val="0"/>
              </w:rPr>
              <w:t>凤凰财智及本人控制的其他企业分开；</w:t>
            </w:r>
          </w:p>
          <w:p>
            <w:pPr>
              <w:pStyle w:val="Style2"/>
              <w:keepNext w:val="0"/>
              <w:keepLines w:val="0"/>
              <w:widowControl w:val="0"/>
              <w:shd w:val="clear" w:color="auto" w:fill="auto"/>
              <w:bidi w:val="0"/>
              <w:spacing w:before="0" w:after="0" w:line="329"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）保证公司董事会、监事会以及各职能部门独立运作，不存在与本企业</w:t>
            </w:r>
            <w:r>
              <w:rPr>
                <w:rFonts w:ascii="Times New Roman" w:eastAsia="Times New Roman" w:hAnsi="Times New Roman" w:cs="Times New Roman"/>
                <w:color w:val="000000"/>
                <w:spacing w:val="0"/>
                <w:w w:val="100"/>
                <w:position w:val="0"/>
              </w:rPr>
              <w:t>/</w:t>
            </w:r>
            <w:r>
              <w:rPr>
                <w:color w:val="000000"/>
                <w:spacing w:val="0"/>
                <w:w w:val="100"/>
                <w:position w:val="0"/>
              </w:rPr>
              <w:t>凤凰财智及本人控 制的其他企业职能部门之间的从属关系。</w:t>
            </w:r>
          </w:p>
          <w:p>
            <w:pPr>
              <w:pStyle w:val="Style2"/>
              <w:keepNext w:val="0"/>
              <w:keepLines w:val="0"/>
              <w:widowControl w:val="0"/>
              <w:shd w:val="clear" w:color="auto" w:fill="auto"/>
              <w:tabs>
                <w:tab w:pos="317" w:val="left"/>
              </w:tabs>
              <w:bidi w:val="0"/>
              <w:spacing w:before="0" w:after="0" w:line="329" w:lineRule="exact"/>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w:t>
              <w:tab/>
              <w:t>保证公司业务独立。</w:t>
            </w:r>
          </w:p>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 保证公司拥有独立开展经营活动的资产、人员、资质和能力，公司具有面向市场独立自 主经营的能力。</w:t>
            </w:r>
          </w:p>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 保证凤凰财智除通过行使股东权利之外，不对公司的业务活动进行干预。</w:t>
            </w:r>
          </w:p>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 保证本企业</w:t>
            </w:r>
            <w:r>
              <w:rPr>
                <w:rFonts w:ascii="Times New Roman" w:eastAsia="Times New Roman" w:hAnsi="Times New Roman" w:cs="Times New Roman"/>
                <w:color w:val="000000"/>
                <w:spacing w:val="0"/>
                <w:w w:val="100"/>
                <w:position w:val="0"/>
              </w:rPr>
              <w:t>/</w:t>
            </w:r>
            <w:r>
              <w:rPr>
                <w:color w:val="000000"/>
                <w:spacing w:val="0"/>
                <w:w w:val="100"/>
                <w:position w:val="0"/>
              </w:rPr>
              <w:t>凤凰财智及本人控制的其他企业不从事与公司相竞争的业务。（</w:t>
            </w:r>
          </w:p>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）保证尽可能避免或减少公司与本企业</w:t>
            </w:r>
            <w:r>
              <w:rPr>
                <w:rFonts w:ascii="Times New Roman" w:eastAsia="Times New Roman" w:hAnsi="Times New Roman" w:cs="Times New Roman"/>
                <w:color w:val="000000"/>
                <w:spacing w:val="0"/>
                <w:w w:val="100"/>
                <w:position w:val="0"/>
              </w:rPr>
              <w:t>/</w:t>
            </w:r>
            <w:r>
              <w:rPr>
                <w:color w:val="000000"/>
                <w:spacing w:val="0"/>
                <w:w w:val="100"/>
                <w:position w:val="0"/>
              </w:rPr>
              <w:t>凤凰财智及本人控制的其他企业间的持续性关联交易。 对于无法避免的关联交易将本着</w:t>
            </w:r>
            <w:r>
              <w:rPr>
                <w:rFonts w:ascii="Times New Roman" w:eastAsia="Times New Roman" w:hAnsi="Times New Roman" w:cs="Times New Roman"/>
                <w:color w:val="000000"/>
                <w:spacing w:val="0"/>
                <w:w w:val="100"/>
                <w:position w:val="0"/>
              </w:rPr>
              <w:t>“</w:t>
            </w:r>
            <w:r>
              <w:rPr>
                <w:color w:val="000000"/>
                <w:spacing w:val="0"/>
                <w:w w:val="100"/>
                <w:position w:val="0"/>
              </w:rPr>
              <w:t>公平、公正、公开</w:t>
            </w:r>
            <w:r>
              <w:rPr>
                <w:color w:val="000000"/>
                <w:spacing w:val="0"/>
                <w:w w:val="100"/>
                <w:position w:val="0"/>
              </w:rPr>
              <w:t>''</w:t>
            </w:r>
            <w:r>
              <w:rPr>
                <w:color w:val="000000"/>
                <w:spacing w:val="0"/>
                <w:w w:val="100"/>
                <w:position w:val="0"/>
              </w:rPr>
              <w:t>的原则依法进行。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94"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雪松信托</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业绩 承诺 补偿</w:t>
            </w:r>
          </w:p>
        </w:tc>
        <w:tc>
          <w:tcPr>
            <w:gridSpan w:val="4"/>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p>
        </w:tc>
      </w:tr>
    </w:tbl>
    <w:p>
      <w:pPr>
        <w:spacing w:lineRule="exact" w:line="1"/>
        <w:rPr>
          <w:sz w:val="2"/>
          <w:szCs w:val="2"/>
        </w:rPr>
      </w:pPr>
      <w:r>
        <w:br w:type="page"/>
      </w:r>
    </w:p>
    <w:tbl>
      <w:tblPr>
        <w:tblOverlap w:val="never"/>
        <w:jc w:val="center"/>
        <w:tblLayout w:type="fixed"/>
      </w:tblPr>
      <w:tblGrid>
        <w:gridCol w:w="562"/>
        <w:gridCol w:w="1138"/>
        <w:gridCol w:w="566"/>
        <w:gridCol w:w="8645"/>
        <w:gridCol w:w="994"/>
        <w:gridCol w:w="994"/>
        <w:gridCol w:w="1142"/>
      </w:tblGrid>
      <w:tr>
        <w:trPr>
          <w:trHeight w:val="398" w:hRule="exact"/>
        </w:trPr>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安排</w:t>
            </w:r>
          </w:p>
        </w:tc>
        <w:tc>
          <w:tcPr>
            <w:gridSpan w:val="4"/>
            <w:tcBorders>
              <w:top w:val="single" w:sz="4"/>
              <w:left w:val="single" w:sz="4"/>
              <w:right w:val="single" w:sz="4"/>
            </w:tcBorders>
            <w:shd w:val="clear" w:color="auto" w:fill="FFFFFF"/>
            <w:vAlign w:val="top"/>
          </w:tcPr>
          <w:p>
            <w:pPr>
              <w:widowControl w:val="0"/>
              <w:rPr>
                <w:sz w:val="10"/>
                <w:szCs w:val="10"/>
              </w:rPr>
            </w:pPr>
          </w:p>
        </w:tc>
      </w:tr>
      <w:tr>
        <w:trPr>
          <w:trHeight w:val="4498" w:hRule="exact"/>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凤凰财智、 杜力、张巍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同业 竞争</w:t>
            </w:r>
          </w:p>
        </w:tc>
        <w:tc>
          <w:tcPr>
            <w:tcBorders>
              <w:top w:val="single" w:sz="4"/>
              <w:left w:val="single" w:sz="4"/>
            </w:tcBorders>
            <w:shd w:val="clear" w:color="auto" w:fill="FFFFFF"/>
            <w:vAlign w:val="center"/>
          </w:tcPr>
          <w:p>
            <w:pPr>
              <w:pStyle w:val="Style2"/>
              <w:keepNext w:val="0"/>
              <w:keepLines w:val="0"/>
              <w:widowControl w:val="0"/>
              <w:shd w:val="clear" w:color="auto" w:fill="auto"/>
              <w:tabs>
                <w:tab w:pos="293" w:val="left"/>
              </w:tabs>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tab/>
              <w:t>截至本声明及承诺函出具之日，本单位</w:t>
            </w:r>
            <w:r>
              <w:rPr>
                <w:rFonts w:ascii="Times New Roman" w:eastAsia="Times New Roman" w:hAnsi="Times New Roman" w:cs="Times New Roman"/>
                <w:color w:val="000000"/>
                <w:spacing w:val="0"/>
                <w:w w:val="100"/>
                <w:position w:val="0"/>
              </w:rPr>
              <w:t>/</w:t>
            </w:r>
            <w:r>
              <w:rPr>
                <w:color w:val="000000"/>
                <w:spacing w:val="0"/>
                <w:w w:val="100"/>
                <w:position w:val="0"/>
              </w:rPr>
              <w:t>本人及本单位</w:t>
            </w:r>
            <w:r>
              <w:rPr>
                <w:rFonts w:ascii="Times New Roman" w:eastAsia="Times New Roman" w:hAnsi="Times New Roman" w:cs="Times New Roman"/>
                <w:color w:val="000000"/>
                <w:spacing w:val="0"/>
                <w:w w:val="100"/>
                <w:position w:val="0"/>
              </w:rPr>
              <w:t>/</w:t>
            </w:r>
            <w:r>
              <w:rPr>
                <w:color w:val="000000"/>
                <w:spacing w:val="0"/>
                <w:w w:val="100"/>
                <w:position w:val="0"/>
              </w:rPr>
              <w:t>本人控制的其他企业未从事与上市公 司及其控股子公司所从事的业务构成或可能构成直接利益冲突的竞争性经营活动。</w:t>
            </w:r>
          </w:p>
          <w:p>
            <w:pPr>
              <w:pStyle w:val="Style2"/>
              <w:keepNext w:val="0"/>
              <w:keepLines w:val="0"/>
              <w:widowControl w:val="0"/>
              <w:shd w:val="clear" w:color="auto" w:fill="auto"/>
              <w:tabs>
                <w:tab w:pos="230" w:val="left"/>
              </w:tabs>
              <w:bidi w:val="0"/>
              <w:spacing w:before="0" w:after="0" w:line="313"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tab/>
              <w:t>在本单位</w:t>
            </w:r>
            <w:r>
              <w:rPr>
                <w:rFonts w:ascii="Times New Roman" w:eastAsia="Times New Roman" w:hAnsi="Times New Roman" w:cs="Times New Roman"/>
                <w:color w:val="000000"/>
                <w:spacing w:val="0"/>
                <w:w w:val="100"/>
                <w:position w:val="0"/>
              </w:rPr>
              <w:t>/</w:t>
            </w:r>
            <w:r>
              <w:rPr>
                <w:color w:val="000000"/>
                <w:spacing w:val="0"/>
                <w:w w:val="100"/>
                <w:position w:val="0"/>
              </w:rPr>
              <w:t>本人或本单位</w:t>
            </w:r>
            <w:r>
              <w:rPr>
                <w:rFonts w:ascii="Times New Roman" w:eastAsia="Times New Roman" w:hAnsi="Times New Roman" w:cs="Times New Roman"/>
                <w:color w:val="000000"/>
                <w:spacing w:val="0"/>
                <w:w w:val="100"/>
                <w:position w:val="0"/>
              </w:rPr>
              <w:t>/</w:t>
            </w:r>
            <w:r>
              <w:rPr>
                <w:color w:val="000000"/>
                <w:spacing w:val="0"/>
                <w:w w:val="100"/>
                <w:position w:val="0"/>
              </w:rPr>
              <w:t>本人控制的企业作为上市公司股东期间及转让完毕本单位</w:t>
            </w:r>
            <w:r>
              <w:rPr>
                <w:rFonts w:ascii="Times New Roman" w:eastAsia="Times New Roman" w:hAnsi="Times New Roman" w:cs="Times New Roman"/>
                <w:color w:val="000000"/>
                <w:spacing w:val="0"/>
                <w:w w:val="100"/>
                <w:position w:val="0"/>
              </w:rPr>
              <w:t>/</w:t>
            </w:r>
            <w:r>
              <w:rPr>
                <w:color w:val="000000"/>
                <w:spacing w:val="0"/>
                <w:w w:val="100"/>
                <w:position w:val="0"/>
              </w:rPr>
              <w:t>本人或本 单位</w:t>
            </w:r>
            <w:r>
              <w:rPr>
                <w:rFonts w:ascii="Times New Roman" w:eastAsia="Times New Roman" w:hAnsi="Times New Roman" w:cs="Times New Roman"/>
                <w:color w:val="000000"/>
                <w:spacing w:val="0"/>
                <w:w w:val="100"/>
                <w:position w:val="0"/>
              </w:rPr>
              <w:t>/</w:t>
            </w:r>
            <w:r>
              <w:rPr>
                <w:color w:val="000000"/>
                <w:spacing w:val="0"/>
                <w:w w:val="100"/>
                <w:position w:val="0"/>
              </w:rPr>
              <w:t>本人控制的企业持有的上市公司股份之后一年内，本单位</w:t>
            </w:r>
            <w:r>
              <w:rPr>
                <w:rFonts w:ascii="Times New Roman" w:eastAsia="Times New Roman" w:hAnsi="Times New Roman" w:cs="Times New Roman"/>
                <w:color w:val="000000"/>
                <w:spacing w:val="0"/>
                <w:w w:val="100"/>
                <w:position w:val="0"/>
              </w:rPr>
              <w:t>/</w:t>
            </w:r>
            <w:r>
              <w:rPr>
                <w:color w:val="000000"/>
                <w:spacing w:val="0"/>
                <w:w w:val="100"/>
                <w:position w:val="0"/>
              </w:rPr>
              <w:t>本人及本单位</w:t>
            </w:r>
            <w:r>
              <w:rPr>
                <w:rFonts w:ascii="Times New Roman" w:eastAsia="Times New Roman" w:hAnsi="Times New Roman" w:cs="Times New Roman"/>
                <w:color w:val="000000"/>
                <w:spacing w:val="0"/>
                <w:w w:val="100"/>
                <w:position w:val="0"/>
              </w:rPr>
              <w:t>/</w:t>
            </w:r>
            <w:r>
              <w:rPr>
                <w:color w:val="000000"/>
                <w:spacing w:val="0"/>
                <w:w w:val="100"/>
                <w:position w:val="0"/>
              </w:rPr>
              <w:t>本人控制的企业 不直接或间接从事或发展与上市公司及其控股子公司经营范围相同或相类似的业务或项目，也 不为本单位</w:t>
            </w:r>
            <w:r>
              <w:rPr>
                <w:rFonts w:ascii="Times New Roman" w:eastAsia="Times New Roman" w:hAnsi="Times New Roman" w:cs="Times New Roman"/>
                <w:color w:val="000000"/>
                <w:spacing w:val="0"/>
                <w:w w:val="100"/>
                <w:position w:val="0"/>
              </w:rPr>
              <w:t>/</w:t>
            </w:r>
            <w:r>
              <w:rPr>
                <w:color w:val="000000"/>
                <w:spacing w:val="0"/>
                <w:w w:val="100"/>
                <w:position w:val="0"/>
              </w:rPr>
              <w:t>本人或代表任何第三方成立、发展、参与、协助任何企业与上市公司进行直接或间 接的竞争；本单位</w:t>
            </w:r>
            <w:r>
              <w:rPr>
                <w:rFonts w:ascii="Times New Roman" w:eastAsia="Times New Roman" w:hAnsi="Times New Roman" w:cs="Times New Roman"/>
                <w:color w:val="000000"/>
                <w:spacing w:val="0"/>
                <w:w w:val="100"/>
                <w:position w:val="0"/>
              </w:rPr>
              <w:t>/</w:t>
            </w:r>
            <w:r>
              <w:rPr>
                <w:color w:val="000000"/>
                <w:spacing w:val="0"/>
                <w:w w:val="100"/>
                <w:position w:val="0"/>
              </w:rPr>
              <w:t>本人不利用从上市公司处获取的信息从事、直接或间接参与与上市公司相竞 争的活动；在可能与上市公司存在竞争的业务领域中出现新的发展机会时，给予上市公司优先 发展权；如上市公司经营的业务与本单位</w:t>
            </w:r>
            <w:r>
              <w:rPr>
                <w:rFonts w:ascii="Times New Roman" w:eastAsia="Times New Roman" w:hAnsi="Times New Roman" w:cs="Times New Roman"/>
                <w:color w:val="000000"/>
                <w:spacing w:val="0"/>
                <w:w w:val="100"/>
                <w:position w:val="0"/>
              </w:rPr>
              <w:t>/</w:t>
            </w:r>
            <w:r>
              <w:rPr>
                <w:color w:val="000000"/>
                <w:spacing w:val="0"/>
                <w:w w:val="100"/>
                <w:position w:val="0"/>
              </w:rPr>
              <w:t>本人以及受本单位</w:t>
            </w:r>
            <w:r>
              <w:rPr>
                <w:rFonts w:ascii="Times New Roman" w:eastAsia="Times New Roman" w:hAnsi="Times New Roman" w:cs="Times New Roman"/>
                <w:color w:val="000000"/>
                <w:spacing w:val="0"/>
                <w:w w:val="100"/>
                <w:position w:val="0"/>
              </w:rPr>
              <w:t>/</w:t>
            </w:r>
            <w:r>
              <w:rPr>
                <w:color w:val="000000"/>
                <w:spacing w:val="0"/>
                <w:w w:val="100"/>
                <w:position w:val="0"/>
              </w:rPr>
              <w:t>本人控制的任何其他企业或其他 关联公司构成或可能构成实质性竞争，本单位</w:t>
            </w:r>
            <w:r>
              <w:rPr>
                <w:rFonts w:ascii="Times New Roman" w:eastAsia="Times New Roman" w:hAnsi="Times New Roman" w:cs="Times New Roman"/>
                <w:color w:val="000000"/>
                <w:spacing w:val="0"/>
                <w:w w:val="100"/>
                <w:position w:val="0"/>
              </w:rPr>
              <w:t>/</w:t>
            </w:r>
            <w:r>
              <w:rPr>
                <w:color w:val="000000"/>
                <w:spacing w:val="0"/>
                <w:w w:val="100"/>
                <w:position w:val="0"/>
              </w:rPr>
              <w:t>本人同意上市公司有权以公平合理的价格优先收 购本单位</w:t>
            </w:r>
            <w:r>
              <w:rPr>
                <w:rFonts w:ascii="Times New Roman" w:eastAsia="Times New Roman" w:hAnsi="Times New Roman" w:cs="Times New Roman"/>
                <w:color w:val="000000"/>
                <w:spacing w:val="0"/>
                <w:w w:val="100"/>
                <w:position w:val="0"/>
              </w:rPr>
              <w:t>/</w:t>
            </w:r>
            <w:r>
              <w:rPr>
                <w:color w:val="000000"/>
                <w:spacing w:val="0"/>
                <w:w w:val="100"/>
                <w:position w:val="0"/>
              </w:rPr>
              <w:t>本人在该企业或其他关联公司中的全部股权或其他权益，或如上市公司决定不予收购 的，本单位</w:t>
            </w:r>
            <w:r>
              <w:rPr>
                <w:rFonts w:ascii="Times New Roman" w:eastAsia="Times New Roman" w:hAnsi="Times New Roman" w:cs="Times New Roman"/>
                <w:color w:val="000000"/>
                <w:spacing w:val="0"/>
                <w:w w:val="100"/>
                <w:position w:val="0"/>
              </w:rPr>
              <w:t>/</w:t>
            </w:r>
            <w:r>
              <w:rPr>
                <w:color w:val="000000"/>
                <w:spacing w:val="0"/>
                <w:w w:val="100"/>
                <w:position w:val="0"/>
              </w:rPr>
              <w:t>本人同意在合理期限内清理、注销该等同类营业或将资产转给其他非关联方；本单 位</w:t>
            </w:r>
            <w:r>
              <w:rPr>
                <w:rFonts w:ascii="Times New Roman" w:eastAsia="Times New Roman" w:hAnsi="Times New Roman" w:cs="Times New Roman"/>
                <w:color w:val="000000"/>
                <w:spacing w:val="0"/>
                <w:w w:val="100"/>
                <w:position w:val="0"/>
              </w:rPr>
              <w:t>/</w:t>
            </w:r>
            <w:r>
              <w:rPr>
                <w:color w:val="000000"/>
                <w:spacing w:val="0"/>
                <w:w w:val="100"/>
                <w:position w:val="0"/>
              </w:rPr>
              <w:t>本人不进行任何损害或可能损害上市公司利益的其他竞争行为。本单位</w:t>
            </w:r>
            <w:r>
              <w:rPr>
                <w:rFonts w:ascii="Times New Roman" w:eastAsia="Times New Roman" w:hAnsi="Times New Roman" w:cs="Times New Roman"/>
                <w:color w:val="000000"/>
                <w:spacing w:val="0"/>
                <w:w w:val="100"/>
                <w:position w:val="0"/>
              </w:rPr>
              <w:t>/</w:t>
            </w:r>
            <w:r>
              <w:rPr>
                <w:color w:val="000000"/>
                <w:spacing w:val="0"/>
                <w:w w:val="100"/>
                <w:position w:val="0"/>
              </w:rPr>
              <w:t>本人愿意承担因违 反上述承诺给上市公司造成的全部经济损失。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05</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r>
        <w:trPr>
          <w:trHeight w:val="3950" w:hRule="exact"/>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凤凰财智、 杜力、张巍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关联 交易</w:t>
            </w:r>
          </w:p>
        </w:tc>
        <w:tc>
          <w:tcPr>
            <w:tcBorders>
              <w:top w:val="single" w:sz="4"/>
              <w:left w:val="single" w:sz="4"/>
            </w:tcBorders>
            <w:shd w:val="clear" w:color="auto" w:fill="FFFFFF"/>
            <w:vAlign w:val="center"/>
          </w:tcPr>
          <w:p>
            <w:pPr>
              <w:pStyle w:val="Style2"/>
              <w:keepNext w:val="0"/>
              <w:keepLines w:val="0"/>
              <w:widowControl w:val="0"/>
              <w:shd w:val="clear" w:color="auto" w:fill="auto"/>
              <w:tabs>
                <w:tab w:pos="317" w:val="left"/>
              </w:tabs>
              <w:bidi w:val="0"/>
              <w:spacing w:before="0" w:after="0" w:line="316"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tab/>
              <w:t>对于未来可能的关联交易，本单位</w:t>
            </w:r>
            <w:r>
              <w:rPr>
                <w:rFonts w:ascii="Times New Roman" w:eastAsia="Times New Roman" w:hAnsi="Times New Roman" w:cs="Times New Roman"/>
                <w:color w:val="000000"/>
                <w:spacing w:val="0"/>
                <w:w w:val="100"/>
                <w:position w:val="0"/>
              </w:rPr>
              <w:t>/</w:t>
            </w:r>
            <w:r>
              <w:rPr>
                <w:color w:val="000000"/>
                <w:spacing w:val="0"/>
                <w:w w:val="100"/>
                <w:position w:val="0"/>
              </w:rPr>
              <w:t>本人将善意履行作为上市公司实际控制人的义务，不利 用本单位</w:t>
            </w:r>
            <w:r>
              <w:rPr>
                <w:rFonts w:ascii="Times New Roman" w:eastAsia="Times New Roman" w:hAnsi="Times New Roman" w:cs="Times New Roman"/>
                <w:color w:val="000000"/>
                <w:spacing w:val="0"/>
                <w:w w:val="100"/>
                <w:position w:val="0"/>
              </w:rPr>
              <w:t>/</w:t>
            </w:r>
            <w:r>
              <w:rPr>
                <w:color w:val="000000"/>
                <w:spacing w:val="0"/>
                <w:w w:val="100"/>
                <w:position w:val="0"/>
              </w:rPr>
              <w:t>本人的控制地位，就上市公司与本单位</w:t>
            </w:r>
            <w:r>
              <w:rPr>
                <w:rFonts w:ascii="Times New Roman" w:eastAsia="Times New Roman" w:hAnsi="Times New Roman" w:cs="Times New Roman"/>
                <w:color w:val="000000"/>
                <w:spacing w:val="0"/>
                <w:w w:val="100"/>
                <w:position w:val="0"/>
              </w:rPr>
              <w:t>/</w:t>
            </w:r>
            <w:r>
              <w:rPr>
                <w:color w:val="000000"/>
                <w:spacing w:val="0"/>
                <w:w w:val="100"/>
                <w:position w:val="0"/>
              </w:rPr>
              <w:t>本人及本单位</w:t>
            </w:r>
            <w:r>
              <w:rPr>
                <w:rFonts w:ascii="Times New Roman" w:eastAsia="Times New Roman" w:hAnsi="Times New Roman" w:cs="Times New Roman"/>
                <w:color w:val="000000"/>
                <w:spacing w:val="0"/>
                <w:w w:val="100"/>
                <w:position w:val="0"/>
              </w:rPr>
              <w:t>/</w:t>
            </w:r>
            <w:r>
              <w:rPr>
                <w:color w:val="000000"/>
                <w:spacing w:val="0"/>
                <w:w w:val="100"/>
                <w:position w:val="0"/>
              </w:rPr>
              <w:t>本人控制的其他企业相关的任 何关联交易采取任何行动，故意促使上市公司的股东大会或董事会做出损害上市公司和其他股 东合法权益的决议。</w:t>
            </w:r>
          </w:p>
          <w:p>
            <w:pPr>
              <w:pStyle w:val="Style2"/>
              <w:keepNext w:val="0"/>
              <w:keepLines w:val="0"/>
              <w:widowControl w:val="0"/>
              <w:shd w:val="clear" w:color="auto" w:fill="auto"/>
              <w:tabs>
                <w:tab w:pos="293" w:val="left"/>
              </w:tabs>
              <w:bidi w:val="0"/>
              <w:spacing w:before="0" w:after="0" w:line="316"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tab/>
              <w:t>本单位</w:t>
            </w:r>
            <w:r>
              <w:rPr>
                <w:rFonts w:ascii="Times New Roman" w:eastAsia="Times New Roman" w:hAnsi="Times New Roman" w:cs="Times New Roman"/>
                <w:color w:val="000000"/>
                <w:spacing w:val="0"/>
                <w:w w:val="100"/>
                <w:position w:val="0"/>
              </w:rPr>
              <w:t>/</w:t>
            </w:r>
            <w:r>
              <w:rPr>
                <w:color w:val="000000"/>
                <w:spacing w:val="0"/>
                <w:w w:val="100"/>
                <w:position w:val="0"/>
              </w:rPr>
              <w:t>本人及本单位</w:t>
            </w:r>
            <w:r>
              <w:rPr>
                <w:rFonts w:ascii="Times New Roman" w:eastAsia="Times New Roman" w:hAnsi="Times New Roman" w:cs="Times New Roman"/>
                <w:color w:val="000000"/>
                <w:spacing w:val="0"/>
                <w:w w:val="100"/>
                <w:position w:val="0"/>
              </w:rPr>
              <w:t>/</w:t>
            </w:r>
            <w:r>
              <w:rPr>
                <w:color w:val="000000"/>
                <w:spacing w:val="0"/>
                <w:w w:val="100"/>
                <w:position w:val="0"/>
              </w:rPr>
              <w:t>本人的关联方不以任何方式违法违规占用上市公司资金及要求上市公 司违法违规提供担保。</w:t>
            </w:r>
          </w:p>
          <w:p>
            <w:pPr>
              <w:pStyle w:val="Style2"/>
              <w:keepNext w:val="0"/>
              <w:keepLines w:val="0"/>
              <w:widowControl w:val="0"/>
              <w:shd w:val="clear" w:color="auto" w:fill="auto"/>
              <w:tabs>
                <w:tab w:pos="298" w:val="left"/>
              </w:tabs>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w:t>
              <w:tab/>
              <w:t>如果上市公司与本单位</w:t>
            </w:r>
            <w:r>
              <w:rPr>
                <w:rFonts w:ascii="Times New Roman" w:eastAsia="Times New Roman" w:hAnsi="Times New Roman" w:cs="Times New Roman"/>
                <w:color w:val="000000"/>
                <w:spacing w:val="0"/>
                <w:w w:val="100"/>
                <w:position w:val="0"/>
              </w:rPr>
              <w:t>/</w:t>
            </w:r>
            <w:r>
              <w:rPr>
                <w:color w:val="000000"/>
                <w:spacing w:val="0"/>
                <w:w w:val="100"/>
                <w:position w:val="0"/>
              </w:rPr>
              <w:t>本人及本单位</w:t>
            </w:r>
            <w:r>
              <w:rPr>
                <w:rFonts w:ascii="Times New Roman" w:eastAsia="Times New Roman" w:hAnsi="Times New Roman" w:cs="Times New Roman"/>
                <w:color w:val="000000"/>
                <w:spacing w:val="0"/>
                <w:w w:val="100"/>
                <w:position w:val="0"/>
              </w:rPr>
              <w:t>/</w:t>
            </w:r>
            <w:r>
              <w:rPr>
                <w:color w:val="000000"/>
                <w:spacing w:val="0"/>
                <w:w w:val="100"/>
                <w:position w:val="0"/>
              </w:rPr>
              <w:t>本人控制的其他企业发生无法避免或有合理原因的关 联交易，则本单位</w:t>
            </w:r>
            <w:r>
              <w:rPr>
                <w:rFonts w:ascii="Times New Roman" w:eastAsia="Times New Roman" w:hAnsi="Times New Roman" w:cs="Times New Roman"/>
                <w:color w:val="000000"/>
                <w:spacing w:val="0"/>
                <w:w w:val="100"/>
                <w:position w:val="0"/>
              </w:rPr>
              <w:t>/</w:t>
            </w:r>
            <w:r>
              <w:rPr>
                <w:color w:val="000000"/>
                <w:spacing w:val="0"/>
                <w:w w:val="100"/>
                <w:position w:val="0"/>
              </w:rPr>
              <w:t>本人承诺将促使上述关联交易遵循市场公正、公平、公开的原则，依照正常 商业条件进行。本单位</w:t>
            </w:r>
            <w:r>
              <w:rPr>
                <w:rFonts w:ascii="Times New Roman" w:eastAsia="Times New Roman" w:hAnsi="Times New Roman" w:cs="Times New Roman"/>
                <w:color w:val="000000"/>
                <w:spacing w:val="0"/>
                <w:w w:val="100"/>
                <w:position w:val="0"/>
              </w:rPr>
              <w:t>/</w:t>
            </w:r>
            <w:r>
              <w:rPr>
                <w:color w:val="000000"/>
                <w:spacing w:val="0"/>
                <w:w w:val="100"/>
                <w:position w:val="0"/>
              </w:rPr>
              <w:t>本人将不会要求，也不会接受上市公司给予优于其在一项市场公平交易 中向第三方给予的交易条件。</w:t>
            </w:r>
          </w:p>
          <w:p>
            <w:pPr>
              <w:pStyle w:val="Style2"/>
              <w:keepNext w:val="0"/>
              <w:keepLines w:val="0"/>
              <w:widowControl w:val="0"/>
              <w:shd w:val="clear" w:color="auto" w:fill="auto"/>
              <w:tabs>
                <w:tab w:pos="322" w:val="left"/>
              </w:tabs>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w:t>
              <w:tab/>
              <w:t>本单位</w:t>
            </w:r>
            <w:r>
              <w:rPr>
                <w:rFonts w:ascii="Times New Roman" w:eastAsia="Times New Roman" w:hAnsi="Times New Roman" w:cs="Times New Roman"/>
                <w:color w:val="000000"/>
                <w:spacing w:val="0"/>
                <w:w w:val="100"/>
                <w:position w:val="0"/>
              </w:rPr>
              <w:t>/</w:t>
            </w:r>
            <w:r>
              <w:rPr>
                <w:color w:val="000000"/>
                <w:spacing w:val="0"/>
                <w:w w:val="100"/>
                <w:position w:val="0"/>
              </w:rPr>
              <w:t>本人将严格遵守和执行上市公司关联交易管理制度的各项规定，如有违反以上承诺 及上市公司关联交易管理制度而给上市公司造成损失的情形，将依法承担相应责任。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05</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r>
        <w:trPr>
          <w:trHeight w:val="725" w:hRule="exact"/>
        </w:trPr>
        <w:tc>
          <w:tcPr>
            <w:tcBorders>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雪松信托、 赣粤高速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同业 竞争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、截至本声明与承诺函出具之日，除国盛证券外，本公司及本公司控制的其他企业未从事与 上市公司及其控股子公司所从事的业务构成或可能构成直接利益冲突的竞争性经营活动。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05</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538"/>
        <w:gridCol w:w="1138"/>
        <w:gridCol w:w="566"/>
        <w:gridCol w:w="8645"/>
        <w:gridCol w:w="994"/>
        <w:gridCol w:w="994"/>
        <w:gridCol w:w="1142"/>
      </w:tblGrid>
      <w:tr>
        <w:trPr>
          <w:trHeight w:val="4181"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tabs>
                <w:tab w:pos="322" w:val="left"/>
              </w:tabs>
              <w:bidi w:val="0"/>
              <w:spacing w:before="0" w:after="40" w:line="322"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tab/>
              <w:t>本次交易实施完毕后，本公司及本公司控制的企业与上市公司、国盛证券及上市公司其它 控股子公司不会构成直接或间接同业竞争关系。</w:t>
            </w:r>
          </w:p>
          <w:p>
            <w:pPr>
              <w:pStyle w:val="Style2"/>
              <w:keepNext w:val="0"/>
              <w:keepLines w:val="0"/>
              <w:widowControl w:val="0"/>
              <w:shd w:val="clear" w:color="auto" w:fill="auto"/>
              <w:tabs>
                <w:tab w:pos="322" w:val="left"/>
              </w:tabs>
              <w:bidi w:val="0"/>
              <w:spacing w:before="0" w:after="0" w:line="313"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w:t>
              <w:tab/>
              <w:t>在作为上市公司股东期间及转让完毕本公司持有的上市公司股份之后一年内，本公司及本 公司控制的企业不直接或间接从事或发展与上市公司、国盛证券及上市公司其他控股子公司经 营范围相同或相类似的业务或项目，也不为本公司或代表任何第三方成立、发展、参与、协助 任何企业与上市公司进行直接或间接的竞争；本公司不利用从上市公司处获取的信息从事、直 接或间接参与与上市公司相竞争的活动；在可能与上市公司存在竞争的业务领域中出现新的发 展机会时，给予上市公司优先发展权；如上市公司经营的业务与本公司以及受本公司控制的任 何其他企业或其他关联公司构成或可能构成实质性竞争，本公司同意上市公司有权以公平合理 的价格优先收购本公司在该企业或其他关联公司中的全部股权或其他权益，或如上市公司决定 不予收购的，本公司同意在合理期限内清理、注销该等同类营业或将资产转给其他非关联方； 本公司不进行任何损害或可能损害上市公司利益的其他竞争行为。本公司愿意承担因违反上述 承诺给上市公司造成的全部经济损失。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4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雪松信托、 赣粤高速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关联 交易</w:t>
            </w:r>
          </w:p>
        </w:tc>
        <w:tc>
          <w:tcPr>
            <w:tcBorders>
              <w:top w:val="single" w:sz="4"/>
              <w:left w:val="single" w:sz="4"/>
            </w:tcBorders>
            <w:shd w:val="clear" w:color="auto" w:fill="FFFFFF"/>
            <w:vAlign w:val="center"/>
          </w:tcPr>
          <w:p>
            <w:pPr>
              <w:pStyle w:val="Style2"/>
              <w:keepNext w:val="0"/>
              <w:keepLines w:val="0"/>
              <w:widowControl w:val="0"/>
              <w:shd w:val="clear" w:color="auto" w:fill="auto"/>
              <w:tabs>
                <w:tab w:pos="317" w:val="left"/>
              </w:tabs>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tab/>
              <w:t>对于未来可能的关联交易，本公司将善意履行作为上市公司股东的义务，不利用本公司的 股东地位，就上市公司与本公司及本公司控制的企业相关的任何关联交易采取任何行动，故意 促使上市公司的股东大会或董事会做出损害上市公司和其他股东合法权益的决议。</w:t>
            </w:r>
          </w:p>
          <w:p>
            <w:pPr>
              <w:pStyle w:val="Style2"/>
              <w:keepNext w:val="0"/>
              <w:keepLines w:val="0"/>
              <w:widowControl w:val="0"/>
              <w:shd w:val="clear" w:color="auto" w:fill="auto"/>
              <w:tabs>
                <w:tab w:pos="322" w:val="left"/>
              </w:tabs>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tab/>
              <w:t>本公司及本公司的关联方不以任何方式违法违规占用上市公司资金及要求上市公司违法违 规提供担保。</w:t>
            </w:r>
          </w:p>
          <w:p>
            <w:pPr>
              <w:pStyle w:val="Style2"/>
              <w:keepNext w:val="0"/>
              <w:keepLines w:val="0"/>
              <w:widowControl w:val="0"/>
              <w:shd w:val="clear" w:color="auto" w:fill="auto"/>
              <w:tabs>
                <w:tab w:pos="326" w:val="left"/>
              </w:tabs>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w:t>
              <w:tab/>
              <w:t>如果上市公司与本公司及本公司控制的企业发生无法避免或有合理原因的关联交易，则本 公司承诺将促使上述关联交易遵循市场公正、公平、公开的原则，依照正常商业条件进行。本 公司将不会要求，也不会接受上市公司给予优于其在一项市场公平交易中向第三方给予的交易 条件。</w:t>
            </w:r>
          </w:p>
          <w:p>
            <w:pPr>
              <w:pStyle w:val="Style2"/>
              <w:keepNext w:val="0"/>
              <w:keepLines w:val="0"/>
              <w:widowControl w:val="0"/>
              <w:shd w:val="clear" w:color="auto" w:fill="auto"/>
              <w:tabs>
                <w:tab w:pos="322" w:val="left"/>
              </w:tabs>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w:t>
              <w:tab/>
              <w:t>本公司将严格遵守和执行上市公司关联交易管理制度的各项规定，如有违反以上承诺及上 市公司关联交易管理制度而给上市公司造成损失的情形，将依法承担相应责任。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05</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r>
        <w:trPr>
          <w:trHeight w:val="1699"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96" w:lineRule="exact"/>
              <w:ind w:left="0" w:right="0" w:firstLine="0"/>
              <w:jc w:val="left"/>
            </w:pPr>
            <w:r>
              <w:rPr>
                <w:color w:val="000000"/>
                <w:spacing w:val="0"/>
                <w:w w:val="100"/>
                <w:position w:val="0"/>
              </w:rPr>
              <w:t>张家港财 智、前海远 大、凤凰财 鑫、西藏迅 木</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八</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pPr>
            <w:r>
              <w:rPr>
                <w:color w:val="000000"/>
                <w:spacing w:val="0"/>
                <w:w w:val="100"/>
                <w:position w:val="0"/>
              </w:rPr>
              <w:t>同业 竞争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tabs>
                <w:tab w:pos="293" w:val="left"/>
              </w:tabs>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tab/>
              <w:t>截至本声明与承诺函出具之日，本单位</w:t>
            </w:r>
            <w:r>
              <w:rPr>
                <w:rFonts w:ascii="Times New Roman" w:eastAsia="Times New Roman" w:hAnsi="Times New Roman" w:cs="Times New Roman"/>
                <w:color w:val="000000"/>
                <w:spacing w:val="0"/>
                <w:w w:val="100"/>
                <w:position w:val="0"/>
              </w:rPr>
              <w:t>/</w:t>
            </w:r>
            <w:r>
              <w:rPr>
                <w:color w:val="000000"/>
                <w:spacing w:val="0"/>
                <w:w w:val="100"/>
                <w:position w:val="0"/>
              </w:rPr>
              <w:t>本公司及本单位</w:t>
            </w:r>
            <w:r>
              <w:rPr>
                <w:rFonts w:ascii="Times New Roman" w:eastAsia="Times New Roman" w:hAnsi="Times New Roman" w:cs="Times New Roman"/>
                <w:color w:val="000000"/>
                <w:spacing w:val="0"/>
                <w:w w:val="100"/>
                <w:position w:val="0"/>
              </w:rPr>
              <w:t>/</w:t>
            </w:r>
            <w:r>
              <w:rPr>
                <w:color w:val="000000"/>
                <w:spacing w:val="0"/>
                <w:w w:val="100"/>
                <w:position w:val="0"/>
              </w:rPr>
              <w:t>本公司控制的其他企业未从事与上 市公司及其控股子公司所从事的业务构成或可能构成直接利益冲突的竞争性经营活动。</w:t>
            </w:r>
          </w:p>
          <w:p>
            <w:pPr>
              <w:pStyle w:val="Style2"/>
              <w:keepNext w:val="0"/>
              <w:keepLines w:val="0"/>
              <w:widowControl w:val="0"/>
              <w:shd w:val="clear" w:color="auto" w:fill="auto"/>
              <w:tabs>
                <w:tab w:pos="312" w:val="left"/>
              </w:tabs>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tab/>
              <w:t>本次交易实施完毕后，本单位</w:t>
            </w:r>
            <w:r>
              <w:rPr>
                <w:rFonts w:ascii="Times New Roman" w:eastAsia="Times New Roman" w:hAnsi="Times New Roman" w:cs="Times New Roman"/>
                <w:color w:val="000000"/>
                <w:spacing w:val="0"/>
                <w:w w:val="100"/>
                <w:position w:val="0"/>
              </w:rPr>
              <w:t>/</w:t>
            </w:r>
            <w:r>
              <w:rPr>
                <w:color w:val="000000"/>
                <w:spacing w:val="0"/>
                <w:w w:val="100"/>
                <w:position w:val="0"/>
              </w:rPr>
              <w:t>本公司及本单位</w:t>
            </w:r>
            <w:r>
              <w:rPr>
                <w:rFonts w:ascii="Times New Roman" w:eastAsia="Times New Roman" w:hAnsi="Times New Roman" w:cs="Times New Roman"/>
                <w:color w:val="000000"/>
                <w:spacing w:val="0"/>
                <w:w w:val="100"/>
                <w:position w:val="0"/>
              </w:rPr>
              <w:t>/</w:t>
            </w:r>
            <w:r>
              <w:rPr>
                <w:color w:val="000000"/>
                <w:spacing w:val="0"/>
                <w:w w:val="100"/>
                <w:position w:val="0"/>
              </w:rPr>
              <w:t>本公司控制的企业与上市公司、国盛证券及 上市公司其它控股子公司不会构成直接或间接同业竞争关系。</w:t>
            </w:r>
          </w:p>
          <w:p>
            <w:pPr>
              <w:pStyle w:val="Style2"/>
              <w:keepNext w:val="0"/>
              <w:keepLines w:val="0"/>
              <w:widowControl w:val="0"/>
              <w:shd w:val="clear" w:color="auto" w:fill="auto"/>
              <w:tabs>
                <w:tab w:pos="322" w:val="left"/>
              </w:tabs>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w:t>
              <w:tab/>
              <w:t>在作为上市公司股东期间及转让完毕本单位</w:t>
            </w:r>
            <w:r>
              <w:rPr>
                <w:rFonts w:ascii="Times New Roman" w:eastAsia="Times New Roman" w:hAnsi="Times New Roman" w:cs="Times New Roman"/>
                <w:color w:val="000000"/>
                <w:spacing w:val="0"/>
                <w:w w:val="100"/>
                <w:position w:val="0"/>
              </w:rPr>
              <w:t>/</w:t>
            </w:r>
            <w:r>
              <w:rPr>
                <w:color w:val="000000"/>
                <w:spacing w:val="0"/>
                <w:w w:val="100"/>
                <w:position w:val="0"/>
              </w:rPr>
              <w:t>本公司持有的上市公司股份之后一年内，本单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05</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538"/>
        <w:gridCol w:w="1138"/>
        <w:gridCol w:w="566"/>
        <w:gridCol w:w="8645"/>
        <w:gridCol w:w="994"/>
        <w:gridCol w:w="994"/>
        <w:gridCol w:w="1142"/>
      </w:tblGrid>
      <w:tr>
        <w:trPr>
          <w:trHeight w:val="3518"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位</w:t>
            </w:r>
            <w:r>
              <w:rPr>
                <w:rFonts w:ascii="Times New Roman" w:eastAsia="Times New Roman" w:hAnsi="Times New Roman" w:cs="Times New Roman"/>
                <w:color w:val="000000"/>
                <w:spacing w:val="0"/>
                <w:w w:val="100"/>
                <w:position w:val="0"/>
              </w:rPr>
              <w:t>/</w:t>
            </w:r>
            <w:r>
              <w:rPr>
                <w:color w:val="000000"/>
                <w:spacing w:val="0"/>
                <w:w w:val="100"/>
                <w:position w:val="0"/>
              </w:rPr>
              <w:t>本公司及本单位</w:t>
            </w:r>
            <w:r>
              <w:rPr>
                <w:rFonts w:ascii="Times New Roman" w:eastAsia="Times New Roman" w:hAnsi="Times New Roman" w:cs="Times New Roman"/>
                <w:color w:val="000000"/>
                <w:spacing w:val="0"/>
                <w:w w:val="100"/>
                <w:position w:val="0"/>
              </w:rPr>
              <w:t>/</w:t>
            </w:r>
            <w:r>
              <w:rPr>
                <w:color w:val="000000"/>
                <w:spacing w:val="0"/>
                <w:w w:val="100"/>
                <w:position w:val="0"/>
              </w:rPr>
              <w:t>本公司控制的企业不直接或间接从事或发展与上市公司、国盛证券及上市 公司其他控股子公司经营范围相同或相类似的业务或项目，也不为本单位</w:t>
            </w:r>
            <w:r>
              <w:rPr>
                <w:rFonts w:ascii="Times New Roman" w:eastAsia="Times New Roman" w:hAnsi="Times New Roman" w:cs="Times New Roman"/>
                <w:color w:val="000000"/>
                <w:spacing w:val="0"/>
                <w:w w:val="100"/>
                <w:position w:val="0"/>
              </w:rPr>
              <w:t>/</w:t>
            </w:r>
            <w:r>
              <w:rPr>
                <w:color w:val="000000"/>
                <w:spacing w:val="0"/>
                <w:w w:val="100"/>
                <w:position w:val="0"/>
              </w:rPr>
              <w:t>本公司或代表任何第 三方成立、发展、参与、协助任何企业与上市公司进行直接或间接的竞争；本单位</w:t>
            </w:r>
            <w:r>
              <w:rPr>
                <w:rFonts w:ascii="Times New Roman" w:eastAsia="Times New Roman" w:hAnsi="Times New Roman" w:cs="Times New Roman"/>
                <w:color w:val="000000"/>
                <w:spacing w:val="0"/>
                <w:w w:val="100"/>
                <w:position w:val="0"/>
              </w:rPr>
              <w:t>/</w:t>
            </w:r>
            <w:r>
              <w:rPr>
                <w:color w:val="000000"/>
                <w:spacing w:val="0"/>
                <w:w w:val="100"/>
                <w:position w:val="0"/>
              </w:rPr>
              <w:t>本公司不利 用从上市公司处获取的信息从事、直接或间接参与与上市公司相竞争的活动；在可能与上市公 司存在竞争的业务领域中出现新的发展机会时，给予上市公司优先发展权；如上市公司经营的 业务与本单位</w:t>
            </w:r>
            <w:r>
              <w:rPr>
                <w:rFonts w:ascii="Times New Roman" w:eastAsia="Times New Roman" w:hAnsi="Times New Roman" w:cs="Times New Roman"/>
                <w:color w:val="000000"/>
                <w:spacing w:val="0"/>
                <w:w w:val="100"/>
                <w:position w:val="0"/>
              </w:rPr>
              <w:t>/</w:t>
            </w:r>
            <w:r>
              <w:rPr>
                <w:color w:val="000000"/>
                <w:spacing w:val="0"/>
                <w:w w:val="100"/>
                <w:position w:val="0"/>
              </w:rPr>
              <w:t>本公司以及受本单位</w:t>
            </w:r>
            <w:r>
              <w:rPr>
                <w:rFonts w:ascii="Times New Roman" w:eastAsia="Times New Roman" w:hAnsi="Times New Roman" w:cs="Times New Roman"/>
                <w:color w:val="000000"/>
                <w:spacing w:val="0"/>
                <w:w w:val="100"/>
                <w:position w:val="0"/>
              </w:rPr>
              <w:t>/</w:t>
            </w:r>
            <w:r>
              <w:rPr>
                <w:color w:val="000000"/>
                <w:spacing w:val="0"/>
                <w:w w:val="100"/>
                <w:position w:val="0"/>
              </w:rPr>
              <w:t>本公司控制的任何其他企业或其他关联公司构成或可能构 成实质性竞争，本单位</w:t>
            </w:r>
            <w:r>
              <w:rPr>
                <w:rFonts w:ascii="Times New Roman" w:eastAsia="Times New Roman" w:hAnsi="Times New Roman" w:cs="Times New Roman"/>
                <w:color w:val="000000"/>
                <w:spacing w:val="0"/>
                <w:w w:val="100"/>
                <w:position w:val="0"/>
              </w:rPr>
              <w:t>/</w:t>
            </w:r>
            <w:r>
              <w:rPr>
                <w:color w:val="000000"/>
                <w:spacing w:val="0"/>
                <w:w w:val="100"/>
                <w:position w:val="0"/>
              </w:rPr>
              <w:t>本公司同意上市公司有权以公平合理的价格优先收购本单位</w:t>
            </w:r>
            <w:r>
              <w:rPr>
                <w:rFonts w:ascii="Times New Roman" w:eastAsia="Times New Roman" w:hAnsi="Times New Roman" w:cs="Times New Roman"/>
                <w:color w:val="000000"/>
                <w:spacing w:val="0"/>
                <w:w w:val="100"/>
                <w:position w:val="0"/>
              </w:rPr>
              <w:t>/</w:t>
            </w:r>
            <w:r>
              <w:rPr>
                <w:color w:val="000000"/>
                <w:spacing w:val="0"/>
                <w:w w:val="100"/>
                <w:position w:val="0"/>
              </w:rPr>
              <w:t>本公司在 该企业或其他关联公司中的全部股权或其他权益，或如上市公司决定不予收购的，本单位</w:t>
            </w:r>
            <w:r>
              <w:rPr>
                <w:rFonts w:ascii="Times New Roman" w:eastAsia="Times New Roman" w:hAnsi="Times New Roman" w:cs="Times New Roman"/>
                <w:color w:val="000000"/>
                <w:spacing w:val="0"/>
                <w:w w:val="100"/>
                <w:position w:val="0"/>
              </w:rPr>
              <w:t>/</w:t>
            </w:r>
            <w:r>
              <w:rPr>
                <w:color w:val="000000"/>
                <w:spacing w:val="0"/>
                <w:w w:val="100"/>
                <w:position w:val="0"/>
              </w:rPr>
              <w:t>本公 司同意在合理期限内清理、注销该等同类营业或将资产转给其他非关联方；本单位</w:t>
            </w:r>
            <w:r>
              <w:rPr>
                <w:rFonts w:ascii="Times New Roman" w:eastAsia="Times New Roman" w:hAnsi="Times New Roman" w:cs="Times New Roman"/>
                <w:color w:val="000000"/>
                <w:spacing w:val="0"/>
                <w:w w:val="100"/>
                <w:position w:val="0"/>
              </w:rPr>
              <w:t>/</w:t>
            </w:r>
            <w:r>
              <w:rPr>
                <w:color w:val="000000"/>
                <w:spacing w:val="0"/>
                <w:w w:val="100"/>
                <w:position w:val="0"/>
              </w:rPr>
              <w:t>本公司不进 行任何损害或可能损害上市公司利益的其他竞争行为。本单位</w:t>
            </w:r>
            <w:r>
              <w:rPr>
                <w:rFonts w:ascii="Times New Roman" w:eastAsia="Times New Roman" w:hAnsi="Times New Roman" w:cs="Times New Roman"/>
                <w:color w:val="000000"/>
                <w:spacing w:val="0"/>
                <w:w w:val="100"/>
                <w:position w:val="0"/>
              </w:rPr>
              <w:t>/</w:t>
            </w:r>
            <w:r>
              <w:rPr>
                <w:color w:val="000000"/>
                <w:spacing w:val="0"/>
                <w:w w:val="100"/>
                <w:position w:val="0"/>
              </w:rPr>
              <w:t>本公司愿意承担因违反上述承诺 给上市公司造成的全部经济损失。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5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6" w:lineRule="exact"/>
              <w:ind w:left="0" w:right="0" w:firstLine="0"/>
              <w:jc w:val="both"/>
            </w:pPr>
            <w:r>
              <w:rPr>
                <w:color w:val="000000"/>
                <w:spacing w:val="0"/>
                <w:w w:val="100"/>
                <w:position w:val="0"/>
              </w:rPr>
              <w:t>张家港财 智、前海远 大、凤凰财 鑫、西藏迅 木</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关联 交易</w:t>
            </w:r>
          </w:p>
        </w:tc>
        <w:tc>
          <w:tcPr>
            <w:tcBorders>
              <w:top w:val="single" w:sz="4"/>
              <w:left w:val="single" w:sz="4"/>
            </w:tcBorders>
            <w:shd w:val="clear" w:color="auto" w:fill="FFFFFF"/>
            <w:vAlign w:val="center"/>
          </w:tcPr>
          <w:p>
            <w:pPr>
              <w:pStyle w:val="Style2"/>
              <w:keepNext w:val="0"/>
              <w:keepLines w:val="0"/>
              <w:widowControl w:val="0"/>
              <w:shd w:val="clear" w:color="auto" w:fill="auto"/>
              <w:tabs>
                <w:tab w:pos="317" w:val="left"/>
              </w:tabs>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tab/>
              <w:t>对于未来可能的关联交易，本单位</w:t>
            </w:r>
            <w:r>
              <w:rPr>
                <w:rFonts w:ascii="Times New Roman" w:eastAsia="Times New Roman" w:hAnsi="Times New Roman" w:cs="Times New Roman"/>
                <w:color w:val="000000"/>
                <w:spacing w:val="0"/>
                <w:w w:val="100"/>
                <w:position w:val="0"/>
              </w:rPr>
              <w:t>/</w:t>
            </w:r>
            <w:r>
              <w:rPr>
                <w:color w:val="000000"/>
                <w:spacing w:val="0"/>
                <w:w w:val="100"/>
                <w:position w:val="0"/>
              </w:rPr>
              <w:t>本公司将善意履行作为上市公司股东的义务，不利用本 单位</w:t>
            </w:r>
            <w:r>
              <w:rPr>
                <w:rFonts w:ascii="Times New Roman" w:eastAsia="Times New Roman" w:hAnsi="Times New Roman" w:cs="Times New Roman"/>
                <w:color w:val="000000"/>
                <w:spacing w:val="0"/>
                <w:w w:val="100"/>
                <w:position w:val="0"/>
              </w:rPr>
              <w:t>/</w:t>
            </w:r>
            <w:r>
              <w:rPr>
                <w:color w:val="000000"/>
                <w:spacing w:val="0"/>
                <w:w w:val="100"/>
                <w:position w:val="0"/>
              </w:rPr>
              <w:t>本公司的股东地位，就上市公司与本单位</w:t>
            </w:r>
            <w:r>
              <w:rPr>
                <w:rFonts w:ascii="Times New Roman" w:eastAsia="Times New Roman" w:hAnsi="Times New Roman" w:cs="Times New Roman"/>
                <w:color w:val="000000"/>
                <w:spacing w:val="0"/>
                <w:w w:val="100"/>
                <w:position w:val="0"/>
              </w:rPr>
              <w:t>/</w:t>
            </w:r>
            <w:r>
              <w:rPr>
                <w:color w:val="000000"/>
                <w:spacing w:val="0"/>
                <w:w w:val="100"/>
                <w:position w:val="0"/>
              </w:rPr>
              <w:t>本公司及本单位</w:t>
            </w:r>
            <w:r>
              <w:rPr>
                <w:rFonts w:ascii="Times New Roman" w:eastAsia="Times New Roman" w:hAnsi="Times New Roman" w:cs="Times New Roman"/>
                <w:color w:val="000000"/>
                <w:spacing w:val="0"/>
                <w:w w:val="100"/>
                <w:position w:val="0"/>
              </w:rPr>
              <w:t>/</w:t>
            </w:r>
            <w:r>
              <w:rPr>
                <w:color w:val="000000"/>
                <w:spacing w:val="0"/>
                <w:w w:val="100"/>
                <w:position w:val="0"/>
              </w:rPr>
              <w:t>本公司控制的企业相关的任何 关联交易采取任何行动，故意促使上市公司的股东大会或董事会做出损害上市公司和其他股东 合法权益的决议。</w:t>
            </w:r>
          </w:p>
          <w:p>
            <w:pPr>
              <w:pStyle w:val="Style2"/>
              <w:keepNext w:val="0"/>
              <w:keepLines w:val="0"/>
              <w:widowControl w:val="0"/>
              <w:shd w:val="clear" w:color="auto" w:fill="auto"/>
              <w:tabs>
                <w:tab w:pos="293" w:val="left"/>
              </w:tabs>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tab/>
              <w:t>本单位</w:t>
            </w:r>
            <w:r>
              <w:rPr>
                <w:rFonts w:ascii="Times New Roman" w:eastAsia="Times New Roman" w:hAnsi="Times New Roman" w:cs="Times New Roman"/>
                <w:color w:val="000000"/>
                <w:spacing w:val="0"/>
                <w:w w:val="100"/>
                <w:position w:val="0"/>
              </w:rPr>
              <w:t>/</w:t>
            </w:r>
            <w:r>
              <w:rPr>
                <w:color w:val="000000"/>
                <w:spacing w:val="0"/>
                <w:w w:val="100"/>
                <w:position w:val="0"/>
              </w:rPr>
              <w:t>本公司及本单位</w:t>
            </w:r>
            <w:r>
              <w:rPr>
                <w:rFonts w:ascii="Times New Roman" w:eastAsia="Times New Roman" w:hAnsi="Times New Roman" w:cs="Times New Roman"/>
                <w:color w:val="000000"/>
                <w:spacing w:val="0"/>
                <w:w w:val="100"/>
                <w:position w:val="0"/>
              </w:rPr>
              <w:t>/</w:t>
            </w:r>
            <w:r>
              <w:rPr>
                <w:color w:val="000000"/>
                <w:spacing w:val="0"/>
                <w:w w:val="100"/>
                <w:position w:val="0"/>
              </w:rPr>
              <w:t>本公司的关联方不以任何方式违法违规占用上市公司资金及要求上 市公司违法违规提供担保。</w:t>
            </w:r>
          </w:p>
          <w:p>
            <w:pPr>
              <w:pStyle w:val="Style2"/>
              <w:keepNext w:val="0"/>
              <w:keepLines w:val="0"/>
              <w:widowControl w:val="0"/>
              <w:shd w:val="clear" w:color="auto" w:fill="auto"/>
              <w:tabs>
                <w:tab w:pos="298" w:val="left"/>
              </w:tabs>
              <w:bidi w:val="0"/>
              <w:spacing w:before="0" w:after="0" w:line="324"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w:t>
              <w:tab/>
              <w:t>如果上市公司与本单位</w:t>
            </w:r>
            <w:r>
              <w:rPr>
                <w:rFonts w:ascii="Times New Roman" w:eastAsia="Times New Roman" w:hAnsi="Times New Roman" w:cs="Times New Roman"/>
                <w:color w:val="000000"/>
                <w:spacing w:val="0"/>
                <w:w w:val="100"/>
                <w:position w:val="0"/>
              </w:rPr>
              <w:t>/</w:t>
            </w:r>
            <w:r>
              <w:rPr>
                <w:color w:val="000000"/>
                <w:spacing w:val="0"/>
                <w:w w:val="100"/>
                <w:position w:val="0"/>
              </w:rPr>
              <w:t>本公司及本单位</w:t>
            </w:r>
            <w:r>
              <w:rPr>
                <w:rFonts w:ascii="Times New Roman" w:eastAsia="Times New Roman" w:hAnsi="Times New Roman" w:cs="Times New Roman"/>
                <w:color w:val="000000"/>
                <w:spacing w:val="0"/>
                <w:w w:val="100"/>
                <w:position w:val="0"/>
              </w:rPr>
              <w:t>/</w:t>
            </w:r>
            <w:r>
              <w:rPr>
                <w:color w:val="000000"/>
                <w:spacing w:val="0"/>
                <w:w w:val="100"/>
                <w:position w:val="0"/>
              </w:rPr>
              <w:t>本公司控制的企业发生无法避免或有合理原因的关 联交易，则本单位</w:t>
            </w:r>
            <w:r>
              <w:rPr>
                <w:rFonts w:ascii="Times New Roman" w:eastAsia="Times New Roman" w:hAnsi="Times New Roman" w:cs="Times New Roman"/>
                <w:color w:val="000000"/>
                <w:spacing w:val="0"/>
                <w:w w:val="100"/>
                <w:position w:val="0"/>
              </w:rPr>
              <w:t>/</w:t>
            </w:r>
            <w:r>
              <w:rPr>
                <w:color w:val="000000"/>
                <w:spacing w:val="0"/>
                <w:w w:val="100"/>
                <w:position w:val="0"/>
              </w:rPr>
              <w:t>本公司承诺将促使上述关联交易遵循市场公正、公平、公开的原则，依照正 常商业条件进行。本单位</w:t>
            </w:r>
            <w:r>
              <w:rPr>
                <w:rFonts w:ascii="Times New Roman" w:eastAsia="Times New Roman" w:hAnsi="Times New Roman" w:cs="Times New Roman"/>
                <w:color w:val="000000"/>
                <w:spacing w:val="0"/>
                <w:w w:val="100"/>
                <w:position w:val="0"/>
              </w:rPr>
              <w:t>/</w:t>
            </w:r>
            <w:r>
              <w:rPr>
                <w:color w:val="000000"/>
                <w:spacing w:val="0"/>
                <w:w w:val="100"/>
                <w:position w:val="0"/>
              </w:rPr>
              <w:t>本公司将不会要求，也不会接受上市公司给予优于其在一项市场公平 交易中向第三方给予的交易条件。</w:t>
            </w:r>
          </w:p>
          <w:p>
            <w:pPr>
              <w:pStyle w:val="Style2"/>
              <w:keepNext w:val="0"/>
              <w:keepLines w:val="0"/>
              <w:widowControl w:val="0"/>
              <w:shd w:val="clear" w:color="auto" w:fill="auto"/>
              <w:tabs>
                <w:tab w:pos="322" w:val="left"/>
              </w:tabs>
              <w:bidi w:val="0"/>
              <w:spacing w:before="0" w:after="0" w:line="324" w:lineRule="exact"/>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w:t>
              <w:tab/>
              <w:t>本单位</w:t>
            </w:r>
            <w:r>
              <w:rPr>
                <w:rFonts w:ascii="Times New Roman" w:eastAsia="Times New Roman" w:hAnsi="Times New Roman" w:cs="Times New Roman"/>
                <w:color w:val="000000"/>
                <w:spacing w:val="0"/>
                <w:w w:val="100"/>
                <w:position w:val="0"/>
              </w:rPr>
              <w:t>/</w:t>
            </w:r>
            <w:r>
              <w:rPr>
                <w:color w:val="000000"/>
                <w:spacing w:val="0"/>
                <w:w w:val="100"/>
                <w:position w:val="0"/>
              </w:rPr>
              <w:t>本公司将严格遵守和执行上市公司关联交易管理制度的各项规定，如有违反以上承 诺及上市公司关联交易管理制度而给上市公司造成损失的情形，将依法承担相应责任。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05</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r>
        <w:trPr>
          <w:trHeight w:val="1339"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雪松信托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如果因国盛证券在本次交易完成前的房产租赁存在的法律瑕疵，包括但不限于出租人不是所出 租房产的合法出租方、未能提供租赁房产合法有效权证、未办理租赁备案登记手续、租赁违约 或其他经济纠纷，而导致本次交易完成后国盛证券或上市公司遭受损失的，本公司将在收到上 市公司书面通知之日起</w:t>
            </w:r>
            <w:r>
              <w:rPr>
                <w:rFonts w:ascii="Times New Roman" w:eastAsia="Times New Roman" w:hAnsi="Times New Roman" w:cs="Times New Roman"/>
                <w:color w:val="000000"/>
                <w:spacing w:val="0"/>
                <w:w w:val="100"/>
                <w:position w:val="0"/>
              </w:rPr>
              <w:t>10</w:t>
            </w:r>
            <w:r>
              <w:rPr>
                <w:color w:val="000000"/>
                <w:spacing w:val="0"/>
                <w:w w:val="100"/>
                <w:position w:val="0"/>
              </w:rPr>
              <w:t>个工作日内以现金方式向其进行足额补偿。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05</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r>
        <w:trPr>
          <w:trHeight w:val="725"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杜力、张巍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鉴于本人长期看好上市公司发展，为了更好的实施上市公司发展战略，本人通过张家港财智、 前海远大、凤凰财鑫、凤凰财智持有的上市公司股权除遵守已作出的股份锁定承诺外，在本次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05</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w:t>
            </w:r>
            <w:r>
              <w:rPr>
                <w:color w:val="000000"/>
                <w:spacing w:val="0"/>
                <w:w w:val="100"/>
                <w:position w:val="0"/>
              </w:rPr>
              <w:t>个月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562"/>
        <w:gridCol w:w="1138"/>
        <w:gridCol w:w="566"/>
        <w:gridCol w:w="8645"/>
        <w:gridCol w:w="994"/>
        <w:gridCol w:w="994"/>
        <w:gridCol w:w="1142"/>
      </w:tblGrid>
      <w:tr>
        <w:trPr>
          <w:trHeight w:val="398"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发行完成后</w:t>
            </w:r>
            <w:r>
              <w:rPr>
                <w:rFonts w:ascii="Times New Roman" w:eastAsia="Times New Roman" w:hAnsi="Times New Roman" w:cs="Times New Roman"/>
                <w:color w:val="000000"/>
                <w:spacing w:val="0"/>
                <w:w w:val="100"/>
                <w:position w:val="0"/>
              </w:rPr>
              <w:t>60</w:t>
            </w:r>
            <w:r>
              <w:rPr>
                <w:color w:val="000000"/>
                <w:spacing w:val="0"/>
                <w:w w:val="100"/>
                <w:position w:val="0"/>
              </w:rPr>
              <w:t>个月内，本人将确保实际控制人地位不发生变化。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154"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凤凰财智、 杜力、张巍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8" w:lineRule="exact"/>
              <w:ind w:left="0" w:right="0" w:firstLine="0"/>
              <w:jc w:val="left"/>
            </w:pPr>
            <w:r>
              <w:rPr>
                <w:color w:val="000000"/>
                <w:spacing w:val="0"/>
                <w:w w:val="100"/>
                <w:position w:val="0"/>
              </w:rPr>
              <w:t>保持 上市 公司 独立 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tabs>
                <w:tab w:pos="427" w:val="left"/>
              </w:tabs>
              <w:bidi w:val="0"/>
              <w:spacing w:before="0" w:after="0" w:line="326" w:lineRule="exact"/>
              <w:ind w:left="0" w:right="0" w:firstLine="0"/>
              <w:jc w:val="left"/>
            </w:pPr>
            <w:r>
              <w:rPr>
                <w:color w:val="000000"/>
                <w:spacing w:val="0"/>
                <w:w w:val="100"/>
                <w:position w:val="0"/>
              </w:rPr>
              <w:t>一、</w:t>
              <w:tab/>
              <w:t>资产完整</w:t>
            </w:r>
          </w:p>
          <w:p>
            <w:pPr>
              <w:pStyle w:val="Style2"/>
              <w:keepNext w:val="0"/>
              <w:keepLines w:val="0"/>
              <w:widowControl w:val="0"/>
              <w:shd w:val="clear" w:color="auto" w:fill="auto"/>
              <w:bidi w:val="0"/>
              <w:spacing w:before="0" w:after="40" w:line="326" w:lineRule="exact"/>
              <w:ind w:left="0" w:right="0" w:firstLine="0"/>
              <w:jc w:val="both"/>
            </w:pPr>
            <w:r>
              <w:rPr>
                <w:color w:val="000000"/>
                <w:spacing w:val="0"/>
                <w:w w:val="100"/>
                <w:position w:val="0"/>
              </w:rPr>
              <w:t>本单位</w:t>
            </w:r>
            <w:r>
              <w:rPr>
                <w:rFonts w:ascii="Times New Roman" w:eastAsia="Times New Roman" w:hAnsi="Times New Roman" w:cs="Times New Roman"/>
                <w:color w:val="000000"/>
                <w:spacing w:val="0"/>
                <w:w w:val="100"/>
                <w:position w:val="0"/>
              </w:rPr>
              <w:t>/</w:t>
            </w:r>
            <w:r>
              <w:rPr>
                <w:color w:val="000000"/>
                <w:spacing w:val="0"/>
                <w:w w:val="100"/>
                <w:position w:val="0"/>
              </w:rPr>
              <w:t>本人将继续确保上市公司合法拥有与生产经营有关的资产，确保上市公司资产独立于本 单位</w:t>
            </w:r>
            <w:r>
              <w:rPr>
                <w:rFonts w:ascii="Times New Roman" w:eastAsia="Times New Roman" w:hAnsi="Times New Roman" w:cs="Times New Roman"/>
                <w:color w:val="000000"/>
                <w:spacing w:val="0"/>
                <w:w w:val="100"/>
                <w:position w:val="0"/>
              </w:rPr>
              <w:t>/</w:t>
            </w:r>
            <w:r>
              <w:rPr>
                <w:color w:val="000000"/>
                <w:spacing w:val="0"/>
                <w:w w:val="100"/>
                <w:position w:val="0"/>
              </w:rPr>
              <w:t>本人及本单位</w:t>
            </w:r>
            <w:r>
              <w:rPr>
                <w:rFonts w:ascii="Times New Roman" w:eastAsia="Times New Roman" w:hAnsi="Times New Roman" w:cs="Times New Roman"/>
                <w:color w:val="000000"/>
                <w:spacing w:val="0"/>
                <w:w w:val="100"/>
                <w:position w:val="0"/>
              </w:rPr>
              <w:t>/</w:t>
            </w:r>
            <w:r>
              <w:rPr>
                <w:color w:val="000000"/>
                <w:spacing w:val="0"/>
                <w:w w:val="100"/>
                <w:position w:val="0"/>
              </w:rPr>
              <w:t>本人控制的除上市公司及其下属企业以外的其他企业，确保上市公司资产 在上市公司的控制之下；本单位</w:t>
            </w:r>
            <w:r>
              <w:rPr>
                <w:rFonts w:ascii="Times New Roman" w:eastAsia="Times New Roman" w:hAnsi="Times New Roman" w:cs="Times New Roman"/>
                <w:color w:val="000000"/>
                <w:spacing w:val="0"/>
                <w:w w:val="100"/>
                <w:position w:val="0"/>
              </w:rPr>
              <w:t>/</w:t>
            </w:r>
            <w:r>
              <w:rPr>
                <w:color w:val="000000"/>
                <w:spacing w:val="0"/>
                <w:w w:val="100"/>
                <w:position w:val="0"/>
              </w:rPr>
              <w:t>本人将杜绝其与上市公司出现资产混同使用的情形，并保证不 以任何方式侵占上市公司资产，确保上市公司拥有资产的完整权属。</w:t>
            </w:r>
          </w:p>
          <w:p>
            <w:pPr>
              <w:pStyle w:val="Style2"/>
              <w:keepNext w:val="0"/>
              <w:keepLines w:val="0"/>
              <w:widowControl w:val="0"/>
              <w:shd w:val="clear" w:color="auto" w:fill="auto"/>
              <w:tabs>
                <w:tab w:pos="418" w:val="left"/>
              </w:tabs>
              <w:bidi w:val="0"/>
              <w:spacing w:before="0" w:after="0" w:line="317" w:lineRule="exact"/>
              <w:ind w:left="0" w:right="0" w:firstLine="0"/>
              <w:jc w:val="both"/>
            </w:pPr>
            <w:r>
              <w:rPr>
                <w:color w:val="000000"/>
                <w:spacing w:val="0"/>
                <w:w w:val="100"/>
                <w:position w:val="0"/>
              </w:rPr>
              <w:t>二、</w:t>
              <w:tab/>
              <w:t>人员独立</w:t>
            </w:r>
          </w:p>
          <w:p>
            <w:pPr>
              <w:pStyle w:val="Style2"/>
              <w:keepNext w:val="0"/>
              <w:keepLines w:val="0"/>
              <w:widowControl w:val="0"/>
              <w:shd w:val="clear" w:color="auto" w:fill="auto"/>
              <w:bidi w:val="0"/>
              <w:spacing w:before="0" w:after="40" w:line="317" w:lineRule="exact"/>
              <w:ind w:left="0" w:right="0" w:firstLine="0"/>
              <w:jc w:val="both"/>
            </w:pPr>
            <w:r>
              <w:rPr>
                <w:color w:val="000000"/>
                <w:spacing w:val="0"/>
                <w:w w:val="100"/>
                <w:position w:val="0"/>
              </w:rPr>
              <w:t>本单位</w:t>
            </w:r>
            <w:r>
              <w:rPr>
                <w:rFonts w:ascii="Times New Roman" w:eastAsia="Times New Roman" w:hAnsi="Times New Roman" w:cs="Times New Roman"/>
                <w:color w:val="000000"/>
                <w:spacing w:val="0"/>
                <w:w w:val="100"/>
                <w:position w:val="0"/>
              </w:rPr>
              <w:t>/</w:t>
            </w:r>
            <w:r>
              <w:rPr>
                <w:color w:val="000000"/>
                <w:spacing w:val="0"/>
                <w:w w:val="100"/>
                <w:position w:val="0"/>
              </w:rPr>
              <w:t>本人将继续保证上市公司的董事、监事、高级管理人员均严格按照《公司法》、《公司章 程》的有关规定选举,不存在本单位</w:t>
            </w:r>
            <w:r>
              <w:rPr>
                <w:rFonts w:ascii="Times New Roman" w:eastAsia="Times New Roman" w:hAnsi="Times New Roman" w:cs="Times New Roman"/>
                <w:color w:val="000000"/>
                <w:spacing w:val="0"/>
                <w:w w:val="100"/>
                <w:position w:val="0"/>
              </w:rPr>
              <w:t>/</w:t>
            </w:r>
            <w:r>
              <w:rPr>
                <w:color w:val="000000"/>
                <w:spacing w:val="0"/>
                <w:w w:val="100"/>
                <w:position w:val="0"/>
              </w:rPr>
              <w:t>本人干预公司董事会和股东大会做出人事任免决定的情况； 本单位</w:t>
            </w:r>
            <w:r>
              <w:rPr>
                <w:rFonts w:ascii="Times New Roman" w:eastAsia="Times New Roman" w:hAnsi="Times New Roman" w:cs="Times New Roman"/>
                <w:color w:val="000000"/>
                <w:spacing w:val="0"/>
                <w:w w:val="100"/>
                <w:position w:val="0"/>
              </w:rPr>
              <w:t>/</w:t>
            </w:r>
            <w:r>
              <w:rPr>
                <w:color w:val="000000"/>
                <w:spacing w:val="0"/>
                <w:w w:val="100"/>
                <w:position w:val="0"/>
              </w:rPr>
              <w:t>本人将继续保证上市公司的总经理、副总经理、财务负责人、营销负责人和董事会秘书 等高级管理人员不在本单位</w:t>
            </w:r>
            <w:r>
              <w:rPr>
                <w:rFonts w:ascii="Times New Roman" w:eastAsia="Times New Roman" w:hAnsi="Times New Roman" w:cs="Times New Roman"/>
                <w:color w:val="000000"/>
                <w:spacing w:val="0"/>
                <w:w w:val="100"/>
                <w:position w:val="0"/>
              </w:rPr>
              <w:t>/</w:t>
            </w:r>
            <w:r>
              <w:rPr>
                <w:color w:val="000000"/>
                <w:spacing w:val="0"/>
                <w:w w:val="100"/>
                <w:position w:val="0"/>
              </w:rPr>
              <w:t>本人及本单位</w:t>
            </w:r>
            <w:r>
              <w:rPr>
                <w:rFonts w:ascii="Times New Roman" w:eastAsia="Times New Roman" w:hAnsi="Times New Roman" w:cs="Times New Roman"/>
                <w:color w:val="000000"/>
                <w:spacing w:val="0"/>
                <w:w w:val="100"/>
                <w:position w:val="0"/>
              </w:rPr>
              <w:t>/</w:t>
            </w:r>
            <w:r>
              <w:rPr>
                <w:color w:val="000000"/>
                <w:spacing w:val="0"/>
                <w:w w:val="100"/>
                <w:position w:val="0"/>
              </w:rPr>
              <w:t>本人控制的除上市公司以外的其它企业中担任除董 事以外的其他职务，不在本单位</w:t>
            </w:r>
            <w:r>
              <w:rPr>
                <w:rFonts w:ascii="Times New Roman" w:eastAsia="Times New Roman" w:hAnsi="Times New Roman" w:cs="Times New Roman"/>
                <w:color w:val="000000"/>
                <w:spacing w:val="0"/>
                <w:w w:val="100"/>
                <w:position w:val="0"/>
              </w:rPr>
              <w:t>/</w:t>
            </w:r>
            <w:r>
              <w:rPr>
                <w:color w:val="000000"/>
                <w:spacing w:val="0"/>
                <w:w w:val="100"/>
                <w:position w:val="0"/>
              </w:rPr>
              <w:t>本人及本单位</w:t>
            </w:r>
            <w:r>
              <w:rPr>
                <w:rFonts w:ascii="Times New Roman" w:eastAsia="Times New Roman" w:hAnsi="Times New Roman" w:cs="Times New Roman"/>
                <w:color w:val="000000"/>
                <w:spacing w:val="0"/>
                <w:w w:val="100"/>
                <w:position w:val="0"/>
              </w:rPr>
              <w:t>/</w:t>
            </w:r>
            <w:r>
              <w:rPr>
                <w:color w:val="000000"/>
                <w:spacing w:val="0"/>
                <w:w w:val="100"/>
                <w:position w:val="0"/>
              </w:rPr>
              <w:t>本人控制的除上市公司以外的其它企业领薪； 上市公司的财务人员不在本单位</w:t>
            </w:r>
            <w:r>
              <w:rPr>
                <w:rFonts w:ascii="Times New Roman" w:eastAsia="Times New Roman" w:hAnsi="Times New Roman" w:cs="Times New Roman"/>
                <w:color w:val="000000"/>
                <w:spacing w:val="0"/>
                <w:w w:val="100"/>
                <w:position w:val="0"/>
              </w:rPr>
              <w:t>/</w:t>
            </w:r>
            <w:r>
              <w:rPr>
                <w:color w:val="000000"/>
                <w:spacing w:val="0"/>
                <w:w w:val="100"/>
                <w:position w:val="0"/>
              </w:rPr>
              <w:t>本人及本单位</w:t>
            </w:r>
            <w:r>
              <w:rPr>
                <w:rFonts w:ascii="Times New Roman" w:eastAsia="Times New Roman" w:hAnsi="Times New Roman" w:cs="Times New Roman"/>
                <w:color w:val="000000"/>
                <w:spacing w:val="0"/>
                <w:w w:val="100"/>
                <w:position w:val="0"/>
              </w:rPr>
              <w:t>/</w:t>
            </w:r>
            <w:r>
              <w:rPr>
                <w:color w:val="000000"/>
                <w:spacing w:val="0"/>
                <w:w w:val="100"/>
                <w:position w:val="0"/>
              </w:rPr>
              <w:t>本人控制的除上市公司以外的其它企业中兼 职；本单位</w:t>
            </w:r>
            <w:r>
              <w:rPr>
                <w:rFonts w:ascii="Times New Roman" w:eastAsia="Times New Roman" w:hAnsi="Times New Roman" w:cs="Times New Roman"/>
                <w:color w:val="000000"/>
                <w:spacing w:val="0"/>
                <w:w w:val="100"/>
                <w:position w:val="0"/>
              </w:rPr>
              <w:t>/</w:t>
            </w:r>
            <w:r>
              <w:rPr>
                <w:color w:val="000000"/>
                <w:spacing w:val="0"/>
                <w:w w:val="100"/>
                <w:position w:val="0"/>
              </w:rPr>
              <w:t>本人保证上市公司的劳动、人事及工资管理与本单位</w:t>
            </w:r>
            <w:r>
              <w:rPr>
                <w:rFonts w:ascii="Times New Roman" w:eastAsia="Times New Roman" w:hAnsi="Times New Roman" w:cs="Times New Roman"/>
                <w:color w:val="000000"/>
                <w:spacing w:val="0"/>
                <w:w w:val="100"/>
                <w:position w:val="0"/>
              </w:rPr>
              <w:t>/</w:t>
            </w:r>
            <w:r>
              <w:rPr>
                <w:color w:val="000000"/>
                <w:spacing w:val="0"/>
                <w:w w:val="100"/>
                <w:position w:val="0"/>
              </w:rPr>
              <w:t>本人及本单位</w:t>
            </w:r>
            <w:r>
              <w:rPr>
                <w:rFonts w:ascii="Times New Roman" w:eastAsia="Times New Roman" w:hAnsi="Times New Roman" w:cs="Times New Roman"/>
                <w:color w:val="000000"/>
                <w:spacing w:val="0"/>
                <w:w w:val="100"/>
                <w:position w:val="0"/>
              </w:rPr>
              <w:t>/</w:t>
            </w:r>
            <w:r>
              <w:rPr>
                <w:color w:val="000000"/>
                <w:spacing w:val="0"/>
                <w:w w:val="100"/>
                <w:position w:val="0"/>
              </w:rPr>
              <w:t>本人控制的除 上市公司以外的其它企业之间完全独立。</w:t>
            </w:r>
          </w:p>
          <w:p>
            <w:pPr>
              <w:pStyle w:val="Style2"/>
              <w:keepNext w:val="0"/>
              <w:keepLines w:val="0"/>
              <w:widowControl w:val="0"/>
              <w:shd w:val="clear" w:color="auto" w:fill="auto"/>
              <w:tabs>
                <w:tab w:pos="422" w:val="left"/>
              </w:tabs>
              <w:bidi w:val="0"/>
              <w:spacing w:before="0" w:after="40" w:line="317" w:lineRule="exact"/>
              <w:ind w:left="0" w:right="0" w:firstLine="0"/>
              <w:jc w:val="both"/>
            </w:pPr>
            <w:r>
              <w:rPr>
                <w:color w:val="000000"/>
                <w:spacing w:val="0"/>
                <w:w w:val="100"/>
                <w:position w:val="0"/>
              </w:rPr>
              <w:t>三、</w:t>
              <w:tab/>
              <w:t>财务独立</w:t>
            </w:r>
          </w:p>
          <w:p>
            <w:pPr>
              <w:pStyle w:val="Style2"/>
              <w:keepNext w:val="0"/>
              <w:keepLines w:val="0"/>
              <w:widowControl w:val="0"/>
              <w:shd w:val="clear" w:color="auto" w:fill="auto"/>
              <w:bidi w:val="0"/>
              <w:spacing w:before="0" w:after="40" w:line="313" w:lineRule="exact"/>
              <w:ind w:left="0" w:right="0" w:firstLine="0"/>
              <w:jc w:val="both"/>
            </w:pPr>
            <w:r>
              <w:rPr>
                <w:color w:val="000000"/>
                <w:spacing w:val="0"/>
                <w:w w:val="100"/>
                <w:position w:val="0"/>
              </w:rPr>
              <w:t>上市公司已建立了独立的财务部门，配备了专门的财务人员，建立了独立的会计核算体系和财 务管理制度等内控制度，能够独立做出财务决策；上市公司开立了独立的银行账户，并依法独 立履行纳税义务。本单位</w:t>
            </w:r>
            <w:r>
              <w:rPr>
                <w:rFonts w:ascii="Times New Roman" w:eastAsia="Times New Roman" w:hAnsi="Times New Roman" w:cs="Times New Roman"/>
                <w:color w:val="000000"/>
                <w:spacing w:val="0"/>
                <w:w w:val="100"/>
                <w:position w:val="0"/>
              </w:rPr>
              <w:t>/</w:t>
            </w:r>
            <w:r>
              <w:rPr>
                <w:color w:val="000000"/>
                <w:spacing w:val="0"/>
                <w:w w:val="100"/>
                <w:position w:val="0"/>
              </w:rPr>
              <w:t>本人承诺上市公司资金使用不受本单位</w:t>
            </w:r>
            <w:r>
              <w:rPr>
                <w:rFonts w:ascii="Times New Roman" w:eastAsia="Times New Roman" w:hAnsi="Times New Roman" w:cs="Times New Roman"/>
                <w:color w:val="000000"/>
                <w:spacing w:val="0"/>
                <w:w w:val="100"/>
                <w:position w:val="0"/>
              </w:rPr>
              <w:t>/</w:t>
            </w:r>
            <w:r>
              <w:rPr>
                <w:color w:val="000000"/>
                <w:spacing w:val="0"/>
                <w:w w:val="100"/>
                <w:position w:val="0"/>
              </w:rPr>
              <w:t>本人及本单位</w:t>
            </w:r>
            <w:r>
              <w:rPr>
                <w:rFonts w:ascii="Times New Roman" w:eastAsia="Times New Roman" w:hAnsi="Times New Roman" w:cs="Times New Roman"/>
                <w:color w:val="000000"/>
                <w:spacing w:val="0"/>
                <w:w w:val="100"/>
                <w:position w:val="0"/>
              </w:rPr>
              <w:t>/</w:t>
            </w:r>
            <w:r>
              <w:rPr>
                <w:color w:val="000000"/>
                <w:spacing w:val="0"/>
                <w:w w:val="100"/>
                <w:position w:val="0"/>
              </w:rPr>
              <w:t>本人控制的除 上市公司以外的其他企业的干预；同时上市公司的财务人员均系其自行聘用员工，独立于本单 位</w:t>
            </w:r>
            <w:r>
              <w:rPr>
                <w:rFonts w:ascii="Times New Roman" w:eastAsia="Times New Roman" w:hAnsi="Times New Roman" w:cs="Times New Roman"/>
                <w:color w:val="000000"/>
                <w:spacing w:val="0"/>
                <w:w w:val="100"/>
                <w:position w:val="0"/>
              </w:rPr>
              <w:t>/</w:t>
            </w:r>
            <w:r>
              <w:rPr>
                <w:color w:val="000000"/>
                <w:spacing w:val="0"/>
                <w:w w:val="100"/>
                <w:position w:val="0"/>
              </w:rPr>
              <w:t>本人控制的除上市公司以外的其他企业。本单位</w:t>
            </w:r>
            <w:r>
              <w:rPr>
                <w:rFonts w:ascii="Times New Roman" w:eastAsia="Times New Roman" w:hAnsi="Times New Roman" w:cs="Times New Roman"/>
                <w:color w:val="000000"/>
                <w:spacing w:val="0"/>
                <w:w w:val="100"/>
                <w:position w:val="0"/>
              </w:rPr>
              <w:t>/</w:t>
            </w:r>
            <w:r>
              <w:rPr>
                <w:color w:val="000000"/>
                <w:spacing w:val="0"/>
                <w:w w:val="100"/>
                <w:position w:val="0"/>
              </w:rPr>
              <w:t>本人承诺将继续确保上市公司财务的独立 性。</w:t>
            </w:r>
          </w:p>
          <w:p>
            <w:pPr>
              <w:pStyle w:val="Style2"/>
              <w:keepNext w:val="0"/>
              <w:keepLines w:val="0"/>
              <w:widowControl w:val="0"/>
              <w:shd w:val="clear" w:color="auto" w:fill="auto"/>
              <w:tabs>
                <w:tab w:pos="403" w:val="left"/>
              </w:tabs>
              <w:bidi w:val="0"/>
              <w:spacing w:before="0" w:after="40" w:line="317" w:lineRule="exact"/>
              <w:ind w:left="0" w:right="0" w:firstLine="0"/>
              <w:jc w:val="both"/>
            </w:pPr>
            <w:r>
              <w:rPr>
                <w:color w:val="000000"/>
                <w:spacing w:val="0"/>
                <w:w w:val="100"/>
                <w:position w:val="0"/>
              </w:rPr>
              <w:t>四、</w:t>
              <w:tab/>
              <w:t>机构独立</w:t>
            </w:r>
          </w:p>
          <w:p>
            <w:pPr>
              <w:pStyle w:val="Style2"/>
              <w:keepNext w:val="0"/>
              <w:keepLines w:val="0"/>
              <w:widowControl w:val="0"/>
              <w:shd w:val="clear" w:color="auto" w:fill="auto"/>
              <w:tabs>
                <w:tab w:pos="322" w:val="left"/>
              </w:tabs>
              <w:bidi w:val="0"/>
              <w:spacing w:before="0" w:after="40" w:line="310"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tab/>
              <w:t>上市公司拥有独立的法人治理结构，其机构完整、独立，法人治理结构健全。本单位</w:t>
            </w:r>
            <w:r>
              <w:rPr>
                <w:rFonts w:ascii="Times New Roman" w:eastAsia="Times New Roman" w:hAnsi="Times New Roman" w:cs="Times New Roman"/>
                <w:color w:val="000000"/>
                <w:spacing w:val="0"/>
                <w:w w:val="100"/>
                <w:position w:val="0"/>
              </w:rPr>
              <w:t>/</w:t>
            </w:r>
            <w:r>
              <w:rPr>
                <w:color w:val="000000"/>
                <w:spacing w:val="0"/>
                <w:w w:val="100"/>
                <w:position w:val="0"/>
              </w:rPr>
              <w:t>本人 承诺按照国家相关法律法规之规定，确保上市公司的股东大会、董事会、监事会等机构独立行 使职权；</w:t>
            </w:r>
          </w:p>
          <w:p>
            <w:pPr>
              <w:pStyle w:val="Style2"/>
              <w:keepNext w:val="0"/>
              <w:keepLines w:val="0"/>
              <w:widowControl w:val="0"/>
              <w:shd w:val="clear" w:color="auto" w:fill="auto"/>
              <w:bidi w:val="0"/>
              <w:spacing w:before="0" w:after="40" w:line="319"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 上市公司在劳动用工、薪酬分配、人事制度、经营管理等方面与本单位</w:t>
            </w:r>
            <w:r>
              <w:rPr>
                <w:rFonts w:ascii="Times New Roman" w:eastAsia="Times New Roman" w:hAnsi="Times New Roman" w:cs="Times New Roman"/>
                <w:color w:val="000000"/>
                <w:spacing w:val="0"/>
                <w:w w:val="100"/>
                <w:position w:val="0"/>
              </w:rPr>
              <w:t>/</w:t>
            </w:r>
            <w:r>
              <w:rPr>
                <w:color w:val="000000"/>
                <w:spacing w:val="0"/>
                <w:w w:val="100"/>
                <w:position w:val="0"/>
              </w:rPr>
              <w:t>本人及本单位</w:t>
            </w:r>
            <w:r>
              <w:rPr>
                <w:rFonts w:ascii="Times New Roman" w:eastAsia="Times New Roman" w:hAnsi="Times New Roman" w:cs="Times New Roman"/>
                <w:color w:val="000000"/>
                <w:spacing w:val="0"/>
                <w:w w:val="100"/>
                <w:position w:val="0"/>
              </w:rPr>
              <w:t>/</w:t>
            </w:r>
            <w:r>
              <w:rPr>
                <w:color w:val="000000"/>
                <w:spacing w:val="0"/>
                <w:w w:val="100"/>
                <w:position w:val="0"/>
              </w:rPr>
              <w:t>本人 控制的除上市公司以外的其他企业之间将不会存在交叉和上下级关系，确保上市公司经营机构 的完整，不以任何理由干涉上市公司的机构设置、自主经营；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05</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538"/>
        <w:gridCol w:w="1138"/>
        <w:gridCol w:w="566"/>
        <w:gridCol w:w="8645"/>
        <w:gridCol w:w="994"/>
        <w:gridCol w:w="994"/>
        <w:gridCol w:w="1142"/>
      </w:tblGrid>
      <w:tr>
        <w:trPr>
          <w:trHeight w:val="426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、确保上市公司具有完全独立的办公机构与生产经营场所，不与本单位</w:t>
            </w:r>
            <w:r>
              <w:rPr>
                <w:rFonts w:ascii="Times New Roman" w:eastAsia="Times New Roman" w:hAnsi="Times New Roman" w:cs="Times New Roman"/>
                <w:color w:val="000000"/>
                <w:spacing w:val="0"/>
                <w:w w:val="100"/>
                <w:position w:val="0"/>
              </w:rPr>
              <w:t>/</w:t>
            </w:r>
            <w:r>
              <w:rPr>
                <w:color w:val="000000"/>
                <w:spacing w:val="0"/>
                <w:w w:val="100"/>
                <w:position w:val="0"/>
              </w:rPr>
              <w:t>本人控制的除上市公 司以外的其他企业混合经营、合署办公。</w:t>
            </w:r>
          </w:p>
          <w:p>
            <w:pPr>
              <w:pStyle w:val="Style2"/>
              <w:keepNext w:val="0"/>
              <w:keepLines w:val="0"/>
              <w:widowControl w:val="0"/>
              <w:shd w:val="clear" w:color="auto" w:fill="auto"/>
              <w:tabs>
                <w:tab w:pos="418" w:val="left"/>
              </w:tabs>
              <w:bidi w:val="0"/>
              <w:spacing w:before="0" w:after="0" w:line="336" w:lineRule="exact"/>
              <w:ind w:left="0" w:right="0" w:firstLine="0"/>
              <w:jc w:val="left"/>
            </w:pPr>
            <w:r>
              <w:rPr>
                <w:color w:val="000000"/>
                <w:spacing w:val="0"/>
                <w:w w:val="100"/>
                <w:position w:val="0"/>
              </w:rPr>
              <w:t>五、</w:t>
              <w:tab/>
              <w:t>业务独立</w:t>
            </w:r>
          </w:p>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上市公司及其全资子公司、控股子公司均具有独立、完整的业务流程及自主经营的能力，上市 公司及其下属全资子公司、控股子公司的各项业务决策均系其依照《公司章程》和经政府相关 部门批准的经营许可而作出，完全独立于本单位</w:t>
            </w:r>
            <w:r>
              <w:rPr>
                <w:rFonts w:ascii="Times New Roman" w:eastAsia="Times New Roman" w:hAnsi="Times New Roman" w:cs="Times New Roman"/>
                <w:color w:val="000000"/>
                <w:spacing w:val="0"/>
                <w:w w:val="100"/>
                <w:position w:val="0"/>
              </w:rPr>
              <w:t>/</w:t>
            </w:r>
            <w:r>
              <w:rPr>
                <w:color w:val="000000"/>
                <w:spacing w:val="0"/>
                <w:w w:val="100"/>
                <w:position w:val="0"/>
              </w:rPr>
              <w:t>本人及本单位</w:t>
            </w:r>
            <w:r>
              <w:rPr>
                <w:rFonts w:ascii="Times New Roman" w:eastAsia="Times New Roman" w:hAnsi="Times New Roman" w:cs="Times New Roman"/>
                <w:color w:val="000000"/>
                <w:spacing w:val="0"/>
                <w:w w:val="100"/>
                <w:position w:val="0"/>
              </w:rPr>
              <w:t>/</w:t>
            </w:r>
            <w:r>
              <w:rPr>
                <w:color w:val="000000"/>
                <w:spacing w:val="0"/>
                <w:w w:val="100"/>
                <w:position w:val="0"/>
              </w:rPr>
              <w:t>本人控制的除上市公司以外的 其他企业。本单位</w:t>
            </w:r>
            <w:r>
              <w:rPr>
                <w:rFonts w:ascii="Times New Roman" w:eastAsia="Times New Roman" w:hAnsi="Times New Roman" w:cs="Times New Roman"/>
                <w:color w:val="000000"/>
                <w:spacing w:val="0"/>
                <w:w w:val="100"/>
                <w:position w:val="0"/>
              </w:rPr>
              <w:t>/</w:t>
            </w:r>
            <w:r>
              <w:rPr>
                <w:color w:val="000000"/>
                <w:spacing w:val="0"/>
                <w:w w:val="100"/>
                <w:position w:val="0"/>
              </w:rPr>
              <w:t>本人将继续确保上市公司独立经营，在业务的各个方面保持独立。本单位</w:t>
            </w:r>
            <w:r>
              <w:rPr>
                <w:rFonts w:ascii="Times New Roman" w:eastAsia="Times New Roman" w:hAnsi="Times New Roman" w:cs="Times New Roman"/>
                <w:color w:val="000000"/>
                <w:spacing w:val="0"/>
                <w:w w:val="100"/>
                <w:position w:val="0"/>
              </w:rPr>
              <w:t xml:space="preserve">/ </w:t>
            </w:r>
            <w:r>
              <w:rPr>
                <w:color w:val="000000"/>
                <w:spacing w:val="0"/>
                <w:w w:val="100"/>
                <w:position w:val="0"/>
              </w:rPr>
              <w:t>本人承诺将遵守中国证监会的相关规定以及本单位</w:t>
            </w:r>
            <w:r>
              <w:rPr>
                <w:rFonts w:ascii="Times New Roman" w:eastAsia="Times New Roman" w:hAnsi="Times New Roman" w:cs="Times New Roman"/>
                <w:color w:val="000000"/>
                <w:spacing w:val="0"/>
                <w:w w:val="100"/>
                <w:position w:val="0"/>
              </w:rPr>
              <w:t>/</w:t>
            </w:r>
            <w:r>
              <w:rPr>
                <w:color w:val="000000"/>
                <w:spacing w:val="0"/>
                <w:w w:val="100"/>
                <w:position w:val="0"/>
              </w:rPr>
              <w:t>本人的承诺，并尽量减少与上市公司之间的 关联交易，保证不会以侵占上市公司利益为目的与上市公司之间开展显失公平的关联交易；本 单位</w:t>
            </w:r>
            <w:r>
              <w:rPr>
                <w:rFonts w:ascii="Times New Roman" w:eastAsia="Times New Roman" w:hAnsi="Times New Roman" w:cs="Times New Roman"/>
                <w:color w:val="000000"/>
                <w:spacing w:val="0"/>
                <w:w w:val="100"/>
                <w:position w:val="0"/>
              </w:rPr>
              <w:t>/</w:t>
            </w:r>
            <w:r>
              <w:rPr>
                <w:color w:val="000000"/>
                <w:spacing w:val="0"/>
                <w:w w:val="100"/>
                <w:position w:val="0"/>
              </w:rPr>
              <w:t>本人将保证上市公司继续具备独立开展业务的资质、人员、资产等所有必备条件，确保上 市公司业务独立。</w:t>
            </w:r>
          </w:p>
          <w:p>
            <w:pPr>
              <w:pStyle w:val="Style2"/>
              <w:keepNext w:val="0"/>
              <w:keepLines w:val="0"/>
              <w:widowControl w:val="0"/>
              <w:shd w:val="clear" w:color="auto" w:fill="auto"/>
              <w:tabs>
                <w:tab w:pos="422" w:val="left"/>
              </w:tabs>
              <w:bidi w:val="0"/>
              <w:spacing w:before="0" w:after="0" w:line="350" w:lineRule="exact"/>
              <w:ind w:left="0" w:right="0" w:firstLine="0"/>
              <w:jc w:val="left"/>
            </w:pPr>
            <w:r>
              <w:rPr>
                <w:color w:val="000000"/>
                <w:spacing w:val="0"/>
                <w:w w:val="100"/>
                <w:position w:val="0"/>
              </w:rPr>
              <w:t>六、</w:t>
              <w:tab/>
              <w:t>本单位</w:t>
            </w:r>
            <w:r>
              <w:rPr>
                <w:rFonts w:ascii="Times New Roman" w:eastAsia="Times New Roman" w:hAnsi="Times New Roman" w:cs="Times New Roman"/>
                <w:color w:val="000000"/>
                <w:spacing w:val="0"/>
                <w:w w:val="100"/>
                <w:position w:val="0"/>
              </w:rPr>
              <w:t>/</w:t>
            </w:r>
            <w:r>
              <w:rPr>
                <w:color w:val="000000"/>
                <w:spacing w:val="0"/>
                <w:w w:val="100"/>
                <w:position w:val="0"/>
              </w:rPr>
              <w:t>本人承诺确保上市公司独立性，并承诺不利用上市公司控股股东</w:t>
            </w:r>
            <w:r>
              <w:rPr>
                <w:rFonts w:ascii="Times New Roman" w:eastAsia="Times New Roman" w:hAnsi="Times New Roman" w:cs="Times New Roman"/>
                <w:color w:val="000000"/>
                <w:spacing w:val="0"/>
                <w:w w:val="100"/>
                <w:position w:val="0"/>
              </w:rPr>
              <w:t>/</w:t>
            </w:r>
            <w:r>
              <w:rPr>
                <w:color w:val="000000"/>
                <w:spacing w:val="0"/>
                <w:w w:val="100"/>
                <w:position w:val="0"/>
              </w:rPr>
              <w:t>实际控制人地位 损害上市公司及其他股东的利益。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42" w:hRule="exact"/>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张家港财 智、前海远 大、凤凰财 鑫、西藏迅 杰、北京岫 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所提 供信 息真 实、 准 确、 完整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本单位</w:t>
            </w:r>
            <w:r>
              <w:rPr>
                <w:rFonts w:ascii="Times New Roman" w:eastAsia="Times New Roman" w:hAnsi="Times New Roman" w:cs="Times New Roman"/>
                <w:color w:val="000000"/>
                <w:spacing w:val="0"/>
                <w:w w:val="100"/>
                <w:position w:val="0"/>
              </w:rPr>
              <w:t>/</w:t>
            </w:r>
            <w:r>
              <w:rPr>
                <w:color w:val="000000"/>
                <w:spacing w:val="0"/>
                <w:w w:val="100"/>
                <w:position w:val="0"/>
              </w:rPr>
              <w:t>本公司已向上市公司提供本次交易相关的信息，并保证所提供信息的真实性、准确性、 完整性，保证不存在虚假记载、误导性陈述或者重大遗漏。根据本次交易进程，需要本单位</w:t>
            </w:r>
            <w:r>
              <w:rPr>
                <w:rFonts w:ascii="Times New Roman" w:eastAsia="Times New Roman" w:hAnsi="Times New Roman" w:cs="Times New Roman"/>
                <w:color w:val="000000"/>
                <w:spacing w:val="0"/>
                <w:w w:val="100"/>
                <w:position w:val="0"/>
              </w:rPr>
              <w:t xml:space="preserve">/ </w:t>
            </w:r>
            <w:r>
              <w:rPr>
                <w:color w:val="000000"/>
                <w:spacing w:val="0"/>
                <w:w w:val="100"/>
                <w:position w:val="0"/>
              </w:rPr>
              <w:t>本公司及本单位</w:t>
            </w:r>
            <w:r>
              <w:rPr>
                <w:rFonts w:ascii="Times New Roman" w:eastAsia="Times New Roman" w:hAnsi="Times New Roman" w:cs="Times New Roman"/>
                <w:color w:val="000000"/>
                <w:spacing w:val="0"/>
                <w:w w:val="100"/>
                <w:position w:val="0"/>
              </w:rPr>
              <w:t>/</w:t>
            </w:r>
            <w:r>
              <w:rPr>
                <w:color w:val="000000"/>
                <w:spacing w:val="0"/>
                <w:w w:val="100"/>
                <w:position w:val="0"/>
              </w:rPr>
              <w:t>本公司下属企业补充提供相关信息时，本单位</w:t>
            </w:r>
            <w:r>
              <w:rPr>
                <w:rFonts w:ascii="Times New Roman" w:eastAsia="Times New Roman" w:hAnsi="Times New Roman" w:cs="Times New Roman"/>
                <w:color w:val="000000"/>
                <w:spacing w:val="0"/>
                <w:w w:val="100"/>
                <w:position w:val="0"/>
              </w:rPr>
              <w:t>/</w:t>
            </w:r>
            <w:r>
              <w:rPr>
                <w:color w:val="000000"/>
                <w:spacing w:val="0"/>
                <w:w w:val="100"/>
                <w:position w:val="0"/>
              </w:rPr>
              <w:t>本公司及本单位</w:t>
            </w:r>
            <w:r>
              <w:rPr>
                <w:rFonts w:ascii="Times New Roman" w:eastAsia="Times New Roman" w:hAnsi="Times New Roman" w:cs="Times New Roman"/>
                <w:color w:val="000000"/>
                <w:spacing w:val="0"/>
                <w:w w:val="100"/>
                <w:position w:val="0"/>
              </w:rPr>
              <w:t>/</w:t>
            </w:r>
            <w:r>
              <w:rPr>
                <w:color w:val="000000"/>
                <w:spacing w:val="0"/>
                <w:w w:val="100"/>
                <w:position w:val="0"/>
              </w:rPr>
              <w:t>本公司下属企 业保证继续提供的信息仍然符合真实、准确、完整、有效的要求。本单位</w:t>
            </w:r>
            <w:r>
              <w:rPr>
                <w:rFonts w:ascii="Times New Roman" w:eastAsia="Times New Roman" w:hAnsi="Times New Roman" w:cs="Times New Roman"/>
                <w:color w:val="000000"/>
                <w:spacing w:val="0"/>
                <w:w w:val="100"/>
                <w:position w:val="0"/>
              </w:rPr>
              <w:t>/</w:t>
            </w:r>
            <w:r>
              <w:rPr>
                <w:color w:val="000000"/>
                <w:spacing w:val="0"/>
                <w:w w:val="100"/>
                <w:position w:val="0"/>
              </w:rPr>
              <w:t>本公司承诺，对上述 项下所提供信息的真实性、准确性、完整性依法承担法律责任。如本单位</w:t>
            </w:r>
            <w:r>
              <w:rPr>
                <w:rFonts w:ascii="Times New Roman" w:eastAsia="Times New Roman" w:hAnsi="Times New Roman" w:cs="Times New Roman"/>
                <w:color w:val="000000"/>
                <w:spacing w:val="0"/>
                <w:w w:val="100"/>
                <w:position w:val="0"/>
              </w:rPr>
              <w:t>/</w:t>
            </w:r>
            <w:r>
              <w:rPr>
                <w:color w:val="000000"/>
                <w:spacing w:val="0"/>
                <w:w w:val="100"/>
                <w:position w:val="0"/>
              </w:rPr>
              <w:t>本公司在本次交易中 所提供或披露的信息涉嫌虚假记载、误导性陈述或者重大遗漏，被司法机关立案侦查或者被中 国证监会立案调查的，在形成调查结论以前,本单位</w:t>
            </w:r>
            <w:r>
              <w:rPr>
                <w:rFonts w:ascii="Times New Roman" w:eastAsia="Times New Roman" w:hAnsi="Times New Roman" w:cs="Times New Roman"/>
                <w:color w:val="000000"/>
                <w:spacing w:val="0"/>
                <w:w w:val="100"/>
                <w:position w:val="0"/>
              </w:rPr>
              <w:t>/</w:t>
            </w:r>
            <w:r>
              <w:rPr>
                <w:color w:val="000000"/>
                <w:spacing w:val="0"/>
                <w:w w:val="100"/>
                <w:position w:val="0"/>
              </w:rPr>
              <w:t>本公司不转让在上市公司拥有权益的股份， 并于收到立案稽查通知的两个交易日内将暂停转让的书面申请和股票账户提交上市公司董事 会，由董事会代本单位</w:t>
            </w:r>
            <w:r>
              <w:rPr>
                <w:rFonts w:ascii="Times New Roman" w:eastAsia="Times New Roman" w:hAnsi="Times New Roman" w:cs="Times New Roman"/>
                <w:color w:val="000000"/>
                <w:spacing w:val="0"/>
                <w:w w:val="100"/>
                <w:position w:val="0"/>
              </w:rPr>
              <w:t>/</w:t>
            </w:r>
            <w:r>
              <w:rPr>
                <w:color w:val="000000"/>
                <w:spacing w:val="0"/>
                <w:w w:val="100"/>
                <w:position w:val="0"/>
              </w:rPr>
              <w:t>本公司向证券交易所和登记结算公司申请锁定；未在两个交易日内提交 锁定申请的，授权董事会核实后直接向证券交易所和登记结算公司报送本单位</w:t>
            </w:r>
            <w:r>
              <w:rPr>
                <w:rFonts w:ascii="Times New Roman" w:eastAsia="Times New Roman" w:hAnsi="Times New Roman" w:cs="Times New Roman"/>
                <w:color w:val="000000"/>
                <w:spacing w:val="0"/>
                <w:w w:val="100"/>
                <w:position w:val="0"/>
              </w:rPr>
              <w:t>/</w:t>
            </w:r>
            <w:r>
              <w:rPr>
                <w:color w:val="000000"/>
                <w:spacing w:val="0"/>
                <w:w w:val="100"/>
                <w:position w:val="0"/>
              </w:rPr>
              <w:t>本公司的身份信 息和账户信息并申请锁定；董事会未向证券交易所和登记结算公司报送本单位</w:t>
            </w:r>
            <w:r>
              <w:rPr>
                <w:rFonts w:ascii="Times New Roman" w:eastAsia="Times New Roman" w:hAnsi="Times New Roman" w:cs="Times New Roman"/>
                <w:color w:val="000000"/>
                <w:spacing w:val="0"/>
                <w:w w:val="100"/>
                <w:position w:val="0"/>
              </w:rPr>
              <w:t>/</w:t>
            </w:r>
            <w:r>
              <w:rPr>
                <w:color w:val="000000"/>
                <w:spacing w:val="0"/>
                <w:w w:val="100"/>
                <w:position w:val="0"/>
              </w:rPr>
              <w:t>本公司的身份信 息和账户信息的，授权证券交易所和登记结算公司直接锁定相关股份。如调查结论发现存在违 法违规情节，本单位</w:t>
            </w:r>
            <w:r>
              <w:rPr>
                <w:rFonts w:ascii="Times New Roman" w:eastAsia="Times New Roman" w:hAnsi="Times New Roman" w:cs="Times New Roman"/>
                <w:color w:val="000000"/>
                <w:spacing w:val="0"/>
                <w:w w:val="100"/>
                <w:position w:val="0"/>
              </w:rPr>
              <w:t>/</w:t>
            </w:r>
            <w:r>
              <w:rPr>
                <w:color w:val="000000"/>
                <w:spacing w:val="0"/>
                <w:w w:val="100"/>
                <w:position w:val="0"/>
              </w:rPr>
              <w:t>本公司承诺锁定股份自愿用于相关投资者赔偿安排。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r>
        <w:trPr>
          <w:trHeight w:val="998" w:hRule="exact"/>
        </w:trPr>
        <w:tc>
          <w:tcPr>
            <w:tcBorders>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雪松信托、 赣粤高速、 江西财投、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所提 供信 息真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本单位</w:t>
            </w:r>
            <w:r>
              <w:rPr>
                <w:rFonts w:ascii="Times New Roman" w:eastAsia="Times New Roman" w:hAnsi="Times New Roman" w:cs="Times New Roman"/>
                <w:color w:val="000000"/>
                <w:spacing w:val="0"/>
                <w:w w:val="100"/>
                <w:position w:val="0"/>
              </w:rPr>
              <w:t>/</w:t>
            </w:r>
            <w:r>
              <w:rPr>
                <w:color w:val="000000"/>
                <w:spacing w:val="0"/>
                <w:w w:val="100"/>
                <w:position w:val="0"/>
              </w:rPr>
              <w:t>本公司已向上市公司提供本次交易相关的信息，并保证所提供信息的真实性、准确性、 完整性，保证不存在虚假记载、误导性陈述或者重大遗漏。根据本次交易进程，需要本单位</w:t>
            </w:r>
            <w:r>
              <w:rPr>
                <w:rFonts w:ascii="Times New Roman" w:eastAsia="Times New Roman" w:hAnsi="Times New Roman" w:cs="Times New Roman"/>
                <w:color w:val="000000"/>
                <w:spacing w:val="0"/>
                <w:w w:val="100"/>
                <w:position w:val="0"/>
              </w:rPr>
              <w:t xml:space="preserve">/ </w:t>
            </w:r>
            <w:r>
              <w:rPr>
                <w:color w:val="000000"/>
                <w:spacing w:val="0"/>
                <w:w w:val="100"/>
                <w:position w:val="0"/>
              </w:rPr>
              <w:t>本公司及本单位</w:t>
            </w:r>
            <w:r>
              <w:rPr>
                <w:rFonts w:ascii="Times New Roman" w:eastAsia="Times New Roman" w:hAnsi="Times New Roman" w:cs="Times New Roman"/>
                <w:color w:val="000000"/>
                <w:spacing w:val="0"/>
                <w:w w:val="100"/>
                <w:position w:val="0"/>
              </w:rPr>
              <w:t>/</w:t>
            </w:r>
            <w:r>
              <w:rPr>
                <w:color w:val="000000"/>
                <w:spacing w:val="0"/>
                <w:w w:val="100"/>
                <w:position w:val="0"/>
              </w:rPr>
              <w:t>本公司下属企业补充提供相关信息时，本单位</w:t>
            </w:r>
            <w:r>
              <w:rPr>
                <w:rFonts w:ascii="Times New Roman" w:eastAsia="Times New Roman" w:hAnsi="Times New Roman" w:cs="Times New Roman"/>
                <w:color w:val="000000"/>
                <w:spacing w:val="0"/>
                <w:w w:val="100"/>
                <w:position w:val="0"/>
              </w:rPr>
              <w:t>/</w:t>
            </w:r>
            <w:r>
              <w:rPr>
                <w:color w:val="000000"/>
                <w:spacing w:val="0"/>
                <w:w w:val="100"/>
                <w:position w:val="0"/>
              </w:rPr>
              <w:t>本公司及本单位</w:t>
            </w:r>
            <w:r>
              <w:rPr>
                <w:rFonts w:ascii="Times New Roman" w:eastAsia="Times New Roman" w:hAnsi="Times New Roman" w:cs="Times New Roman"/>
                <w:color w:val="000000"/>
                <w:spacing w:val="0"/>
                <w:w w:val="100"/>
                <w:position w:val="0"/>
              </w:rPr>
              <w:t>/</w:t>
            </w:r>
            <w:r>
              <w:rPr>
                <w:color w:val="000000"/>
                <w:spacing w:val="0"/>
                <w:w w:val="100"/>
                <w:position w:val="0"/>
              </w:rPr>
              <w:t>本公司下属企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538"/>
        <w:gridCol w:w="1138"/>
        <w:gridCol w:w="566"/>
        <w:gridCol w:w="8645"/>
        <w:gridCol w:w="994"/>
        <w:gridCol w:w="994"/>
        <w:gridCol w:w="1142"/>
      </w:tblGrid>
      <w:tr>
        <w:trPr>
          <w:trHeight w:val="3206"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江西投资、 江西能源、 江西地矿、 江西地勘、 锦峰投资、 江西医药</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实、</w:t>
            </w:r>
          </w:p>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准 确、 完整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业保证继续提供的信息仍然符合真实、准确、完整、有效的要求。本单位</w:t>
            </w:r>
            <w:r>
              <w:rPr>
                <w:rFonts w:ascii="Times New Roman" w:eastAsia="Times New Roman" w:hAnsi="Times New Roman" w:cs="Times New Roman"/>
                <w:color w:val="000000"/>
                <w:spacing w:val="0"/>
                <w:w w:val="100"/>
                <w:position w:val="0"/>
              </w:rPr>
              <w:t>/</w:t>
            </w:r>
            <w:r>
              <w:rPr>
                <w:color w:val="000000"/>
                <w:spacing w:val="0"/>
                <w:w w:val="100"/>
                <w:position w:val="0"/>
              </w:rPr>
              <w:t>本公司承诺，对上述 项下所提供信息的真实性、准确性、完整性依法承担法律责任。如本单位</w:t>
            </w:r>
            <w:r>
              <w:rPr>
                <w:rFonts w:ascii="Times New Roman" w:eastAsia="Times New Roman" w:hAnsi="Times New Roman" w:cs="Times New Roman"/>
                <w:color w:val="000000"/>
                <w:spacing w:val="0"/>
                <w:w w:val="100"/>
                <w:position w:val="0"/>
              </w:rPr>
              <w:t>/</w:t>
            </w:r>
            <w:r>
              <w:rPr>
                <w:color w:val="000000"/>
                <w:spacing w:val="0"/>
                <w:w w:val="100"/>
                <w:position w:val="0"/>
              </w:rPr>
              <w:t>本公司在本次交易中 所提供或披露的信息涉嫌虚假记载、误导性陈述或者重大遗漏，被司法机关立案侦查或者被中 国证监会立案调查的，在形成调查结论以前,本单位</w:t>
            </w:r>
            <w:r>
              <w:rPr>
                <w:rFonts w:ascii="Times New Roman" w:eastAsia="Times New Roman" w:hAnsi="Times New Roman" w:cs="Times New Roman"/>
                <w:color w:val="000000"/>
                <w:spacing w:val="0"/>
                <w:w w:val="100"/>
                <w:position w:val="0"/>
              </w:rPr>
              <w:t>/</w:t>
            </w:r>
            <w:r>
              <w:rPr>
                <w:color w:val="000000"/>
                <w:spacing w:val="0"/>
                <w:w w:val="100"/>
                <w:position w:val="0"/>
              </w:rPr>
              <w:t>本公司不转让在上市公司拥有权益的股份， 并于收到立案稽查通知的两个交易日内将暂停转让的书面申请和股票账户提交上市公司董事 会，由董事会代本单位</w:t>
            </w:r>
            <w:r>
              <w:rPr>
                <w:rFonts w:ascii="Times New Roman" w:eastAsia="Times New Roman" w:hAnsi="Times New Roman" w:cs="Times New Roman"/>
                <w:color w:val="000000"/>
                <w:spacing w:val="0"/>
                <w:w w:val="100"/>
                <w:position w:val="0"/>
              </w:rPr>
              <w:t>/</w:t>
            </w:r>
            <w:r>
              <w:rPr>
                <w:color w:val="000000"/>
                <w:spacing w:val="0"/>
                <w:w w:val="100"/>
                <w:position w:val="0"/>
              </w:rPr>
              <w:t>本公司向证券交易所和登记结算公司申请锁定；未在两个交易日内提交 锁定申请的，授权董事会核实后直接向证券交易所和登记结算公司报送本单位</w:t>
            </w:r>
            <w:r>
              <w:rPr>
                <w:rFonts w:ascii="Times New Roman" w:eastAsia="Times New Roman" w:hAnsi="Times New Roman" w:cs="Times New Roman"/>
                <w:color w:val="000000"/>
                <w:spacing w:val="0"/>
                <w:w w:val="100"/>
                <w:position w:val="0"/>
              </w:rPr>
              <w:t>/</w:t>
            </w:r>
            <w:r>
              <w:rPr>
                <w:color w:val="000000"/>
                <w:spacing w:val="0"/>
                <w:w w:val="100"/>
                <w:position w:val="0"/>
              </w:rPr>
              <w:t>本公司的身份信 息和账户信息并申请锁定；董事会未向证券交易所和登记结算公司报送本单位</w:t>
            </w:r>
            <w:r>
              <w:rPr>
                <w:rFonts w:ascii="Times New Roman" w:eastAsia="Times New Roman" w:hAnsi="Times New Roman" w:cs="Times New Roman"/>
                <w:color w:val="000000"/>
                <w:spacing w:val="0"/>
                <w:w w:val="100"/>
                <w:position w:val="0"/>
              </w:rPr>
              <w:t>/</w:t>
            </w:r>
            <w:r>
              <w:rPr>
                <w:color w:val="000000"/>
                <w:spacing w:val="0"/>
                <w:w w:val="100"/>
                <w:position w:val="0"/>
              </w:rPr>
              <w:t>本公司的身份信 息和账户信息的，授权证券交易所和登记结算公司直接锁定相关股份。如调查结论发现存在违 法违规情节，本单位</w:t>
            </w:r>
            <w:r>
              <w:rPr>
                <w:rFonts w:ascii="Times New Roman" w:eastAsia="Times New Roman" w:hAnsi="Times New Roman" w:cs="Times New Roman"/>
                <w:color w:val="000000"/>
                <w:spacing w:val="0"/>
                <w:w w:val="100"/>
                <w:position w:val="0"/>
              </w:rPr>
              <w:t>/</w:t>
            </w:r>
            <w:r>
              <w:rPr>
                <w:color w:val="000000"/>
                <w:spacing w:val="0"/>
                <w:w w:val="100"/>
                <w:position w:val="0"/>
              </w:rPr>
              <w:t>本公司承诺锁定股份自愿用于相关投资者赔偿安排。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0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杜力、张巍、 谢基柱、赵 岑、罗嘉俊、 李英明、张 李平、周春 生、徐强国， 凤凰财智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所提 供信 息真 实、 准 确、 完整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pPr>
            <w:r>
              <w:rPr>
                <w:color w:val="000000"/>
                <w:spacing w:val="0"/>
                <w:w w:val="100"/>
                <w:position w:val="0"/>
              </w:rPr>
              <w:t>本单位</w:t>
            </w:r>
            <w:r>
              <w:rPr>
                <w:rFonts w:ascii="Times New Roman" w:eastAsia="Times New Roman" w:hAnsi="Times New Roman" w:cs="Times New Roman"/>
                <w:color w:val="000000"/>
                <w:spacing w:val="0"/>
                <w:w w:val="100"/>
                <w:position w:val="0"/>
              </w:rPr>
              <w:t>/</w:t>
            </w:r>
            <w:r>
              <w:rPr>
                <w:color w:val="000000"/>
                <w:spacing w:val="0"/>
                <w:w w:val="100"/>
                <w:position w:val="0"/>
              </w:rPr>
              <w:t>本人保证本次交易信息披露和申请文件的真实性、准确性、完整性，保证不存在虚假记 载、误导性陈述或者重大遗漏，并对本次交易信息披露和申请文件的真实性、准确性、完整性 依法承担法律责任。如在本次交易中所提供或披露的信息涉嫌虚假记载、误导性陈述或者重大 遗漏，被司法机关立案侦查或者被中国证监会立案调查的，在形成调查结论以前，本单位</w:t>
            </w:r>
            <w:r>
              <w:rPr>
                <w:rFonts w:ascii="Times New Roman" w:eastAsia="Times New Roman" w:hAnsi="Times New Roman" w:cs="Times New Roman"/>
                <w:color w:val="000000"/>
                <w:spacing w:val="0"/>
                <w:w w:val="100"/>
                <w:position w:val="0"/>
              </w:rPr>
              <w:t>/</w:t>
            </w:r>
            <w:r>
              <w:rPr>
                <w:color w:val="000000"/>
                <w:spacing w:val="0"/>
                <w:w w:val="100"/>
                <w:position w:val="0"/>
              </w:rPr>
              <w:t>本人 不转让在上市公司拥有权益的股份，并于收到立案稽查通知的两个交易日内将暂停转让的书面 申请和股票账户提交上市公司董事会，由董事会代本单位</w:t>
            </w:r>
            <w:r>
              <w:rPr>
                <w:rFonts w:ascii="Times New Roman" w:eastAsia="Times New Roman" w:hAnsi="Times New Roman" w:cs="Times New Roman"/>
                <w:color w:val="000000"/>
                <w:spacing w:val="0"/>
                <w:w w:val="100"/>
                <w:position w:val="0"/>
              </w:rPr>
              <w:t>/</w:t>
            </w:r>
            <w:r>
              <w:rPr>
                <w:color w:val="000000"/>
                <w:spacing w:val="0"/>
                <w:w w:val="100"/>
                <w:position w:val="0"/>
              </w:rPr>
              <w:t>本人向证券交易所和登记结算公司申 请锁定；未在两个交易日内提交锁定申请的，授权董事会核实后直接向证券交易所和登记结算 公司报送本单位</w:t>
            </w:r>
            <w:r>
              <w:rPr>
                <w:rFonts w:ascii="Times New Roman" w:eastAsia="Times New Roman" w:hAnsi="Times New Roman" w:cs="Times New Roman"/>
                <w:color w:val="000000"/>
                <w:spacing w:val="0"/>
                <w:w w:val="100"/>
                <w:position w:val="0"/>
              </w:rPr>
              <w:t>/</w:t>
            </w:r>
            <w:r>
              <w:rPr>
                <w:color w:val="000000"/>
                <w:spacing w:val="0"/>
                <w:w w:val="100"/>
                <w:position w:val="0"/>
              </w:rPr>
              <w:t>本人的身份信息和账户信息并申请锁定；董事会未向证券交易所和登记结算公 司报送本单位</w:t>
            </w:r>
            <w:r>
              <w:rPr>
                <w:rFonts w:ascii="Times New Roman" w:eastAsia="Times New Roman" w:hAnsi="Times New Roman" w:cs="Times New Roman"/>
                <w:color w:val="000000"/>
                <w:spacing w:val="0"/>
                <w:w w:val="100"/>
                <w:position w:val="0"/>
              </w:rPr>
              <w:t>/</w:t>
            </w:r>
            <w:r>
              <w:rPr>
                <w:color w:val="000000"/>
                <w:spacing w:val="0"/>
                <w:w w:val="100"/>
                <w:position w:val="0"/>
              </w:rPr>
              <w:t>本人的身份信息和账户信息的，授权证券交易所和登记结算公司直接锁定相关股 份。如调查结论发现存在违法违规情节，承诺锁定股份自愿用于相关投资者赔偿安排。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r>
        <w:trPr>
          <w:trHeight w:val="25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首次 公开 发行 或再 融资 时所 作承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刘琛、刘世 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股份 限售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在作为本公司董事、监事、高级管理人员期间，每年转让的股份不超过其直接或间接持有本公 司股份总数的</w:t>
            </w:r>
            <w:r>
              <w:rPr>
                <w:rFonts w:ascii="Times New Roman" w:eastAsia="Times New Roman" w:hAnsi="Times New Roman" w:cs="Times New Roman"/>
                <w:color w:val="000000"/>
                <w:spacing w:val="0"/>
                <w:w w:val="100"/>
                <w:position w:val="0"/>
              </w:rPr>
              <w:t>25%</w:t>
            </w:r>
            <w:r>
              <w:rPr>
                <w:color w:val="000000"/>
                <w:spacing w:val="0"/>
                <w:w w:val="100"/>
                <w:position w:val="0"/>
              </w:rPr>
              <w:t xml:space="preserve">。如其离职，离职后半年内不转让其所持有的本公司股份，在申报离任六个 月后的十二个月内通过证券交易所挂牌交易出售的股份不超过其所持有本公司股份总数的 </w:t>
            </w:r>
            <w:r>
              <w:rPr>
                <w:rFonts w:ascii="Times New Roman" w:eastAsia="Times New Roman" w:hAnsi="Times New Roman" w:cs="Times New Roman"/>
                <w:color w:val="000000"/>
                <w:spacing w:val="0"/>
                <w:w w:val="100"/>
                <w:position w:val="0"/>
              </w:rPr>
              <w:t>50%</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04</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312" w:lineRule="exact"/>
              <w:ind w:left="0" w:right="0" w:firstLine="0"/>
              <w:jc w:val="left"/>
            </w:pPr>
            <w:r>
              <w:rPr>
                <w:color w:val="000000"/>
                <w:spacing w:val="0"/>
                <w:w w:val="100"/>
                <w:position w:val="0"/>
              </w:rPr>
              <w:t>公司上市 一年后至 其离任后</w:t>
            </w:r>
          </w:p>
          <w:p>
            <w:pPr>
              <w:pStyle w:val="Style2"/>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18</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正常履行 中，报告期 内离任</w:t>
            </w:r>
          </w:p>
        </w:tc>
      </w:tr>
      <w:tr>
        <w:trPr>
          <w:trHeight w:val="413" w:hRule="exact"/>
        </w:trPr>
        <w:tc>
          <w:tcPr>
            <w:gridSpan w:val="7"/>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tabs>
                <w:tab w:pos="6998" w:val="left"/>
              </w:tabs>
              <w:bidi w:val="0"/>
              <w:spacing w:before="0" w:after="0" w:line="240" w:lineRule="auto"/>
              <w:ind w:left="0" w:right="0" w:firstLine="0"/>
              <w:jc w:val="left"/>
            </w:pPr>
            <w:r>
              <w:rPr>
                <w:color w:val="000000"/>
                <w:spacing w:val="0"/>
                <w:w w:val="100"/>
                <w:position w:val="0"/>
              </w:rPr>
              <w:t>承诺是否按时履行</w:t>
              <w:tab/>
              <w:t>否</w:t>
            </w:r>
          </w:p>
        </w:tc>
      </w:tr>
    </w:tbl>
    <w:p>
      <w:pPr>
        <w:spacing w:lineRule="exact" w:line="1"/>
        <w:rPr>
          <w:sz w:val="2"/>
          <w:szCs w:val="2"/>
        </w:rPr>
      </w:pPr>
      <w:r>
        <w:br w:type="page"/>
      </w:r>
    </w:p>
    <w:tbl>
      <w:tblPr>
        <w:tblOverlap w:val="never"/>
        <w:jc w:val="center"/>
        <w:tblLayout w:type="fixed"/>
      </w:tblPr>
      <w:tblGrid>
        <w:gridCol w:w="7008"/>
        <w:gridCol w:w="7008"/>
      </w:tblGrid>
      <w:tr>
        <w:trPr>
          <w:trHeight w:val="73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如承诺超期未履行完毕的，应当详细说明未完成履行的具体原因及下一步的 工作计划</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雪松信托未按《业绩承诺补偿协议》约定履行业绩补偿承诺</w:t>
            </w:r>
            <w:r>
              <w:rPr>
                <w:color w:val="000000"/>
                <w:spacing w:val="0"/>
                <w:w w:val="100"/>
                <w:position w:val="0"/>
                <w:sz w:val="11"/>
                <w:szCs w:val="11"/>
              </w:rPr>
              <w:t>注</w:t>
            </w:r>
            <w:r>
              <w:rPr>
                <w:color w:val="000000"/>
                <w:spacing w:val="0"/>
                <w:w w:val="100"/>
                <w:position w:val="0"/>
              </w:rPr>
              <w:t>。</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注：具体情况详见</w:t>
      </w:r>
      <w:r>
        <w:rPr>
          <w:rFonts w:ascii="Times New Roman" w:eastAsia="Times New Roman" w:hAnsi="Times New Roman" w:cs="Times New Roman"/>
          <w:color w:val="000000"/>
          <w:spacing w:val="0"/>
          <w:w w:val="100"/>
          <w:position w:val="0"/>
        </w:rPr>
        <w:t>“</w:t>
      </w:r>
      <w:r>
        <w:rPr>
          <w:color w:val="000000"/>
          <w:spacing w:val="0"/>
          <w:w w:val="100"/>
          <w:position w:val="0"/>
        </w:rPr>
        <w:t>第五节重要事项</w:t>
      </w:r>
      <w:r>
        <w:rPr>
          <w:rFonts w:ascii="Times New Roman" w:eastAsia="Times New Roman" w:hAnsi="Times New Roman" w:cs="Times New Roman"/>
          <w:color w:val="000000"/>
          <w:spacing w:val="0"/>
          <w:w w:val="100"/>
          <w:position w:val="0"/>
        </w:rPr>
        <w:t>''</w:t>
      </w:r>
      <w:r>
        <w:rPr>
          <w:color w:val="000000"/>
          <w:spacing w:val="0"/>
          <w:w w:val="100"/>
          <w:position w:val="0"/>
        </w:rPr>
        <w:t>之</w:t>
      </w:r>
      <w:r>
        <w:rPr>
          <w:rFonts w:ascii="Times New Roman" w:eastAsia="Times New Roman" w:hAnsi="Times New Roman" w:cs="Times New Roman"/>
          <w:color w:val="000000"/>
          <w:spacing w:val="0"/>
          <w:w w:val="100"/>
          <w:position w:val="0"/>
        </w:rPr>
        <w:t>“</w:t>
      </w:r>
      <w:r>
        <w:rPr>
          <w:color w:val="000000"/>
          <w:spacing w:val="0"/>
          <w:w w:val="100"/>
          <w:position w:val="0"/>
        </w:rPr>
        <w:t>十二、重大诉讼、仲裁事项</w:t>
      </w:r>
    </w:p>
    <w:p>
      <w:pPr>
        <w:widowControl w:val="0"/>
        <w:spacing w:after="379" w:line="1" w:lineRule="exact"/>
      </w:pPr>
    </w:p>
    <w:p>
      <w:pPr>
        <w:pStyle w:val="Style37"/>
        <w:keepNext/>
        <w:keepLines/>
        <w:widowControl w:val="0"/>
        <w:shd w:val="clear" w:color="auto" w:fill="auto"/>
        <w:tabs>
          <w:tab w:pos="12365" w:val="left"/>
        </w:tabs>
        <w:bidi w:val="0"/>
        <w:spacing w:before="0" w:after="0" w:line="240" w:lineRule="auto"/>
        <w:ind w:left="0" w:right="0" w:firstLine="0"/>
        <w:jc w:val="both"/>
        <w:sectPr>
          <w:headerReference w:type="default" r:id="rId19"/>
          <w:footerReference w:type="default" r:id="rId20"/>
          <w:footnotePr>
            <w:pos w:val="pageBottom"/>
            <w:numFmt w:val="decimal"/>
            <w:numRestart w:val="continuous"/>
          </w:footnotePr>
          <w:pgSz w:w="16840" w:h="11900" w:orient="landscape"/>
          <w:pgMar w:top="1111" w:right="1381" w:bottom="1218" w:left="1418" w:header="0" w:footer="3" w:gutter="0"/>
          <w:cols w:space="720"/>
          <w:noEndnote/>
          <w:rtlGutter w:val="0"/>
          <w:docGrid w:linePitch="360"/>
        </w:sectPr>
      </w:pPr>
      <w:bookmarkStart w:id="264" w:name="bookmark264"/>
      <w:bookmarkStart w:id="265" w:name="bookmark265"/>
      <w:bookmarkStart w:id="266" w:name="bookmark266"/>
      <w:bookmarkStart w:id="267" w:name="bookmark267"/>
      <w:r>
        <w:rPr>
          <w:rFonts w:ascii="Times New Roman" w:eastAsia="Times New Roman" w:hAnsi="Times New Roman" w:cs="Times New Roman"/>
          <w:color w:val="000000"/>
          <w:spacing w:val="0"/>
          <w:w w:val="100"/>
          <w:position w:val="0"/>
        </w:rPr>
        <w:t>2</w:t>
      </w:r>
      <w:bookmarkEnd w:id="266"/>
      <w:r>
        <w:rPr>
          <w:color w:val="000000"/>
          <w:spacing w:val="0"/>
          <w:w w:val="100"/>
          <w:position w:val="0"/>
        </w:rPr>
        <w:t>、公司资产或项目存在盈利预测，且报告期仍处在盈利预测期间，公司就资产或项目达到原盈利预测及其原因做出说明</w:t>
        <w:tab/>
      </w:r>
      <w:r>
        <w:rPr>
          <w:b w:val="0"/>
          <w:bCs w:val="0"/>
          <w:color w:val="000000"/>
          <w:spacing w:val="0"/>
          <w:w w:val="100"/>
          <w:position w:val="0"/>
        </w:rPr>
        <w:t>口</w:t>
      </w:r>
      <w:r>
        <w:rPr>
          <w:b w:val="0"/>
          <w:bCs w:val="0"/>
          <w:color w:val="000000"/>
          <w:spacing w:val="0"/>
          <w:w w:val="100"/>
          <w:position w:val="0"/>
        </w:rPr>
        <w:t>适用</w:t>
      </w:r>
      <w:r>
        <w:rPr>
          <w:b w:val="0"/>
          <w:bCs w:val="0"/>
          <w:color w:val="000000"/>
          <w:spacing w:val="0"/>
          <w:w w:val="100"/>
          <w:position w:val="0"/>
        </w:rPr>
        <w:t>寸</w:t>
      </w:r>
      <w:r>
        <w:rPr>
          <w:b w:val="0"/>
          <w:bCs w:val="0"/>
          <w:color w:val="000000"/>
          <w:spacing w:val="0"/>
          <w:w w:val="100"/>
          <w:position w:val="0"/>
        </w:rPr>
        <w:t>不适用</w:t>
      </w:r>
      <w:bookmarkEnd w:id="264"/>
      <w:bookmarkEnd w:id="265"/>
      <w:bookmarkEnd w:id="267"/>
    </w:p>
    <w:p>
      <w:pPr>
        <w:pStyle w:val="Style29"/>
        <w:keepNext/>
        <w:keepLines/>
        <w:widowControl w:val="0"/>
        <w:shd w:val="clear" w:color="auto" w:fill="auto"/>
        <w:tabs>
          <w:tab w:pos="498" w:val="left"/>
          <w:tab w:pos="7987" w:val="left"/>
        </w:tabs>
        <w:bidi w:val="0"/>
        <w:spacing w:before="0" w:after="280" w:line="240" w:lineRule="auto"/>
        <w:ind w:left="0" w:right="0" w:firstLine="0"/>
        <w:jc w:val="left"/>
        <w:rPr>
          <w:sz w:val="20"/>
          <w:szCs w:val="20"/>
        </w:rPr>
      </w:pPr>
      <w:bookmarkStart w:id="268" w:name="bookmark268"/>
      <w:bookmarkStart w:id="269" w:name="bookmark269"/>
      <w:bookmarkStart w:id="270" w:name="bookmark270"/>
      <w:bookmarkStart w:id="271" w:name="bookmark271"/>
      <w:r>
        <w:rPr>
          <w:color w:val="000000"/>
          <w:spacing w:val="0"/>
          <w:w w:val="100"/>
          <w:position w:val="0"/>
          <w:sz w:val="24"/>
          <w:szCs w:val="24"/>
        </w:rPr>
        <w:t>四</w:t>
      </w:r>
      <w:bookmarkEnd w:id="270"/>
      <w:r>
        <w:rPr>
          <w:color w:val="000000"/>
          <w:spacing w:val="0"/>
          <w:w w:val="100"/>
          <w:position w:val="0"/>
          <w:sz w:val="24"/>
          <w:szCs w:val="24"/>
        </w:rPr>
        <w:t>、</w:t>
        <w:tab/>
        <w:t>控股股东及其关联方对上市公司的非经营性占用资金情况</w:t>
        <w:tab/>
      </w:r>
      <w:r>
        <w:rPr>
          <w:color w:val="000000"/>
          <w:spacing w:val="0"/>
          <w:w w:val="100"/>
          <w:position w:val="0"/>
          <w:sz w:val="20"/>
          <w:szCs w:val="20"/>
        </w:rPr>
        <w:t>口</w:t>
      </w:r>
      <w:r>
        <w:rPr>
          <w:color w:val="000000"/>
          <w:spacing w:val="0"/>
          <w:w w:val="100"/>
          <w:position w:val="0"/>
          <w:sz w:val="20"/>
          <w:szCs w:val="20"/>
        </w:rPr>
        <w:t>适用</w:t>
      </w: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不适用</w:t>
      </w:r>
      <w:bookmarkEnd w:id="268"/>
      <w:bookmarkEnd w:id="269"/>
      <w:bookmarkEnd w:id="271"/>
    </w:p>
    <w:p>
      <w:pPr>
        <w:pStyle w:val="Style16"/>
        <w:keepNext w:val="0"/>
        <w:keepLines w:val="0"/>
        <w:widowControl w:val="0"/>
        <w:shd w:val="clear" w:color="auto" w:fill="auto"/>
        <w:bidi w:val="0"/>
        <w:spacing w:before="0" w:after="340" w:line="317" w:lineRule="exact"/>
        <w:ind w:left="0" w:right="0" w:firstLine="480"/>
        <w:jc w:val="both"/>
      </w:pPr>
      <w:bookmarkStart w:id="272" w:name="bookmark272"/>
      <w:r>
        <w:rPr>
          <w:color w:val="000000"/>
          <w:spacing w:val="0"/>
          <w:w w:val="100"/>
          <w:position w:val="0"/>
        </w:rPr>
        <w:t>本集团报告期不存在控股股东及其关联方对上市公司的非经营性占用资金。</w:t>
      </w:r>
      <w:bookmarkEnd w:id="272"/>
    </w:p>
    <w:p>
      <w:pPr>
        <w:pStyle w:val="Style29"/>
        <w:keepNext/>
        <w:keepLines/>
        <w:widowControl w:val="0"/>
        <w:shd w:val="clear" w:color="auto" w:fill="auto"/>
        <w:tabs>
          <w:tab w:pos="517" w:val="left"/>
        </w:tabs>
        <w:bidi w:val="0"/>
        <w:spacing w:before="0" w:after="340" w:line="240" w:lineRule="auto"/>
        <w:ind w:left="0" w:right="0" w:firstLine="0"/>
        <w:jc w:val="left"/>
      </w:pPr>
      <w:bookmarkStart w:id="273" w:name="bookmark273"/>
      <w:bookmarkStart w:id="274" w:name="bookmark274"/>
      <w:bookmarkStart w:id="275" w:name="bookmark275"/>
      <w:bookmarkStart w:id="276" w:name="bookmark276"/>
      <w:r>
        <w:rPr>
          <w:color w:val="000000"/>
          <w:spacing w:val="0"/>
          <w:w w:val="100"/>
          <w:position w:val="0"/>
          <w:sz w:val="24"/>
          <w:szCs w:val="24"/>
        </w:rPr>
        <w:t>五</w:t>
      </w:r>
      <w:bookmarkEnd w:id="275"/>
      <w:r>
        <w:rPr>
          <w:color w:val="000000"/>
          <w:spacing w:val="0"/>
          <w:w w:val="100"/>
          <w:position w:val="0"/>
          <w:sz w:val="24"/>
          <w:szCs w:val="24"/>
        </w:rPr>
        <w:t>、</w:t>
        <w:tab/>
        <w:t>董事会、监事会、独立董事对会计师事务所本报告期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273"/>
      <w:bookmarkEnd w:id="274"/>
      <w:bookmarkEnd w:id="276"/>
    </w:p>
    <w:p>
      <w:pPr>
        <w:pStyle w:val="Style16"/>
        <w:keepNext w:val="0"/>
        <w:keepLines w:val="0"/>
        <w:widowControl w:val="0"/>
        <w:shd w:val="clear" w:color="auto" w:fill="auto"/>
        <w:bidi w:val="0"/>
        <w:spacing w:before="0" w:after="240" w:line="331"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9"/>
        <w:keepNext/>
        <w:keepLines/>
        <w:widowControl w:val="0"/>
        <w:shd w:val="clear" w:color="auto" w:fill="auto"/>
        <w:tabs>
          <w:tab w:pos="517" w:val="left"/>
        </w:tabs>
        <w:bidi w:val="0"/>
        <w:spacing w:before="0" w:after="280" w:line="240" w:lineRule="auto"/>
        <w:ind w:left="0" w:right="0" w:firstLine="0"/>
        <w:jc w:val="left"/>
      </w:pPr>
      <w:bookmarkStart w:id="277" w:name="bookmark277"/>
      <w:bookmarkStart w:id="278" w:name="bookmark278"/>
      <w:bookmarkStart w:id="279" w:name="bookmark279"/>
      <w:bookmarkStart w:id="280" w:name="bookmark280"/>
      <w:r>
        <w:rPr>
          <w:color w:val="000000"/>
          <w:spacing w:val="0"/>
          <w:w w:val="100"/>
          <w:position w:val="0"/>
          <w:sz w:val="24"/>
          <w:szCs w:val="24"/>
        </w:rPr>
        <w:t>六</w:t>
      </w:r>
      <w:bookmarkEnd w:id="279"/>
      <w:r>
        <w:rPr>
          <w:color w:val="000000"/>
          <w:spacing w:val="0"/>
          <w:w w:val="100"/>
          <w:position w:val="0"/>
          <w:sz w:val="24"/>
          <w:szCs w:val="24"/>
        </w:rPr>
        <w:t>、</w:t>
        <w:tab/>
        <w:t>与上年度财务报告相比，会计政策、会计估计和核算方法发生变化的情况说明</w:t>
      </w:r>
      <w:bookmarkEnd w:id="277"/>
      <w:bookmarkEnd w:id="278"/>
      <w:bookmarkEnd w:id="280"/>
    </w:p>
    <w:p>
      <w:pPr>
        <w:pStyle w:val="Style16"/>
        <w:keepNext w:val="0"/>
        <w:keepLines w:val="0"/>
        <w:widowControl w:val="0"/>
        <w:shd w:val="clear" w:color="auto" w:fill="auto"/>
        <w:bidi w:val="0"/>
        <w:spacing w:before="0" w:after="120" w:line="317" w:lineRule="exact"/>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6"/>
        <w:keepNext w:val="0"/>
        <w:keepLines w:val="0"/>
        <w:widowControl w:val="0"/>
        <w:shd w:val="clear" w:color="auto" w:fill="auto"/>
        <w:bidi w:val="0"/>
        <w:spacing w:before="0" w:after="0" w:line="331" w:lineRule="auto"/>
        <w:ind w:left="0" w:right="0" w:firstLine="480"/>
        <w:jc w:val="both"/>
      </w:pPr>
      <w:bookmarkStart w:id="281" w:name="bookmark281"/>
      <w:r>
        <w:rPr>
          <w:rFonts w:ascii="Times New Roman" w:eastAsia="Times New Roman" w:hAnsi="Times New Roman" w:cs="Times New Roman"/>
          <w:color w:val="000000"/>
          <w:spacing w:val="0"/>
          <w:w w:val="100"/>
          <w:position w:val="0"/>
        </w:rPr>
        <w:t>1</w:t>
      </w:r>
      <w:bookmarkEnd w:id="281"/>
      <w:r>
        <w:rPr>
          <w:color w:val="000000"/>
          <w:spacing w:val="0"/>
          <w:w w:val="100"/>
          <w:position w:val="0"/>
        </w:rPr>
        <w:t>、会计政策变更</w:t>
      </w:r>
    </w:p>
    <w:p>
      <w:pPr>
        <w:pStyle w:val="Style16"/>
        <w:keepNext w:val="0"/>
        <w:keepLines w:val="0"/>
        <w:widowControl w:val="0"/>
        <w:shd w:val="clear" w:color="auto" w:fill="auto"/>
        <w:bidi w:val="0"/>
        <w:spacing w:before="0" w:after="0" w:line="317" w:lineRule="exact"/>
        <w:ind w:left="0" w:right="0" w:firstLine="480"/>
        <w:jc w:val="both"/>
      </w:pPr>
      <w:r>
        <w:rPr>
          <w:color w:val="000000"/>
          <w:spacing w:val="0"/>
          <w:w w:val="100"/>
          <w:position w:val="0"/>
        </w:rPr>
        <w:t>报告期公司未发生自主变更会计政策的情况，但根据财政部有关规定进行了会计政策变更，具体说明 如下：</w:t>
      </w:r>
    </w:p>
    <w:p>
      <w:pPr>
        <w:pStyle w:val="Style16"/>
        <w:keepNext w:val="0"/>
        <w:keepLines w:val="0"/>
        <w:widowControl w:val="0"/>
        <w:shd w:val="clear" w:color="auto" w:fill="auto"/>
        <w:tabs>
          <w:tab w:pos="968" w:val="left"/>
        </w:tabs>
        <w:bidi w:val="0"/>
        <w:spacing w:before="0" w:after="0" w:line="317" w:lineRule="exact"/>
        <w:ind w:left="0" w:right="0" w:firstLine="480"/>
        <w:jc w:val="both"/>
      </w:pPr>
      <w:bookmarkStart w:id="282" w:name="bookmark282"/>
      <w:r>
        <w:rPr>
          <w:color w:val="000000"/>
          <w:spacing w:val="0"/>
          <w:w w:val="100"/>
          <w:position w:val="0"/>
        </w:rPr>
        <w:t>（</w:t>
      </w:r>
      <w:bookmarkEnd w:id="282"/>
      <w:r>
        <w:rPr>
          <w:rFonts w:ascii="Times New Roman" w:eastAsia="Times New Roman" w:hAnsi="Times New Roman" w:cs="Times New Roman"/>
          <w:color w:val="000000"/>
          <w:spacing w:val="0"/>
          <w:w w:val="100"/>
          <w:position w:val="0"/>
        </w:rPr>
        <w:t>1</w:t>
      </w:r>
      <w:r>
        <w:rPr>
          <w:color w:val="000000"/>
          <w:spacing w:val="0"/>
          <w:w w:val="100"/>
          <w:position w:val="0"/>
        </w:rPr>
        <w:t>）</w:t>
        <w:tab/>
        <w:t>会计政策变更原因及变更时间</w:t>
      </w:r>
    </w:p>
    <w:p>
      <w:pPr>
        <w:pStyle w:val="Style16"/>
        <w:keepNext w:val="0"/>
        <w:keepLines w:val="0"/>
        <w:widowControl w:val="0"/>
        <w:shd w:val="clear" w:color="auto" w:fill="auto"/>
        <w:bidi w:val="0"/>
        <w:spacing w:before="0" w:after="0" w:line="317" w:lineRule="exact"/>
        <w:ind w:left="0" w:right="0" w:firstLine="480"/>
        <w:jc w:val="both"/>
      </w:pPr>
      <w:r>
        <w:rPr>
          <w:color w:val="000000"/>
          <w:spacing w:val="0"/>
          <w:w w:val="100"/>
          <w:position w:val="0"/>
        </w:rPr>
        <w:t>财政部于</w:t>
      </w:r>
      <w:r>
        <w:rPr>
          <w:rFonts w:ascii="Times New Roman" w:eastAsia="Times New Roman" w:hAnsi="Times New Roman" w:cs="Times New Roman"/>
          <w:color w:val="000000"/>
          <w:spacing w:val="0"/>
          <w:w w:val="100"/>
          <w:position w:val="0"/>
        </w:rPr>
        <w:t>2017</w:t>
      </w:r>
      <w:r>
        <w:rPr>
          <w:color w:val="000000"/>
          <w:spacing w:val="0"/>
          <w:w w:val="100"/>
          <w:position w:val="0"/>
        </w:rPr>
        <w:t>年修订并发布《企业会计准则第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号一一收入》，根据相关部门通知要求，境内上市企 业自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日起施行。</w:t>
      </w:r>
    </w:p>
    <w:p>
      <w:pPr>
        <w:pStyle w:val="Style16"/>
        <w:keepNext w:val="0"/>
        <w:keepLines w:val="0"/>
        <w:widowControl w:val="0"/>
        <w:shd w:val="clear" w:color="auto" w:fill="auto"/>
        <w:bidi w:val="0"/>
        <w:spacing w:before="0" w:after="0" w:line="317" w:lineRule="exact"/>
        <w:ind w:left="0" w:right="0" w:firstLine="480"/>
        <w:jc w:val="both"/>
      </w:pPr>
      <w:r>
        <w:rPr>
          <w:color w:val="000000"/>
          <w:spacing w:val="0"/>
          <w:w w:val="100"/>
          <w:position w:val="0"/>
        </w:rPr>
        <w:t>公司依据新收入准则的规定相应变更会计政策，自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w:t>
      </w:r>
    </w:p>
    <w:p>
      <w:pPr>
        <w:pStyle w:val="Style16"/>
        <w:keepNext w:val="0"/>
        <w:keepLines w:val="0"/>
        <w:widowControl w:val="0"/>
        <w:shd w:val="clear" w:color="auto" w:fill="auto"/>
        <w:tabs>
          <w:tab w:pos="968" w:val="left"/>
        </w:tabs>
        <w:bidi w:val="0"/>
        <w:spacing w:before="0" w:after="0" w:line="317" w:lineRule="exact"/>
        <w:ind w:left="0" w:right="0" w:firstLine="480"/>
        <w:jc w:val="both"/>
      </w:pPr>
      <w:bookmarkStart w:id="283" w:name="bookmark283"/>
      <w:r>
        <w:rPr>
          <w:color w:val="000000"/>
          <w:spacing w:val="0"/>
          <w:w w:val="100"/>
          <w:position w:val="0"/>
        </w:rPr>
        <w:t>（</w:t>
      </w:r>
      <w:bookmarkEnd w:id="283"/>
      <w:r>
        <w:rPr>
          <w:rFonts w:ascii="Times New Roman" w:eastAsia="Times New Roman" w:hAnsi="Times New Roman" w:cs="Times New Roman"/>
          <w:color w:val="000000"/>
          <w:spacing w:val="0"/>
          <w:w w:val="100"/>
          <w:position w:val="0"/>
        </w:rPr>
        <w:t>2</w:t>
      </w:r>
      <w:r>
        <w:rPr>
          <w:color w:val="000000"/>
          <w:spacing w:val="0"/>
          <w:w w:val="100"/>
          <w:position w:val="0"/>
        </w:rPr>
        <w:t>）</w:t>
        <w:tab/>
        <w:t>变更前后采用的会计政策</w:t>
      </w:r>
    </w:p>
    <w:p>
      <w:pPr>
        <w:pStyle w:val="Style16"/>
        <w:keepNext w:val="0"/>
        <w:keepLines w:val="0"/>
        <w:widowControl w:val="0"/>
        <w:shd w:val="clear" w:color="auto" w:fill="auto"/>
        <w:bidi w:val="0"/>
        <w:spacing w:before="0" w:after="0" w:line="317" w:lineRule="exact"/>
        <w:ind w:left="0" w:right="0" w:firstLine="480"/>
        <w:jc w:val="both"/>
      </w:pPr>
      <w:r>
        <w:rPr>
          <w:color w:val="000000"/>
          <w:spacing w:val="0"/>
          <w:w w:val="100"/>
          <w:position w:val="0"/>
        </w:rPr>
        <w:t>本次变更前，公司执行财政部《企业会计准则一一基本准则》和各项具体会计准则、企业会计准则应 用指南、企业会计准则解释公告以及其他相关规定。</w:t>
      </w:r>
    </w:p>
    <w:p>
      <w:pPr>
        <w:pStyle w:val="Style16"/>
        <w:keepNext w:val="0"/>
        <w:keepLines w:val="0"/>
        <w:widowControl w:val="0"/>
        <w:shd w:val="clear" w:color="auto" w:fill="auto"/>
        <w:bidi w:val="0"/>
        <w:spacing w:before="0" w:after="0" w:line="317" w:lineRule="exact"/>
        <w:ind w:left="0" w:right="0" w:firstLine="480"/>
        <w:jc w:val="both"/>
      </w:pPr>
      <w:r>
        <w:rPr>
          <w:color w:val="000000"/>
          <w:spacing w:val="0"/>
          <w:w w:val="100"/>
          <w:position w:val="0"/>
        </w:rPr>
        <w:t>本次变更后，公司将执行新收入准则的相关规定。其他未变更部分仍按照财政部前期颁布的《企业会 计准则一基本准则》和各项具体会计准则、企业会计准则应用指南、企业会计准则解释公告以及其他相关 规定执行。</w:t>
      </w:r>
    </w:p>
    <w:p>
      <w:pPr>
        <w:pStyle w:val="Style16"/>
        <w:keepNext w:val="0"/>
        <w:keepLines w:val="0"/>
        <w:widowControl w:val="0"/>
        <w:shd w:val="clear" w:color="auto" w:fill="auto"/>
        <w:tabs>
          <w:tab w:pos="968" w:val="left"/>
        </w:tabs>
        <w:bidi w:val="0"/>
        <w:spacing w:before="0" w:after="0" w:line="317" w:lineRule="exact"/>
        <w:ind w:left="0" w:right="0" w:firstLine="480"/>
        <w:jc w:val="both"/>
      </w:pPr>
      <w:bookmarkStart w:id="284" w:name="bookmark284"/>
      <w:r>
        <w:rPr>
          <w:color w:val="000000"/>
          <w:spacing w:val="0"/>
          <w:w w:val="100"/>
          <w:position w:val="0"/>
        </w:rPr>
        <w:t>（</w:t>
      </w:r>
      <w:bookmarkEnd w:id="284"/>
      <w:r>
        <w:rPr>
          <w:rFonts w:ascii="Times New Roman" w:eastAsia="Times New Roman" w:hAnsi="Times New Roman" w:cs="Times New Roman"/>
          <w:color w:val="000000"/>
          <w:spacing w:val="0"/>
          <w:w w:val="100"/>
          <w:position w:val="0"/>
        </w:rPr>
        <w:t>3</w:t>
      </w:r>
      <w:r>
        <w:rPr>
          <w:color w:val="000000"/>
          <w:spacing w:val="0"/>
          <w:w w:val="100"/>
          <w:position w:val="0"/>
        </w:rPr>
        <w:t>）</w:t>
        <w:tab/>
        <w:t>本次变更会计政策具体情况及对公司的影响</w:t>
      </w:r>
    </w:p>
    <w:p>
      <w:pPr>
        <w:pStyle w:val="Style16"/>
        <w:keepNext w:val="0"/>
        <w:keepLines w:val="0"/>
        <w:widowControl w:val="0"/>
        <w:shd w:val="clear" w:color="auto" w:fill="auto"/>
        <w:bidi w:val="0"/>
        <w:spacing w:before="0" w:after="60" w:line="317" w:lineRule="exact"/>
        <w:ind w:left="0" w:right="0" w:firstLine="480"/>
        <w:jc w:val="both"/>
      </w:pPr>
      <w:r>
        <w:rPr>
          <w:color w:val="000000"/>
          <w:spacing w:val="0"/>
          <w:w w:val="100"/>
          <w:position w:val="0"/>
        </w:rPr>
        <w:t>首次执行日执行新准则的累积影响仅调整执行当年年初留存收益及财务报表其他项目相关金额，不调</w:t>
      </w:r>
    </w:p>
    <w:p>
      <w:pPr>
        <w:pStyle w:val="Style40"/>
        <w:keepNext w:val="0"/>
        <w:keepLines w:val="0"/>
        <w:widowControl w:val="0"/>
        <w:shd w:val="clear" w:color="auto" w:fill="auto"/>
        <w:bidi w:val="0"/>
        <w:spacing w:before="0" w:after="60" w:line="240" w:lineRule="auto"/>
        <w:ind w:left="53" w:right="0" w:firstLine="0"/>
        <w:jc w:val="left"/>
      </w:pPr>
      <w:r>
        <w:rPr>
          <w:color w:val="000000"/>
          <w:spacing w:val="0"/>
          <w:w w:val="100"/>
          <w:position w:val="0"/>
        </w:rPr>
        <w:t>整可比期间数据。</w:t>
      </w:r>
    </w:p>
    <w:p>
      <w:pPr>
        <w:pStyle w:val="Style40"/>
        <w:keepNext w:val="0"/>
        <w:keepLines w:val="0"/>
        <w:widowControl w:val="0"/>
        <w:shd w:val="clear" w:color="auto" w:fill="auto"/>
        <w:bidi w:val="0"/>
        <w:spacing w:before="0" w:after="0" w:line="240" w:lineRule="auto"/>
        <w:ind w:left="53" w:right="0" w:firstLine="0"/>
        <w:jc w:val="left"/>
      </w:pPr>
      <w:r>
        <w:rPr>
          <w:color w:val="000000"/>
          <w:spacing w:val="0"/>
          <w:w w:val="100"/>
          <w:position w:val="0"/>
        </w:rPr>
        <w:t>执行新收入准则对公司</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日财务报表的主要影响如下:</w:t>
      </w:r>
    </w:p>
    <w:tbl>
      <w:tblPr>
        <w:tblOverlap w:val="never"/>
        <w:jc w:val="center"/>
        <w:tblLayout w:type="fixed"/>
      </w:tblPr>
      <w:tblGrid>
        <w:gridCol w:w="1882"/>
        <w:gridCol w:w="3946"/>
        <w:gridCol w:w="3946"/>
      </w:tblGrid>
      <w:tr>
        <w:trPr>
          <w:trHeight w:val="37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日（变更前金额）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日（变更后金额）</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7,619,588.55</w:t>
            </w: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7,558,561.99</w:t>
            </w:r>
          </w:p>
        </w:tc>
      </w:tr>
      <w:tr>
        <w:trPr>
          <w:trHeight w:val="36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61,026.56</w:t>
            </w:r>
          </w:p>
        </w:tc>
      </w:tr>
      <w:tr>
        <w:trPr>
          <w:trHeight w:val="29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综上，上述会计</w:t>
            </w:r>
          </w:p>
        </w:tc>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"政策变更对公司的财务状况、经营成果不构成重大影响。</w:t>
            </w:r>
          </w:p>
        </w:tc>
      </w:tr>
    </w:tbl>
    <w:p>
      <w:pPr>
        <w:pStyle w:val="Style16"/>
        <w:keepNext w:val="0"/>
        <w:keepLines w:val="0"/>
        <w:widowControl w:val="0"/>
        <w:shd w:val="clear" w:color="auto" w:fill="auto"/>
        <w:tabs>
          <w:tab w:pos="859" w:val="left"/>
        </w:tabs>
        <w:bidi w:val="0"/>
        <w:spacing w:before="0" w:after="0" w:line="315" w:lineRule="exact"/>
        <w:ind w:left="0" w:right="0" w:firstLine="480"/>
        <w:jc w:val="both"/>
      </w:pPr>
      <w:bookmarkStart w:id="285" w:name="bookmark285"/>
      <w:r>
        <w:rPr>
          <w:rFonts w:ascii="Times New Roman" w:eastAsia="Times New Roman" w:hAnsi="Times New Roman" w:cs="Times New Roman"/>
          <w:color w:val="000000"/>
          <w:spacing w:val="0"/>
          <w:w w:val="100"/>
          <w:position w:val="0"/>
        </w:rPr>
        <w:t>2</w:t>
      </w:r>
      <w:bookmarkEnd w:id="285"/>
      <w:r>
        <w:rPr>
          <w:color w:val="000000"/>
          <w:spacing w:val="0"/>
          <w:w w:val="100"/>
          <w:position w:val="0"/>
        </w:rPr>
        <w:t>、</w:t>
        <w:tab/>
        <w:t>会计估计变更</w:t>
      </w:r>
    </w:p>
    <w:p>
      <w:pPr>
        <w:pStyle w:val="Style16"/>
        <w:keepNext w:val="0"/>
        <w:keepLines w:val="0"/>
        <w:widowControl w:val="0"/>
        <w:shd w:val="clear" w:color="auto" w:fill="auto"/>
        <w:bidi w:val="0"/>
        <w:spacing w:before="0" w:after="0" w:line="315" w:lineRule="exact"/>
        <w:ind w:left="0" w:right="0" w:firstLine="480"/>
        <w:jc w:val="both"/>
      </w:pPr>
      <w:r>
        <w:rPr>
          <w:color w:val="000000"/>
          <w:spacing w:val="0"/>
          <w:w w:val="100"/>
          <w:position w:val="0"/>
        </w:rPr>
        <w:t>报告期本集团主要会计估计未发生变更。</w:t>
      </w:r>
    </w:p>
    <w:p>
      <w:pPr>
        <w:pStyle w:val="Style16"/>
        <w:keepNext w:val="0"/>
        <w:keepLines w:val="0"/>
        <w:widowControl w:val="0"/>
        <w:shd w:val="clear" w:color="auto" w:fill="auto"/>
        <w:tabs>
          <w:tab w:pos="859" w:val="left"/>
        </w:tabs>
        <w:bidi w:val="0"/>
        <w:spacing w:before="0" w:after="0" w:line="315" w:lineRule="exact"/>
        <w:ind w:left="0" w:right="0" w:firstLine="480"/>
        <w:jc w:val="both"/>
      </w:pPr>
      <w:bookmarkStart w:id="286" w:name="bookmark286"/>
      <w:r>
        <w:rPr>
          <w:rFonts w:ascii="Times New Roman" w:eastAsia="Times New Roman" w:hAnsi="Times New Roman" w:cs="Times New Roman"/>
          <w:color w:val="000000"/>
          <w:spacing w:val="0"/>
          <w:w w:val="100"/>
          <w:position w:val="0"/>
        </w:rPr>
        <w:t>3</w:t>
      </w:r>
      <w:bookmarkEnd w:id="286"/>
      <w:r>
        <w:rPr>
          <w:color w:val="000000"/>
          <w:spacing w:val="0"/>
          <w:w w:val="100"/>
          <w:position w:val="0"/>
        </w:rPr>
        <w:t>、</w:t>
        <w:tab/>
        <w:t>核算方法变更</w:t>
      </w:r>
    </w:p>
    <w:p>
      <w:pPr>
        <w:pStyle w:val="Style16"/>
        <w:keepNext w:val="0"/>
        <w:keepLines w:val="0"/>
        <w:widowControl w:val="0"/>
        <w:shd w:val="clear" w:color="auto" w:fill="auto"/>
        <w:bidi w:val="0"/>
        <w:spacing w:before="0" w:after="340" w:line="315" w:lineRule="exact"/>
        <w:ind w:left="0" w:right="0" w:firstLine="480"/>
        <w:jc w:val="both"/>
      </w:pPr>
      <w:r>
        <w:rPr>
          <w:color w:val="000000"/>
          <w:spacing w:val="0"/>
          <w:w w:val="100"/>
          <w:position w:val="0"/>
        </w:rPr>
        <w:t>报告期本集团核算方法未发生变更。</w:t>
      </w:r>
    </w:p>
    <w:p>
      <w:pPr>
        <w:pStyle w:val="Style29"/>
        <w:keepNext/>
        <w:keepLines/>
        <w:widowControl w:val="0"/>
        <w:shd w:val="clear" w:color="auto" w:fill="auto"/>
        <w:tabs>
          <w:tab w:pos="7987" w:val="left"/>
        </w:tabs>
        <w:bidi w:val="0"/>
        <w:spacing w:before="0" w:after="280" w:line="240" w:lineRule="auto"/>
        <w:ind w:left="0" w:right="0" w:firstLine="0"/>
        <w:jc w:val="both"/>
        <w:rPr>
          <w:sz w:val="20"/>
          <w:szCs w:val="20"/>
        </w:rPr>
      </w:pPr>
      <w:bookmarkStart w:id="287" w:name="bookmark287"/>
      <w:bookmarkStart w:id="288" w:name="bookmark288"/>
      <w:bookmarkStart w:id="289" w:name="bookmark289"/>
      <w:bookmarkStart w:id="290" w:name="bookmark290"/>
      <w:r>
        <w:rPr>
          <w:color w:val="000000"/>
          <w:spacing w:val="0"/>
          <w:w w:val="100"/>
          <w:position w:val="0"/>
          <w:sz w:val="24"/>
          <w:szCs w:val="24"/>
        </w:rPr>
        <w:t>七</w:t>
      </w:r>
      <w:bookmarkEnd w:id="289"/>
      <w:r>
        <w:rPr>
          <w:color w:val="000000"/>
          <w:spacing w:val="0"/>
          <w:w w:val="100"/>
          <w:position w:val="0"/>
          <w:sz w:val="24"/>
          <w:szCs w:val="24"/>
        </w:rPr>
        <w:t>、报告期内发生重大会计差错更正需追溯重述的情况说明</w:t>
        <w:tab/>
      </w:r>
      <w:r>
        <w:rPr>
          <w:b w:val="0"/>
          <w:bCs w:val="0"/>
          <w:color w:val="000000"/>
          <w:spacing w:val="0"/>
          <w:w w:val="100"/>
          <w:position w:val="0"/>
          <w:sz w:val="20"/>
          <w:szCs w:val="20"/>
        </w:rPr>
        <w:t>寸</w:t>
      </w:r>
      <w:r>
        <w:rPr>
          <w:b w:val="0"/>
          <w:bCs w:val="0"/>
          <w:color w:val="000000"/>
          <w:spacing w:val="0"/>
          <w:w w:val="100"/>
          <w:position w:val="0"/>
          <w:sz w:val="20"/>
          <w:szCs w:val="20"/>
        </w:rPr>
        <w:t>适用</w:t>
      </w:r>
      <w:r>
        <w:rPr>
          <w:b w:val="0"/>
          <w:bCs w:val="0"/>
          <w:color w:val="000000"/>
          <w:spacing w:val="0"/>
          <w:w w:val="100"/>
          <w:position w:val="0"/>
          <w:sz w:val="20"/>
          <w:szCs w:val="20"/>
        </w:rPr>
        <w:t>口</w:t>
      </w:r>
      <w:r>
        <w:rPr>
          <w:b w:val="0"/>
          <w:bCs w:val="0"/>
          <w:color w:val="000000"/>
          <w:spacing w:val="0"/>
          <w:w w:val="100"/>
          <w:position w:val="0"/>
          <w:sz w:val="20"/>
          <w:szCs w:val="20"/>
        </w:rPr>
        <w:t>不适用</w:t>
      </w:r>
      <w:bookmarkEnd w:id="287"/>
      <w:bookmarkEnd w:id="288"/>
      <w:bookmarkEnd w:id="290"/>
    </w:p>
    <w:p>
      <w:pPr>
        <w:pStyle w:val="Style16"/>
        <w:keepNext w:val="0"/>
        <w:keepLines w:val="0"/>
        <w:widowControl w:val="0"/>
        <w:shd w:val="clear" w:color="auto" w:fill="auto"/>
        <w:bidi w:val="0"/>
        <w:spacing w:before="0" w:after="380" w:line="315" w:lineRule="exact"/>
        <w:ind w:left="0" w:right="0" w:firstLine="480"/>
        <w:jc w:val="both"/>
      </w:pPr>
      <w:bookmarkStart w:id="291" w:name="bookmark291"/>
      <w:r>
        <w:rPr>
          <w:rFonts w:ascii="Times New Roman" w:eastAsia="Times New Roman" w:hAnsi="Times New Roman" w:cs="Times New Roman"/>
          <w:color w:val="000000"/>
          <w:spacing w:val="0"/>
          <w:w w:val="100"/>
          <w:position w:val="0"/>
        </w:rPr>
        <w:t>2019</w:t>
      </w:r>
      <w:r>
        <w:rPr>
          <w:color w:val="000000"/>
          <w:spacing w:val="0"/>
          <w:w w:val="100"/>
          <w:position w:val="0"/>
        </w:rPr>
        <w:t>年年审机构对公司出具带有保留意见的审计报告。公司董事会、管理层高度重视该事件，启动自 查工作，重新复盘保留意见所涉对参股企业</w:t>
      </w:r>
      <w:r>
        <w:rPr>
          <w:rFonts w:ascii="Times New Roman" w:eastAsia="Times New Roman" w:hAnsi="Times New Roman" w:cs="Times New Roman"/>
          <w:color w:val="000000"/>
          <w:spacing w:val="0"/>
          <w:w w:val="100"/>
          <w:position w:val="0"/>
        </w:rPr>
        <w:t>QD</w:t>
      </w:r>
      <w:r>
        <w:rPr>
          <w:color w:val="000000"/>
          <w:spacing w:val="0"/>
          <w:w w:val="100"/>
          <w:position w:val="0"/>
        </w:rPr>
        <w:t>实施重大影响的时点判断。经审慎评估后，公司对</w:t>
      </w:r>
      <w:r>
        <w:rPr>
          <w:rFonts w:ascii="Times New Roman" w:eastAsia="Times New Roman" w:hAnsi="Times New Roman" w:cs="Times New Roman"/>
          <w:color w:val="000000"/>
          <w:spacing w:val="0"/>
          <w:w w:val="100"/>
          <w:position w:val="0"/>
        </w:rPr>
        <w:t>2019</w:t>
      </w:r>
      <w:r>
        <w:rPr>
          <w:color w:val="000000"/>
          <w:spacing w:val="0"/>
          <w:w w:val="100"/>
          <w:position w:val="0"/>
        </w:rPr>
        <w:t>年 审计报告保留事项进行会计差错更正，对</w:t>
      </w:r>
      <w:r>
        <w:rPr>
          <w:rFonts w:ascii="Times New Roman" w:eastAsia="Times New Roman" w:hAnsi="Times New Roman" w:cs="Times New Roman"/>
          <w:color w:val="000000"/>
          <w:spacing w:val="0"/>
          <w:w w:val="100"/>
          <w:position w:val="0"/>
        </w:rPr>
        <w:t>2017-2019</w:t>
      </w:r>
      <w:r>
        <w:rPr>
          <w:color w:val="000000"/>
          <w:spacing w:val="0"/>
          <w:w w:val="100"/>
          <w:position w:val="0"/>
        </w:rPr>
        <w:t>年财务报表进行了追溯重述。具体会计差错更正及追溯 重述的情况说明，详见与本报告同日披露的《会计差错更正公告》。该事项已告知追溯调整期间年审会计</w:t>
      </w:r>
      <w:bookmarkEnd w:id="291"/>
      <w:r>
        <w:rPr>
          <w:color w:val="000000"/>
          <w:spacing w:val="0"/>
          <w:w w:val="100"/>
          <w:position w:val="0"/>
        </w:rPr>
        <w:br w:type="page"/>
      </w:r>
      <w:r>
        <w:rPr>
          <w:color w:val="000000"/>
          <w:spacing w:val="0"/>
          <w:w w:val="100"/>
          <w:position w:val="0"/>
        </w:rPr>
        <w:t>师，</w:t>
      </w:r>
      <w:r>
        <w:rPr>
          <w:rFonts w:ascii="Times New Roman" w:eastAsia="Times New Roman" w:hAnsi="Times New Roman" w:cs="Times New Roman"/>
          <w:color w:val="000000"/>
          <w:spacing w:val="0"/>
          <w:w w:val="100"/>
          <w:position w:val="0"/>
        </w:rPr>
        <w:t>2019</w:t>
      </w:r>
      <w:r>
        <w:rPr>
          <w:color w:val="000000"/>
          <w:spacing w:val="0"/>
          <w:w w:val="100"/>
          <w:position w:val="0"/>
        </w:rPr>
        <w:t>年年审机构根据会计差错更正后的财务报表出具保留意见消除的审核报告，详见与本报告日同日 披露的《保留意见涉及事项影响已消除的审核报告》。</w:t>
      </w:r>
    </w:p>
    <w:p>
      <w:pPr>
        <w:pStyle w:val="Style75"/>
        <w:keepNext w:val="0"/>
        <w:keepLines w:val="0"/>
        <w:widowControl w:val="0"/>
        <w:shd w:val="clear" w:color="auto" w:fill="auto"/>
        <w:tabs>
          <w:tab w:pos="517" w:val="left"/>
          <w:tab w:pos="7930" w:val="left"/>
        </w:tabs>
        <w:bidi w:val="0"/>
        <w:spacing w:before="0" w:after="260" w:line="240" w:lineRule="auto"/>
        <w:ind w:left="0" w:right="0" w:firstLine="0"/>
        <w:jc w:val="left"/>
        <w:rPr>
          <w:sz w:val="20"/>
          <w:szCs w:val="20"/>
        </w:rPr>
      </w:pPr>
      <w:bookmarkStart w:id="292" w:name="bookmark292"/>
      <w:r>
        <w:rPr>
          <w:color w:val="000000"/>
          <w:spacing w:val="0"/>
          <w:w w:val="100"/>
          <w:position w:val="0"/>
          <w:sz w:val="24"/>
          <w:szCs w:val="24"/>
        </w:rPr>
        <w:t>八</w:t>
      </w:r>
      <w:bookmarkEnd w:id="292"/>
      <w:r>
        <w:rPr>
          <w:color w:val="000000"/>
          <w:spacing w:val="0"/>
          <w:w w:val="100"/>
          <w:position w:val="0"/>
          <w:sz w:val="24"/>
          <w:szCs w:val="24"/>
        </w:rPr>
        <w:t>、</w:t>
        <w:tab/>
        <w:t>与上年度财务报告相比，合并报表范围发生变化的情况说明</w:t>
        <w:tab/>
      </w:r>
      <w:r>
        <w:rPr>
          <w:b w:val="0"/>
          <w:bCs w:val="0"/>
          <w:color w:val="000000"/>
          <w:spacing w:val="0"/>
          <w:w w:val="100"/>
          <w:position w:val="0"/>
          <w:sz w:val="20"/>
          <w:szCs w:val="20"/>
        </w:rPr>
        <w:t>口</w:t>
      </w:r>
      <w:r>
        <w:rPr>
          <w:b w:val="0"/>
          <w:bCs w:val="0"/>
          <w:color w:val="000000"/>
          <w:spacing w:val="0"/>
          <w:w w:val="100"/>
          <w:position w:val="0"/>
          <w:sz w:val="20"/>
          <w:szCs w:val="20"/>
        </w:rPr>
        <w:t>适用</w:t>
      </w:r>
      <w:r>
        <w:rPr>
          <w:b w:val="0"/>
          <w:bCs w:val="0"/>
          <w:color w:val="000000"/>
          <w:spacing w:val="0"/>
          <w:w w:val="100"/>
          <w:position w:val="0"/>
          <w:sz w:val="20"/>
          <w:szCs w:val="20"/>
        </w:rPr>
        <w:t>寸</w:t>
      </w:r>
      <w:r>
        <w:rPr>
          <w:b w:val="0"/>
          <w:bCs w:val="0"/>
          <w:color w:val="000000"/>
          <w:spacing w:val="0"/>
          <w:w w:val="100"/>
          <w:position w:val="0"/>
          <w:sz w:val="20"/>
          <w:szCs w:val="20"/>
        </w:rPr>
        <w:t>不适用</w:t>
      </w:r>
    </w:p>
    <w:p>
      <w:pPr>
        <w:pStyle w:val="Style29"/>
        <w:keepNext/>
        <w:keepLines/>
        <w:widowControl w:val="0"/>
        <w:shd w:val="clear" w:color="auto" w:fill="auto"/>
        <w:bidi w:val="0"/>
        <w:spacing w:before="0" w:after="320" w:line="326" w:lineRule="exact"/>
        <w:ind w:left="0" w:right="0" w:firstLine="0"/>
        <w:jc w:val="left"/>
        <w:rPr>
          <w:sz w:val="20"/>
          <w:szCs w:val="20"/>
        </w:rPr>
      </w:pPr>
      <w:bookmarkStart w:id="293" w:name="bookmark293"/>
      <w:bookmarkStart w:id="294" w:name="bookmark294"/>
      <w:bookmarkStart w:id="295" w:name="bookmark295"/>
      <w:r>
        <w:rPr>
          <w:b w:val="0"/>
          <w:bCs w:val="0"/>
          <w:color w:val="000000"/>
          <w:spacing w:val="0"/>
          <w:w w:val="100"/>
          <w:position w:val="0"/>
          <w:sz w:val="20"/>
          <w:szCs w:val="20"/>
        </w:rPr>
        <w:t>详见“第十二节财务报告”财务报表附注七、合并范围的变更</w:t>
      </w:r>
      <w:bookmarkEnd w:id="293"/>
      <w:bookmarkEnd w:id="294"/>
      <w:bookmarkEnd w:id="295"/>
    </w:p>
    <w:p>
      <w:pPr>
        <w:pStyle w:val="Style29"/>
        <w:keepNext/>
        <w:keepLines/>
        <w:widowControl w:val="0"/>
        <w:shd w:val="clear" w:color="auto" w:fill="auto"/>
        <w:tabs>
          <w:tab w:pos="517" w:val="left"/>
        </w:tabs>
        <w:bidi w:val="0"/>
        <w:spacing w:before="0" w:after="380" w:line="240" w:lineRule="auto"/>
        <w:ind w:left="0" w:right="0" w:firstLine="0"/>
        <w:jc w:val="left"/>
      </w:pPr>
      <w:bookmarkStart w:id="296" w:name="bookmark296"/>
      <w:bookmarkStart w:id="297" w:name="bookmark297"/>
      <w:bookmarkStart w:id="298" w:name="bookmark298"/>
      <w:bookmarkStart w:id="299" w:name="bookmark299"/>
      <w:r>
        <w:rPr>
          <w:color w:val="000000"/>
          <w:spacing w:val="0"/>
          <w:w w:val="100"/>
          <w:position w:val="0"/>
          <w:sz w:val="24"/>
          <w:szCs w:val="24"/>
        </w:rPr>
        <w:t>九</w:t>
      </w:r>
      <w:bookmarkEnd w:id="298"/>
      <w:r>
        <w:rPr>
          <w:color w:val="000000"/>
          <w:spacing w:val="0"/>
          <w:w w:val="100"/>
          <w:position w:val="0"/>
          <w:sz w:val="24"/>
          <w:szCs w:val="24"/>
        </w:rPr>
        <w:t>、</w:t>
        <w:tab/>
        <w:t>聘任、解聘会计师事务所情况</w:t>
      </w:r>
      <w:bookmarkEnd w:id="296"/>
      <w:bookmarkEnd w:id="297"/>
      <w:bookmarkEnd w:id="299"/>
    </w:p>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4934"/>
        <w:gridCol w:w="4646"/>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大华会计师事务所（特殊普通合伙）</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年</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朱娟、江山</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朱娟</w:t>
            </w:r>
            <w:r>
              <w:rPr>
                <w:rFonts w:ascii="Times New Roman" w:eastAsia="Times New Roman" w:hAnsi="Times New Roman" w:cs="Times New Roman"/>
                <w:color w:val="000000"/>
                <w:spacing w:val="0"/>
                <w:w w:val="100"/>
                <w:position w:val="0"/>
              </w:rPr>
              <w:t>2</w:t>
            </w:r>
            <w:r>
              <w:rPr>
                <w:color w:val="000000"/>
                <w:spacing w:val="0"/>
                <w:w w:val="100"/>
                <w:position w:val="0"/>
              </w:rPr>
              <w:t>年、江山</w:t>
            </w:r>
            <w:r>
              <w:rPr>
                <w:rFonts w:ascii="Times New Roman" w:eastAsia="Times New Roman" w:hAnsi="Times New Roman" w:cs="Times New Roman"/>
                <w:color w:val="000000"/>
                <w:spacing w:val="0"/>
                <w:w w:val="100"/>
                <w:position w:val="0"/>
              </w:rPr>
              <w:t>1</w:t>
            </w:r>
            <w:r>
              <w:rPr>
                <w:color w:val="000000"/>
                <w:spacing w:val="0"/>
                <w:w w:val="100"/>
                <w:position w:val="0"/>
              </w:rPr>
              <w:t>年</w:t>
            </w:r>
          </w:p>
        </w:tc>
      </w:tr>
    </w:tbl>
    <w:tbl>
      <w:tblPr>
        <w:tblOverlap w:val="never"/>
        <w:jc w:val="center"/>
        <w:tblLayout w:type="fixed"/>
      </w:tblPr>
      <w:tblGrid>
        <w:gridCol w:w="7526"/>
        <w:gridCol w:w="2174"/>
      </w:tblGrid>
      <w:tr>
        <w:trPr>
          <w:trHeight w:val="38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报告期是否更换会计师事务所</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i/>
                <w:iCs/>
                <w:color w:val="000000"/>
                <w:spacing w:val="0"/>
                <w:w w:val="100"/>
                <w:position w:val="0"/>
              </w:rPr>
              <w:t>。否</w:t>
            </w:r>
          </w:p>
        </w:tc>
      </w:tr>
      <w:tr>
        <w:trPr>
          <w:trHeight w:val="350"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是否在审计期间改聘会计师事务所</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i/>
                <w:iCs/>
                <w:color w:val="000000"/>
                <w:spacing w:val="0"/>
                <w:w w:val="100"/>
                <w:position w:val="0"/>
              </w:rPr>
              <w:t>。否</w:t>
            </w:r>
          </w:p>
        </w:tc>
      </w:tr>
      <w:tr>
        <w:trPr>
          <w:trHeight w:val="706" w:hRule="exact"/>
        </w:trPr>
        <w:tc>
          <w:tcPr>
            <w:tcBorders/>
            <w:shd w:val="clear" w:color="auto" w:fill="FFFFFF"/>
            <w:vAlign w:val="center"/>
          </w:tcPr>
          <w:p>
            <w:pPr>
              <w:pStyle w:val="Style2"/>
              <w:keepNext w:val="0"/>
              <w:keepLines w:val="0"/>
              <w:widowControl w:val="0"/>
              <w:shd w:val="clear" w:color="auto" w:fill="auto"/>
              <w:bidi w:val="0"/>
              <w:spacing w:before="0" w:after="0" w:line="350" w:lineRule="exact"/>
              <w:ind w:left="0" w:right="0" w:firstLine="0"/>
              <w:jc w:val="left"/>
            </w:pPr>
            <w:r>
              <w:rPr>
                <w:color w:val="000000"/>
                <w:spacing w:val="0"/>
                <w:w w:val="100"/>
                <w:position w:val="0"/>
              </w:rPr>
              <w:t>更换会计师事务所是否履行审批程序 更换会计师事务所情况的详细说明</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i/>
                <w:iCs/>
                <w:color w:val="000000"/>
                <w:spacing w:val="0"/>
                <w:w w:val="100"/>
                <w:position w:val="0"/>
              </w:rPr>
              <w:t>。否</w:t>
            </w:r>
          </w:p>
        </w:tc>
      </w:tr>
      <w:tr>
        <w:trPr>
          <w:trHeight w:val="485"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聘请内部控制审计会计师事务所、财务顾问或保荐人情况</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c>
      </w:tr>
      <w:tr>
        <w:trPr>
          <w:trHeight w:val="912" w:hRule="exact"/>
        </w:trPr>
        <w:tc>
          <w:tcPr>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bookmarkStart w:id="300" w:name="bookmark300"/>
            <w:r>
              <w:rPr>
                <w:color w:val="000000"/>
                <w:spacing w:val="0"/>
                <w:w w:val="100"/>
                <w:position w:val="0"/>
              </w:rPr>
              <w:t>公司聘请大华对截至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日与财务报表相关内部控制有效性进行鉴证 在聘任的境内会计师事务所报酬中。</w:t>
            </w:r>
            <w:bookmarkEnd w:id="300"/>
          </w:p>
        </w:tc>
        <w:tc>
          <w:tcPr>
            <w:tcBorders/>
            <w:shd w:val="clear" w:color="auto" w:fill="FFFFFF"/>
            <w:vAlign w:val="top"/>
          </w:tcPr>
          <w:p>
            <w:pPr>
              <w:pStyle w:val="Style2"/>
              <w:keepNext w:val="0"/>
              <w:keepLines w:val="0"/>
              <w:widowControl w:val="0"/>
              <w:shd w:val="clear" w:color="auto" w:fill="auto"/>
              <w:bidi w:val="0"/>
              <w:spacing w:before="180" w:after="0" w:line="240" w:lineRule="auto"/>
              <w:ind w:left="0" w:right="0" w:firstLine="160"/>
              <w:jc w:val="left"/>
            </w:pPr>
            <w:r>
              <w:rPr>
                <w:color w:val="000000"/>
                <w:spacing w:val="0"/>
                <w:w w:val="100"/>
                <w:position w:val="0"/>
              </w:rPr>
              <w:t>费用</w:t>
            </w:r>
            <w:r>
              <w:rPr>
                <w:rFonts w:ascii="Times New Roman" w:eastAsia="Times New Roman" w:hAnsi="Times New Roman" w:cs="Times New Roman"/>
                <w:color w:val="000000"/>
                <w:spacing w:val="0"/>
                <w:w w:val="100"/>
                <w:position w:val="0"/>
              </w:rPr>
              <w:t>20</w:t>
            </w:r>
            <w:r>
              <w:rPr>
                <w:color w:val="000000"/>
                <w:spacing w:val="0"/>
                <w:w w:val="100"/>
                <w:position w:val="0"/>
              </w:rPr>
              <w:t>万元，已包含</w:t>
            </w:r>
          </w:p>
        </w:tc>
      </w:tr>
      <w:tr>
        <w:trPr>
          <w:trHeight w:val="619"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4"/>
                <w:szCs w:val="24"/>
              </w:rPr>
            </w:pPr>
            <w:bookmarkStart w:id="301" w:name="bookmark301"/>
            <w:r>
              <w:rPr>
                <w:b/>
                <w:bCs/>
                <w:color w:val="000000"/>
                <w:spacing w:val="0"/>
                <w:w w:val="100"/>
                <w:position w:val="0"/>
                <w:sz w:val="24"/>
                <w:szCs w:val="24"/>
              </w:rPr>
              <w:t>十、年度报告披露后面临暂停上市和终止上市情况</w:t>
            </w:r>
            <w:bookmarkEnd w:id="301"/>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tc>
      </w:tr>
      <w:tr>
        <w:trPr>
          <w:trHeight w:val="619"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4"/>
                <w:szCs w:val="24"/>
              </w:rPr>
            </w:pPr>
            <w:bookmarkStart w:id="302" w:name="bookmark302"/>
            <w:r>
              <w:rPr>
                <w:b/>
                <w:bCs/>
                <w:color w:val="000000"/>
                <w:spacing w:val="0"/>
                <w:w w:val="100"/>
                <w:position w:val="0"/>
                <w:sz w:val="24"/>
                <w:szCs w:val="24"/>
              </w:rPr>
              <w:t>十一、破产重整相关事项</w:t>
            </w:r>
            <w:bookmarkEnd w:id="302"/>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tc>
      </w:tr>
      <w:tr>
        <w:trPr>
          <w:trHeight w:val="605"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本集团报告期未发生破产重整相关事项。</w:t>
            </w:r>
          </w:p>
        </w:tc>
        <w:tc>
          <w:tcPr>
            <w:tcBorders/>
            <w:shd w:val="clear" w:color="auto" w:fill="FFFFFF"/>
            <w:vAlign w:val="top"/>
          </w:tcPr>
          <w:p>
            <w:pPr>
              <w:widowControl w:val="0"/>
              <w:rPr>
                <w:sz w:val="10"/>
                <w:szCs w:val="10"/>
              </w:rPr>
            </w:pPr>
          </w:p>
        </w:tc>
      </w:tr>
      <w:tr>
        <w:trPr>
          <w:trHeight w:val="619"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4"/>
                <w:szCs w:val="24"/>
              </w:rPr>
            </w:pPr>
            <w:bookmarkStart w:id="303" w:name="bookmark303"/>
            <w:r>
              <w:rPr>
                <w:b/>
                <w:bCs/>
                <w:color w:val="000000"/>
                <w:spacing w:val="0"/>
                <w:w w:val="100"/>
                <w:position w:val="0"/>
                <w:sz w:val="24"/>
                <w:szCs w:val="24"/>
              </w:rPr>
              <w:t>十二、重大诉讼、仲裁事项</w:t>
            </w:r>
            <w:bookmarkEnd w:id="303"/>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c>
      </w:tr>
      <w:tr>
        <w:trPr>
          <w:trHeight w:val="3240" w:hRule="exact"/>
        </w:trPr>
        <w:tc>
          <w:tcPr>
            <w:gridSpan w:val="2"/>
            <w:tcBorders/>
            <w:shd w:val="clear" w:color="auto" w:fill="FFFFFF"/>
            <w:vAlign w:val="bottom"/>
          </w:tcPr>
          <w:p>
            <w:pPr>
              <w:pStyle w:val="Style2"/>
              <w:keepNext w:val="0"/>
              <w:keepLines w:val="0"/>
              <w:widowControl w:val="0"/>
              <w:shd w:val="clear" w:color="auto" w:fill="auto"/>
              <w:bidi w:val="0"/>
              <w:spacing w:before="0" w:after="0" w:line="314" w:lineRule="exact"/>
              <w:ind w:left="0" w:right="0" w:firstLine="44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2016</w:t>
            </w:r>
            <w:r>
              <w:rPr>
                <w:color w:val="000000"/>
                <w:spacing w:val="0"/>
                <w:w w:val="100"/>
                <w:position w:val="0"/>
              </w:rPr>
              <w:t>年重大资产重组业绩承诺补偿诉讼</w:t>
            </w:r>
          </w:p>
          <w:p>
            <w:pPr>
              <w:pStyle w:val="Style2"/>
              <w:keepNext w:val="0"/>
              <w:keepLines w:val="0"/>
              <w:widowControl w:val="0"/>
              <w:shd w:val="clear" w:color="auto" w:fill="auto"/>
              <w:bidi w:val="0"/>
              <w:spacing w:before="0" w:after="0" w:line="314" w:lineRule="exact"/>
              <w:ind w:left="0" w:right="0" w:firstLine="440"/>
              <w:jc w:val="both"/>
            </w:pPr>
            <w:r>
              <w:rPr>
                <w:rFonts w:ascii="Times New Roman" w:eastAsia="Times New Roman" w:hAnsi="Times New Roman" w:cs="Times New Roman"/>
                <w:color w:val="000000"/>
                <w:spacing w:val="0"/>
                <w:w w:val="100"/>
                <w:position w:val="0"/>
              </w:rPr>
              <w:t>2015-2016</w:t>
            </w:r>
            <w:r>
              <w:rPr>
                <w:color w:val="000000"/>
                <w:spacing w:val="0"/>
                <w:w w:val="100"/>
                <w:position w:val="0"/>
              </w:rPr>
              <w:t>年公司筹划并实施收购国盛证券的重大资产重组交易，就此与原国盛证券控股股东雪松国 际信托股份有限公司（时名：中江国际信托股份有限公司）签订《业绩承诺补偿协议》（下称《业绩承诺 协议》）。业绩承诺期，国盛证券实际实现的累计净利润数为低于承诺业绩，雪松信托应按照约定进行补偿 并先以股份、不足部分以现金。</w:t>
            </w:r>
          </w:p>
          <w:p>
            <w:pPr>
              <w:pStyle w:val="Style2"/>
              <w:keepNext w:val="0"/>
              <w:keepLines w:val="0"/>
              <w:widowControl w:val="0"/>
              <w:shd w:val="clear" w:color="auto" w:fill="auto"/>
              <w:bidi w:val="0"/>
              <w:spacing w:before="0" w:after="0" w:line="314" w:lineRule="exact"/>
              <w:ind w:left="0" w:right="0" w:firstLine="56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月，雪松信托向江西省高级人民法院（下称江西高院）提起诉讼，请求法院判令公司等三 被告向雪松信托进行赔偿，并将国盛证券移交给雪松信托经营管理。</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月，公司向江西高院提起反 诉，请求法院判令雪松信托履行业绩承诺差额补偿义务。</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月，江西高院作出裁定，认为公司与 雪松信托签署的《发行股份及支付现金购买资产协议》《业绩承诺补偿协议》均订有仲裁条款且合法有效， 裁定分别驳回雪松信托的起诉和公司的反诉。</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月，公司就江西高院原裁定向最高人民法院（下</w:t>
            </w:r>
          </w:p>
        </w:tc>
      </w:tr>
    </w:tbl>
    <w:p>
      <w:pPr>
        <w:pStyle w:val="Style16"/>
        <w:keepNext w:val="0"/>
        <w:keepLines w:val="0"/>
        <w:widowControl w:val="0"/>
        <w:shd w:val="clear" w:color="auto" w:fill="auto"/>
        <w:bidi w:val="0"/>
        <w:spacing w:before="0" w:after="0" w:line="313" w:lineRule="exact"/>
        <w:ind w:left="0" w:right="0" w:firstLine="0"/>
        <w:jc w:val="left"/>
      </w:pPr>
      <w:r>
        <w:rPr>
          <w:color w:val="000000"/>
          <w:spacing w:val="0"/>
          <w:w w:val="100"/>
          <w:position w:val="0"/>
        </w:rPr>
        <w:t>称最高法院）提出上诉。</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月，最高法院驳回上诉，维持原裁定，本裁定为终审裁定。</w:t>
      </w:r>
    </w:p>
    <w:p>
      <w:pPr>
        <w:pStyle w:val="Style16"/>
        <w:keepNext w:val="0"/>
        <w:keepLines w:val="0"/>
        <w:widowControl w:val="0"/>
        <w:shd w:val="clear" w:color="auto" w:fill="auto"/>
        <w:bidi w:val="0"/>
        <w:spacing w:before="0" w:after="0" w:line="313" w:lineRule="exact"/>
        <w:ind w:left="0" w:right="0" w:firstLine="440"/>
        <w:jc w:val="both"/>
      </w:pPr>
      <w:r>
        <w:rPr>
          <w:color w:val="000000"/>
          <w:spacing w:val="0"/>
          <w:w w:val="100"/>
          <w:position w:val="0"/>
        </w:rPr>
        <w:t>上述《业绩承诺协议》全文见</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日《关于重大资产重组签署的公告》，有关协议执行情 况的完整说明见《</w:t>
      </w:r>
      <w:r>
        <w:rPr>
          <w:rFonts w:ascii="Times New Roman" w:eastAsia="Times New Roman" w:hAnsi="Times New Roman" w:cs="Times New Roman"/>
          <w:color w:val="000000"/>
          <w:spacing w:val="0"/>
          <w:w w:val="100"/>
          <w:position w:val="0"/>
        </w:rPr>
        <w:t>2019</w:t>
      </w:r>
      <w:r>
        <w:rPr>
          <w:color w:val="000000"/>
          <w:spacing w:val="0"/>
          <w:w w:val="100"/>
          <w:position w:val="0"/>
        </w:rPr>
        <w:t>年度报告》，有关司法机构裁定意见见</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日《诉讼进展公告》。</w:t>
      </w:r>
    </w:p>
    <w:p>
      <w:pPr>
        <w:pStyle w:val="Style16"/>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公司将积极采取有效、有利的措施依法维护自身合法权益，切实维护公司及股东特别是广大中小股东 的利益。</w:t>
      </w:r>
    </w:p>
    <w:p>
      <w:pPr>
        <w:pStyle w:val="Style16"/>
        <w:keepNext w:val="0"/>
        <w:keepLines w:val="0"/>
        <w:widowControl w:val="0"/>
        <w:shd w:val="clear" w:color="auto" w:fill="auto"/>
        <w:tabs>
          <w:tab w:pos="761" w:val="left"/>
        </w:tabs>
        <w:bidi w:val="0"/>
        <w:spacing w:before="0" w:after="0" w:line="313" w:lineRule="exact"/>
        <w:ind w:left="0" w:right="0" w:firstLine="440"/>
        <w:jc w:val="both"/>
      </w:pPr>
      <w:bookmarkStart w:id="304" w:name="bookmark304"/>
      <w:r>
        <w:rPr>
          <w:rFonts w:ascii="Times New Roman" w:eastAsia="Times New Roman" w:hAnsi="Times New Roman" w:cs="Times New Roman"/>
          <w:color w:val="000000"/>
          <w:spacing w:val="0"/>
          <w:w w:val="100"/>
          <w:position w:val="0"/>
        </w:rPr>
        <w:t>2</w:t>
      </w:r>
      <w:bookmarkEnd w:id="304"/>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日，公司收到深圳市福田区人民法院送达的传票，赵岑以公司决议效力确认纠纷 为案由于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日对公司提起诉讼，相关情况详见</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日披露的《关于诉讼事项的 公告》。本诉讼于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日开庭，截至本报告出具日尚未有判决结果。</w:t>
      </w:r>
    </w:p>
    <w:p>
      <w:pPr>
        <w:pStyle w:val="Style16"/>
        <w:keepNext w:val="0"/>
        <w:keepLines w:val="0"/>
        <w:widowControl w:val="0"/>
        <w:shd w:val="clear" w:color="auto" w:fill="auto"/>
        <w:tabs>
          <w:tab w:pos="761" w:val="left"/>
        </w:tabs>
        <w:bidi w:val="0"/>
        <w:spacing w:before="0" w:after="340" w:line="313" w:lineRule="exact"/>
        <w:ind w:left="0" w:right="0" w:firstLine="440"/>
        <w:jc w:val="both"/>
      </w:pPr>
      <w:bookmarkStart w:id="305" w:name="bookmark305"/>
      <w:r>
        <w:rPr>
          <w:rFonts w:ascii="Times New Roman" w:eastAsia="Times New Roman" w:hAnsi="Times New Roman" w:cs="Times New Roman"/>
          <w:color w:val="000000"/>
          <w:spacing w:val="0"/>
          <w:w w:val="100"/>
          <w:position w:val="0"/>
        </w:rPr>
        <w:t>3</w:t>
      </w:r>
      <w:bookmarkEnd w:id="305"/>
      <w:r>
        <w:rPr>
          <w:color w:val="000000"/>
          <w:spacing w:val="0"/>
          <w:w w:val="100"/>
          <w:position w:val="0"/>
        </w:rPr>
        <w:t>、</w:t>
        <w:tab/>
        <w:t>除上述事项外，期末本集团未达到披露标准的未决诉讼、仲裁事项涉案金额合计</w:t>
      </w:r>
      <w:r>
        <w:rPr>
          <w:rFonts w:ascii="Times New Roman" w:eastAsia="Times New Roman" w:hAnsi="Times New Roman" w:cs="Times New Roman"/>
          <w:color w:val="000000"/>
          <w:spacing w:val="0"/>
          <w:w w:val="100"/>
          <w:position w:val="0"/>
        </w:rPr>
        <w:t>6.33</w:t>
      </w:r>
      <w:r>
        <w:rPr>
          <w:color w:val="000000"/>
          <w:spacing w:val="0"/>
          <w:w w:val="100"/>
          <w:position w:val="0"/>
        </w:rPr>
        <w:t>亿元，其中 本集团作为原告（含申请人、申请执行人）的案件涉案金额为</w:t>
      </w:r>
      <w:r>
        <w:rPr>
          <w:rFonts w:ascii="Times New Roman" w:eastAsia="Times New Roman" w:hAnsi="Times New Roman" w:cs="Times New Roman"/>
          <w:color w:val="000000"/>
          <w:spacing w:val="0"/>
          <w:w w:val="100"/>
          <w:position w:val="0"/>
        </w:rPr>
        <w:t>5.29</w:t>
      </w:r>
      <w:r>
        <w:rPr>
          <w:color w:val="000000"/>
          <w:spacing w:val="0"/>
          <w:w w:val="100"/>
          <w:position w:val="0"/>
        </w:rPr>
        <w:t>亿元，作为被告（含被申请人）的案件 涉案金额为</w:t>
      </w:r>
      <w:r>
        <w:rPr>
          <w:rFonts w:ascii="Times New Roman" w:eastAsia="Times New Roman" w:hAnsi="Times New Roman" w:cs="Times New Roman"/>
          <w:color w:val="000000"/>
          <w:spacing w:val="0"/>
          <w:w w:val="100"/>
          <w:position w:val="0"/>
        </w:rPr>
        <w:t>1.04</w:t>
      </w:r>
      <w:r>
        <w:rPr>
          <w:color w:val="000000"/>
          <w:spacing w:val="0"/>
          <w:w w:val="100"/>
          <w:position w:val="0"/>
        </w:rPr>
        <w:t>亿元，形成预计负债合计</w:t>
      </w:r>
      <w:r>
        <w:rPr>
          <w:rFonts w:ascii="Times New Roman" w:eastAsia="Times New Roman" w:hAnsi="Times New Roman" w:cs="Times New Roman"/>
          <w:color w:val="000000"/>
          <w:spacing w:val="0"/>
          <w:w w:val="100"/>
          <w:position w:val="0"/>
        </w:rPr>
        <w:t>11.87</w:t>
      </w:r>
      <w:r>
        <w:rPr>
          <w:color w:val="000000"/>
          <w:spacing w:val="0"/>
          <w:w w:val="100"/>
          <w:position w:val="0"/>
        </w:rPr>
        <w:t>万元。</w:t>
      </w:r>
    </w:p>
    <w:p>
      <w:pPr>
        <w:pStyle w:val="Style75"/>
        <w:keepNext w:val="0"/>
        <w:keepLines w:val="0"/>
        <w:widowControl w:val="0"/>
        <w:shd w:val="clear" w:color="auto" w:fill="auto"/>
        <w:tabs>
          <w:tab w:pos="8018" w:val="left"/>
        </w:tabs>
        <w:bidi w:val="0"/>
        <w:spacing w:before="0" w:line="240" w:lineRule="auto"/>
        <w:ind w:left="0" w:right="0" w:firstLine="0"/>
        <w:jc w:val="both"/>
        <w:rPr>
          <w:sz w:val="20"/>
          <w:szCs w:val="20"/>
        </w:rPr>
      </w:pPr>
      <w:bookmarkStart w:id="306" w:name="bookmark306"/>
      <w:r>
        <w:rPr>
          <w:color w:val="000000"/>
          <w:spacing w:val="0"/>
          <w:w w:val="100"/>
          <w:position w:val="0"/>
          <w:sz w:val="24"/>
          <w:szCs w:val="24"/>
        </w:rPr>
        <w:t>十三、处罚及整改情况</w:t>
        <w:tab/>
      </w:r>
      <w:r>
        <w:rPr>
          <w:b w:val="0"/>
          <w:bCs w:val="0"/>
          <w:color w:val="000000"/>
          <w:spacing w:val="0"/>
          <w:w w:val="100"/>
          <w:position w:val="0"/>
          <w:sz w:val="20"/>
          <w:szCs w:val="20"/>
        </w:rPr>
        <w:t>寸</w:t>
      </w:r>
      <w:r>
        <w:rPr>
          <w:b w:val="0"/>
          <w:bCs w:val="0"/>
          <w:color w:val="000000"/>
          <w:spacing w:val="0"/>
          <w:w w:val="100"/>
          <w:position w:val="0"/>
          <w:sz w:val="20"/>
          <w:szCs w:val="20"/>
        </w:rPr>
        <w:t>适用</w:t>
      </w:r>
      <w:r>
        <w:rPr>
          <w:b w:val="0"/>
          <w:bCs w:val="0"/>
          <w:color w:val="000000"/>
          <w:spacing w:val="0"/>
          <w:w w:val="100"/>
          <w:position w:val="0"/>
          <w:sz w:val="20"/>
          <w:szCs w:val="20"/>
        </w:rPr>
        <w:t>口</w:t>
      </w:r>
      <w:r>
        <w:rPr>
          <w:b w:val="0"/>
          <w:bCs w:val="0"/>
          <w:color w:val="000000"/>
          <w:spacing w:val="0"/>
          <w:w w:val="100"/>
          <w:position w:val="0"/>
          <w:sz w:val="20"/>
          <w:szCs w:val="20"/>
        </w:rPr>
        <w:t>不适用</w:t>
      </w:r>
      <w:bookmarkEnd w:id="306"/>
    </w:p>
    <w:p>
      <w:pPr>
        <w:pStyle w:val="Style16"/>
        <w:keepNext w:val="0"/>
        <w:keepLines w:val="0"/>
        <w:widowControl w:val="0"/>
        <w:shd w:val="clear" w:color="auto" w:fill="auto"/>
        <w:bidi w:val="0"/>
        <w:spacing w:before="0" w:after="80" w:line="317" w:lineRule="exact"/>
        <w:ind w:left="0" w:right="0" w:firstLine="440"/>
        <w:jc w:val="both"/>
      </w:pPr>
      <w:bookmarkStart w:id="307" w:name="bookmark307"/>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日中国证监会发布〔</w:t>
      </w:r>
      <w:r>
        <w:rPr>
          <w:rFonts w:ascii="Times New Roman" w:eastAsia="Times New Roman" w:hAnsi="Times New Roman" w:cs="Times New Roman"/>
          <w:color w:val="000000"/>
          <w:spacing w:val="0"/>
          <w:w w:val="100"/>
          <w:position w:val="0"/>
        </w:rPr>
        <w:t>2020</w:t>
      </w:r>
      <w:r>
        <w:rPr>
          <w:color w:val="000000"/>
          <w:spacing w:val="0"/>
          <w:w w:val="100"/>
          <w:position w:val="0"/>
        </w:rPr>
        <w:t xml:space="preserve">） </w:t>
      </w:r>
      <w:r>
        <w:rPr>
          <w:rFonts w:ascii="Times New Roman" w:eastAsia="Times New Roman" w:hAnsi="Times New Roman" w:cs="Times New Roman"/>
          <w:color w:val="000000"/>
          <w:spacing w:val="0"/>
          <w:w w:val="100"/>
          <w:position w:val="0"/>
        </w:rPr>
        <w:t>45</w:t>
      </w:r>
      <w:r>
        <w:rPr>
          <w:color w:val="000000"/>
          <w:spacing w:val="0"/>
          <w:w w:val="100"/>
          <w:position w:val="0"/>
        </w:rPr>
        <w:t>号公告，因国盛证券、国盛期货</w:t>
      </w:r>
      <w:r>
        <w:rPr>
          <w:rFonts w:ascii="Times New Roman" w:eastAsia="Times New Roman" w:hAnsi="Times New Roman" w:cs="Times New Roman"/>
          <w:color w:val="000000"/>
          <w:spacing w:val="0"/>
          <w:w w:val="100"/>
          <w:position w:val="0"/>
        </w:rPr>
        <w:t>“</w:t>
      </w:r>
      <w:r>
        <w:rPr>
          <w:color w:val="000000"/>
          <w:spacing w:val="0"/>
          <w:w w:val="100"/>
          <w:position w:val="0"/>
        </w:rPr>
        <w:t>隐瞒实际控制人或持 股比例，治理失衡</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中国证监会决定自当日起对国盛证券、国盛期货实行接管。自接管之日起，接管组 行使被接管公司的经营管理权，接管组组长行使法定代表人职权，被接管公司的股东大会或股东会、董 事会、监事会及经理层停止履行职责。被接管后，国盛证券经营保持稳定，各项业务资质均未受影响。</w:t>
      </w:r>
      <w:bookmarkEnd w:id="307"/>
    </w:p>
    <w:p>
      <w:pPr>
        <w:pStyle w:val="Style16"/>
        <w:keepNext w:val="0"/>
        <w:keepLines w:val="0"/>
        <w:widowControl w:val="0"/>
        <w:shd w:val="clear" w:color="auto" w:fill="auto"/>
        <w:bidi w:val="0"/>
        <w:spacing w:before="0" w:after="0" w:line="316" w:lineRule="exact"/>
        <w:ind w:left="0" w:right="0" w:firstLine="440"/>
        <w:jc w:val="both"/>
      </w:pPr>
      <w:r>
        <w:rPr>
          <w:color w:val="000000"/>
          <w:spacing w:val="0"/>
          <w:w w:val="100"/>
          <w:position w:val="0"/>
        </w:rPr>
        <w:t>因涉嫌信息披露违法违规，根据《证券法》的有关规定，中国证监会决定对公司控股股东张家港财智 投资中心（有限合伙）、深圳前海财智远大投资中心（有限合伙）、北京凤凰财鑫股权投资中心（有限合 伙）以及北京凤凰财智创新投资中心（有限合伙）立案调查。公司控股股东于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日分别收到 相关《调查通知书》（粤调查字</w:t>
      </w:r>
      <w:r>
        <w:rPr>
          <w:rFonts w:ascii="Times New Roman" w:eastAsia="Times New Roman" w:hAnsi="Times New Roman" w:cs="Times New Roman"/>
          <w:color w:val="000000"/>
          <w:spacing w:val="0"/>
          <w:w w:val="100"/>
          <w:position w:val="0"/>
        </w:rPr>
        <w:t>20035</w:t>
      </w:r>
      <w:r>
        <w:rPr>
          <w:color w:val="000000"/>
          <w:spacing w:val="0"/>
          <w:w w:val="100"/>
          <w:position w:val="0"/>
        </w:rPr>
        <w:t>、</w:t>
      </w:r>
      <w:r>
        <w:rPr>
          <w:rFonts w:ascii="Times New Roman" w:eastAsia="Times New Roman" w:hAnsi="Times New Roman" w:cs="Times New Roman"/>
          <w:color w:val="000000"/>
          <w:spacing w:val="0"/>
          <w:w w:val="100"/>
          <w:position w:val="0"/>
        </w:rPr>
        <w:t>20034</w:t>
      </w:r>
      <w:r>
        <w:rPr>
          <w:color w:val="000000"/>
          <w:spacing w:val="0"/>
          <w:w w:val="100"/>
          <w:position w:val="0"/>
        </w:rPr>
        <w:t>、</w:t>
      </w:r>
      <w:r>
        <w:rPr>
          <w:rFonts w:ascii="Times New Roman" w:eastAsia="Times New Roman" w:hAnsi="Times New Roman" w:cs="Times New Roman"/>
          <w:color w:val="000000"/>
          <w:spacing w:val="0"/>
          <w:w w:val="100"/>
          <w:position w:val="0"/>
        </w:rPr>
        <w:t>20031</w:t>
      </w:r>
      <w:r>
        <w:rPr>
          <w:color w:val="000000"/>
          <w:spacing w:val="0"/>
          <w:w w:val="100"/>
          <w:position w:val="0"/>
        </w:rPr>
        <w:t>、</w:t>
      </w:r>
      <w:r>
        <w:rPr>
          <w:rFonts w:ascii="Times New Roman" w:eastAsia="Times New Roman" w:hAnsi="Times New Roman" w:cs="Times New Roman"/>
          <w:color w:val="000000"/>
          <w:spacing w:val="0"/>
          <w:w w:val="100"/>
          <w:position w:val="0"/>
        </w:rPr>
        <w:t>20057</w:t>
      </w:r>
      <w:r>
        <w:rPr>
          <w:color w:val="000000"/>
          <w:spacing w:val="0"/>
          <w:w w:val="100"/>
          <w:position w:val="0"/>
        </w:rPr>
        <w:t>号）。截至本报告披露日，相关事项尚无 结论性意见。</w:t>
      </w:r>
    </w:p>
    <w:p>
      <w:pPr>
        <w:pStyle w:val="Style16"/>
        <w:keepNext w:val="0"/>
        <w:keepLines w:val="0"/>
        <w:widowControl w:val="0"/>
        <w:shd w:val="clear" w:color="auto" w:fill="auto"/>
        <w:bidi w:val="0"/>
        <w:spacing w:before="0" w:after="340" w:line="313" w:lineRule="exact"/>
        <w:ind w:left="0" w:right="0" w:firstLine="440"/>
        <w:jc w:val="both"/>
      </w:pPr>
      <w:r>
        <w:rPr>
          <w:color w:val="000000"/>
          <w:spacing w:val="0"/>
          <w:w w:val="100"/>
          <w:position w:val="0"/>
        </w:rPr>
        <w:t>因国盛资管业务开展不规范等情形，深圳证监局于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日出具《行政监管措施决定书》 （</w:t>
      </w:r>
      <w:r>
        <w:rPr>
          <w:rFonts w:ascii="Times New Roman" w:eastAsia="Times New Roman" w:hAnsi="Times New Roman" w:cs="Times New Roman"/>
          <w:color w:val="000000"/>
          <w:spacing w:val="0"/>
          <w:w w:val="100"/>
          <w:position w:val="0"/>
        </w:rPr>
        <w:t>[2020]9</w:t>
      </w:r>
      <w:r>
        <w:rPr>
          <w:color w:val="000000"/>
          <w:spacing w:val="0"/>
          <w:w w:val="100"/>
          <w:position w:val="0"/>
        </w:rPr>
        <w:t>号、</w:t>
      </w:r>
      <w:r>
        <w:rPr>
          <w:rFonts w:ascii="Times New Roman" w:eastAsia="Times New Roman" w:hAnsi="Times New Roman" w:cs="Times New Roman"/>
          <w:color w:val="000000"/>
          <w:spacing w:val="0"/>
          <w:w w:val="100"/>
          <w:position w:val="0"/>
        </w:rPr>
        <w:t>10</w:t>
      </w:r>
      <w:r>
        <w:rPr>
          <w:color w:val="000000"/>
          <w:spacing w:val="0"/>
          <w:w w:val="100"/>
          <w:position w:val="0"/>
        </w:rPr>
        <w:t>号、</w:t>
      </w:r>
      <w:r>
        <w:rPr>
          <w:rFonts w:ascii="Times New Roman" w:eastAsia="Times New Roman" w:hAnsi="Times New Roman" w:cs="Times New Roman"/>
          <w:color w:val="000000"/>
          <w:spacing w:val="0"/>
          <w:w w:val="100"/>
          <w:position w:val="0"/>
        </w:rPr>
        <w:t>11</w:t>
      </w:r>
      <w:r>
        <w:rPr>
          <w:color w:val="000000"/>
          <w:spacing w:val="0"/>
          <w:w w:val="100"/>
          <w:position w:val="0"/>
        </w:rPr>
        <w:t>号），对国盛资管采取责令暂停非标私募资管业务六个月的行政监管措施。鉴于 此，江西证监局于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日对国盛证券出具《关于对国盛证券有限责任公司采取责令增加内部合 规检查次数措施的决定》（</w:t>
      </w:r>
      <w:r>
        <w:rPr>
          <w:rFonts w:ascii="Times New Roman" w:eastAsia="Times New Roman" w:hAnsi="Times New Roman" w:cs="Times New Roman"/>
          <w:color w:val="000000"/>
          <w:spacing w:val="0"/>
          <w:w w:val="100"/>
          <w:position w:val="0"/>
        </w:rPr>
        <w:t>[2020]1</w:t>
      </w:r>
      <w:r>
        <w:rPr>
          <w:color w:val="000000"/>
          <w:spacing w:val="0"/>
          <w:w w:val="100"/>
          <w:position w:val="0"/>
        </w:rPr>
        <w:t>号），责令国盛证券于年内增加覆盖资管子公司的内部合规检查次数。 国盛证券已按照要求及时提交合规检查报告，并完成对检查发现问题的整改工作。</w:t>
      </w:r>
    </w:p>
    <w:p>
      <w:pPr>
        <w:pStyle w:val="Style29"/>
        <w:keepNext/>
        <w:keepLines/>
        <w:widowControl w:val="0"/>
        <w:shd w:val="clear" w:color="auto" w:fill="auto"/>
        <w:tabs>
          <w:tab w:pos="8018" w:val="left"/>
        </w:tabs>
        <w:bidi w:val="0"/>
        <w:spacing w:before="0" w:line="240" w:lineRule="auto"/>
        <w:ind w:left="0" w:right="0" w:firstLine="0"/>
        <w:jc w:val="both"/>
        <w:rPr>
          <w:sz w:val="20"/>
          <w:szCs w:val="20"/>
        </w:rPr>
      </w:pPr>
      <w:bookmarkStart w:id="308" w:name="bookmark308"/>
      <w:bookmarkStart w:id="309" w:name="bookmark309"/>
      <w:bookmarkStart w:id="310" w:name="bookmark310"/>
      <w:r>
        <w:rPr>
          <w:color w:val="000000"/>
          <w:spacing w:val="0"/>
          <w:w w:val="100"/>
          <w:position w:val="0"/>
          <w:sz w:val="24"/>
          <w:szCs w:val="24"/>
        </w:rPr>
        <w:t>十四、公司及其控股股东、实际控制人的诚信状况</w:t>
        <w:tab/>
      </w:r>
      <w:r>
        <w:rPr>
          <w:b w:val="0"/>
          <w:bCs w:val="0"/>
          <w:color w:val="000000"/>
          <w:spacing w:val="0"/>
          <w:w w:val="100"/>
          <w:position w:val="0"/>
          <w:sz w:val="20"/>
          <w:szCs w:val="20"/>
        </w:rPr>
        <w:t>口</w:t>
      </w:r>
      <w:r>
        <w:rPr>
          <w:b w:val="0"/>
          <w:bCs w:val="0"/>
          <w:color w:val="000000"/>
          <w:spacing w:val="0"/>
          <w:w w:val="100"/>
          <w:position w:val="0"/>
          <w:sz w:val="20"/>
          <w:szCs w:val="20"/>
        </w:rPr>
        <w:t>适用</w:t>
      </w:r>
      <w:r>
        <w:rPr>
          <w:b w:val="0"/>
          <w:bCs w:val="0"/>
          <w:color w:val="000000"/>
          <w:spacing w:val="0"/>
          <w:w w:val="100"/>
          <w:position w:val="0"/>
          <w:sz w:val="20"/>
          <w:szCs w:val="20"/>
        </w:rPr>
        <w:t>寸</w:t>
      </w:r>
      <w:r>
        <w:rPr>
          <w:b w:val="0"/>
          <w:bCs w:val="0"/>
          <w:color w:val="000000"/>
          <w:spacing w:val="0"/>
          <w:w w:val="100"/>
          <w:position w:val="0"/>
          <w:sz w:val="20"/>
          <w:szCs w:val="20"/>
        </w:rPr>
        <w:t>不适用</w:t>
      </w:r>
      <w:bookmarkEnd w:id="308"/>
      <w:bookmarkEnd w:id="309"/>
      <w:bookmarkEnd w:id="310"/>
    </w:p>
    <w:p>
      <w:pPr>
        <w:pStyle w:val="Style16"/>
        <w:keepNext w:val="0"/>
        <w:keepLines w:val="0"/>
        <w:widowControl w:val="0"/>
        <w:shd w:val="clear" w:color="auto" w:fill="auto"/>
        <w:bidi w:val="0"/>
        <w:spacing w:before="0" w:after="340" w:line="313" w:lineRule="exact"/>
        <w:ind w:left="0" w:right="0" w:firstLine="440"/>
        <w:jc w:val="both"/>
      </w:pPr>
      <w:bookmarkStart w:id="311" w:name="bookmark311"/>
      <w:r>
        <w:rPr>
          <w:color w:val="000000"/>
          <w:spacing w:val="0"/>
          <w:w w:val="100"/>
          <w:position w:val="0"/>
        </w:rPr>
        <w:t>公司及控股股东、实际控制人不存在未履行法院生效判决、所负数额较大的债务到期未清偿等情况。</w:t>
      </w:r>
      <w:bookmarkEnd w:id="311"/>
    </w:p>
    <w:p>
      <w:pPr>
        <w:pStyle w:val="Style29"/>
        <w:keepNext/>
        <w:keepLines/>
        <w:widowControl w:val="0"/>
        <w:shd w:val="clear" w:color="auto" w:fill="auto"/>
        <w:tabs>
          <w:tab w:pos="8018" w:val="left"/>
        </w:tabs>
        <w:bidi w:val="0"/>
        <w:spacing w:before="0" w:line="240" w:lineRule="auto"/>
        <w:ind w:left="0" w:right="0" w:firstLine="0"/>
        <w:jc w:val="both"/>
        <w:rPr>
          <w:sz w:val="20"/>
          <w:szCs w:val="20"/>
        </w:rPr>
      </w:pPr>
      <w:bookmarkStart w:id="312" w:name="bookmark312"/>
      <w:bookmarkStart w:id="313" w:name="bookmark313"/>
      <w:bookmarkStart w:id="314" w:name="bookmark314"/>
      <w:r>
        <w:rPr>
          <w:color w:val="000000"/>
          <w:spacing w:val="0"/>
          <w:w w:val="100"/>
          <w:position w:val="0"/>
          <w:sz w:val="24"/>
          <w:szCs w:val="24"/>
        </w:rPr>
        <w:t>十五、公司股权激励计划、员工持股计划或其他员工激励措施的实施情况</w:t>
        <w:tab/>
      </w:r>
      <w:r>
        <w:rPr>
          <w:b w:val="0"/>
          <w:bCs w:val="0"/>
          <w:color w:val="000000"/>
          <w:spacing w:val="0"/>
          <w:w w:val="100"/>
          <w:position w:val="0"/>
          <w:sz w:val="20"/>
          <w:szCs w:val="20"/>
        </w:rPr>
        <w:t>口</w:t>
      </w:r>
      <w:r>
        <w:rPr>
          <w:b w:val="0"/>
          <w:bCs w:val="0"/>
          <w:color w:val="000000"/>
          <w:spacing w:val="0"/>
          <w:w w:val="100"/>
          <w:position w:val="0"/>
          <w:sz w:val="20"/>
          <w:szCs w:val="20"/>
        </w:rPr>
        <w:t>适用</w:t>
      </w:r>
      <w:r>
        <w:rPr>
          <w:b w:val="0"/>
          <w:bCs w:val="0"/>
          <w:color w:val="000000"/>
          <w:spacing w:val="0"/>
          <w:w w:val="100"/>
          <w:position w:val="0"/>
          <w:sz w:val="20"/>
          <w:szCs w:val="20"/>
        </w:rPr>
        <w:t>寸</w:t>
      </w:r>
      <w:r>
        <w:rPr>
          <w:b w:val="0"/>
          <w:bCs w:val="0"/>
          <w:color w:val="000000"/>
          <w:spacing w:val="0"/>
          <w:w w:val="100"/>
          <w:position w:val="0"/>
          <w:sz w:val="20"/>
          <w:szCs w:val="20"/>
        </w:rPr>
        <w:t>不适用</w:t>
      </w:r>
      <w:bookmarkEnd w:id="312"/>
      <w:bookmarkEnd w:id="313"/>
      <w:bookmarkEnd w:id="314"/>
    </w:p>
    <w:p>
      <w:pPr>
        <w:pStyle w:val="Style16"/>
        <w:keepNext w:val="0"/>
        <w:keepLines w:val="0"/>
        <w:widowControl w:val="0"/>
        <w:shd w:val="clear" w:color="auto" w:fill="auto"/>
        <w:bidi w:val="0"/>
        <w:spacing w:before="0" w:after="300" w:line="313" w:lineRule="exact"/>
        <w:ind w:left="0" w:right="0" w:firstLine="440"/>
        <w:jc w:val="both"/>
        <w:sectPr>
          <w:headerReference w:type="default" r:id="rId21"/>
          <w:footerReference w:type="default" r:id="rId22"/>
          <w:footnotePr>
            <w:pos w:val="pageBottom"/>
            <w:numFmt w:val="decimal"/>
            <w:numRestart w:val="continuous"/>
          </w:footnotePr>
          <w:pgSz w:w="11900" w:h="16840"/>
          <w:pgMar w:top="1393" w:right="1044" w:bottom="1518" w:left="1074" w:header="0" w:footer="3" w:gutter="0"/>
          <w:cols w:space="720"/>
          <w:noEndnote/>
          <w:rtlGutter w:val="0"/>
          <w:docGrid w:linePitch="360"/>
        </w:sectPr>
      </w:pPr>
      <w:bookmarkStart w:id="315" w:name="bookmark315"/>
      <w:r>
        <w:rPr>
          <w:color w:val="000000"/>
          <w:spacing w:val="0"/>
          <w:w w:val="100"/>
          <w:position w:val="0"/>
        </w:rPr>
        <w:t>公司报告期无股权激励计划、员工持股计划或其他员工激励措施及其实施情况。</w:t>
      </w:r>
      <w:bookmarkEnd w:id="315"/>
    </w:p>
    <w:p>
      <w:pPr>
        <w:pStyle w:val="Style75"/>
        <w:keepNext w:val="0"/>
        <w:keepLines w:val="0"/>
        <w:widowControl w:val="0"/>
        <w:shd w:val="clear" w:color="auto" w:fill="auto"/>
        <w:tabs>
          <w:tab w:pos="7911" w:val="left"/>
        </w:tabs>
        <w:bidi w:val="0"/>
        <w:spacing w:before="0" w:after="340" w:line="240" w:lineRule="auto"/>
        <w:ind w:left="0" w:right="0" w:firstLine="0"/>
        <w:jc w:val="left"/>
        <w:rPr>
          <w:sz w:val="22"/>
          <w:szCs w:val="22"/>
        </w:rPr>
      </w:pPr>
      <w:bookmarkStart w:id="316" w:name="bookmark316"/>
      <w:r>
        <w:rPr>
          <w:color w:val="000000"/>
          <w:spacing w:val="0"/>
          <w:w w:val="100"/>
          <w:position w:val="0"/>
          <w:sz w:val="24"/>
          <w:szCs w:val="24"/>
        </w:rPr>
        <w:t>十六、重大关联交易</w:t>
        <w:tab/>
      </w:r>
      <w:r>
        <w:rPr>
          <w:b w:val="0"/>
          <w:bCs w:val="0"/>
          <w:color w:val="000000"/>
          <w:spacing w:val="0"/>
          <w:w w:val="100"/>
          <w:position w:val="0"/>
          <w:sz w:val="24"/>
          <w:szCs w:val="24"/>
        </w:rPr>
        <w:t>口</w:t>
      </w:r>
      <w:r>
        <w:rPr>
          <w:b w:val="0"/>
          <w:bCs w:val="0"/>
          <w:color w:val="000000"/>
          <w:spacing w:val="0"/>
          <w:w w:val="100"/>
          <w:position w:val="0"/>
          <w:sz w:val="22"/>
          <w:szCs w:val="22"/>
        </w:rPr>
        <w:t>适用</w:t>
      </w:r>
      <w:r>
        <w:rPr>
          <w:b w:val="0"/>
          <w:bCs w:val="0"/>
          <w:color w:val="000000"/>
          <w:spacing w:val="0"/>
          <w:w w:val="100"/>
          <w:position w:val="0"/>
          <w:sz w:val="24"/>
          <w:szCs w:val="24"/>
        </w:rPr>
        <w:t>寸</w:t>
      </w:r>
      <w:r>
        <w:rPr>
          <w:b w:val="0"/>
          <w:bCs w:val="0"/>
          <w:color w:val="000000"/>
          <w:spacing w:val="0"/>
          <w:w w:val="100"/>
          <w:position w:val="0"/>
          <w:sz w:val="22"/>
          <w:szCs w:val="22"/>
        </w:rPr>
        <w:t>不适用</w:t>
      </w:r>
      <w:bookmarkEnd w:id="316"/>
    </w:p>
    <w:p>
      <w:pPr>
        <w:pStyle w:val="Style29"/>
        <w:keepNext/>
        <w:keepLines/>
        <w:widowControl w:val="0"/>
        <w:shd w:val="clear" w:color="auto" w:fill="auto"/>
        <w:bidi w:val="0"/>
        <w:spacing w:before="0" w:after="340" w:line="240" w:lineRule="auto"/>
        <w:ind w:left="0" w:right="0" w:firstLine="440"/>
        <w:jc w:val="left"/>
        <w:rPr>
          <w:sz w:val="20"/>
          <w:szCs w:val="20"/>
        </w:rPr>
      </w:pPr>
      <w:bookmarkStart w:id="317" w:name="bookmark317"/>
      <w:bookmarkStart w:id="318" w:name="bookmark318"/>
      <w:bookmarkStart w:id="319" w:name="bookmark319"/>
      <w:bookmarkStart w:id="320" w:name="bookmark320"/>
      <w:r>
        <w:rPr>
          <w:b w:val="0"/>
          <w:bCs w:val="0"/>
          <w:color w:val="000000"/>
          <w:spacing w:val="0"/>
          <w:w w:val="100"/>
          <w:position w:val="0"/>
          <w:sz w:val="20"/>
          <w:szCs w:val="20"/>
        </w:rPr>
        <w:t>本集团报告期无重大关联交易。</w:t>
      </w:r>
      <w:bookmarkEnd w:id="317"/>
      <w:bookmarkEnd w:id="318"/>
      <w:bookmarkEnd w:id="319"/>
      <w:bookmarkEnd w:id="320"/>
    </w:p>
    <w:p>
      <w:pPr>
        <w:pStyle w:val="Style29"/>
        <w:keepNext/>
        <w:keepLines/>
        <w:widowControl w:val="0"/>
        <w:shd w:val="clear" w:color="auto" w:fill="auto"/>
        <w:bidi w:val="0"/>
        <w:spacing w:before="0" w:after="340" w:line="240" w:lineRule="auto"/>
        <w:ind w:left="0" w:right="0" w:firstLine="0"/>
        <w:jc w:val="left"/>
      </w:pPr>
      <w:bookmarkStart w:id="321" w:name="bookmark321"/>
      <w:bookmarkStart w:id="322" w:name="bookmark322"/>
      <w:bookmarkStart w:id="323" w:name="bookmark323"/>
      <w:bookmarkStart w:id="324" w:name="bookmark324"/>
      <w:r>
        <w:rPr>
          <w:color w:val="000000"/>
          <w:spacing w:val="0"/>
          <w:w w:val="100"/>
          <w:position w:val="0"/>
          <w:sz w:val="24"/>
          <w:szCs w:val="24"/>
        </w:rPr>
        <w:t>十七、重大合同及其履行情况</w:t>
      </w:r>
      <w:bookmarkEnd w:id="321"/>
      <w:bookmarkEnd w:id="322"/>
      <w:bookmarkEnd w:id="323"/>
      <w:bookmarkEnd w:id="324"/>
    </w:p>
    <w:p>
      <w:pPr>
        <w:pStyle w:val="Style37"/>
        <w:keepNext/>
        <w:keepLines/>
        <w:widowControl w:val="0"/>
        <w:shd w:val="clear" w:color="auto" w:fill="auto"/>
        <w:tabs>
          <w:tab w:pos="368" w:val="left"/>
        </w:tabs>
        <w:bidi w:val="0"/>
        <w:spacing w:before="0" w:after="340" w:line="240" w:lineRule="auto"/>
        <w:ind w:left="0" w:right="0" w:firstLine="0"/>
        <w:jc w:val="left"/>
      </w:pPr>
      <w:bookmarkStart w:id="325" w:name="bookmark325"/>
      <w:bookmarkStart w:id="326" w:name="bookmark326"/>
      <w:bookmarkStart w:id="327" w:name="bookmark327"/>
      <w:bookmarkStart w:id="328" w:name="bookmark328"/>
      <w:bookmarkStart w:id="329" w:name="bookmark329"/>
      <w:r>
        <w:rPr>
          <w:rFonts w:ascii="Times New Roman" w:eastAsia="Times New Roman" w:hAnsi="Times New Roman" w:cs="Times New Roman"/>
          <w:color w:val="000000"/>
          <w:spacing w:val="0"/>
          <w:w w:val="100"/>
          <w:position w:val="0"/>
        </w:rPr>
        <w:t>1</w:t>
      </w:r>
      <w:bookmarkEnd w:id="327"/>
      <w:r>
        <w:rPr>
          <w:color w:val="000000"/>
          <w:spacing w:val="0"/>
          <w:w w:val="100"/>
          <w:position w:val="0"/>
        </w:rPr>
        <w:t>、</w:t>
        <w:tab/>
        <w:t>托管、承包、租赁事项情况</w:t>
      </w:r>
      <w:bookmarkEnd w:id="325"/>
      <w:bookmarkEnd w:id="326"/>
      <w:bookmarkEnd w:id="328"/>
      <w:bookmarkEnd w:id="329"/>
    </w:p>
    <w:p>
      <w:pPr>
        <w:pStyle w:val="Style37"/>
        <w:keepNext/>
        <w:keepLines/>
        <w:widowControl w:val="0"/>
        <w:numPr>
          <w:ilvl w:val="0"/>
          <w:numId w:val="3"/>
        </w:numPr>
        <w:shd w:val="clear" w:color="auto" w:fill="auto"/>
        <w:tabs>
          <w:tab w:pos="493" w:val="left"/>
          <w:tab w:pos="7911" w:val="left"/>
        </w:tabs>
        <w:bidi w:val="0"/>
        <w:spacing w:before="0" w:after="340" w:line="240" w:lineRule="auto"/>
        <w:ind w:left="0" w:right="0" w:firstLine="0"/>
        <w:jc w:val="left"/>
      </w:pPr>
      <w:bookmarkStart w:id="325" w:name="bookmark325"/>
      <w:bookmarkStart w:id="326" w:name="bookmark326"/>
      <w:bookmarkStart w:id="330" w:name="bookmark330"/>
      <w:bookmarkStart w:id="331" w:name="bookmark331"/>
      <w:bookmarkStart w:id="332" w:name="bookmark332"/>
      <w:bookmarkEnd w:id="330"/>
      <w:r>
        <w:rPr>
          <w:color w:val="000000"/>
          <w:spacing w:val="0"/>
          <w:w w:val="100"/>
          <w:position w:val="0"/>
        </w:rPr>
        <w:t>托管情况</w:t>
        <w:tab/>
      </w:r>
      <w:r>
        <w:rPr>
          <w:b w:val="0"/>
          <w:bCs w:val="0"/>
          <w:color w:val="000000"/>
          <w:spacing w:val="0"/>
          <w:w w:val="100"/>
          <w:position w:val="0"/>
        </w:rPr>
        <w:t>口</w:t>
      </w:r>
      <w:r>
        <w:rPr>
          <w:b w:val="0"/>
          <w:bCs w:val="0"/>
          <w:color w:val="000000"/>
          <w:spacing w:val="0"/>
          <w:w w:val="100"/>
          <w:position w:val="0"/>
        </w:rPr>
        <w:t>适用</w:t>
      </w:r>
      <w:r>
        <w:rPr>
          <w:b w:val="0"/>
          <w:bCs w:val="0"/>
          <w:color w:val="000000"/>
          <w:spacing w:val="0"/>
          <w:w w:val="100"/>
          <w:position w:val="0"/>
        </w:rPr>
        <w:t>寸</w:t>
      </w:r>
      <w:r>
        <w:rPr>
          <w:b w:val="0"/>
          <w:bCs w:val="0"/>
          <w:color w:val="000000"/>
          <w:spacing w:val="0"/>
          <w:w w:val="100"/>
          <w:position w:val="0"/>
        </w:rPr>
        <w:t>不适用</w:t>
      </w:r>
      <w:bookmarkEnd w:id="325"/>
      <w:bookmarkEnd w:id="326"/>
      <w:bookmarkEnd w:id="331"/>
      <w:bookmarkEnd w:id="332"/>
    </w:p>
    <w:p>
      <w:pPr>
        <w:pStyle w:val="Style16"/>
        <w:keepNext w:val="0"/>
        <w:keepLines w:val="0"/>
        <w:widowControl w:val="0"/>
        <w:shd w:val="clear" w:color="auto" w:fill="auto"/>
        <w:bidi w:val="0"/>
        <w:spacing w:before="0" w:after="340" w:line="240" w:lineRule="auto"/>
        <w:ind w:left="0" w:right="0" w:firstLine="440"/>
        <w:jc w:val="left"/>
      </w:pPr>
      <w:bookmarkStart w:id="333" w:name="bookmark333"/>
      <w:r>
        <w:rPr>
          <w:color w:val="000000"/>
          <w:spacing w:val="0"/>
          <w:w w:val="100"/>
          <w:position w:val="0"/>
        </w:rPr>
        <w:t>报告期本集团未发生也不存在以前期间发生但延续到报告期的重大托管事项。</w:t>
      </w:r>
      <w:bookmarkEnd w:id="333"/>
    </w:p>
    <w:p>
      <w:pPr>
        <w:pStyle w:val="Style16"/>
        <w:keepNext w:val="0"/>
        <w:keepLines w:val="0"/>
        <w:widowControl w:val="0"/>
        <w:numPr>
          <w:ilvl w:val="0"/>
          <w:numId w:val="3"/>
        </w:numPr>
        <w:shd w:val="clear" w:color="auto" w:fill="auto"/>
        <w:tabs>
          <w:tab w:pos="493" w:val="left"/>
          <w:tab w:pos="7911" w:val="left"/>
        </w:tabs>
        <w:bidi w:val="0"/>
        <w:spacing w:before="0" w:after="340" w:line="240" w:lineRule="auto"/>
        <w:ind w:left="0" w:right="0" w:firstLine="0"/>
        <w:jc w:val="left"/>
      </w:pPr>
      <w:bookmarkStart w:id="334" w:name="bookmark334"/>
      <w:bookmarkStart w:id="335" w:name="bookmark335"/>
      <w:bookmarkStart w:id="336" w:name="bookmark336"/>
      <w:bookmarkEnd w:id="334"/>
      <w:r>
        <w:rPr>
          <w:b/>
          <w:bCs/>
          <w:color w:val="000000"/>
          <w:spacing w:val="0"/>
          <w:w w:val="100"/>
          <w:position w:val="0"/>
        </w:rPr>
        <w:t>承包情况</w:t>
        <w:tab/>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bookmarkEnd w:id="335"/>
      <w:bookmarkEnd w:id="336"/>
    </w:p>
    <w:p>
      <w:pPr>
        <w:pStyle w:val="Style16"/>
        <w:keepNext w:val="0"/>
        <w:keepLines w:val="0"/>
        <w:widowControl w:val="0"/>
        <w:shd w:val="clear" w:color="auto" w:fill="auto"/>
        <w:bidi w:val="0"/>
        <w:spacing w:before="0" w:after="340" w:line="240" w:lineRule="auto"/>
        <w:ind w:left="0" w:right="0" w:firstLine="440"/>
        <w:jc w:val="left"/>
      </w:pPr>
      <w:bookmarkStart w:id="337" w:name="bookmark337"/>
      <w:bookmarkStart w:id="338" w:name="bookmark338"/>
      <w:r>
        <w:rPr>
          <w:color w:val="000000"/>
          <w:spacing w:val="0"/>
          <w:w w:val="100"/>
          <w:position w:val="0"/>
        </w:rPr>
        <w:t>报告期本集团未发生也不存在以前期间发生但延续到报告期的重大承包事项。</w:t>
      </w:r>
      <w:bookmarkEnd w:id="337"/>
      <w:bookmarkEnd w:id="338"/>
    </w:p>
    <w:p>
      <w:pPr>
        <w:pStyle w:val="Style16"/>
        <w:keepNext w:val="0"/>
        <w:keepLines w:val="0"/>
        <w:widowControl w:val="0"/>
        <w:numPr>
          <w:ilvl w:val="0"/>
          <w:numId w:val="3"/>
        </w:numPr>
        <w:shd w:val="clear" w:color="auto" w:fill="auto"/>
        <w:tabs>
          <w:tab w:pos="493" w:val="left"/>
          <w:tab w:pos="7911" w:val="left"/>
        </w:tabs>
        <w:bidi w:val="0"/>
        <w:spacing w:before="0" w:after="340" w:line="240" w:lineRule="auto"/>
        <w:ind w:left="0" w:right="0" w:firstLine="0"/>
        <w:jc w:val="left"/>
      </w:pPr>
      <w:bookmarkStart w:id="339" w:name="bookmark339"/>
      <w:bookmarkStart w:id="340" w:name="bookmark340"/>
      <w:bookmarkStart w:id="341" w:name="bookmark341"/>
      <w:bookmarkEnd w:id="339"/>
      <w:r>
        <w:rPr>
          <w:b/>
          <w:bCs/>
          <w:color w:val="000000"/>
          <w:spacing w:val="0"/>
          <w:w w:val="100"/>
          <w:position w:val="0"/>
        </w:rPr>
        <w:t>租赁情况</w:t>
        <w:tab/>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bookmarkEnd w:id="340"/>
      <w:bookmarkEnd w:id="341"/>
    </w:p>
    <w:p>
      <w:pPr>
        <w:pStyle w:val="Style16"/>
        <w:keepNext w:val="0"/>
        <w:keepLines w:val="0"/>
        <w:widowControl w:val="0"/>
        <w:shd w:val="clear" w:color="auto" w:fill="auto"/>
        <w:bidi w:val="0"/>
        <w:spacing w:before="0" w:after="340" w:line="240" w:lineRule="auto"/>
        <w:ind w:left="0" w:right="0" w:firstLine="440"/>
        <w:jc w:val="left"/>
      </w:pPr>
      <w:bookmarkStart w:id="342" w:name="bookmark342"/>
      <w:bookmarkStart w:id="343" w:name="bookmark343"/>
      <w:r>
        <w:rPr>
          <w:color w:val="000000"/>
          <w:spacing w:val="0"/>
          <w:w w:val="100"/>
          <w:position w:val="0"/>
        </w:rPr>
        <w:t>报告期本集团未发生也不存在以前期间发生但延续到报告期的重大租赁事项。</w:t>
      </w:r>
      <w:bookmarkEnd w:id="342"/>
      <w:bookmarkEnd w:id="343"/>
    </w:p>
    <w:p>
      <w:pPr>
        <w:pStyle w:val="Style16"/>
        <w:keepNext w:val="0"/>
        <w:keepLines w:val="0"/>
        <w:widowControl w:val="0"/>
        <w:shd w:val="clear" w:color="auto" w:fill="auto"/>
        <w:tabs>
          <w:tab w:pos="378" w:val="left"/>
          <w:tab w:pos="7911" w:val="left"/>
        </w:tabs>
        <w:bidi w:val="0"/>
        <w:spacing w:before="0" w:after="340" w:line="240" w:lineRule="auto"/>
        <w:ind w:left="0" w:right="0" w:firstLine="0"/>
        <w:jc w:val="left"/>
      </w:pPr>
      <w:bookmarkStart w:id="344" w:name="bookmark344"/>
      <w:bookmarkStart w:id="345" w:name="bookmark345"/>
      <w:bookmarkStart w:id="346" w:name="bookmark346"/>
      <w:r>
        <w:rPr>
          <w:rFonts w:ascii="Times New Roman" w:eastAsia="Times New Roman" w:hAnsi="Times New Roman" w:cs="Times New Roman"/>
          <w:b/>
          <w:bCs/>
          <w:color w:val="000000"/>
          <w:spacing w:val="0"/>
          <w:w w:val="100"/>
          <w:position w:val="0"/>
        </w:rPr>
        <w:t>2</w:t>
      </w:r>
      <w:bookmarkEnd w:id="344"/>
      <w:r>
        <w:rPr>
          <w:b/>
          <w:bCs/>
          <w:color w:val="000000"/>
          <w:spacing w:val="0"/>
          <w:w w:val="100"/>
          <w:position w:val="0"/>
        </w:rPr>
        <w:t>、</w:t>
        <w:tab/>
        <w:t>重大担保</w:t>
        <w:tab/>
      </w: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bookmarkEnd w:id="345"/>
      <w:bookmarkEnd w:id="346"/>
    </w:p>
    <w:p>
      <w:pPr>
        <w:pStyle w:val="Style51"/>
        <w:keepNext/>
        <w:keepLines/>
        <w:widowControl w:val="0"/>
        <w:numPr>
          <w:ilvl w:val="0"/>
          <w:numId w:val="5"/>
        </w:numPr>
        <w:shd w:val="clear" w:color="auto" w:fill="auto"/>
        <w:bidi w:val="0"/>
        <w:spacing w:before="0" w:after="340" w:line="240" w:lineRule="auto"/>
        <w:ind w:left="0" w:right="0" w:firstLine="0"/>
        <w:jc w:val="left"/>
      </w:pPr>
      <w:bookmarkStart w:id="347" w:name="bookmark347"/>
      <w:bookmarkStart w:id="348" w:name="bookmark348"/>
      <w:bookmarkStart w:id="349" w:name="bookmark349"/>
      <w:bookmarkStart w:id="350" w:name="bookmark350"/>
      <w:bookmarkStart w:id="351" w:name="bookmark351"/>
      <w:bookmarkStart w:id="352" w:name="bookmark352"/>
      <w:bookmarkEnd w:id="349"/>
      <w:r>
        <w:rPr>
          <w:color w:val="000000"/>
          <w:spacing w:val="0"/>
          <w:w w:val="100"/>
          <w:position w:val="0"/>
        </w:rPr>
        <w:t>担保情况</w:t>
      </w:r>
      <w:bookmarkEnd w:id="347"/>
      <w:bookmarkEnd w:id="348"/>
      <w:bookmarkEnd w:id="350"/>
      <w:bookmarkEnd w:id="351"/>
      <w:bookmarkEnd w:id="352"/>
    </w:p>
    <w:p>
      <w:pPr>
        <w:pStyle w:val="Style4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单位：万元</w:t>
      </w:r>
    </w:p>
    <w:tbl>
      <w:tblPr>
        <w:tblOverlap w:val="never"/>
        <w:jc w:val="center"/>
        <w:tblLayout w:type="fixed"/>
      </w:tblPr>
      <w:tblGrid>
        <w:gridCol w:w="1392"/>
        <w:gridCol w:w="1243"/>
        <w:gridCol w:w="739"/>
        <w:gridCol w:w="1133"/>
        <w:gridCol w:w="994"/>
        <w:gridCol w:w="850"/>
        <w:gridCol w:w="1843"/>
        <w:gridCol w:w="600"/>
        <w:gridCol w:w="792"/>
      </w:tblGrid>
      <w:tr>
        <w:trPr>
          <w:trHeight w:val="408" w:hRule="exact"/>
        </w:trPr>
        <w:tc>
          <w:tcPr>
            <w:gridSpan w:val="9"/>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公司及其子公司对外担保情况(不包括对子公司的担保)</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担保对象名称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担保额度相 关公告披露 日期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担保额 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实际发生日 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实际担保 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担保类 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是否 履行 完毕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是否为 关联方 担保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_</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_</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_</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_</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_</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_</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_</w:t>
            </w:r>
          </w:p>
        </w:tc>
      </w:tr>
      <w:tr>
        <w:trPr>
          <w:trHeight w:val="403" w:hRule="exact"/>
        </w:trPr>
        <w:tc>
          <w:tcPr>
            <w:gridSpan w:val="9"/>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公司对子公司的担保情况</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担保对象名称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担保额度相 关公告披露 日期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3" w:lineRule="exact"/>
              <w:ind w:left="0" w:right="0" w:firstLine="0"/>
              <w:jc w:val="center"/>
            </w:pPr>
            <w:r>
              <w:rPr>
                <w:color w:val="000000"/>
                <w:spacing w:val="0"/>
                <w:w w:val="100"/>
                <w:position w:val="0"/>
              </w:rPr>
              <w:t>担保额 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实际发生日 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 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担保类 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是否 履行 完毕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是否为 关联方 担保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_</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_</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_</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_</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_</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_</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_</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_</w:t>
            </w:r>
          </w:p>
        </w:tc>
      </w:tr>
      <w:tr>
        <w:trPr>
          <w:trHeight w:val="398" w:hRule="exact"/>
        </w:trPr>
        <w:tc>
          <w:tcPr>
            <w:gridSpan w:val="9"/>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子公司对子公司的担保情况</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担保对象名称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担保额度相 关公告披露 日期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担保</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额度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实际发生日 期(协议签</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署日)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 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220"/>
              <w:jc w:val="left"/>
            </w:pPr>
            <w:r>
              <w:rPr>
                <w:color w:val="000000"/>
                <w:spacing w:val="0"/>
                <w:w w:val="100"/>
                <w:position w:val="0"/>
              </w:rPr>
              <w:t>担保</w:t>
            </w:r>
          </w:p>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类型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是否 履行 完毕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是否为 关联方 担保</w:t>
            </w:r>
          </w:p>
        </w:tc>
      </w:tr>
      <w:tr>
        <w:trPr>
          <w:trHeight w:val="76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国盛证券资产 管理有限公司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一般</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392"/>
        <w:gridCol w:w="1243"/>
        <w:gridCol w:w="739"/>
        <w:gridCol w:w="1133"/>
        <w:gridCol w:w="994"/>
        <w:gridCol w:w="850"/>
        <w:gridCol w:w="1843"/>
        <w:gridCol w:w="595"/>
        <w:gridCol w:w="797"/>
      </w:tblGrid>
      <w:tr>
        <w:trPr>
          <w:trHeight w:val="7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国盛证券资产 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一般</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报告期内审批对子公司担保 额度合计</w:t>
            </w:r>
            <w:r>
              <w:rPr>
                <w:color w:val="000000"/>
                <w:spacing w:val="0"/>
                <w:w w:val="100"/>
                <w:position w:val="0"/>
              </w:rPr>
              <w:t>（</w:t>
            </w:r>
            <w:r>
              <w:rPr>
                <w:rFonts w:ascii="Times New Roman" w:eastAsia="Times New Roman" w:hAnsi="Times New Roman" w:cs="Times New Roman"/>
                <w:color w:val="000000"/>
                <w:spacing w:val="0"/>
                <w:w w:val="100"/>
                <w:position w:val="0"/>
              </w:rPr>
              <w:t>C1</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20,000</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报告期内对子公司担保实际发生额合计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C2</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20,000</w:t>
            </w: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报告期末已审批的对子公司</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担保额度合计（</w:t>
            </w:r>
            <w:r>
              <w:rPr>
                <w:rFonts w:ascii="Times New Roman" w:eastAsia="Times New Roman" w:hAnsi="Times New Roman" w:cs="Times New Roman"/>
                <w:color w:val="000000"/>
                <w:spacing w:val="0"/>
                <w:w w:val="100"/>
                <w:position w:val="0"/>
              </w:rPr>
              <w:t>C3</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20,000</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报告期末对子公司实际担保余额合计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C4</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20,000</w:t>
            </w:r>
          </w:p>
        </w:tc>
      </w:tr>
      <w:tr>
        <w:trPr>
          <w:trHeight w:val="398" w:hRule="exact"/>
        </w:trPr>
        <w:tc>
          <w:tcPr>
            <w:gridSpan w:val="9"/>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公司担保总额（即前三大项的合计）</w:t>
            </w: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报告期内审批担保额度合计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A1+B1+C1</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20,000</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报告期内担保实际发生额合计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A2+B2+C2</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20,000</w:t>
            </w: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报告期末已审批的担保额度 合计（</w:t>
            </w:r>
            <w:r>
              <w:rPr>
                <w:rFonts w:ascii="Times New Roman" w:eastAsia="Times New Roman" w:hAnsi="Times New Roman" w:cs="Times New Roman"/>
                <w:color w:val="000000"/>
                <w:spacing w:val="0"/>
                <w:w w:val="100"/>
                <w:position w:val="0"/>
              </w:rPr>
              <w:t>A3+B3+C3</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20,000</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报告期末实际担保余额合计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A4+B4+C4</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20,000</w:t>
            </w:r>
          </w:p>
        </w:tc>
      </w:tr>
      <w:tr>
        <w:trPr>
          <w:trHeight w:val="403" w:hRule="exact"/>
        </w:trPr>
        <w:tc>
          <w:tcPr>
            <w:gridSpan w:val="7"/>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实际担保总额（即</w:t>
            </w:r>
            <w:r>
              <w:rPr>
                <w:rFonts w:ascii="Times New Roman" w:eastAsia="Times New Roman" w:hAnsi="Times New Roman" w:cs="Times New Roman"/>
                <w:color w:val="000000"/>
                <w:spacing w:val="0"/>
                <w:w w:val="100"/>
                <w:position w:val="0"/>
              </w:rPr>
              <w:t>A4+B4+C4</w:t>
            </w:r>
            <w:r>
              <w:rPr>
                <w:color w:val="000000"/>
                <w:spacing w:val="0"/>
                <w:w w:val="100"/>
                <w:position w:val="0"/>
              </w:rPr>
              <w:t>）</w:t>
            </w:r>
            <w:r>
              <w:rPr>
                <w:color w:val="000000"/>
                <w:spacing w:val="0"/>
                <w:w w:val="100"/>
                <w:position w:val="0"/>
              </w:rPr>
              <w:t>占公司净资产的比例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w:t>
            </w:r>
          </w:p>
        </w:tc>
      </w:tr>
      <w:tr>
        <w:trPr>
          <w:trHeight w:val="398" w:hRule="exact"/>
        </w:trPr>
        <w:tc>
          <w:tcPr>
            <w:gridSpan w:val="9"/>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403" w:hRule="exact"/>
        </w:trPr>
        <w:tc>
          <w:tcPr>
            <w:gridSpan w:val="7"/>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为股东、实际控制人及其关联方提供担保的余额</w:t>
            </w:r>
            <w:r>
              <w:rPr>
                <w:color w:val="000000"/>
                <w:spacing w:val="0"/>
                <w:w w:val="100"/>
                <w:position w:val="0"/>
              </w:rPr>
              <w:t>（</w:t>
            </w:r>
            <w:r>
              <w:rPr>
                <w:rFonts w:ascii="Times New Roman" w:eastAsia="Times New Roman" w:hAnsi="Times New Roman" w:cs="Times New Roman"/>
                <w:color w:val="000000"/>
                <w:spacing w:val="0"/>
                <w:w w:val="100"/>
                <w:position w:val="0"/>
              </w:rPr>
              <w:t>D</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0</w:t>
            </w:r>
          </w:p>
        </w:tc>
      </w:tr>
      <w:tr>
        <w:trPr>
          <w:trHeight w:val="403" w:hRule="exact"/>
        </w:trPr>
        <w:tc>
          <w:tcPr>
            <w:gridSpan w:val="7"/>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直接或间接为资产负债率超过</w:t>
            </w:r>
            <w:r>
              <w:rPr>
                <w:rFonts w:ascii="Times New Roman" w:eastAsia="Times New Roman" w:hAnsi="Times New Roman" w:cs="Times New Roman"/>
                <w:color w:val="000000"/>
                <w:spacing w:val="0"/>
                <w:w w:val="100"/>
                <w:position w:val="0"/>
              </w:rPr>
              <w:t>70%</w:t>
            </w:r>
            <w:r>
              <w:rPr>
                <w:color w:val="000000"/>
                <w:spacing w:val="0"/>
                <w:w w:val="100"/>
                <w:position w:val="0"/>
              </w:rPr>
              <w:t>的被担保对象提供的债务担保余额</w:t>
            </w:r>
            <w:r>
              <w:rPr>
                <w:color w:val="000000"/>
                <w:spacing w:val="0"/>
                <w:w w:val="100"/>
                <w:position w:val="0"/>
              </w:rPr>
              <w:t>（</w:t>
            </w:r>
            <w:r>
              <w:rPr>
                <w:rFonts w:ascii="Times New Roman" w:eastAsia="Times New Roman" w:hAnsi="Times New Roman" w:cs="Times New Roman"/>
                <w:color w:val="000000"/>
                <w:spacing w:val="0"/>
                <w:w w:val="100"/>
                <w:position w:val="0"/>
              </w:rPr>
              <w:t>E</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0</w:t>
            </w:r>
          </w:p>
        </w:tc>
      </w:tr>
      <w:tr>
        <w:trPr>
          <w:trHeight w:val="403" w:hRule="exact"/>
        </w:trPr>
        <w:tc>
          <w:tcPr>
            <w:gridSpan w:val="7"/>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担保总额超过净资产</w:t>
            </w:r>
            <w:r>
              <w:rPr>
                <w:rFonts w:ascii="Times New Roman" w:eastAsia="Times New Roman" w:hAnsi="Times New Roman" w:cs="Times New Roman"/>
                <w:color w:val="000000"/>
                <w:spacing w:val="0"/>
                <w:w w:val="100"/>
                <w:position w:val="0"/>
              </w:rPr>
              <w:t>50%</w:t>
            </w:r>
            <w:r>
              <w:rPr>
                <w:color w:val="000000"/>
                <w:spacing w:val="0"/>
                <w:w w:val="100"/>
                <w:position w:val="0"/>
              </w:rPr>
              <w:t>部分的金额</w:t>
            </w:r>
            <w:r>
              <w:rPr>
                <w:color w:val="000000"/>
                <w:spacing w:val="0"/>
                <w:w w:val="100"/>
                <w:position w:val="0"/>
              </w:rPr>
              <w:t>（</w:t>
            </w:r>
            <w:r>
              <w:rPr>
                <w:rFonts w:ascii="Times New Roman" w:eastAsia="Times New Roman" w:hAnsi="Times New Roman" w:cs="Times New Roman"/>
                <w:color w:val="000000"/>
                <w:spacing w:val="0"/>
                <w:w w:val="100"/>
                <w:position w:val="0"/>
              </w:rPr>
              <w:t>F</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0</w:t>
            </w:r>
          </w:p>
        </w:tc>
      </w:tr>
      <w:tr>
        <w:trPr>
          <w:trHeight w:val="398" w:hRule="exact"/>
        </w:trPr>
        <w:tc>
          <w:tcPr>
            <w:gridSpan w:val="7"/>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上述三项担保金额合计（</w:t>
            </w:r>
            <w:r>
              <w:rPr>
                <w:rFonts w:ascii="Times New Roman" w:eastAsia="Times New Roman" w:hAnsi="Times New Roman" w:cs="Times New Roman"/>
                <w:color w:val="000000"/>
                <w:spacing w:val="0"/>
                <w:w w:val="100"/>
                <w:position w:val="0"/>
              </w:rPr>
              <w:t>D+E+F</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0</w:t>
            </w:r>
          </w:p>
        </w:tc>
      </w:tr>
      <w:tr>
        <w:trPr>
          <w:trHeight w:val="403" w:hRule="exact"/>
        </w:trPr>
        <w:tc>
          <w:tcPr>
            <w:gridSpan w:val="7"/>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未到期担保可能承担连带清偿责任说明</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无</w:t>
            </w:r>
          </w:p>
        </w:tc>
      </w:tr>
      <w:tr>
        <w:trPr>
          <w:trHeight w:val="413" w:hRule="exact"/>
        </w:trPr>
        <w:tc>
          <w:tcPr>
            <w:gridSpan w:val="7"/>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违反规定程序对外提供担保的说明</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无</w:t>
            </w:r>
          </w:p>
        </w:tc>
      </w:tr>
    </w:tbl>
    <w:p>
      <w:pPr>
        <w:pStyle w:val="Style40"/>
        <w:keepNext w:val="0"/>
        <w:keepLines w:val="0"/>
        <w:widowControl w:val="0"/>
        <w:shd w:val="clear" w:color="auto" w:fill="auto"/>
        <w:tabs>
          <w:tab w:pos="7862" w:val="left"/>
        </w:tabs>
        <w:bidi w:val="0"/>
        <w:spacing w:before="0" w:after="0" w:line="240" w:lineRule="auto"/>
        <w:ind w:left="0" w:right="0" w:firstLine="0"/>
        <w:jc w:val="center"/>
      </w:pPr>
      <w:bookmarkStart w:id="353" w:name="bookmark353"/>
      <w:r>
        <w:rPr>
          <w:rFonts w:ascii="Times New Roman" w:eastAsia="Times New Roman" w:hAnsi="Times New Roman" w:cs="Times New Roman"/>
          <w:b/>
          <w:bCs/>
          <w:color w:val="000000"/>
          <w:spacing w:val="0"/>
          <w:w w:val="100"/>
          <w:position w:val="0"/>
        </w:rPr>
        <w:t>（2</w:t>
      </w:r>
      <w:r>
        <w:rPr>
          <w:b/>
          <w:bCs/>
          <w:color w:val="000000"/>
          <w:spacing w:val="0"/>
          <w:w w:val="100"/>
          <w:position w:val="0"/>
        </w:rPr>
        <w:t>）违规对外担保情况</w:t>
        <w:tab/>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bookmarkEnd w:id="353"/>
    </w:p>
    <w:p>
      <w:pPr>
        <w:widowControl w:val="0"/>
        <w:spacing w:after="359" w:line="1" w:lineRule="exact"/>
      </w:pPr>
    </w:p>
    <w:p>
      <w:pPr>
        <w:pStyle w:val="Style16"/>
        <w:keepNext w:val="0"/>
        <w:keepLines w:val="0"/>
        <w:widowControl w:val="0"/>
        <w:shd w:val="clear" w:color="auto" w:fill="auto"/>
        <w:bidi w:val="0"/>
        <w:spacing w:before="0" w:after="360" w:line="240" w:lineRule="auto"/>
        <w:ind w:left="0" w:right="0" w:firstLine="440"/>
        <w:jc w:val="left"/>
      </w:pPr>
      <w:r>
        <w:rPr>
          <w:color w:val="000000"/>
          <w:spacing w:val="0"/>
          <w:w w:val="100"/>
          <w:position w:val="0"/>
        </w:rPr>
        <w:t>报告期本集团无违规对外担保情况。</w:t>
      </w:r>
    </w:p>
    <w:p>
      <w:pPr>
        <w:pStyle w:val="Style37"/>
        <w:keepNext/>
        <w:keepLines/>
        <w:widowControl w:val="0"/>
        <w:shd w:val="clear" w:color="auto" w:fill="auto"/>
        <w:bidi w:val="0"/>
        <w:spacing w:before="0" w:after="360" w:line="240" w:lineRule="auto"/>
        <w:ind w:left="0" w:right="0" w:firstLine="0"/>
        <w:jc w:val="left"/>
      </w:pPr>
      <w:bookmarkStart w:id="354" w:name="bookmark354"/>
      <w:bookmarkStart w:id="355" w:name="bookmark355"/>
      <w:bookmarkStart w:id="356" w:name="bookmark356"/>
      <w:bookmarkStart w:id="357" w:name="bookmark357"/>
      <w:r>
        <w:rPr>
          <w:rFonts w:ascii="Times New Roman" w:eastAsia="Times New Roman" w:hAnsi="Times New Roman" w:cs="Times New Roman"/>
          <w:color w:val="000000"/>
          <w:spacing w:val="0"/>
          <w:w w:val="100"/>
          <w:position w:val="0"/>
        </w:rPr>
        <w:t>3</w:t>
      </w:r>
      <w:bookmarkEnd w:id="356"/>
      <w:r>
        <w:rPr>
          <w:color w:val="000000"/>
          <w:spacing w:val="0"/>
          <w:w w:val="100"/>
          <w:position w:val="0"/>
        </w:rPr>
        <w:t>、委托他人进行现金资产管理情况</w:t>
      </w:r>
      <w:bookmarkEnd w:id="354"/>
      <w:bookmarkEnd w:id="355"/>
      <w:bookmarkEnd w:id="357"/>
    </w:p>
    <w:p>
      <w:pPr>
        <w:pStyle w:val="Style37"/>
        <w:keepNext/>
        <w:keepLines/>
        <w:widowControl w:val="0"/>
        <w:shd w:val="clear" w:color="auto" w:fill="auto"/>
        <w:tabs>
          <w:tab w:pos="7891" w:val="left"/>
        </w:tabs>
        <w:bidi w:val="0"/>
        <w:spacing w:before="0" w:after="360" w:line="240" w:lineRule="auto"/>
        <w:ind w:left="0" w:right="0" w:firstLine="0"/>
        <w:jc w:val="left"/>
      </w:pPr>
      <w:bookmarkStart w:id="354" w:name="bookmark354"/>
      <w:bookmarkStart w:id="355" w:name="bookmark355"/>
      <w:bookmarkStart w:id="358" w:name="bookmark35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）委托理财情况</w:t>
        <w:tab/>
      </w:r>
      <w:r>
        <w:rPr>
          <w:b w:val="0"/>
          <w:bCs w:val="0"/>
          <w:color w:val="000000"/>
          <w:spacing w:val="0"/>
          <w:w w:val="100"/>
          <w:position w:val="0"/>
        </w:rPr>
        <w:t>寸</w:t>
      </w:r>
      <w:r>
        <w:rPr>
          <w:b w:val="0"/>
          <w:bCs w:val="0"/>
          <w:color w:val="000000"/>
          <w:spacing w:val="0"/>
          <w:w w:val="100"/>
          <w:position w:val="0"/>
        </w:rPr>
        <w:t>适用</w:t>
      </w:r>
      <w:r>
        <w:rPr>
          <w:b w:val="0"/>
          <w:bCs w:val="0"/>
          <w:color w:val="000000"/>
          <w:spacing w:val="0"/>
          <w:w w:val="100"/>
          <w:position w:val="0"/>
        </w:rPr>
        <w:t>口</w:t>
      </w:r>
      <w:r>
        <w:rPr>
          <w:b w:val="0"/>
          <w:bCs w:val="0"/>
          <w:color w:val="000000"/>
          <w:spacing w:val="0"/>
          <w:w w:val="100"/>
          <w:position w:val="0"/>
        </w:rPr>
        <w:t>不适用</w:t>
      </w:r>
      <w:bookmarkEnd w:id="354"/>
      <w:bookmarkEnd w:id="355"/>
      <w:bookmarkEnd w:id="358"/>
    </w:p>
    <w:p>
      <w:pPr>
        <w:pStyle w:val="Style16"/>
        <w:keepNext w:val="0"/>
        <w:keepLines w:val="0"/>
        <w:widowControl w:val="0"/>
        <w:shd w:val="clear" w:color="auto" w:fill="auto"/>
        <w:bidi w:val="0"/>
        <w:spacing w:before="0" w:after="100" w:line="240" w:lineRule="auto"/>
        <w:ind w:left="0" w:right="0" w:firstLine="0"/>
        <w:jc w:val="left"/>
      </w:pPr>
      <w:bookmarkStart w:id="359" w:name="bookmark359"/>
      <w:r>
        <w:rPr>
          <w:color w:val="000000"/>
          <w:spacing w:val="0"/>
          <w:w w:val="100"/>
          <w:position w:val="0"/>
        </w:rPr>
        <w:t>报告期内委托理财概况</w:t>
      </w:r>
      <w:bookmarkEnd w:id="359"/>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872"/>
        <w:gridCol w:w="1963"/>
        <w:gridCol w:w="1982"/>
        <w:gridCol w:w="1906"/>
        <w:gridCol w:w="1858"/>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具体类型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委托理财的资金来源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委托理财发生额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未到期余额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逾期未收回的金额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信托理财产品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29,713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21,379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29,813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8,434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21,379</w:t>
            </w:r>
          </w:p>
        </w:tc>
      </w:tr>
    </w:tbl>
    <w:p>
      <w:pPr>
        <w:pStyle w:val="Style40"/>
        <w:keepNext w:val="0"/>
        <w:keepLines w:val="0"/>
        <w:widowControl w:val="0"/>
        <w:shd w:val="clear" w:color="auto" w:fill="auto"/>
        <w:bidi w:val="0"/>
        <w:spacing w:before="0" w:after="0" w:line="312" w:lineRule="exact"/>
        <w:ind w:left="0" w:right="0" w:firstLine="0"/>
        <w:jc w:val="left"/>
        <w:sectPr>
          <w:footnotePr>
            <w:pos w:val="pageBottom"/>
            <w:numFmt w:val="decimal"/>
            <w:numRestart w:val="continuous"/>
          </w:footnotePr>
          <w:pgSz w:w="11900" w:h="16840"/>
          <w:pgMar w:top="1441" w:right="1102" w:bottom="2036" w:left="1107" w:header="0" w:footer="3" w:gutter="0"/>
          <w:cols w:space="720"/>
          <w:noEndnote/>
          <w:rtlGutter w:val="0"/>
          <w:docGrid w:linePitch="360"/>
        </w:sectPr>
      </w:pPr>
      <w:r>
        <w:rPr>
          <w:color w:val="000000"/>
          <w:spacing w:val="0"/>
          <w:w w:val="100"/>
          <w:position w:val="0"/>
        </w:rPr>
        <w:t>注：本表中按类别披露的委托理财发生额，指报告期该类委托理财单日最高余额，即报告期单日该类委托 理财未到期余额合计数的最大值。</w:t>
      </w:r>
    </w:p>
    <w:p>
      <w:pPr>
        <w:pStyle w:val="Style16"/>
        <w:keepNext w:val="0"/>
        <w:keepLines w:val="0"/>
        <w:widowControl w:val="0"/>
        <w:shd w:val="clear" w:color="auto" w:fill="auto"/>
        <w:bidi w:val="0"/>
        <w:spacing w:before="0" w:after="80" w:line="353" w:lineRule="exact"/>
        <w:ind w:left="140" w:right="0" w:firstLine="9920"/>
        <w:jc w:val="left"/>
      </w:pPr>
      <w:r>
        <w:rPr>
          <w:color w:val="000000"/>
          <w:spacing w:val="0"/>
          <w:w w:val="100"/>
          <w:position w:val="0"/>
          <w:sz w:val="18"/>
          <w:szCs w:val="18"/>
          <w:u w:val="single"/>
        </w:rPr>
        <w:t>国盛金融控股集团股份有限公司</w:t>
      </w:r>
      <w:r>
        <w:rPr>
          <w:rFonts w:ascii="Times New Roman" w:eastAsia="Times New Roman" w:hAnsi="Times New Roman" w:cs="Times New Roman"/>
          <w:color w:val="000000"/>
          <w:spacing w:val="0"/>
          <w:w w:val="100"/>
          <w:position w:val="0"/>
          <w:sz w:val="18"/>
          <w:szCs w:val="18"/>
          <w:u w:val="single"/>
        </w:rPr>
        <w:t>2020</w:t>
      </w:r>
      <w:r>
        <w:rPr>
          <w:color w:val="000000"/>
          <w:spacing w:val="0"/>
          <w:w w:val="100"/>
          <w:position w:val="0"/>
          <w:sz w:val="18"/>
          <w:szCs w:val="18"/>
          <w:u w:val="single"/>
        </w:rPr>
        <w:t xml:space="preserve">年度报告全文 </w:t>
      </w:r>
      <w:r>
        <w:rPr>
          <w:color w:val="000000"/>
          <w:spacing w:val="0"/>
          <w:w w:val="100"/>
          <w:position w:val="0"/>
        </w:rPr>
        <w:t xml:space="preserve">单项金额重大或安全性较低、流动性较差、不保本的高风险委托理财具体情况 </w:t>
      </w: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6"/>
        <w:keepNext w:val="0"/>
        <w:keepLines w:val="0"/>
        <w:widowControl w:val="0"/>
        <w:shd w:val="clear" w:color="auto" w:fill="auto"/>
        <w:bidi w:val="0"/>
        <w:spacing w:before="0" w:after="80" w:line="240" w:lineRule="auto"/>
        <w:ind w:left="0" w:right="140" w:firstLine="0"/>
        <w:jc w:val="right"/>
      </w:pPr>
      <w:r>
        <w:rPr>
          <w:color w:val="000000"/>
          <w:spacing w:val="0"/>
          <w:w w:val="100"/>
          <w:position w:val="0"/>
        </w:rPr>
        <w:t>单位：万元</w:t>
      </w:r>
    </w:p>
    <w:tbl>
      <w:tblPr>
        <w:tblOverlap w:val="never"/>
        <w:jc w:val="center"/>
        <w:tblLayout w:type="fixed"/>
      </w:tblPr>
      <w:tblGrid>
        <w:gridCol w:w="826"/>
        <w:gridCol w:w="432"/>
        <w:gridCol w:w="710"/>
        <w:gridCol w:w="715"/>
        <w:gridCol w:w="422"/>
        <w:gridCol w:w="715"/>
        <w:gridCol w:w="710"/>
        <w:gridCol w:w="1138"/>
        <w:gridCol w:w="715"/>
        <w:gridCol w:w="710"/>
        <w:gridCol w:w="427"/>
        <w:gridCol w:w="854"/>
        <w:gridCol w:w="854"/>
        <w:gridCol w:w="854"/>
        <w:gridCol w:w="854"/>
        <w:gridCol w:w="854"/>
        <w:gridCol w:w="2237"/>
      </w:tblGrid>
      <w:tr>
        <w:trPr>
          <w:trHeight w:val="111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center"/>
              <w:rPr>
                <w:sz w:val="15"/>
                <w:szCs w:val="15"/>
              </w:rPr>
            </w:pPr>
            <w:r>
              <w:rPr>
                <w:b/>
                <w:bCs/>
                <w:color w:val="000000"/>
                <w:spacing w:val="0"/>
                <w:w w:val="100"/>
                <w:position w:val="0"/>
                <w:sz w:val="15"/>
                <w:szCs w:val="15"/>
              </w:rPr>
              <w:t>受托机构</w:t>
            </w:r>
          </w:p>
          <w:p>
            <w:pPr>
              <w:pStyle w:val="Style2"/>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5"/>
                <w:szCs w:val="15"/>
              </w:rPr>
            </w:pPr>
            <w:r>
              <w:rPr>
                <w:b/>
                <w:bCs/>
                <w:color w:val="000000"/>
                <w:spacing w:val="0"/>
                <w:w w:val="100"/>
                <w:position w:val="0"/>
                <w:sz w:val="15"/>
                <w:szCs w:val="15"/>
              </w:rPr>
              <w:t>受托</w:t>
            </w:r>
          </w:p>
          <w:p>
            <w:pPr>
              <w:pStyle w:val="Style2"/>
              <w:keepNext w:val="0"/>
              <w:keepLines w:val="0"/>
              <w:widowControl w:val="0"/>
              <w:shd w:val="clear" w:color="auto" w:fill="auto"/>
              <w:bidi w:val="0"/>
              <w:spacing w:before="0" w:after="160" w:line="240" w:lineRule="auto"/>
              <w:ind w:left="0" w:right="0" w:firstLine="0"/>
              <w:jc w:val="left"/>
              <w:rPr>
                <w:sz w:val="15"/>
                <w:szCs w:val="15"/>
              </w:rPr>
            </w:pPr>
            <w:r>
              <w:rPr>
                <w:b/>
                <w:bCs/>
                <w:color w:val="000000"/>
                <w:spacing w:val="0"/>
                <w:w w:val="100"/>
                <w:position w:val="0"/>
                <w:sz w:val="15"/>
                <w:szCs w:val="15"/>
              </w:rPr>
              <w:t>机构</w:t>
            </w:r>
          </w:p>
          <w:p>
            <w:pPr>
              <w:pStyle w:val="Style2"/>
              <w:keepNext w:val="0"/>
              <w:keepLines w:val="0"/>
              <w:widowControl w:val="0"/>
              <w:shd w:val="clear" w:color="auto" w:fill="auto"/>
              <w:bidi w:val="0"/>
              <w:spacing w:before="0" w:after="140" w:line="240" w:lineRule="auto"/>
              <w:ind w:left="0" w:right="0" w:firstLine="0"/>
              <w:jc w:val="left"/>
              <w:rPr>
                <w:sz w:val="15"/>
                <w:szCs w:val="15"/>
              </w:rPr>
            </w:pPr>
            <w:r>
              <w:rPr>
                <w:b/>
                <w:bCs/>
                <w:color w:val="000000"/>
                <w:spacing w:val="0"/>
                <w:w w:val="100"/>
                <w:position w:val="0"/>
                <w:sz w:val="15"/>
                <w:szCs w:val="15"/>
              </w:rPr>
              <w:t>类型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180"/>
              <w:jc w:val="left"/>
              <w:rPr>
                <w:sz w:val="15"/>
                <w:szCs w:val="15"/>
              </w:rPr>
            </w:pPr>
            <w:r>
              <w:rPr>
                <w:b/>
                <w:bCs/>
                <w:color w:val="000000"/>
                <w:spacing w:val="0"/>
                <w:w w:val="100"/>
                <w:position w:val="0"/>
                <w:sz w:val="15"/>
                <w:szCs w:val="15"/>
              </w:rPr>
              <w:t>产品</w:t>
            </w:r>
          </w:p>
          <w:p>
            <w:pPr>
              <w:pStyle w:val="Style2"/>
              <w:keepNext w:val="0"/>
              <w:keepLines w:val="0"/>
              <w:widowControl w:val="0"/>
              <w:shd w:val="clear" w:color="auto" w:fill="auto"/>
              <w:bidi w:val="0"/>
              <w:spacing w:before="0" w:after="0" w:line="240" w:lineRule="auto"/>
              <w:ind w:left="0" w:right="0" w:firstLine="180"/>
              <w:jc w:val="left"/>
              <w:rPr>
                <w:sz w:val="15"/>
                <w:szCs w:val="15"/>
              </w:rPr>
            </w:pPr>
            <w:r>
              <w:rPr>
                <w:b/>
                <w:bCs/>
                <w:color w:val="000000"/>
                <w:spacing w:val="0"/>
                <w:w w:val="100"/>
                <w:position w:val="0"/>
                <w:sz w:val="15"/>
                <w:szCs w:val="15"/>
              </w:rPr>
              <w:t>类型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5"/>
                <w:szCs w:val="15"/>
              </w:rPr>
            </w:pPr>
            <w:r>
              <w:rPr>
                <w:b/>
                <w:bCs/>
                <w:color w:val="000000"/>
                <w:spacing w:val="0"/>
                <w:w w:val="100"/>
                <w:position w:val="0"/>
                <w:sz w:val="15"/>
                <w:szCs w:val="15"/>
              </w:rPr>
              <w:t>资金</w:t>
            </w:r>
          </w:p>
          <w:p>
            <w:pPr>
              <w:pStyle w:val="Style2"/>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来源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起始日期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终止日期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资金投向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5"/>
                <w:szCs w:val="15"/>
              </w:rPr>
            </w:pPr>
            <w:r>
              <w:rPr>
                <w:b/>
                <w:bCs/>
                <w:color w:val="000000"/>
                <w:spacing w:val="0"/>
                <w:w w:val="100"/>
                <w:position w:val="0"/>
                <w:sz w:val="15"/>
                <w:szCs w:val="15"/>
              </w:rPr>
              <w:t>报酬确定</w:t>
            </w:r>
          </w:p>
          <w:p>
            <w:pPr>
              <w:pStyle w:val="Style2"/>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方式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center"/>
              <w:rPr>
                <w:sz w:val="15"/>
                <w:szCs w:val="15"/>
              </w:rPr>
            </w:pPr>
            <w:r>
              <w:rPr>
                <w:b/>
                <w:bCs/>
                <w:color w:val="000000"/>
                <w:spacing w:val="0"/>
                <w:w w:val="100"/>
                <w:position w:val="0"/>
                <w:sz w:val="15"/>
                <w:szCs w:val="15"/>
              </w:rPr>
              <w:t>参考年化</w:t>
            </w:r>
          </w:p>
          <w:p>
            <w:pPr>
              <w:pStyle w:val="Style2"/>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收益率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center"/>
              <w:rPr>
                <w:sz w:val="15"/>
                <w:szCs w:val="15"/>
              </w:rPr>
            </w:pPr>
            <w:r>
              <w:rPr>
                <w:b/>
                <w:bCs/>
                <w:color w:val="000000"/>
                <w:spacing w:val="0"/>
                <w:w w:val="100"/>
                <w:position w:val="0"/>
                <w:sz w:val="15"/>
                <w:szCs w:val="15"/>
              </w:rPr>
              <w:t>预期</w:t>
            </w:r>
          </w:p>
          <w:p>
            <w:pPr>
              <w:pStyle w:val="Style2"/>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50" w:lineRule="exact"/>
              <w:ind w:left="0" w:right="0" w:firstLine="0"/>
              <w:jc w:val="center"/>
              <w:rPr>
                <w:sz w:val="15"/>
                <w:szCs w:val="15"/>
              </w:rPr>
            </w:pPr>
            <w:r>
              <w:rPr>
                <w:b/>
                <w:bCs/>
                <w:color w:val="000000"/>
                <w:spacing w:val="0"/>
                <w:w w:val="100"/>
                <w:position w:val="0"/>
                <w:sz w:val="15"/>
                <w:szCs w:val="15"/>
              </w:rPr>
              <w:t>报告期 实际损益 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center"/>
              <w:rPr>
                <w:sz w:val="15"/>
                <w:szCs w:val="15"/>
              </w:rPr>
            </w:pPr>
            <w:r>
              <w:rPr>
                <w:b/>
                <w:bCs/>
                <w:color w:val="000000"/>
                <w:spacing w:val="0"/>
                <w:w w:val="100"/>
                <w:position w:val="0"/>
                <w:sz w:val="15"/>
                <w:szCs w:val="15"/>
              </w:rPr>
              <w:t>报告期损</w:t>
            </w:r>
          </w:p>
          <w:p>
            <w:pPr>
              <w:pStyle w:val="Style2"/>
              <w:keepNext w:val="0"/>
              <w:keepLines w:val="0"/>
              <w:widowControl w:val="0"/>
              <w:shd w:val="clear" w:color="auto" w:fill="auto"/>
              <w:bidi w:val="0"/>
              <w:spacing w:before="0" w:after="140" w:line="240" w:lineRule="auto"/>
              <w:ind w:left="0" w:right="0" w:firstLine="0"/>
              <w:jc w:val="center"/>
              <w:rPr>
                <w:sz w:val="15"/>
                <w:szCs w:val="15"/>
              </w:rPr>
            </w:pPr>
            <w:r>
              <w:rPr>
                <w:b/>
                <w:bCs/>
                <w:color w:val="000000"/>
                <w:spacing w:val="0"/>
                <w:w w:val="100"/>
                <w:position w:val="0"/>
                <w:sz w:val="15"/>
                <w:szCs w:val="15"/>
              </w:rPr>
              <w:t>益实际收</w:t>
            </w:r>
          </w:p>
          <w:p>
            <w:pPr>
              <w:pStyle w:val="Style2"/>
              <w:keepNext w:val="0"/>
              <w:keepLines w:val="0"/>
              <w:widowControl w:val="0"/>
              <w:shd w:val="clear" w:color="auto" w:fill="auto"/>
              <w:bidi w:val="0"/>
              <w:spacing w:before="0" w:after="140" w:line="240" w:lineRule="auto"/>
              <w:ind w:left="0" w:right="0" w:firstLine="0"/>
              <w:jc w:val="center"/>
              <w:rPr>
                <w:sz w:val="15"/>
                <w:szCs w:val="15"/>
              </w:rPr>
            </w:pPr>
            <w:r>
              <w:rPr>
                <w:b/>
                <w:bCs/>
                <w:color w:val="000000"/>
                <w:spacing w:val="0"/>
                <w:w w:val="100"/>
                <w:position w:val="0"/>
                <w:sz w:val="15"/>
                <w:szCs w:val="15"/>
              </w:rPr>
              <w:t>回情况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right"/>
              <w:rPr>
                <w:sz w:val="15"/>
                <w:szCs w:val="15"/>
              </w:rPr>
            </w:pPr>
            <w:r>
              <w:rPr>
                <w:b/>
                <w:bCs/>
                <w:color w:val="000000"/>
                <w:spacing w:val="0"/>
                <w:w w:val="100"/>
                <w:position w:val="0"/>
                <w:sz w:val="15"/>
                <w:szCs w:val="15"/>
              </w:rPr>
              <w:t>计提减值</w:t>
            </w:r>
          </w:p>
          <w:p>
            <w:pPr>
              <w:pStyle w:val="Style2"/>
              <w:keepNext w:val="0"/>
              <w:keepLines w:val="0"/>
              <w:widowControl w:val="0"/>
              <w:shd w:val="clear" w:color="auto" w:fill="auto"/>
              <w:bidi w:val="0"/>
              <w:spacing w:before="0" w:after="0" w:line="240" w:lineRule="auto"/>
              <w:ind w:left="0" w:right="0" w:firstLine="0"/>
              <w:jc w:val="right"/>
              <w:rPr>
                <w:sz w:val="15"/>
                <w:szCs w:val="15"/>
              </w:rPr>
            </w:pPr>
            <w:r>
              <w:rPr>
                <w:b/>
                <w:bCs/>
                <w:color w:val="000000"/>
                <w:spacing w:val="0"/>
                <w:w w:val="100"/>
                <w:position w:val="0"/>
                <w:sz w:val="15"/>
                <w:szCs w:val="15"/>
              </w:rPr>
              <w:t>准备金额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center"/>
              <w:rPr>
                <w:sz w:val="15"/>
                <w:szCs w:val="15"/>
              </w:rPr>
            </w:pPr>
            <w:r>
              <w:rPr>
                <w:b/>
                <w:bCs/>
                <w:color w:val="000000"/>
                <w:spacing w:val="0"/>
                <w:w w:val="100"/>
                <w:position w:val="0"/>
                <w:sz w:val="15"/>
                <w:szCs w:val="15"/>
              </w:rPr>
              <w:t>是否经过</w:t>
            </w:r>
          </w:p>
          <w:p>
            <w:pPr>
              <w:pStyle w:val="Style2"/>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法定程序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5"/>
                <w:szCs w:val="15"/>
              </w:rPr>
            </w:pPr>
            <w:r>
              <w:rPr>
                <w:b/>
                <w:bCs/>
                <w:color w:val="000000"/>
                <w:spacing w:val="0"/>
                <w:w w:val="100"/>
                <w:position w:val="0"/>
                <w:sz w:val="15"/>
                <w:szCs w:val="15"/>
              </w:rPr>
              <w:t>未来是否</w:t>
            </w:r>
          </w:p>
          <w:p>
            <w:pPr>
              <w:pStyle w:val="Style2"/>
              <w:keepNext w:val="0"/>
              <w:keepLines w:val="0"/>
              <w:widowControl w:val="0"/>
              <w:shd w:val="clear" w:color="auto" w:fill="auto"/>
              <w:bidi w:val="0"/>
              <w:spacing w:before="0" w:after="120" w:line="240" w:lineRule="auto"/>
              <w:ind w:left="0" w:right="0" w:firstLine="0"/>
              <w:jc w:val="left"/>
              <w:rPr>
                <w:sz w:val="15"/>
                <w:szCs w:val="15"/>
              </w:rPr>
            </w:pPr>
            <w:r>
              <w:rPr>
                <w:b/>
                <w:bCs/>
                <w:color w:val="000000"/>
                <w:spacing w:val="0"/>
                <w:w w:val="100"/>
                <w:position w:val="0"/>
                <w:sz w:val="15"/>
                <w:szCs w:val="15"/>
              </w:rPr>
              <w:t>还有委托</w:t>
            </w:r>
          </w:p>
          <w:p>
            <w:pPr>
              <w:pStyle w:val="Style2"/>
              <w:keepNext w:val="0"/>
              <w:keepLines w:val="0"/>
              <w:widowControl w:val="0"/>
              <w:shd w:val="clear" w:color="auto" w:fill="auto"/>
              <w:bidi w:val="0"/>
              <w:spacing w:before="0" w:after="120" w:line="240" w:lineRule="auto"/>
              <w:ind w:left="0" w:right="0" w:firstLine="0"/>
              <w:jc w:val="left"/>
              <w:rPr>
                <w:sz w:val="15"/>
                <w:szCs w:val="15"/>
              </w:rPr>
            </w:pPr>
            <w:r>
              <w:rPr>
                <w:b/>
                <w:bCs/>
                <w:color w:val="000000"/>
                <w:spacing w:val="0"/>
                <w:w w:val="100"/>
                <w:position w:val="0"/>
                <w:sz w:val="15"/>
                <w:szCs w:val="15"/>
              </w:rPr>
              <w:t>理财计划</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事项概述及相关查询索引</w:t>
            </w:r>
          </w:p>
        </w:tc>
      </w:tr>
      <w:tr>
        <w:trPr>
          <w:trHeight w:val="137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5"/>
                <w:szCs w:val="15"/>
              </w:rPr>
            </w:pPr>
            <w:r>
              <w:rPr>
                <w:color w:val="000000"/>
                <w:spacing w:val="0"/>
                <w:w w:val="100"/>
                <w:position w:val="0"/>
                <w:sz w:val="15"/>
                <w:szCs w:val="15"/>
              </w:rPr>
              <w:t>华润深国 投信托有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rPr>
                <w:sz w:val="15"/>
                <w:szCs w:val="15"/>
              </w:rPr>
            </w:pPr>
            <w:r>
              <w:rPr>
                <w:color w:val="000000"/>
                <w:spacing w:val="0"/>
                <w:w w:val="100"/>
                <w:position w:val="0"/>
                <w:sz w:val="15"/>
                <w:szCs w:val="15"/>
              </w:rPr>
              <w:t>信托</w:t>
            </w:r>
          </w:p>
          <w:p>
            <w:pPr>
              <w:pStyle w:val="Style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集合资金</w:t>
            </w:r>
          </w:p>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信托计划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8,334.00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自有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20170913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20200912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固定收益产品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协议确定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-4,038.10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已到期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否</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5"/>
                <w:szCs w:val="15"/>
              </w:rPr>
            </w:pPr>
            <w:r>
              <w:rPr>
                <w:color w:val="000000"/>
                <w:spacing w:val="0"/>
                <w:w w:val="100"/>
                <w:position w:val="0"/>
                <w:sz w:val="15"/>
                <w:szCs w:val="15"/>
              </w:rPr>
              <w:t>公司</w:t>
            </w:r>
            <w:r>
              <w:rPr>
                <w:rFonts w:ascii="Times New Roman" w:eastAsia="Times New Roman" w:hAnsi="Times New Roman" w:cs="Times New Roman"/>
                <w:color w:val="000000"/>
                <w:spacing w:val="0"/>
                <w:w w:val="100"/>
                <w:position w:val="0"/>
                <w:sz w:val="16"/>
                <w:szCs w:val="16"/>
              </w:rPr>
              <w:t>2017</w:t>
            </w:r>
            <w:r>
              <w:rPr>
                <w:color w:val="000000"/>
                <w:spacing w:val="0"/>
                <w:w w:val="100"/>
                <w:position w:val="0"/>
                <w:sz w:val="15"/>
                <w:szCs w:val="15"/>
              </w:rPr>
              <w:t>年第六次临时股东大 会审议通过《关于以自有资金参 与国盛资管担任投资顾问的集 合资金信托计划的议案》，同意 公司以不超过</w:t>
            </w:r>
            <w:r>
              <w:rPr>
                <w:rFonts w:ascii="Times New Roman" w:eastAsia="Times New Roman" w:hAnsi="Times New Roman" w:cs="Times New Roman"/>
                <w:color w:val="000000"/>
                <w:spacing w:val="0"/>
                <w:w w:val="100"/>
                <w:position w:val="0"/>
                <w:sz w:val="16"/>
                <w:szCs w:val="16"/>
              </w:rPr>
              <w:t>8</w:t>
            </w:r>
            <w:r>
              <w:rPr>
                <w:color w:val="000000"/>
                <w:spacing w:val="0"/>
                <w:w w:val="100"/>
                <w:position w:val="0"/>
                <w:sz w:val="15"/>
                <w:szCs w:val="15"/>
              </w:rPr>
              <w:t>亿元自有资金 参与下属企业国盛资管担任投 资顾问的集合资金信托计划，详 见</w:t>
            </w:r>
            <w:r>
              <w:rPr>
                <w:rFonts w:ascii="Times New Roman" w:eastAsia="Times New Roman" w:hAnsi="Times New Roman" w:cs="Times New Roman"/>
                <w:color w:val="000000"/>
                <w:spacing w:val="0"/>
                <w:w w:val="100"/>
                <w:position w:val="0"/>
                <w:sz w:val="16"/>
                <w:szCs w:val="16"/>
              </w:rPr>
              <w:t>2017</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6"/>
                <w:szCs w:val="16"/>
              </w:rPr>
              <w:t>7</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6"/>
                <w:szCs w:val="16"/>
              </w:rPr>
              <w:t>28</w:t>
            </w:r>
            <w:r>
              <w:rPr>
                <w:color w:val="000000"/>
                <w:spacing w:val="0"/>
                <w:w w:val="100"/>
                <w:position w:val="0"/>
                <w:sz w:val="15"/>
                <w:szCs w:val="15"/>
              </w:rPr>
              <w:t>日刊登的《关 于以自有资金参与集合资金信 托计划并可能涉及关联交易的 公告》、</w:t>
            </w:r>
            <w:r>
              <w:rPr>
                <w:rFonts w:ascii="Times New Roman" w:eastAsia="Times New Roman" w:hAnsi="Times New Roman" w:cs="Times New Roman"/>
                <w:color w:val="000000"/>
                <w:spacing w:val="0"/>
                <w:w w:val="100"/>
                <w:position w:val="0"/>
                <w:sz w:val="16"/>
                <w:szCs w:val="16"/>
              </w:rPr>
              <w:t>2017</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6"/>
                <w:szCs w:val="16"/>
              </w:rPr>
              <w:t>8</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6"/>
                <w:szCs w:val="16"/>
              </w:rPr>
              <w:t>15</w:t>
            </w:r>
            <w:r>
              <w:rPr>
                <w:color w:val="000000"/>
                <w:spacing w:val="0"/>
                <w:w w:val="100"/>
                <w:position w:val="0"/>
                <w:sz w:val="15"/>
                <w:szCs w:val="15"/>
              </w:rPr>
              <w:t>日刊登 的《</w:t>
            </w:r>
            <w:r>
              <w:rPr>
                <w:rFonts w:ascii="Times New Roman" w:eastAsia="Times New Roman" w:hAnsi="Times New Roman" w:cs="Times New Roman"/>
                <w:color w:val="000000"/>
                <w:spacing w:val="0"/>
                <w:w w:val="100"/>
                <w:position w:val="0"/>
                <w:sz w:val="16"/>
                <w:szCs w:val="16"/>
              </w:rPr>
              <w:t>2017</w:t>
            </w:r>
            <w:r>
              <w:rPr>
                <w:color w:val="000000"/>
                <w:spacing w:val="0"/>
                <w:w w:val="100"/>
                <w:position w:val="0"/>
                <w:sz w:val="15"/>
                <w:szCs w:val="15"/>
              </w:rPr>
              <w:t>年第六次临时股东大 会决议公告》。</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5"/>
                <w:szCs w:val="15"/>
              </w:rPr>
            </w:pPr>
            <w:r>
              <w:rPr>
                <w:color w:val="000000"/>
                <w:spacing w:val="0"/>
                <w:w w:val="100"/>
                <w:position w:val="0"/>
                <w:sz w:val="15"/>
                <w:szCs w:val="15"/>
              </w:rPr>
              <w:t>华润深国 投信托有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rPr>
                <w:sz w:val="15"/>
                <w:szCs w:val="15"/>
              </w:rPr>
            </w:pPr>
            <w:r>
              <w:rPr>
                <w:color w:val="000000"/>
                <w:spacing w:val="0"/>
                <w:w w:val="100"/>
                <w:position w:val="0"/>
                <w:sz w:val="15"/>
                <w:szCs w:val="15"/>
              </w:rPr>
              <w:t>信托</w:t>
            </w:r>
          </w:p>
          <w:p>
            <w:pPr>
              <w:pStyle w:val="Style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集合资金</w:t>
            </w:r>
          </w:p>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信托计划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7,825.00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自有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20170913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20200912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固定收益产品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协议确定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已到期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否</w:t>
            </w:r>
          </w:p>
        </w:tc>
        <w:tc>
          <w:tcPr>
            <w:vMerge/>
            <w:tcBorders>
              <w:left w:val="single" w:sz="4"/>
              <w:right w:val="single" w:sz="4"/>
            </w:tcBorders>
            <w:shd w:val="clear" w:color="auto" w:fill="FFFFFF"/>
            <w:vAlign w:val="center"/>
          </w:tcPr>
          <w:p>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华润深国</w:t>
            </w:r>
          </w:p>
          <w:p>
            <w:pPr>
              <w:pStyle w:val="Style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投信托有</w:t>
            </w:r>
          </w:p>
          <w:p>
            <w:pPr>
              <w:pStyle w:val="Style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rPr>
                <w:sz w:val="15"/>
                <w:szCs w:val="15"/>
              </w:rPr>
            </w:pPr>
            <w:r>
              <w:rPr>
                <w:color w:val="000000"/>
                <w:spacing w:val="0"/>
                <w:w w:val="100"/>
                <w:position w:val="0"/>
                <w:sz w:val="15"/>
                <w:szCs w:val="15"/>
              </w:rPr>
              <w:t>信托</w:t>
            </w:r>
          </w:p>
          <w:p>
            <w:pPr>
              <w:pStyle w:val="Style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集合资金</w:t>
            </w:r>
          </w:p>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信托计划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8,334.00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自有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20180126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20210125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固定收益产品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协议确定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-1,220.48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未到期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否</w:t>
            </w:r>
          </w:p>
        </w:tc>
        <w:tc>
          <w:tcPr>
            <w:vMerge/>
            <w:tcBorders>
              <w:left w:val="single" w:sz="4"/>
              <w:right w:val="single" w:sz="4"/>
            </w:tcBorders>
            <w:shd w:val="clear" w:color="auto" w:fill="FFFFFF"/>
            <w:vAlign w:val="center"/>
          </w:tcPr>
          <w:p>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rPr>
                <w:sz w:val="15"/>
                <w:szCs w:val="15"/>
              </w:rPr>
            </w:pPr>
            <w:r>
              <w:rPr>
                <w:color w:val="000000"/>
                <w:spacing w:val="0"/>
                <w:w w:val="100"/>
                <w:position w:val="0"/>
                <w:sz w:val="15"/>
                <w:szCs w:val="15"/>
              </w:rPr>
              <w:t>国投泰康 信托有限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rPr>
                <w:sz w:val="15"/>
                <w:szCs w:val="15"/>
              </w:rPr>
            </w:pPr>
            <w:r>
              <w:rPr>
                <w:color w:val="000000"/>
                <w:spacing w:val="0"/>
                <w:w w:val="100"/>
                <w:position w:val="0"/>
                <w:sz w:val="15"/>
                <w:szCs w:val="15"/>
              </w:rPr>
              <w:t>信托</w:t>
            </w:r>
          </w:p>
          <w:p>
            <w:pPr>
              <w:pStyle w:val="Style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集合资金</w:t>
            </w:r>
          </w:p>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信托计划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5,220.00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自有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20171225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20201224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固定收益产品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协议确定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-1,021.34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已到期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否</w:t>
            </w:r>
          </w:p>
        </w:tc>
        <w:tc>
          <w:tcPr>
            <w:vMerge/>
            <w:tcBorders>
              <w:left w:val="single" w:sz="4"/>
              <w:right w:val="single" w:sz="4"/>
            </w:tcBorders>
            <w:shd w:val="clear" w:color="auto" w:fill="FFFFFF"/>
            <w:vAlign w:val="center"/>
          </w:tcPr>
          <w:p>
            <w:pPr/>
          </w:p>
        </w:tc>
      </w:tr>
      <w:tr>
        <w:trPr>
          <w:trHeight w:val="413" w:hRule="exact"/>
        </w:trPr>
        <w:tc>
          <w:tcPr>
            <w:gridSpan w:val="3"/>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6"/>
                <w:szCs w:val="16"/>
              </w:rPr>
            </w:pPr>
            <w:r>
              <w:rPr>
                <w:rFonts w:ascii="Times New Roman" w:eastAsia="Times New Roman" w:hAnsi="Times New Roman" w:cs="Times New Roman"/>
                <w:color w:val="000000"/>
                <w:spacing w:val="0"/>
                <w:w w:val="100"/>
                <w:position w:val="0"/>
                <w:sz w:val="16"/>
                <w:szCs w:val="16"/>
              </w:rPr>
              <w:t>29,713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-6,279.92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w:t>
            </w:r>
          </w:p>
        </w:tc>
      </w:tr>
    </w:tbl>
    <w:p>
      <w:pPr>
        <w:widowControl w:val="0"/>
        <w:spacing w:after="419" w:line="1" w:lineRule="exact"/>
      </w:pPr>
    </w:p>
    <w:p>
      <w:pPr>
        <w:pStyle w:val="Style16"/>
        <w:keepNext w:val="0"/>
        <w:keepLines w:val="0"/>
        <w:widowControl w:val="0"/>
        <w:shd w:val="clear" w:color="auto" w:fill="auto"/>
        <w:tabs>
          <w:tab w:pos="12423" w:val="left"/>
        </w:tabs>
        <w:bidi w:val="0"/>
        <w:spacing w:before="0" w:after="260" w:line="240" w:lineRule="auto"/>
        <w:ind w:left="0" w:right="0" w:firstLine="140"/>
        <w:jc w:val="both"/>
      </w:pPr>
      <w:r>
        <w:rPr>
          <w:color w:val="000000"/>
          <w:spacing w:val="0"/>
          <w:w w:val="100"/>
          <w:position w:val="0"/>
        </w:rPr>
        <w:t>委托理财出现预期无法收回本金或存在其他可能导致减值的情形</w:t>
        <w:tab/>
      </w: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6"/>
        <w:keepNext w:val="0"/>
        <w:keepLines w:val="0"/>
        <w:widowControl w:val="0"/>
        <w:shd w:val="clear" w:color="auto" w:fill="auto"/>
        <w:bidi w:val="0"/>
        <w:spacing w:before="0" w:after="340" w:line="319" w:lineRule="exact"/>
        <w:ind w:left="0" w:right="0" w:firstLine="9920"/>
        <w:jc w:val="both"/>
      </w:pPr>
      <w:bookmarkStart w:id="362" w:name="bookmark362"/>
      <w:r>
        <w:rPr>
          <w:color w:val="000000"/>
          <w:spacing w:val="0"/>
          <w:w w:val="100"/>
          <w:position w:val="0"/>
          <w:sz w:val="18"/>
          <w:szCs w:val="18"/>
          <w:u w:val="single"/>
        </w:rPr>
        <w:t>国盛金融控股集团股份有限公司</w:t>
      </w:r>
      <w:r>
        <w:rPr>
          <w:rFonts w:ascii="Times New Roman" w:eastAsia="Times New Roman" w:hAnsi="Times New Roman" w:cs="Times New Roman"/>
          <w:color w:val="000000"/>
          <w:spacing w:val="0"/>
          <w:w w:val="100"/>
          <w:position w:val="0"/>
          <w:sz w:val="18"/>
          <w:szCs w:val="18"/>
          <w:u w:val="single"/>
        </w:rPr>
        <w:t>2020</w:t>
      </w:r>
      <w:r>
        <w:rPr>
          <w:color w:val="000000"/>
          <w:spacing w:val="0"/>
          <w:w w:val="100"/>
          <w:position w:val="0"/>
          <w:sz w:val="18"/>
          <w:szCs w:val="18"/>
          <w:u w:val="single"/>
        </w:rPr>
        <w:t xml:space="preserve">年度报告全文 </w:t>
      </w:r>
      <w:r>
        <w:rPr>
          <w:color w:val="000000"/>
          <w:spacing w:val="0"/>
          <w:w w:val="100"/>
          <w:position w:val="0"/>
        </w:rPr>
        <w:t>-</w:t>
      </w:r>
      <w:r>
        <w:rPr>
          <w:color w:val="000000"/>
          <w:spacing w:val="0"/>
          <w:w w:val="100"/>
          <w:position w:val="0"/>
        </w:rPr>
        <w:t>_公司认购的信托计划中持有的山东胜通集团股份有限公司发行的债券“</w:t>
      </w:r>
      <w:r>
        <w:rPr>
          <w:rFonts w:ascii="Times New Roman" w:eastAsia="Times New Roman" w:hAnsi="Times New Roman" w:cs="Times New Roman"/>
          <w:color w:val="000000"/>
          <w:spacing w:val="0"/>
          <w:w w:val="100"/>
          <w:position w:val="0"/>
        </w:rPr>
        <w:t>17</w:t>
      </w:r>
      <w:r>
        <w:rPr>
          <w:color w:val="000000"/>
          <w:spacing w:val="0"/>
          <w:w w:val="100"/>
          <w:position w:val="0"/>
        </w:rPr>
        <w:t>胜通</w:t>
      </w:r>
      <w:r>
        <w:rPr>
          <w:rFonts w:ascii="Times New Roman" w:eastAsia="Times New Roman" w:hAnsi="Times New Roman" w:cs="Times New Roman"/>
          <w:color w:val="000000"/>
          <w:spacing w:val="0"/>
          <w:w w:val="100"/>
          <w:position w:val="0"/>
        </w:rPr>
        <w:t>01</w:t>
      </w:r>
      <w:r>
        <w:rPr>
          <w:color w:val="000000"/>
          <w:spacing w:val="0"/>
          <w:w w:val="100"/>
          <w:position w:val="0"/>
        </w:rPr>
        <w:t>”、天津物产能源资源发展有限公司发行的债券“</w:t>
      </w:r>
      <w:r>
        <w:rPr>
          <w:rFonts w:ascii="Times New Roman" w:eastAsia="Times New Roman" w:hAnsi="Times New Roman" w:cs="Times New Roman"/>
          <w:color w:val="000000"/>
          <w:spacing w:val="0"/>
          <w:w w:val="100"/>
          <w:position w:val="0"/>
        </w:rPr>
        <w:t>18</w:t>
      </w:r>
      <w:r>
        <w:rPr>
          <w:color w:val="000000"/>
          <w:spacing w:val="0"/>
          <w:w w:val="100"/>
          <w:position w:val="0"/>
        </w:rPr>
        <w:t>天物</w:t>
      </w:r>
      <w:r>
        <w:rPr>
          <w:rFonts w:ascii="Times New Roman" w:eastAsia="Times New Roman" w:hAnsi="Times New Roman" w:cs="Times New Roman"/>
          <w:color w:val="000000"/>
          <w:spacing w:val="0"/>
          <w:w w:val="100"/>
          <w:position w:val="0"/>
        </w:rPr>
        <w:t>02</w:t>
      </w:r>
      <w:r>
        <w:rPr>
          <w:color w:val="000000"/>
          <w:spacing w:val="0"/>
          <w:w w:val="100"/>
          <w:position w:val="0"/>
        </w:rPr>
        <w:t>”和 永城煤电控股集团有限公司发行的债券“</w:t>
      </w:r>
      <w:r>
        <w:rPr>
          <w:rFonts w:ascii="Times New Roman" w:eastAsia="Times New Roman" w:hAnsi="Times New Roman" w:cs="Times New Roman"/>
          <w:color w:val="000000"/>
          <w:spacing w:val="0"/>
          <w:w w:val="100"/>
          <w:position w:val="0"/>
        </w:rPr>
        <w:t>20</w:t>
      </w:r>
      <w:r>
        <w:rPr>
          <w:color w:val="000000"/>
          <w:spacing w:val="0"/>
          <w:w w:val="100"/>
          <w:position w:val="0"/>
        </w:rPr>
        <w:t>永煤</w:t>
      </w:r>
      <w:r>
        <w:rPr>
          <w:rFonts w:ascii="Times New Roman" w:eastAsia="Times New Roman" w:hAnsi="Times New Roman" w:cs="Times New Roman"/>
          <w:color w:val="000000"/>
          <w:spacing w:val="0"/>
          <w:w w:val="100"/>
          <w:position w:val="0"/>
        </w:rPr>
        <w:t>SCP007</w:t>
      </w:r>
      <w:r>
        <w:rPr>
          <w:color w:val="000000"/>
          <w:spacing w:val="0"/>
          <w:w w:val="100"/>
          <w:position w:val="0"/>
        </w:rPr>
        <w:t>”</w:t>
      </w:r>
      <w:r>
        <w:rPr>
          <w:color w:val="000000"/>
          <w:spacing w:val="0"/>
          <w:w w:val="100"/>
          <w:position w:val="0"/>
        </w:rPr>
        <w:t>，以上债券均已构成实质性违约。</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日，山东省东营市中级人民法院作出批准山 东胜通集团股份有限公司破产重整计划的裁定，确定债务清偿率为</w:t>
      </w:r>
      <w:r>
        <w:rPr>
          <w:rFonts w:ascii="Times New Roman" w:eastAsia="Times New Roman" w:hAnsi="Times New Roman" w:cs="Times New Roman"/>
          <w:color w:val="000000"/>
          <w:spacing w:val="0"/>
          <w:w w:val="100"/>
          <w:position w:val="0"/>
        </w:rPr>
        <w:t>10.16%</w:t>
      </w:r>
      <w:r>
        <w:rPr>
          <w:color w:val="000000"/>
          <w:spacing w:val="0"/>
          <w:w w:val="100"/>
          <w:position w:val="0"/>
        </w:rPr>
        <w:t>，截至报告期末已部分偿付；</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日，天津市高级人民法院、天津 市第二中级人民法院作出批准天津物产能源资源发展有限公司破产重整计划的裁定，截至报告期末尚未开展相关偿付工作；</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日，债券持 有人表决同意并收到永城煤电控股集团有限公司兑付的</w:t>
      </w:r>
      <w:r>
        <w:rPr>
          <w:rFonts w:ascii="Times New Roman" w:eastAsia="Times New Roman" w:hAnsi="Times New Roman" w:cs="Times New Roman"/>
          <w:color w:val="000000"/>
          <w:spacing w:val="0"/>
          <w:w w:val="100"/>
          <w:position w:val="0"/>
        </w:rPr>
        <w:t>50%</w:t>
      </w:r>
      <w:r>
        <w:rPr>
          <w:color w:val="000000"/>
          <w:spacing w:val="0"/>
          <w:w w:val="100"/>
          <w:position w:val="0"/>
        </w:rPr>
        <w:t>本金，剩余本金展期</w:t>
      </w:r>
      <w:r>
        <w:rPr>
          <w:rFonts w:ascii="Times New Roman" w:eastAsia="Times New Roman" w:hAnsi="Times New Roman" w:cs="Times New Roman"/>
          <w:color w:val="000000"/>
          <w:spacing w:val="0"/>
          <w:w w:val="100"/>
          <w:position w:val="0"/>
        </w:rPr>
        <w:t>210</w:t>
      </w:r>
      <w:r>
        <w:rPr>
          <w:color w:val="000000"/>
          <w:spacing w:val="0"/>
          <w:w w:val="100"/>
          <w:position w:val="0"/>
        </w:rPr>
        <w:t>天至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日，到期一次性偿付本金及利息。基于以上情 况判断，集合资金信托计划可能存在到期无法全部或部分收回本金的风险。报告期，上述集合资金信托计划公允价值变动对利润的影响金额为</w:t>
      </w:r>
      <w:r>
        <w:rPr>
          <w:rFonts w:ascii="Times New Roman" w:eastAsia="Times New Roman" w:hAnsi="Times New Roman" w:cs="Times New Roman"/>
          <w:color w:val="000000"/>
          <w:spacing w:val="0"/>
          <w:w w:val="100"/>
          <w:position w:val="0"/>
        </w:rPr>
        <w:t xml:space="preserve">-6,279.92 </w:t>
      </w:r>
      <w:r>
        <w:rPr>
          <w:color w:val="000000"/>
          <w:spacing w:val="0"/>
          <w:w w:val="100"/>
          <w:position w:val="0"/>
        </w:rPr>
        <w:t>万元。</w:t>
      </w:r>
      <w:bookmarkEnd w:id="362"/>
    </w:p>
    <w:p>
      <w:pPr>
        <w:pStyle w:val="Style16"/>
        <w:keepNext w:val="0"/>
        <w:keepLines w:val="0"/>
        <w:widowControl w:val="0"/>
        <w:shd w:val="clear" w:color="auto" w:fill="auto"/>
        <w:bidi w:val="0"/>
        <w:spacing w:before="0" w:after="340" w:line="240" w:lineRule="auto"/>
        <w:ind w:left="0" w:right="0" w:firstLine="0"/>
        <w:jc w:val="right"/>
      </w:pPr>
      <w:r>
        <mc:AlternateContent>
          <mc:Choice Requires="wps">
            <w:drawing>
              <wp:anchor distT="0" distB="0" distL="114300" distR="114300" simplePos="0" relativeHeight="125829392" behindDoc="0" locked="0" layoutInCell="1" allowOverlap="1">
                <wp:simplePos x="0" y="0"/>
                <wp:positionH relativeFrom="page">
                  <wp:posOffset>977900</wp:posOffset>
                </wp:positionH>
                <wp:positionV relativeFrom="paragraph">
                  <wp:posOffset>12700</wp:posOffset>
                </wp:positionV>
                <wp:extent cx="1097280" cy="173990"/>
                <wp:wrapSquare wrapText="right"/>
                <wp:docPr id="57" name="Shape 57"/>
                <a:graphic xmlns:a="http://schemas.openxmlformats.org/drawingml/2006/main">
                  <a:graphicData uri="http://schemas.microsoft.com/office/word/2010/wordprocessingShape">
                    <wps:wsp>
                      <wps:cNvSpPr txBox="1"/>
                      <wps:spPr>
                        <a:xfrm>
                          <a:ext cx="1097280" cy="17399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pPr>
                            <w:bookmarkStart w:id="360" w:name="bookmark360"/>
                            <w:r>
                              <w:rPr>
                                <w:b/>
                                <w:bCs/>
                                <w:color w:val="000000"/>
                                <w:spacing w:val="0"/>
                                <w:w w:val="100"/>
                                <w:position w:val="0"/>
                              </w:rPr>
                              <w:t>（</w:t>
                            </w:r>
                            <w:r>
                              <w:rPr>
                                <w:rFonts w:ascii="Times New Roman" w:eastAsia="Times New Roman" w:hAnsi="Times New Roman" w:cs="Times New Roman"/>
                                <w:b/>
                                <w:bCs/>
                                <w:color w:val="000000"/>
                                <w:spacing w:val="0"/>
                                <w:w w:val="100"/>
                                <w:position w:val="0"/>
                              </w:rPr>
                              <w:t>2</w:t>
                            </w:r>
                            <w:r>
                              <w:rPr>
                                <w:b/>
                                <w:bCs/>
                                <w:color w:val="000000"/>
                                <w:spacing w:val="0"/>
                                <w:w w:val="100"/>
                                <w:position w:val="0"/>
                              </w:rPr>
                              <w:t>）委托贷款情况</w:t>
                            </w:r>
                            <w:bookmarkEnd w:id="360"/>
                          </w:p>
                        </w:txbxContent>
                      </wps:txbx>
                      <wps:bodyPr wrap="none" lIns="0" tIns="0" rIns="0" bIns="0">
                        <a:noAutoFit/>
                      </wps:bodyPr>
                    </wps:wsp>
                  </a:graphicData>
                </a:graphic>
              </wp:anchor>
            </w:drawing>
          </mc:Choice>
          <mc:Fallback>
            <w:pict>
              <v:shape id="_x0000_s1083" type="#_x0000_t202" style="position:absolute;margin-left:77.pt;margin-top:1.pt;width:86.400000000000006pt;height:13.700000000000001pt;z-index:-125829361;mso-wrap-distance-left:9.pt;mso-wrap-distance-right:9.pt;mso-position-horizontal-relative:page" filled="f" stroked="f">
                <v:textbox inset="0,0,0,0">
                  <w:txbxContent>
                    <w:p>
                      <w:pPr>
                        <w:pStyle w:val="Style16"/>
                        <w:keepNext w:val="0"/>
                        <w:keepLines w:val="0"/>
                        <w:widowControl w:val="0"/>
                        <w:shd w:val="clear" w:color="auto" w:fill="auto"/>
                        <w:bidi w:val="0"/>
                        <w:spacing w:before="0" w:after="0" w:line="240" w:lineRule="auto"/>
                        <w:ind w:left="0" w:right="0" w:firstLine="0"/>
                        <w:jc w:val="left"/>
                      </w:pPr>
                      <w:bookmarkStart w:id="360" w:name="bookmark360"/>
                      <w:r>
                        <w:rPr>
                          <w:b/>
                          <w:bCs/>
                          <w:color w:val="000000"/>
                          <w:spacing w:val="0"/>
                          <w:w w:val="100"/>
                          <w:position w:val="0"/>
                        </w:rPr>
                        <w:t>（</w:t>
                      </w:r>
                      <w:r>
                        <w:rPr>
                          <w:rFonts w:ascii="Times New Roman" w:eastAsia="Times New Roman" w:hAnsi="Times New Roman" w:cs="Times New Roman"/>
                          <w:b/>
                          <w:bCs/>
                          <w:color w:val="000000"/>
                          <w:spacing w:val="0"/>
                          <w:w w:val="100"/>
                          <w:position w:val="0"/>
                        </w:rPr>
                        <w:t>2</w:t>
                      </w:r>
                      <w:r>
                        <w:rPr>
                          <w:b/>
                          <w:bCs/>
                          <w:color w:val="000000"/>
                          <w:spacing w:val="0"/>
                          <w:w w:val="100"/>
                          <w:position w:val="0"/>
                        </w:rPr>
                        <w:t>）委托贷款情况</w:t>
                      </w:r>
                      <w:bookmarkEnd w:id="360"/>
                    </w:p>
                  </w:txbxContent>
                </v:textbox>
                <w10:wrap type="square" side="right" anchorx="page"/>
              </v:shape>
            </w:pict>
          </mc:Fallback>
        </mc:AlternateContent>
      </w: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6"/>
        <w:keepNext w:val="0"/>
        <w:keepLines w:val="0"/>
        <w:widowControl w:val="0"/>
        <w:shd w:val="clear" w:color="auto" w:fill="auto"/>
        <w:bidi w:val="0"/>
        <w:spacing w:before="0" w:after="340" w:line="240" w:lineRule="auto"/>
        <w:ind w:left="0" w:right="0" w:firstLine="440"/>
        <w:jc w:val="left"/>
      </w:pPr>
      <w:r>
        <w:rPr>
          <w:color w:val="000000"/>
          <w:spacing w:val="0"/>
          <w:w w:val="100"/>
          <w:position w:val="0"/>
        </w:rPr>
        <w:t>本集团报告期不存在委托贷款。</w:t>
      </w:r>
    </w:p>
    <w:p>
      <w:pPr>
        <w:pStyle w:val="Style16"/>
        <w:keepNext w:val="0"/>
        <w:keepLines w:val="0"/>
        <w:widowControl w:val="0"/>
        <w:shd w:val="clear" w:color="auto" w:fill="auto"/>
        <w:bidi w:val="0"/>
        <w:spacing w:before="0" w:after="340" w:line="240" w:lineRule="auto"/>
        <w:ind w:left="0" w:right="0" w:firstLine="0"/>
        <w:jc w:val="right"/>
      </w:pPr>
      <w:r>
        <mc:AlternateContent>
          <mc:Choice Requires="wps">
            <w:drawing>
              <wp:anchor distT="0" distB="0" distL="114300" distR="114300" simplePos="0" relativeHeight="125829394" behindDoc="0" locked="0" layoutInCell="1" allowOverlap="1">
                <wp:simplePos x="0" y="0"/>
                <wp:positionH relativeFrom="page">
                  <wp:posOffset>904875</wp:posOffset>
                </wp:positionH>
                <wp:positionV relativeFrom="paragraph">
                  <wp:posOffset>12700</wp:posOffset>
                </wp:positionV>
                <wp:extent cx="1033145" cy="170815"/>
                <wp:wrapSquare wrapText="bothSides"/>
                <wp:docPr id="59" name="Shape 59"/>
                <a:graphic xmlns:a="http://schemas.openxmlformats.org/drawingml/2006/main">
                  <a:graphicData uri="http://schemas.microsoft.com/office/word/2010/wordprocessingShape">
                    <wps:wsp>
                      <wps:cNvSpPr txBox="1"/>
                      <wps:spPr>
                        <a:xfrm>
                          <a:ext cx="1033145" cy="17081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pPr>
                            <w:bookmarkStart w:id="361" w:name="bookmark361"/>
                            <w:r>
                              <w:rPr>
                                <w:rFonts w:ascii="Times New Roman" w:eastAsia="Times New Roman" w:hAnsi="Times New Roman" w:cs="Times New Roman"/>
                                <w:b/>
                                <w:bCs/>
                                <w:color w:val="000000"/>
                                <w:spacing w:val="0"/>
                                <w:w w:val="100"/>
                                <w:position w:val="0"/>
                              </w:rPr>
                              <w:t>4</w:t>
                            </w:r>
                            <w:r>
                              <w:rPr>
                                <w:b/>
                                <w:bCs/>
                                <w:color w:val="000000"/>
                                <w:spacing w:val="0"/>
                                <w:w w:val="100"/>
                                <w:position w:val="0"/>
                              </w:rPr>
                              <w:t>、其他重大合同</w:t>
                            </w:r>
                            <w:bookmarkEnd w:id="361"/>
                          </w:p>
                        </w:txbxContent>
                      </wps:txbx>
                      <wps:bodyPr wrap="none" lIns="0" tIns="0" rIns="0" bIns="0">
                        <a:noAutoFit/>
                      </wps:bodyPr>
                    </wps:wsp>
                  </a:graphicData>
                </a:graphic>
              </wp:anchor>
            </w:drawing>
          </mc:Choice>
          <mc:Fallback>
            <w:pict>
              <v:shape id="_x0000_s1085" type="#_x0000_t202" style="position:absolute;margin-left:71.25pt;margin-top:1.pt;width:81.350000000000009pt;height:13.450000000000001pt;z-index:-125829359;mso-wrap-distance-left:9.pt;mso-wrap-distance-right:9.pt;mso-position-horizontal-relative:page" filled="f" stroked="f">
                <v:textbox inset="0,0,0,0">
                  <w:txbxContent>
                    <w:p>
                      <w:pPr>
                        <w:pStyle w:val="Style16"/>
                        <w:keepNext w:val="0"/>
                        <w:keepLines w:val="0"/>
                        <w:widowControl w:val="0"/>
                        <w:shd w:val="clear" w:color="auto" w:fill="auto"/>
                        <w:bidi w:val="0"/>
                        <w:spacing w:before="0" w:after="0" w:line="240" w:lineRule="auto"/>
                        <w:ind w:left="0" w:right="0" w:firstLine="0"/>
                        <w:jc w:val="left"/>
                      </w:pPr>
                      <w:bookmarkStart w:id="361" w:name="bookmark361"/>
                      <w:r>
                        <w:rPr>
                          <w:rFonts w:ascii="Times New Roman" w:eastAsia="Times New Roman" w:hAnsi="Times New Roman" w:cs="Times New Roman"/>
                          <w:b/>
                          <w:bCs/>
                          <w:color w:val="000000"/>
                          <w:spacing w:val="0"/>
                          <w:w w:val="100"/>
                          <w:position w:val="0"/>
                        </w:rPr>
                        <w:t>4</w:t>
                      </w:r>
                      <w:r>
                        <w:rPr>
                          <w:b/>
                          <w:bCs/>
                          <w:color w:val="000000"/>
                          <w:spacing w:val="0"/>
                          <w:w w:val="100"/>
                          <w:position w:val="0"/>
                        </w:rPr>
                        <w:t>、其他重大合同</w:t>
                      </w:r>
                      <w:bookmarkEnd w:id="361"/>
                    </w:p>
                  </w:txbxContent>
                </v:textbox>
                <w10:wrap type="square" anchorx="page"/>
              </v:shape>
            </w:pict>
          </mc:Fallback>
        </mc:AlternateContent>
      </w: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6"/>
        <w:keepNext w:val="0"/>
        <w:keepLines w:val="0"/>
        <w:widowControl w:val="0"/>
        <w:shd w:val="clear" w:color="auto" w:fill="auto"/>
        <w:bidi w:val="0"/>
        <w:spacing w:before="0" w:after="340" w:line="240" w:lineRule="auto"/>
        <w:ind w:left="0" w:right="0" w:firstLine="440"/>
        <w:jc w:val="left"/>
        <w:sectPr>
          <w:headerReference w:type="default" r:id="rId23"/>
          <w:footerReference w:type="default" r:id="rId24"/>
          <w:footnotePr>
            <w:pos w:val="pageBottom"/>
            <w:numFmt w:val="decimal"/>
            <w:numRestart w:val="continuous"/>
          </w:footnotePr>
          <w:pgSz w:w="16840" w:h="11900" w:orient="landscape"/>
          <w:pgMar w:top="718" w:right="1382" w:bottom="2845" w:left="1408" w:header="290" w:footer="3" w:gutter="0"/>
          <w:cols w:space="720"/>
          <w:noEndnote/>
          <w:rtlGutter w:val="0"/>
          <w:docGrid w:linePitch="360"/>
        </w:sectPr>
      </w:pPr>
      <w:r>
        <w:rPr>
          <w:color w:val="000000"/>
          <w:spacing w:val="0"/>
          <w:w w:val="100"/>
          <w:position w:val="0"/>
        </w:rPr>
        <w:t>本集团报告期不存在其他重大合同。</w:t>
      </w:r>
    </w:p>
    <w:p>
      <w:pPr>
        <w:pStyle w:val="Style29"/>
        <w:keepNext/>
        <w:keepLines/>
        <w:widowControl w:val="0"/>
        <w:shd w:val="clear" w:color="auto" w:fill="auto"/>
        <w:bidi w:val="0"/>
        <w:spacing w:before="0" w:after="280" w:line="240" w:lineRule="auto"/>
        <w:ind w:left="0" w:right="0" w:firstLine="0"/>
        <w:jc w:val="left"/>
      </w:pPr>
      <w:bookmarkStart w:id="363" w:name="bookmark363"/>
      <w:bookmarkStart w:id="364" w:name="bookmark364"/>
      <w:bookmarkStart w:id="365" w:name="bookmark365"/>
      <w:r>
        <w:rPr>
          <w:color w:val="000000"/>
          <w:spacing w:val="0"/>
          <w:w w:val="100"/>
          <w:position w:val="0"/>
          <w:sz w:val="24"/>
          <w:szCs w:val="24"/>
        </w:rPr>
        <w:t>十八、社会责任情况</w:t>
      </w:r>
      <w:bookmarkEnd w:id="363"/>
      <w:bookmarkEnd w:id="364"/>
      <w:bookmarkEnd w:id="365"/>
    </w:p>
    <w:p>
      <w:pPr>
        <w:pStyle w:val="Style37"/>
        <w:keepNext/>
        <w:keepLines/>
        <w:widowControl w:val="0"/>
        <w:shd w:val="clear" w:color="auto" w:fill="auto"/>
        <w:tabs>
          <w:tab w:pos="365" w:val="left"/>
        </w:tabs>
        <w:bidi w:val="0"/>
        <w:spacing w:before="0" w:after="280" w:line="312" w:lineRule="exact"/>
        <w:ind w:left="0" w:right="0" w:firstLine="0"/>
        <w:jc w:val="left"/>
      </w:pPr>
      <w:bookmarkStart w:id="366" w:name="bookmark366"/>
      <w:bookmarkStart w:id="367" w:name="bookmark367"/>
      <w:bookmarkStart w:id="368" w:name="bookmark368"/>
      <w:bookmarkStart w:id="369" w:name="bookmark369"/>
      <w:r>
        <w:rPr>
          <w:rFonts w:ascii="Times New Roman" w:eastAsia="Times New Roman" w:hAnsi="Times New Roman" w:cs="Times New Roman"/>
          <w:color w:val="000000"/>
          <w:spacing w:val="0"/>
          <w:w w:val="100"/>
          <w:position w:val="0"/>
        </w:rPr>
        <w:t>1</w:t>
      </w:r>
      <w:bookmarkEnd w:id="368"/>
      <w:r>
        <w:rPr>
          <w:color w:val="000000"/>
          <w:spacing w:val="0"/>
          <w:w w:val="100"/>
          <w:position w:val="0"/>
        </w:rPr>
        <w:t>、</w:t>
        <w:tab/>
        <w:t>履行社会责任情况</w:t>
      </w:r>
      <w:bookmarkEnd w:id="366"/>
      <w:bookmarkEnd w:id="367"/>
      <w:bookmarkEnd w:id="369"/>
    </w:p>
    <w:p>
      <w:pPr>
        <w:pStyle w:val="Style1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公司坚守金融报国之初心，践行企业社会责任，在抗击疫情、精准扶贫、公益慈善、志愿服务等领域 持续投入，与股东和员工共享发展成果，与客户和伙伴共创卓越成就，与行业和社会共担责任使命。</w:t>
      </w:r>
    </w:p>
    <w:p>
      <w:pPr>
        <w:pStyle w:val="Style16"/>
        <w:keepNext w:val="0"/>
        <w:keepLines w:val="0"/>
        <w:widowControl w:val="0"/>
        <w:shd w:val="clear" w:color="auto" w:fill="auto"/>
        <w:bidi w:val="0"/>
        <w:spacing w:before="0" w:after="0" w:line="312"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年疫情期间，公司及子公司全面落实党中央号召，积极承担社会责任。国盛证券携旗下国盛资管、 国盛期货及国盛弘远投资三家子公司，向江西省红十字会捐助</w:t>
      </w:r>
      <w:r>
        <w:rPr>
          <w:rFonts w:ascii="Times New Roman" w:eastAsia="Times New Roman" w:hAnsi="Times New Roman" w:cs="Times New Roman"/>
          <w:color w:val="000000"/>
          <w:spacing w:val="0"/>
          <w:w w:val="100"/>
          <w:position w:val="0"/>
        </w:rPr>
        <w:t>500</w:t>
      </w:r>
      <w:r>
        <w:rPr>
          <w:color w:val="000000"/>
          <w:spacing w:val="0"/>
          <w:w w:val="100"/>
          <w:position w:val="0"/>
        </w:rPr>
        <w:t>万元，专项用于采购疫区医疗机构紧缺 的防疫救治急需物资，同时紧急捐赠医用防护服、护目镜、防护手套等紧缺防控物资</w:t>
      </w:r>
      <w:r>
        <w:rPr>
          <w:rFonts w:ascii="Times New Roman" w:eastAsia="Times New Roman" w:hAnsi="Times New Roman" w:cs="Times New Roman"/>
          <w:color w:val="000000"/>
          <w:spacing w:val="0"/>
          <w:w w:val="100"/>
          <w:position w:val="0"/>
        </w:rPr>
        <w:t>12,500</w:t>
      </w:r>
      <w:r>
        <w:rPr>
          <w:color w:val="000000"/>
          <w:spacing w:val="0"/>
          <w:w w:val="100"/>
          <w:position w:val="0"/>
        </w:rPr>
        <w:t>件（套）。公 司员工自发组织爱心捐款，共募集</w:t>
      </w:r>
      <w:r>
        <w:rPr>
          <w:rFonts w:ascii="Times New Roman" w:eastAsia="Times New Roman" w:hAnsi="Times New Roman" w:cs="Times New Roman"/>
          <w:color w:val="000000"/>
          <w:spacing w:val="0"/>
          <w:w w:val="100"/>
          <w:position w:val="0"/>
        </w:rPr>
        <w:t>102.3</w:t>
      </w:r>
      <w:r>
        <w:rPr>
          <w:color w:val="000000"/>
          <w:spacing w:val="0"/>
          <w:w w:val="100"/>
          <w:position w:val="0"/>
        </w:rPr>
        <w:t>万元，捐助武汉“战疫”一线医疗机构。</w:t>
      </w:r>
    </w:p>
    <w:p>
      <w:pPr>
        <w:pStyle w:val="Style1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国盛证券积极发挥金融抗“疫”，分支机构网点加强防护，全面升级安全卫生保障，引导客户进行线 上交易及非现场业务办理，切实保障了投资者权益和健康安全；通过展期纾解相关企业和个人的流动性困 难，降低市场影响；积极推进疫情防控债、小微企业增信集合债等债券发行，募集资金将用于支持疫情防 护防控相关业务。</w:t>
      </w:r>
    </w:p>
    <w:p>
      <w:pPr>
        <w:pStyle w:val="Style1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公司严格依法履约，与投资者、客户、供应商、合作伙伴建立良好信用体系，保护各利益相关方的权 益。</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年，国盛证券进一步优化客户服务中心工作，为了满足客户们的不同需求，国盛证券上下开启了 </w:t>
      </w:r>
      <w:r>
        <w:rPr>
          <w:rFonts w:ascii="Times New Roman" w:eastAsia="Times New Roman" w:hAnsi="Times New Roman" w:cs="Times New Roman"/>
          <w:color w:val="000000"/>
          <w:spacing w:val="0"/>
          <w:w w:val="100"/>
          <w:position w:val="0"/>
        </w:rPr>
        <w:t>"7</w:t>
      </w:r>
      <w:r>
        <w:rPr>
          <w:rFonts w:ascii="Arial" w:eastAsia="Arial" w:hAnsi="Arial" w:cs="Arial"/>
          <w:color w:val="000000"/>
          <w:spacing w:val="0"/>
          <w:w w:val="100"/>
          <w:position w:val="0"/>
          <w:sz w:val="17"/>
          <w:szCs w:val="17"/>
        </w:rPr>
        <w:t>X</w:t>
      </w:r>
      <w:r>
        <w:rPr>
          <w:rFonts w:ascii="Times New Roman" w:eastAsia="Times New Roman" w:hAnsi="Times New Roman" w:cs="Times New Roman"/>
          <w:color w:val="000000"/>
          <w:spacing w:val="0"/>
          <w:w w:val="100"/>
          <w:position w:val="0"/>
        </w:rPr>
        <w:t>24</w:t>
      </w:r>
      <w:r>
        <w:rPr>
          <w:rFonts w:ascii="Times New Roman" w:eastAsia="Times New Roman" w:hAnsi="Times New Roman" w:cs="Times New Roman"/>
          <w:color w:val="000000"/>
          <w:spacing w:val="0"/>
          <w:w w:val="100"/>
          <w:position w:val="0"/>
        </w:rPr>
        <w:t>"</w:t>
      </w:r>
      <w:r>
        <w:rPr>
          <w:color w:val="000000"/>
          <w:spacing w:val="0"/>
          <w:w w:val="100"/>
          <w:position w:val="0"/>
        </w:rPr>
        <w:t>服务模式，将客户服务做细、做深；积极开展投资者教育活动，在科创板开板开市一周年之际，国 盛证券联合上海证券交易所在江西南昌举办“携手科创板，理性共成长”科创板投资者专题培训活动。</w:t>
      </w:r>
    </w:p>
    <w:p>
      <w:pPr>
        <w:pStyle w:val="Style1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公司一贯注重人才培养、关爱员工生活，开展了覆盖全员的培训工作、企业文化建设活动，为员工提 供社会保险及医疗保险，持续完善各项福利待遇。尤其在疫情期间，公司为员工建立全面的防疫安全保障， 在保证公司正常运作的同时保卫员工及其家人的身体健康。</w:t>
      </w:r>
    </w:p>
    <w:p>
      <w:pPr>
        <w:pStyle w:val="Style16"/>
        <w:keepNext w:val="0"/>
        <w:keepLines w:val="0"/>
        <w:widowControl w:val="0"/>
        <w:shd w:val="clear" w:color="auto" w:fill="auto"/>
        <w:bidi w:val="0"/>
        <w:spacing w:before="0" w:after="280" w:line="312" w:lineRule="exact"/>
        <w:ind w:left="0" w:right="0" w:firstLine="440"/>
        <w:jc w:val="both"/>
      </w:pPr>
      <w:r>
        <w:rPr>
          <w:color w:val="000000"/>
          <w:spacing w:val="0"/>
          <w:w w:val="100"/>
          <w:position w:val="0"/>
        </w:rPr>
        <w:t>公司持续完善管理制度体系和治理结构，依法履行信息披露义务，及时披露定期报告、临时公告及其 他重大事项，充分保障中小股东的知情权。公司通过股东大会、业绩说明会、投资者关系互动平台、投资 者服务专线电话等方式积极与投资者沟通交流，切实履行对股东、投资者的责任。</w:t>
      </w:r>
    </w:p>
    <w:p>
      <w:pPr>
        <w:pStyle w:val="Style37"/>
        <w:keepNext/>
        <w:keepLines/>
        <w:widowControl w:val="0"/>
        <w:shd w:val="clear" w:color="auto" w:fill="auto"/>
        <w:tabs>
          <w:tab w:pos="365" w:val="left"/>
        </w:tabs>
        <w:bidi w:val="0"/>
        <w:spacing w:before="0" w:after="280" w:line="312" w:lineRule="exact"/>
        <w:ind w:left="0" w:right="0" w:firstLine="0"/>
        <w:jc w:val="left"/>
      </w:pPr>
      <w:bookmarkStart w:id="370" w:name="bookmark370"/>
      <w:bookmarkStart w:id="371" w:name="bookmark371"/>
      <w:bookmarkStart w:id="372" w:name="bookmark372"/>
      <w:bookmarkStart w:id="373" w:name="bookmark373"/>
      <w:r>
        <w:rPr>
          <w:rFonts w:ascii="Times New Roman" w:eastAsia="Times New Roman" w:hAnsi="Times New Roman" w:cs="Times New Roman"/>
          <w:color w:val="000000"/>
          <w:spacing w:val="0"/>
          <w:w w:val="100"/>
          <w:position w:val="0"/>
        </w:rPr>
        <w:t>2</w:t>
      </w:r>
      <w:bookmarkEnd w:id="372"/>
      <w:r>
        <w:rPr>
          <w:color w:val="000000"/>
          <w:spacing w:val="0"/>
          <w:w w:val="100"/>
          <w:position w:val="0"/>
        </w:rPr>
        <w:t>、</w:t>
        <w:tab/>
        <w:t>履行精准扶贫社会责任情况</w:t>
      </w:r>
      <w:bookmarkEnd w:id="370"/>
      <w:bookmarkEnd w:id="371"/>
      <w:bookmarkEnd w:id="373"/>
    </w:p>
    <w:p>
      <w:pPr>
        <w:pStyle w:val="Style51"/>
        <w:keepNext/>
        <w:keepLines/>
        <w:widowControl w:val="0"/>
        <w:shd w:val="clear" w:color="auto" w:fill="auto"/>
        <w:tabs>
          <w:tab w:pos="467" w:val="left"/>
        </w:tabs>
        <w:bidi w:val="0"/>
        <w:spacing w:before="0" w:after="280" w:line="312" w:lineRule="exact"/>
        <w:ind w:left="0" w:right="0" w:firstLine="0"/>
        <w:jc w:val="left"/>
      </w:pPr>
      <w:bookmarkStart w:id="374" w:name="bookmark374"/>
      <w:bookmarkStart w:id="375" w:name="bookmark375"/>
      <w:bookmarkStart w:id="376" w:name="bookmark376"/>
      <w:bookmarkStart w:id="377" w:name="bookmark377"/>
      <w:r>
        <w:rPr>
          <w:color w:val="000000"/>
          <w:spacing w:val="0"/>
          <w:w w:val="100"/>
          <w:position w:val="0"/>
        </w:rPr>
        <w:t>（</w:t>
      </w:r>
      <w:bookmarkEnd w:id="376"/>
      <w:r>
        <w:rPr>
          <w:rFonts w:ascii="Times New Roman" w:eastAsia="Times New Roman" w:hAnsi="Times New Roman" w:cs="Times New Roman"/>
          <w:color w:val="000000"/>
          <w:spacing w:val="0"/>
          <w:w w:val="100"/>
          <w:position w:val="0"/>
        </w:rPr>
        <w:t>1</w:t>
      </w:r>
      <w:r>
        <w:rPr>
          <w:color w:val="000000"/>
          <w:spacing w:val="0"/>
          <w:w w:val="100"/>
          <w:position w:val="0"/>
        </w:rPr>
        <w:t>）</w:t>
        <w:tab/>
        <w:t>精准扶贫规划</w:t>
      </w:r>
      <w:bookmarkEnd w:id="374"/>
      <w:bookmarkEnd w:id="375"/>
      <w:bookmarkEnd w:id="377"/>
    </w:p>
    <w:p>
      <w:pPr>
        <w:pStyle w:val="Style16"/>
        <w:keepNext w:val="0"/>
        <w:keepLines w:val="0"/>
        <w:widowControl w:val="0"/>
        <w:shd w:val="clear" w:color="auto" w:fill="auto"/>
        <w:bidi w:val="0"/>
        <w:spacing w:before="0" w:after="0" w:line="317"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年，公司在各级领导部门的关心支持下，继续深入贯彻落实党中央提出的“坚持精准扶贫、精准 脱贫，脱真贫、真脱贫”战略部署，主动提高政治站位，积极履行社会责任。</w:t>
      </w:r>
    </w:p>
    <w:p>
      <w:pPr>
        <w:pStyle w:val="Style16"/>
        <w:keepNext w:val="0"/>
        <w:keepLines w:val="0"/>
        <w:widowControl w:val="0"/>
        <w:shd w:val="clear" w:color="auto" w:fill="auto"/>
        <w:bidi w:val="0"/>
        <w:spacing w:before="0" w:after="280" w:line="317" w:lineRule="exact"/>
        <w:ind w:left="0" w:right="0" w:firstLine="440"/>
        <w:jc w:val="both"/>
      </w:pPr>
      <w:r>
        <w:rPr>
          <w:color w:val="000000"/>
          <w:spacing w:val="0"/>
          <w:w w:val="100"/>
          <w:position w:val="0"/>
        </w:rPr>
        <w:t xml:space="preserve">公司及子公司全年在产业扶贫、教育扶贫、社会扶贫等方面开展了多个项目和活动，包括采购贫困地 区农产品、帮助贫困地区发展产业、通过中国扶贫基金会向彭水自治县捐赠资金建设智慧教室、推广复制 </w:t>
      </w:r>
      <w:r>
        <w:rPr>
          <w:color w:val="000000"/>
          <w:spacing w:val="0"/>
          <w:w w:val="100"/>
          <w:position w:val="0"/>
        </w:rPr>
        <w:t>“</w:t>
      </w:r>
      <w:r>
        <w:rPr>
          <w:rFonts w:ascii="Times New Roman" w:eastAsia="Times New Roman" w:hAnsi="Times New Roman" w:cs="Times New Roman"/>
          <w:color w:val="000000"/>
          <w:spacing w:val="0"/>
          <w:w w:val="100"/>
          <w:position w:val="0"/>
        </w:rPr>
        <w:t>1+X</w:t>
      </w:r>
      <w:r>
        <w:rPr>
          <w:color w:val="000000"/>
          <w:spacing w:val="0"/>
          <w:w w:val="100"/>
          <w:position w:val="0"/>
        </w:rPr>
        <w:t>共享课堂”、与上交所公益基金会、江西证监局合作开发青少年财商课、帮助对口贫困地区推进落 实项目收益债、企业债发行等。</w:t>
      </w:r>
    </w:p>
    <w:p>
      <w:pPr>
        <w:pStyle w:val="Style51"/>
        <w:keepNext/>
        <w:keepLines/>
        <w:widowControl w:val="0"/>
        <w:shd w:val="clear" w:color="auto" w:fill="auto"/>
        <w:tabs>
          <w:tab w:pos="467" w:val="left"/>
        </w:tabs>
        <w:bidi w:val="0"/>
        <w:spacing w:before="0" w:after="280" w:line="312" w:lineRule="exact"/>
        <w:ind w:left="0" w:right="0" w:firstLine="0"/>
        <w:jc w:val="left"/>
      </w:pPr>
      <w:bookmarkStart w:id="378" w:name="bookmark378"/>
      <w:bookmarkStart w:id="379" w:name="bookmark379"/>
      <w:bookmarkStart w:id="380" w:name="bookmark380"/>
      <w:bookmarkStart w:id="381" w:name="bookmark381"/>
      <w:r>
        <w:rPr>
          <w:color w:val="000000"/>
          <w:spacing w:val="0"/>
          <w:w w:val="100"/>
          <w:position w:val="0"/>
        </w:rPr>
        <w:t>（</w:t>
      </w:r>
      <w:bookmarkEnd w:id="380"/>
      <w:r>
        <w:rPr>
          <w:rFonts w:ascii="Times New Roman" w:eastAsia="Times New Roman" w:hAnsi="Times New Roman" w:cs="Times New Roman"/>
          <w:color w:val="000000"/>
          <w:spacing w:val="0"/>
          <w:w w:val="100"/>
          <w:position w:val="0"/>
        </w:rPr>
        <w:t>2</w:t>
      </w:r>
      <w:r>
        <w:rPr>
          <w:color w:val="000000"/>
          <w:spacing w:val="0"/>
          <w:w w:val="100"/>
          <w:position w:val="0"/>
        </w:rPr>
        <w:t>）</w:t>
        <w:tab/>
        <w:t>年度精准扶贫概要</w:t>
      </w:r>
      <w:bookmarkEnd w:id="378"/>
      <w:bookmarkEnd w:id="379"/>
      <w:bookmarkEnd w:id="381"/>
    </w:p>
    <w:p>
      <w:pPr>
        <w:pStyle w:val="Style16"/>
        <w:keepNext w:val="0"/>
        <w:keepLines w:val="0"/>
        <w:widowControl w:val="0"/>
        <w:shd w:val="clear" w:color="auto" w:fill="auto"/>
        <w:bidi w:val="0"/>
        <w:spacing w:before="0" w:after="0" w:line="312" w:lineRule="exact"/>
        <w:ind w:left="0" w:right="0" w:firstLine="440"/>
        <w:jc w:val="left"/>
      </w:pPr>
      <w:r>
        <w:rPr>
          <w:color w:val="000000"/>
          <w:spacing w:val="0"/>
          <w:w w:val="100"/>
          <w:position w:val="0"/>
        </w:rPr>
        <w:t>报告期内，公司及子公司积极开展产业扶贫、教育扶贫、社会扶贫等一系列工作。</w:t>
      </w:r>
    </w:p>
    <w:p>
      <w:pPr>
        <w:pStyle w:val="Style16"/>
        <w:keepNext w:val="0"/>
        <w:keepLines w:val="0"/>
        <w:widowControl w:val="0"/>
        <w:numPr>
          <w:ilvl w:val="0"/>
          <w:numId w:val="7"/>
        </w:numPr>
        <w:shd w:val="clear" w:color="auto" w:fill="auto"/>
        <w:bidi w:val="0"/>
        <w:spacing w:before="0" w:after="0" w:line="312" w:lineRule="exact"/>
        <w:ind w:left="0" w:right="0" w:firstLine="440"/>
        <w:jc w:val="both"/>
      </w:pPr>
      <w:bookmarkStart w:id="382" w:name="bookmark382"/>
      <w:bookmarkEnd w:id="382"/>
      <w:r>
        <w:rPr>
          <w:color w:val="000000"/>
          <w:spacing w:val="0"/>
          <w:w w:val="100"/>
          <w:position w:val="0"/>
        </w:rPr>
        <w:t>产业扶贫</w:t>
      </w:r>
    </w:p>
    <w:p>
      <w:pPr>
        <w:pStyle w:val="Style16"/>
        <w:keepNext w:val="0"/>
        <w:keepLines w:val="0"/>
        <w:widowControl w:val="0"/>
        <w:shd w:val="clear" w:color="auto" w:fill="auto"/>
        <w:bidi w:val="0"/>
        <w:spacing w:before="0" w:after="0" w:line="322" w:lineRule="exact"/>
        <w:ind w:left="0" w:right="0" w:firstLine="440"/>
        <w:jc w:val="both"/>
      </w:pPr>
      <w:r>
        <w:rPr>
          <w:color w:val="000000"/>
          <w:spacing w:val="0"/>
          <w:w w:val="100"/>
          <w:position w:val="0"/>
        </w:rPr>
        <w:t>国盛证券在疫情期间，积极为贫困地区解决农产品滞销难题，共投入</w:t>
      </w:r>
      <w:r>
        <w:rPr>
          <w:rFonts w:ascii="Times New Roman" w:eastAsia="Times New Roman" w:hAnsi="Times New Roman" w:cs="Times New Roman"/>
          <w:color w:val="000000"/>
          <w:spacing w:val="0"/>
          <w:w w:val="100"/>
          <w:position w:val="0"/>
        </w:rPr>
        <w:t>10 0</w:t>
      </w:r>
      <w:r>
        <w:rPr>
          <w:color w:val="000000"/>
          <w:spacing w:val="0"/>
          <w:w w:val="100"/>
          <w:position w:val="0"/>
        </w:rPr>
        <w:t>余万元在横峰县、于都县和 万年县等采购农产品，切实解决了贫困地区燃眉之急。</w:t>
      </w:r>
    </w:p>
    <w:p>
      <w:pPr>
        <w:pStyle w:val="Style16"/>
        <w:keepNext w:val="0"/>
        <w:keepLines w:val="0"/>
        <w:widowControl w:val="0"/>
        <w:shd w:val="clear" w:color="auto" w:fill="auto"/>
        <w:bidi w:val="0"/>
        <w:spacing w:before="0" w:after="280" w:line="317" w:lineRule="exact"/>
        <w:ind w:left="0" w:right="0" w:firstLine="440"/>
        <w:jc w:val="both"/>
      </w:pPr>
      <w:r>
        <w:rPr>
          <w:color w:val="000000"/>
          <w:spacing w:val="0"/>
          <w:w w:val="100"/>
          <w:position w:val="0"/>
        </w:rPr>
        <w:t>国盛证券投入</w:t>
      </w:r>
      <w:r>
        <w:rPr>
          <w:rFonts w:ascii="Times New Roman" w:eastAsia="Times New Roman" w:hAnsi="Times New Roman" w:cs="Times New Roman"/>
          <w:color w:val="000000"/>
          <w:spacing w:val="0"/>
          <w:w w:val="100"/>
          <w:position w:val="0"/>
        </w:rPr>
        <w:t>10</w:t>
      </w:r>
      <w:r>
        <w:rPr>
          <w:color w:val="000000"/>
          <w:spacing w:val="0"/>
          <w:w w:val="100"/>
          <w:position w:val="0"/>
        </w:rPr>
        <w:t>万元帮助横峰县金鸡村发展白茶种植产业，由村合作社基地为贫困户提供务工、技术 学习和分红。</w:t>
      </w:r>
      <w:r>
        <w:rPr>
          <w:rFonts w:ascii="Times New Roman" w:eastAsia="Times New Roman" w:hAnsi="Times New Roman" w:cs="Times New Roman"/>
          <w:color w:val="000000"/>
          <w:spacing w:val="0"/>
          <w:w w:val="100"/>
          <w:position w:val="0"/>
        </w:rPr>
        <w:t>2020</w:t>
      </w:r>
      <w:r>
        <w:rPr>
          <w:color w:val="000000"/>
          <w:spacing w:val="0"/>
          <w:w w:val="100"/>
          <w:position w:val="0"/>
        </w:rPr>
        <w:t>年春节期间，国盛证券走访定点帮扶贫困村一寻乌县中坑村和卢屋村，向两村</w:t>
      </w:r>
      <w:r>
        <w:rPr>
          <w:rFonts w:ascii="Times New Roman" w:eastAsia="Times New Roman" w:hAnsi="Times New Roman" w:cs="Times New Roman"/>
          <w:color w:val="000000"/>
          <w:spacing w:val="0"/>
          <w:w w:val="100"/>
          <w:position w:val="0"/>
        </w:rPr>
        <w:t>89</w:t>
      </w:r>
      <w:r>
        <w:rPr>
          <w:color w:val="000000"/>
          <w:spacing w:val="0"/>
          <w:w w:val="100"/>
          <w:position w:val="0"/>
        </w:rPr>
        <w:t>户贫困 户送去了节日慰问品，并为过去一年来在脱贫攻坚工作中表现突出的村民颁发了奖品。</w:t>
      </w:r>
    </w:p>
    <w:p>
      <w:pPr>
        <w:pStyle w:val="Style16"/>
        <w:keepNext w:val="0"/>
        <w:keepLines w:val="0"/>
        <w:widowControl w:val="0"/>
        <w:numPr>
          <w:ilvl w:val="0"/>
          <w:numId w:val="7"/>
        </w:numPr>
        <w:shd w:val="clear" w:color="auto" w:fill="auto"/>
        <w:tabs>
          <w:tab w:pos="865" w:val="left"/>
        </w:tabs>
        <w:bidi w:val="0"/>
        <w:spacing w:before="0" w:after="0" w:line="310" w:lineRule="exact"/>
        <w:ind w:left="0" w:right="0" w:firstLine="440"/>
        <w:jc w:val="both"/>
      </w:pPr>
      <w:bookmarkStart w:id="383" w:name="bookmark383"/>
      <w:bookmarkEnd w:id="383"/>
      <w:r>
        <w:rPr>
          <w:color w:val="000000"/>
          <w:spacing w:val="0"/>
          <w:w w:val="100"/>
          <w:position w:val="0"/>
        </w:rPr>
        <w:t>教育扶贫</w:t>
      </w:r>
    </w:p>
    <w:p>
      <w:pPr>
        <w:pStyle w:val="Style16"/>
        <w:keepNext w:val="0"/>
        <w:keepLines w:val="0"/>
        <w:widowControl w:val="0"/>
        <w:shd w:val="clear" w:color="auto" w:fill="auto"/>
        <w:bidi w:val="0"/>
        <w:spacing w:before="0" w:after="0" w:line="318"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月，国盛金控助力彭水自治县脱贫攻坚项目中的教育扶贫项目，向中国扶贫基金会捐赠</w:t>
      </w:r>
      <w:r>
        <w:rPr>
          <w:rFonts w:ascii="Times New Roman" w:eastAsia="Times New Roman" w:hAnsi="Times New Roman" w:cs="Times New Roman"/>
          <w:color w:val="000000"/>
          <w:spacing w:val="0"/>
          <w:w w:val="100"/>
          <w:position w:val="0"/>
        </w:rPr>
        <w:t>30</w:t>
      </w:r>
      <w:r>
        <w:rPr>
          <w:color w:val="000000"/>
          <w:spacing w:val="0"/>
          <w:w w:val="100"/>
          <w:position w:val="0"/>
        </w:rPr>
        <w:t>万 元在彭水自治县民族中学建设智慧教室。该教室可容纳</w:t>
      </w:r>
      <w:r>
        <w:rPr>
          <w:rFonts w:ascii="Times New Roman" w:eastAsia="Times New Roman" w:hAnsi="Times New Roman" w:cs="Times New Roman"/>
          <w:color w:val="000000"/>
          <w:spacing w:val="0"/>
          <w:w w:val="100"/>
          <w:position w:val="0"/>
        </w:rPr>
        <w:t>200</w:t>
      </w:r>
      <w:r>
        <w:rPr>
          <w:color w:val="000000"/>
          <w:spacing w:val="0"/>
          <w:w w:val="100"/>
          <w:position w:val="0"/>
        </w:rPr>
        <w:t>余人，于</w:t>
      </w:r>
      <w:r>
        <w:rPr>
          <w:rFonts w:ascii="Times New Roman" w:eastAsia="Times New Roman" w:hAnsi="Times New Roman" w:cs="Times New Roman"/>
          <w:color w:val="000000"/>
          <w:spacing w:val="0"/>
          <w:w w:val="100"/>
          <w:position w:val="0"/>
        </w:rPr>
        <w:t>9</w:t>
      </w:r>
      <w:r>
        <w:rPr>
          <w:color w:val="000000"/>
          <w:spacing w:val="0"/>
          <w:w w:val="100"/>
          <w:position w:val="0"/>
        </w:rPr>
        <w:t>月底建成并挂牌使用，配备了多媒体 音像硬件设施、远程教育软件设施及保密室，可满足该校师生远程教育、远程会议、考试等需求，弥补了 该校一直没有多媒体智慧教室的空白。</w:t>
      </w:r>
    </w:p>
    <w:p>
      <w:pPr>
        <w:pStyle w:val="Style16"/>
        <w:keepNext w:val="0"/>
        <w:keepLines w:val="0"/>
        <w:widowControl w:val="0"/>
        <w:shd w:val="clear" w:color="auto" w:fill="auto"/>
        <w:bidi w:val="0"/>
        <w:spacing w:before="0" w:after="0" w:line="310" w:lineRule="exact"/>
        <w:ind w:left="0" w:right="0" w:firstLine="440"/>
        <w:jc w:val="both"/>
      </w:pPr>
      <w:r>
        <w:rPr>
          <w:color w:val="000000"/>
          <w:spacing w:val="0"/>
          <w:w w:val="100"/>
          <w:position w:val="0"/>
        </w:rPr>
        <w:t>国盛证券继续加大推广复制</w:t>
      </w:r>
      <w:r>
        <w:rPr>
          <w:color w:val="000000"/>
          <w:spacing w:val="0"/>
          <w:w w:val="100"/>
          <w:position w:val="0"/>
        </w:rPr>
        <w:t>“</w:t>
      </w:r>
      <w:r>
        <w:rPr>
          <w:rFonts w:ascii="Times New Roman" w:eastAsia="Times New Roman" w:hAnsi="Times New Roman" w:cs="Times New Roman"/>
          <w:color w:val="000000"/>
          <w:spacing w:val="0"/>
          <w:w w:val="100"/>
          <w:position w:val="0"/>
        </w:rPr>
        <w:t>1+X</w:t>
      </w:r>
      <w:r>
        <w:rPr>
          <w:color w:val="000000"/>
          <w:spacing w:val="0"/>
          <w:w w:val="100"/>
          <w:position w:val="0"/>
        </w:rPr>
        <w:t>”共享课堂项目力度，</w:t>
      </w:r>
      <w:r>
        <w:rPr>
          <w:rFonts w:ascii="Times New Roman" w:eastAsia="Times New Roman" w:hAnsi="Times New Roman" w:cs="Times New Roman"/>
          <w:color w:val="000000"/>
          <w:spacing w:val="0"/>
          <w:w w:val="100"/>
          <w:position w:val="0"/>
        </w:rPr>
        <w:t>2020</w:t>
      </w:r>
      <w:r>
        <w:rPr>
          <w:color w:val="000000"/>
          <w:spacing w:val="0"/>
          <w:w w:val="100"/>
          <w:position w:val="0"/>
        </w:rPr>
        <w:t>年投入</w:t>
      </w:r>
      <w:r>
        <w:rPr>
          <w:rFonts w:ascii="Times New Roman" w:eastAsia="Times New Roman" w:hAnsi="Times New Roman" w:cs="Times New Roman"/>
          <w:color w:val="000000"/>
          <w:spacing w:val="0"/>
          <w:w w:val="100"/>
          <w:position w:val="0"/>
        </w:rPr>
        <w:t>405</w:t>
      </w:r>
      <w:r>
        <w:rPr>
          <w:color w:val="000000"/>
          <w:spacing w:val="0"/>
          <w:w w:val="100"/>
          <w:position w:val="0"/>
        </w:rPr>
        <w:t>万元在赣州市于都县和寻乌县 六个乡镇中心小学建设国盛</w:t>
      </w:r>
      <w:r>
        <w:rPr>
          <w:color w:val="000000"/>
          <w:spacing w:val="0"/>
          <w:w w:val="100"/>
          <w:position w:val="0"/>
        </w:rPr>
        <w:t>“</w:t>
      </w:r>
      <w:r>
        <w:rPr>
          <w:rFonts w:ascii="Times New Roman" w:eastAsia="Times New Roman" w:hAnsi="Times New Roman" w:cs="Times New Roman"/>
          <w:color w:val="000000"/>
          <w:spacing w:val="0"/>
          <w:w w:val="100"/>
          <w:position w:val="0"/>
        </w:rPr>
        <w:t>1+X</w:t>
      </w:r>
      <w:r>
        <w:rPr>
          <w:color w:val="000000"/>
          <w:spacing w:val="0"/>
          <w:w w:val="100"/>
          <w:position w:val="0"/>
        </w:rPr>
        <w:t>”共享课堂项目，覆盖</w:t>
      </w:r>
      <w:r>
        <w:rPr>
          <w:rFonts w:ascii="Times New Roman" w:eastAsia="Times New Roman" w:hAnsi="Times New Roman" w:cs="Times New Roman"/>
          <w:color w:val="000000"/>
          <w:spacing w:val="0"/>
          <w:w w:val="100"/>
          <w:position w:val="0"/>
        </w:rPr>
        <w:t>100</w:t>
      </w:r>
      <w:r>
        <w:rPr>
          <w:color w:val="000000"/>
          <w:spacing w:val="0"/>
          <w:w w:val="100"/>
          <w:position w:val="0"/>
        </w:rPr>
        <w:t>所农村学校，受益学生达</w:t>
      </w:r>
      <w:r>
        <w:rPr>
          <w:rFonts w:ascii="Times New Roman" w:eastAsia="Times New Roman" w:hAnsi="Times New Roman" w:cs="Times New Roman"/>
          <w:color w:val="000000"/>
          <w:spacing w:val="0"/>
          <w:w w:val="100"/>
          <w:position w:val="0"/>
        </w:rPr>
        <w:t>14,622</w:t>
      </w:r>
      <w:r>
        <w:rPr>
          <w:color w:val="000000"/>
          <w:spacing w:val="0"/>
          <w:w w:val="100"/>
          <w:position w:val="0"/>
        </w:rPr>
        <w:t>人。</w:t>
      </w:r>
    </w:p>
    <w:p>
      <w:pPr>
        <w:pStyle w:val="Style16"/>
        <w:keepNext w:val="0"/>
        <w:keepLines w:val="0"/>
        <w:widowControl w:val="0"/>
        <w:shd w:val="clear" w:color="auto" w:fill="auto"/>
        <w:bidi w:val="0"/>
        <w:spacing w:before="0" w:after="0" w:line="310" w:lineRule="exact"/>
        <w:ind w:left="0" w:right="0" w:firstLine="440"/>
        <w:jc w:val="both"/>
      </w:pPr>
      <w:r>
        <w:rPr>
          <w:color w:val="000000"/>
          <w:spacing w:val="0"/>
          <w:w w:val="100"/>
          <w:position w:val="0"/>
        </w:rPr>
        <w:t>国盛证券积极落实中国证监会将投资者教育逐步纳入国民教育体系的相关要求，加强少年儿童的投资 者教育，</w:t>
      </w:r>
      <w:r>
        <w:rPr>
          <w:rFonts w:ascii="Times New Roman" w:eastAsia="Times New Roman" w:hAnsi="Times New Roman" w:cs="Times New Roman"/>
          <w:color w:val="000000"/>
          <w:spacing w:val="0"/>
          <w:w w:val="100"/>
          <w:position w:val="0"/>
        </w:rPr>
        <w:t>2020</w:t>
      </w:r>
      <w:r>
        <w:rPr>
          <w:color w:val="000000"/>
          <w:spacing w:val="0"/>
          <w:w w:val="100"/>
          <w:position w:val="0"/>
        </w:rPr>
        <w:t>年与上交所公益基金会、江西证监局合作开发青少年财商课，在赣州市于都县和寻乌县下辖 七所乡镇中心小学的</w:t>
      </w:r>
      <w:r>
        <w:rPr>
          <w:rFonts w:ascii="Times New Roman" w:eastAsia="Times New Roman" w:hAnsi="Times New Roman" w:cs="Times New Roman"/>
          <w:color w:val="000000"/>
          <w:spacing w:val="0"/>
          <w:w w:val="100"/>
          <w:position w:val="0"/>
        </w:rPr>
        <w:t>126</w:t>
      </w:r>
      <w:r>
        <w:rPr>
          <w:color w:val="000000"/>
          <w:spacing w:val="0"/>
          <w:w w:val="100"/>
          <w:position w:val="0"/>
        </w:rPr>
        <w:t>所小学开讲</w:t>
      </w:r>
      <w:r>
        <w:rPr>
          <w:rFonts w:ascii="Times New Roman" w:eastAsia="Times New Roman" w:hAnsi="Times New Roman" w:cs="Times New Roman"/>
          <w:color w:val="000000"/>
          <w:spacing w:val="0"/>
          <w:w w:val="100"/>
          <w:position w:val="0"/>
        </w:rPr>
        <w:t>5</w:t>
      </w:r>
      <w:r>
        <w:rPr>
          <w:color w:val="000000"/>
          <w:spacing w:val="0"/>
          <w:w w:val="100"/>
          <w:position w:val="0"/>
        </w:rPr>
        <w:t>次，为</w:t>
      </w:r>
      <w:r>
        <w:rPr>
          <w:rFonts w:ascii="Times New Roman" w:eastAsia="Times New Roman" w:hAnsi="Times New Roman" w:cs="Times New Roman"/>
          <w:color w:val="000000"/>
          <w:spacing w:val="0"/>
          <w:w w:val="100"/>
          <w:position w:val="0"/>
        </w:rPr>
        <w:t>26,300</w:t>
      </w:r>
      <w:r>
        <w:rPr>
          <w:color w:val="000000"/>
          <w:spacing w:val="0"/>
          <w:w w:val="100"/>
          <w:position w:val="0"/>
        </w:rPr>
        <w:t>名农村学生带来了 “财商第一课”。</w:t>
      </w:r>
    </w:p>
    <w:p>
      <w:pPr>
        <w:pStyle w:val="Style16"/>
        <w:keepNext w:val="0"/>
        <w:keepLines w:val="0"/>
        <w:widowControl w:val="0"/>
        <w:shd w:val="clear" w:color="auto" w:fill="auto"/>
        <w:bidi w:val="0"/>
        <w:spacing w:before="0" w:after="0" w:line="310"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年扶贫月活动期间，国盛证券赴于都县银坑中心小学开展爱心捐赠、公益助学等活动，共捐赠图 书</w:t>
      </w:r>
      <w:r>
        <w:rPr>
          <w:rFonts w:ascii="Times New Roman" w:eastAsia="Times New Roman" w:hAnsi="Times New Roman" w:cs="Times New Roman"/>
          <w:color w:val="000000"/>
          <w:spacing w:val="0"/>
          <w:w w:val="100"/>
          <w:position w:val="0"/>
        </w:rPr>
        <w:t>2,000</w:t>
      </w:r>
      <w:r>
        <w:rPr>
          <w:color w:val="000000"/>
          <w:spacing w:val="0"/>
          <w:w w:val="100"/>
          <w:position w:val="0"/>
        </w:rPr>
        <w:t>余本及大量文体用品，并为当地贫困孩子开启了一场充满童趣的六一专项青少年财商课教育活动。</w:t>
      </w:r>
    </w:p>
    <w:p>
      <w:pPr>
        <w:pStyle w:val="Style16"/>
        <w:keepNext w:val="0"/>
        <w:keepLines w:val="0"/>
        <w:widowControl w:val="0"/>
        <w:numPr>
          <w:ilvl w:val="0"/>
          <w:numId w:val="7"/>
        </w:numPr>
        <w:shd w:val="clear" w:color="auto" w:fill="auto"/>
        <w:tabs>
          <w:tab w:pos="865" w:val="left"/>
        </w:tabs>
        <w:bidi w:val="0"/>
        <w:spacing w:before="0" w:after="0" w:line="310" w:lineRule="exact"/>
        <w:ind w:left="0" w:right="0" w:firstLine="440"/>
        <w:jc w:val="both"/>
      </w:pPr>
      <w:bookmarkStart w:id="384" w:name="bookmark384"/>
      <w:bookmarkEnd w:id="384"/>
      <w:r>
        <w:rPr>
          <w:color w:val="000000"/>
          <w:spacing w:val="0"/>
          <w:w w:val="100"/>
          <w:position w:val="0"/>
        </w:rPr>
        <w:t>金融扶贫</w:t>
      </w:r>
    </w:p>
    <w:p>
      <w:pPr>
        <w:pStyle w:val="Style16"/>
        <w:keepNext w:val="0"/>
        <w:keepLines w:val="0"/>
        <w:widowControl w:val="0"/>
        <w:shd w:val="clear" w:color="auto" w:fill="auto"/>
        <w:bidi w:val="0"/>
        <w:spacing w:before="0" w:after="360" w:line="310"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年，国盛证券积极协助对口贫困地区推进落实项目收益债、企业债发行工作，成功为赣州全南县 发行项目收益债</w:t>
      </w:r>
      <w:r>
        <w:rPr>
          <w:rFonts w:ascii="Times New Roman" w:eastAsia="Times New Roman" w:hAnsi="Times New Roman" w:cs="Times New Roman"/>
          <w:color w:val="000000"/>
          <w:spacing w:val="0"/>
          <w:w w:val="100"/>
          <w:position w:val="0"/>
        </w:rPr>
        <w:t>4</w:t>
      </w:r>
      <w:r>
        <w:rPr>
          <w:color w:val="000000"/>
          <w:spacing w:val="0"/>
          <w:w w:val="100"/>
          <w:position w:val="0"/>
        </w:rPr>
        <w:t>亿元，为赣州会昌县发行项目收益债</w:t>
      </w:r>
      <w:r>
        <w:rPr>
          <w:rFonts w:ascii="Times New Roman" w:eastAsia="Times New Roman" w:hAnsi="Times New Roman" w:cs="Times New Roman"/>
          <w:color w:val="000000"/>
          <w:spacing w:val="0"/>
          <w:w w:val="100"/>
          <w:position w:val="0"/>
        </w:rPr>
        <w:t>8</w:t>
      </w:r>
      <w:r>
        <w:rPr>
          <w:color w:val="000000"/>
          <w:spacing w:val="0"/>
          <w:w w:val="100"/>
          <w:position w:val="0"/>
        </w:rPr>
        <w:t>亿元，助力当地经济和乡村振兴。</w:t>
      </w:r>
    </w:p>
    <w:p>
      <w:pPr>
        <w:pStyle w:val="Style40"/>
        <w:keepNext w:val="0"/>
        <w:keepLines w:val="0"/>
        <w:widowControl w:val="0"/>
        <w:shd w:val="clear" w:color="auto" w:fill="auto"/>
        <w:bidi w:val="0"/>
        <w:spacing w:before="0" w:after="0" w:line="240" w:lineRule="auto"/>
        <w:ind w:left="96" w:right="0" w:firstLine="0"/>
        <w:jc w:val="left"/>
      </w:pPr>
      <w:bookmarkStart w:id="385" w:name="bookmark385"/>
      <w:r>
        <w:rPr>
          <w:b/>
          <w:bCs/>
          <w:color w:val="000000"/>
          <w:spacing w:val="0"/>
          <w:w w:val="100"/>
          <w:position w:val="0"/>
        </w:rPr>
        <w:t>（</w:t>
      </w:r>
      <w:r>
        <w:rPr>
          <w:rFonts w:ascii="Times New Roman" w:eastAsia="Times New Roman" w:hAnsi="Times New Roman" w:cs="Times New Roman"/>
          <w:b/>
          <w:bCs/>
          <w:color w:val="000000"/>
          <w:spacing w:val="0"/>
          <w:w w:val="100"/>
          <w:position w:val="0"/>
        </w:rPr>
        <w:t>3</w:t>
      </w:r>
      <w:r>
        <w:rPr>
          <w:b/>
          <w:bCs/>
          <w:color w:val="000000"/>
          <w:spacing w:val="0"/>
          <w:w w:val="100"/>
          <w:position w:val="0"/>
        </w:rPr>
        <w:t>）精准扶贫成效</w:t>
      </w:r>
      <w:bookmarkEnd w:id="385"/>
    </w:p>
    <w:tbl>
      <w:tblPr>
        <w:tblOverlap w:val="never"/>
        <w:jc w:val="center"/>
        <w:tblLayout w:type="fixed"/>
      </w:tblPr>
      <w:tblGrid>
        <w:gridCol w:w="5074"/>
        <w:gridCol w:w="1704"/>
        <w:gridCol w:w="2803"/>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指标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计量单位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数量</w:t>
            </w:r>
            <w:r>
              <w:rPr>
                <w:rFonts w:ascii="Times New Roman" w:eastAsia="Times New Roman" w:hAnsi="Times New Roman" w:cs="Times New Roman"/>
                <w:b/>
                <w:bCs/>
                <w:color w:val="000000"/>
                <w:spacing w:val="0"/>
                <w:w w:val="100"/>
                <w:position w:val="0"/>
              </w:rPr>
              <w:t>/</w:t>
            </w:r>
            <w:r>
              <w:rPr>
                <w:b/>
                <w:bCs/>
                <w:color w:val="000000"/>
                <w:spacing w:val="0"/>
                <w:w w:val="100"/>
                <w:position w:val="0"/>
              </w:rPr>
              <w:t>开展情况</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一、总体情况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pP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其中：</w:t>
            </w:r>
            <w:r>
              <w:rPr>
                <w:rFonts w:ascii="Times New Roman" w:eastAsia="Times New Roman" w:hAnsi="Times New Roman" w:cs="Times New Roman"/>
                <w:color w:val="000000"/>
                <w:spacing w:val="0"/>
                <w:w w:val="100"/>
                <w:position w:val="0"/>
              </w:rPr>
              <w:t>1.</w:t>
            </w:r>
            <w:r>
              <w:rPr>
                <w:color w:val="000000"/>
                <w:spacing w:val="0"/>
                <w:w w:val="100"/>
                <w:position w:val="0"/>
              </w:rPr>
              <w:t>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571.85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物资折款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pP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二、分项投入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pP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w:t>
            </w:r>
            <w:r>
              <w:rPr>
                <w:color w:val="000000"/>
                <w:spacing w:val="0"/>
                <w:w w:val="100"/>
                <w:position w:val="0"/>
              </w:rPr>
              <w:t>产业发展脱贫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pP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tabs>
                <w:tab w:pos="1066" w:val="left"/>
              </w:tabs>
              <w:bidi w:val="0"/>
              <w:spacing w:before="0" w:after="0" w:line="240" w:lineRule="auto"/>
              <w:ind w:left="0" w:right="0" w:firstLine="0"/>
              <w:jc w:val="left"/>
            </w:pPr>
            <w:r>
              <w:rPr>
                <w:color w:val="000000"/>
                <w:spacing w:val="0"/>
                <w:w w:val="100"/>
                <w:position w:val="0"/>
              </w:rPr>
              <w:t>其中：</w:t>
              <w:tab/>
            </w:r>
            <w:r>
              <w:rPr>
                <w:rFonts w:ascii="Times New Roman" w:eastAsia="Times New Roman" w:hAnsi="Times New Roman" w:cs="Times New Roman"/>
                <w:color w:val="000000"/>
                <w:spacing w:val="0"/>
                <w:w w:val="100"/>
                <w:position w:val="0"/>
              </w:rPr>
              <w:t>1.1</w:t>
            </w:r>
            <w:r>
              <w:rPr>
                <w:color w:val="000000"/>
                <w:spacing w:val="0"/>
                <w:w w:val="100"/>
                <w:position w:val="0"/>
              </w:rPr>
              <w:t>产业发展脱贫项目类型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农林产业扶贫</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产业发展脱贫项目个数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个</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1.3</w:t>
            </w:r>
            <w:r>
              <w:rPr>
                <w:color w:val="000000"/>
                <w:spacing w:val="0"/>
                <w:w w:val="100"/>
                <w:position w:val="0"/>
              </w:rPr>
              <w:t>产业发展脱贫项目投入金额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111.85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w:t>
            </w:r>
            <w:r>
              <w:rPr>
                <w:color w:val="000000"/>
                <w:spacing w:val="0"/>
                <w:w w:val="100"/>
                <w:position w:val="0"/>
              </w:rPr>
              <w:t>转移就业脱贫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pP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w:t>
            </w:r>
            <w:r>
              <w:rPr>
                <w:color w:val="000000"/>
                <w:spacing w:val="0"/>
                <w:w w:val="100"/>
                <w:position w:val="0"/>
              </w:rPr>
              <w:t>易地搬迁脱贫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pPr>
            <w:r>
              <w:rPr>
                <w:color w:val="000000"/>
                <w:spacing w:val="0"/>
                <w:w w:val="100"/>
                <w:position w:val="0"/>
              </w:rPr>
              <w:t>—</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w:t>
            </w:r>
            <w:r>
              <w:rPr>
                <w:color w:val="000000"/>
                <w:spacing w:val="0"/>
                <w:w w:val="100"/>
                <w:position w:val="0"/>
              </w:rPr>
              <w:t>教育扶贫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pP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其中：</w:t>
            </w:r>
            <w:r>
              <w:rPr>
                <w:rFonts w:ascii="Times New Roman" w:eastAsia="Times New Roman" w:hAnsi="Times New Roman" w:cs="Times New Roman"/>
                <w:color w:val="000000"/>
                <w:spacing w:val="0"/>
                <w:w w:val="100"/>
                <w:position w:val="0"/>
              </w:rPr>
              <w:t>4.1</w:t>
            </w:r>
            <w:r>
              <w:rPr>
                <w:color w:val="000000"/>
                <w:spacing w:val="0"/>
                <w:w w:val="100"/>
                <w:position w:val="0"/>
              </w:rPr>
              <w:t>资助贫困学生投入金额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4.2</w:t>
            </w:r>
            <w:r>
              <w:rPr>
                <w:color w:val="000000"/>
                <w:spacing w:val="0"/>
                <w:w w:val="100"/>
                <w:position w:val="0"/>
              </w:rPr>
              <w:t>资助贫困学生人数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4.3</w:t>
            </w:r>
            <w:r>
              <w:rPr>
                <w:color w:val="000000"/>
                <w:spacing w:val="0"/>
                <w:w w:val="100"/>
                <w:position w:val="0"/>
              </w:rPr>
              <w:t>改善贫困地区教育资源投入金额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w:t>
            </w:r>
            <w:r>
              <w:rPr>
                <w:color w:val="000000"/>
                <w:spacing w:val="0"/>
                <w:w w:val="100"/>
                <w:position w:val="0"/>
              </w:rPr>
              <w:t>健康扶贫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pP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6.</w:t>
            </w:r>
            <w:r>
              <w:rPr>
                <w:color w:val="000000"/>
                <w:spacing w:val="0"/>
                <w:w w:val="100"/>
                <w:position w:val="0"/>
              </w:rPr>
              <w:t>生态保护扶贫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pP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tabs>
                <w:tab w:pos="1051" w:val="left"/>
              </w:tabs>
              <w:bidi w:val="0"/>
              <w:spacing w:before="0" w:after="0" w:line="240" w:lineRule="auto"/>
              <w:ind w:left="0" w:right="0" w:firstLine="0"/>
              <w:jc w:val="left"/>
            </w:pPr>
            <w:r>
              <w:rPr>
                <w:color w:val="000000"/>
                <w:spacing w:val="0"/>
                <w:w w:val="100"/>
                <w:position w:val="0"/>
              </w:rPr>
              <w:t>其中：</w:t>
              <w:tab/>
            </w:r>
            <w:r>
              <w:rPr>
                <w:rFonts w:ascii="Times New Roman" w:eastAsia="Times New Roman" w:hAnsi="Times New Roman" w:cs="Times New Roman"/>
                <w:color w:val="000000"/>
                <w:spacing w:val="0"/>
                <w:w w:val="100"/>
                <w:position w:val="0"/>
              </w:rPr>
              <w:t>6.1</w:t>
            </w:r>
            <w:r>
              <w:rPr>
                <w:color w:val="000000"/>
                <w:spacing w:val="0"/>
                <w:w w:val="100"/>
                <w:position w:val="0"/>
              </w:rPr>
              <w:t>项目类型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pPr>
            <w:r>
              <w:rPr>
                <w:color w:val="000000"/>
                <w:spacing w:val="0"/>
                <w:w w:val="100"/>
                <w:position w:val="0"/>
              </w:rPr>
              <w:t>—</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6.2</w:t>
            </w:r>
            <w:r>
              <w:rPr>
                <w:color w:val="000000"/>
                <w:spacing w:val="0"/>
                <w:w w:val="100"/>
                <w:position w:val="0"/>
              </w:rPr>
              <w:t>投入金额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pPr>
            <w:r>
              <w:rPr>
                <w:color w:val="000000"/>
                <w:spacing w:val="0"/>
                <w:w w:val="100"/>
                <w:position w:val="0"/>
              </w:rPr>
              <w:t>—</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7.</w:t>
            </w:r>
            <w:r>
              <w:rPr>
                <w:color w:val="000000"/>
                <w:spacing w:val="0"/>
                <w:w w:val="100"/>
                <w:position w:val="0"/>
              </w:rPr>
              <w:t>兜底保障</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pPr>
            <w:r>
              <w:rPr>
                <w:color w:val="000000"/>
                <w:spacing w:val="0"/>
                <w:w w:val="100"/>
                <w:position w:val="0"/>
              </w:rPr>
              <w:t>—</w:t>
            </w:r>
          </w:p>
        </w:tc>
      </w:tr>
    </w:tbl>
    <w:tbl>
      <w:tblPr>
        <w:tblOverlap w:val="never"/>
        <w:jc w:val="center"/>
        <w:tblLayout w:type="fixed"/>
      </w:tblPr>
      <w:tblGrid>
        <w:gridCol w:w="5074"/>
        <w:gridCol w:w="1704"/>
        <w:gridCol w:w="2803"/>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8.</w:t>
            </w:r>
            <w:r>
              <w:rPr>
                <w:color w:val="000000"/>
                <w:spacing w:val="0"/>
                <w:w w:val="100"/>
                <w:position w:val="0"/>
              </w:rPr>
              <w:t>社会扶贫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8.2</w:t>
            </w:r>
            <w:r>
              <w:rPr>
                <w:color w:val="000000"/>
                <w:spacing w:val="0"/>
                <w:w w:val="100"/>
                <w:position w:val="0"/>
              </w:rPr>
              <w:t>定点扶贫工作投入金额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9.</w:t>
            </w:r>
            <w:r>
              <w:rPr>
                <w:color w:val="000000"/>
                <w:spacing w:val="0"/>
                <w:w w:val="100"/>
                <w:position w:val="0"/>
              </w:rPr>
              <w:t>其他项目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三、所获奖项（内容、级别）</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79" w:line="1" w:lineRule="exact"/>
      </w:pPr>
    </w:p>
    <w:p>
      <w:pPr>
        <w:pStyle w:val="Style51"/>
        <w:keepNext/>
        <w:keepLines/>
        <w:widowControl w:val="0"/>
        <w:shd w:val="clear" w:color="auto" w:fill="auto"/>
        <w:bidi w:val="0"/>
        <w:spacing w:before="0" w:after="280" w:line="317" w:lineRule="exact"/>
        <w:ind w:left="0" w:right="0" w:firstLine="0"/>
        <w:jc w:val="left"/>
      </w:pPr>
      <w:bookmarkStart w:id="386" w:name="bookmark386"/>
      <w:bookmarkStart w:id="387" w:name="bookmark387"/>
      <w:bookmarkStart w:id="388" w:name="bookmark388"/>
      <w:bookmarkStart w:id="389" w:name="bookmark389"/>
      <w:r>
        <w:rPr>
          <w:color w:val="000000"/>
          <w:spacing w:val="0"/>
          <w:w w:val="100"/>
          <w:position w:val="0"/>
        </w:rPr>
        <w:t>（</w:t>
      </w:r>
      <w:bookmarkEnd w:id="388"/>
      <w:r>
        <w:rPr>
          <w:rFonts w:ascii="Times New Roman" w:eastAsia="Times New Roman" w:hAnsi="Times New Roman" w:cs="Times New Roman"/>
          <w:color w:val="000000"/>
          <w:spacing w:val="0"/>
          <w:w w:val="100"/>
          <w:position w:val="0"/>
        </w:rPr>
        <w:t>4</w:t>
      </w:r>
      <w:r>
        <w:rPr>
          <w:color w:val="000000"/>
          <w:spacing w:val="0"/>
          <w:w w:val="100"/>
          <w:position w:val="0"/>
        </w:rPr>
        <w:t>）后续精准扶贫计划</w:t>
      </w:r>
      <w:bookmarkEnd w:id="386"/>
      <w:bookmarkEnd w:id="387"/>
      <w:bookmarkEnd w:id="389"/>
    </w:p>
    <w:p>
      <w:pPr>
        <w:pStyle w:val="Style16"/>
        <w:keepNext w:val="0"/>
        <w:keepLines w:val="0"/>
        <w:widowControl w:val="0"/>
        <w:shd w:val="clear" w:color="auto" w:fill="auto"/>
        <w:bidi w:val="0"/>
        <w:spacing w:before="0" w:after="0" w:line="317" w:lineRule="exact"/>
        <w:ind w:left="0" w:right="0" w:firstLine="440"/>
        <w:jc w:val="both"/>
      </w:pPr>
      <w:r>
        <w:rPr>
          <w:color w:val="000000"/>
          <w:spacing w:val="0"/>
          <w:w w:val="100"/>
          <w:position w:val="0"/>
        </w:rPr>
        <w:t>党的十九届五中全会提出，优先发展农业农村，全面推进乡村振兴。走中国特色社会主义乡村振兴道 路，全面实施乡村振兴战略，实现巩固拓展脱贫攻坚成果同乡村振兴有效衔接。</w:t>
      </w:r>
      <w:r>
        <w:rPr>
          <w:rFonts w:ascii="Times New Roman" w:eastAsia="Times New Roman" w:hAnsi="Times New Roman" w:cs="Times New Roman"/>
          <w:color w:val="000000"/>
          <w:spacing w:val="0"/>
          <w:w w:val="100"/>
          <w:position w:val="0"/>
        </w:rPr>
        <w:t>2021</w:t>
      </w:r>
      <w:r>
        <w:rPr>
          <w:color w:val="000000"/>
          <w:spacing w:val="0"/>
          <w:w w:val="100"/>
          <w:position w:val="0"/>
        </w:rPr>
        <w:t>年，公司将继续按照 党中央的有关精神和证监会的部署要求，把“一司一县”结对县作为乡村振兴重点帮扶县，巩固拓展脱贫 攻坚成果，在教育、产业、公益、消费等方面全力以赴同乡村振兴有效衔接。</w:t>
      </w:r>
    </w:p>
    <w:p>
      <w:pPr>
        <w:pStyle w:val="Style16"/>
        <w:keepNext w:val="0"/>
        <w:keepLines w:val="0"/>
        <w:widowControl w:val="0"/>
        <w:numPr>
          <w:ilvl w:val="0"/>
          <w:numId w:val="9"/>
        </w:numPr>
        <w:shd w:val="clear" w:color="auto" w:fill="auto"/>
        <w:tabs>
          <w:tab w:pos="864" w:val="left"/>
        </w:tabs>
        <w:bidi w:val="0"/>
        <w:spacing w:before="0" w:after="0" w:line="317" w:lineRule="exact"/>
        <w:ind w:left="0" w:right="0" w:firstLine="440"/>
        <w:jc w:val="both"/>
      </w:pPr>
      <w:bookmarkStart w:id="390" w:name="bookmark390"/>
      <w:bookmarkEnd w:id="390"/>
      <w:r>
        <w:rPr>
          <w:color w:val="000000"/>
          <w:spacing w:val="0"/>
          <w:w w:val="100"/>
          <w:position w:val="0"/>
        </w:rPr>
        <w:t>拟增加赣州南康区“一司一县”结对帮扶县</w:t>
      </w:r>
    </w:p>
    <w:p>
      <w:pPr>
        <w:pStyle w:val="Style16"/>
        <w:keepNext w:val="0"/>
        <w:keepLines w:val="0"/>
        <w:widowControl w:val="0"/>
        <w:shd w:val="clear" w:color="auto" w:fill="auto"/>
        <w:bidi w:val="0"/>
        <w:spacing w:before="0" w:after="0" w:line="317"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年国盛证券将在继续支持赣州寻乌县、于都县和上饶横峰县的基础上，增加赣州南康区作为乡村 振兴重点帮扶县，支持当地逐步实现乡村振兴。</w:t>
      </w:r>
    </w:p>
    <w:p>
      <w:pPr>
        <w:pStyle w:val="Style16"/>
        <w:keepNext w:val="0"/>
        <w:keepLines w:val="0"/>
        <w:widowControl w:val="0"/>
        <w:numPr>
          <w:ilvl w:val="0"/>
          <w:numId w:val="9"/>
        </w:numPr>
        <w:shd w:val="clear" w:color="auto" w:fill="auto"/>
        <w:tabs>
          <w:tab w:pos="864" w:val="left"/>
        </w:tabs>
        <w:bidi w:val="0"/>
        <w:spacing w:before="0" w:after="0" w:line="317" w:lineRule="exact"/>
        <w:ind w:left="0" w:right="0" w:firstLine="440"/>
        <w:jc w:val="left"/>
      </w:pPr>
      <w:bookmarkStart w:id="391" w:name="bookmark391"/>
      <w:bookmarkEnd w:id="391"/>
      <w:r>
        <w:rPr>
          <w:color w:val="000000"/>
          <w:spacing w:val="0"/>
          <w:w w:val="100"/>
          <w:position w:val="0"/>
        </w:rPr>
        <w:t>继续支持乡村教育，推广复制</w:t>
      </w:r>
      <w:r>
        <w:rPr>
          <w:color w:val="000000"/>
          <w:spacing w:val="0"/>
          <w:w w:val="100"/>
          <w:position w:val="0"/>
        </w:rPr>
        <w:t>“</w:t>
      </w:r>
      <w:r>
        <w:rPr>
          <w:rFonts w:ascii="Times New Roman" w:eastAsia="Times New Roman" w:hAnsi="Times New Roman" w:cs="Times New Roman"/>
          <w:color w:val="000000"/>
          <w:spacing w:val="0"/>
          <w:w w:val="100"/>
          <w:position w:val="0"/>
        </w:rPr>
        <w:t>1+X</w:t>
      </w:r>
      <w:r>
        <w:rPr>
          <w:color w:val="000000"/>
          <w:spacing w:val="0"/>
          <w:w w:val="100"/>
          <w:position w:val="0"/>
        </w:rPr>
        <w:t>”共享课堂模式</w:t>
      </w:r>
    </w:p>
    <w:p>
      <w:pPr>
        <w:pStyle w:val="Style16"/>
        <w:keepNext w:val="0"/>
        <w:keepLines w:val="0"/>
        <w:widowControl w:val="0"/>
        <w:shd w:val="clear" w:color="auto" w:fill="auto"/>
        <w:bidi w:val="0"/>
        <w:spacing w:before="0" w:after="0" w:line="317"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年，国盛证券将继续在“一司一县”结对县推广复制国盛</w:t>
      </w:r>
      <w:r>
        <w:rPr>
          <w:color w:val="000000"/>
          <w:spacing w:val="0"/>
          <w:w w:val="100"/>
          <w:position w:val="0"/>
        </w:rPr>
        <w:t>“</w:t>
      </w:r>
      <w:r>
        <w:rPr>
          <w:rFonts w:ascii="Times New Roman" w:eastAsia="Times New Roman" w:hAnsi="Times New Roman" w:cs="Times New Roman"/>
          <w:color w:val="000000"/>
          <w:spacing w:val="0"/>
          <w:w w:val="100"/>
          <w:position w:val="0"/>
        </w:rPr>
        <w:t>1+X</w:t>
      </w:r>
      <w:r>
        <w:rPr>
          <w:color w:val="000000"/>
          <w:spacing w:val="0"/>
          <w:w w:val="100"/>
          <w:position w:val="0"/>
        </w:rPr>
        <w:t>”共享课堂模式，让更多的乡村 学生受益，使国盛</w:t>
      </w:r>
      <w:r>
        <w:rPr>
          <w:color w:val="000000"/>
          <w:spacing w:val="0"/>
          <w:w w:val="100"/>
          <w:position w:val="0"/>
        </w:rPr>
        <w:t>“</w:t>
      </w:r>
      <w:r>
        <w:rPr>
          <w:rFonts w:ascii="Times New Roman" w:eastAsia="Times New Roman" w:hAnsi="Times New Roman" w:cs="Times New Roman"/>
          <w:color w:val="000000"/>
          <w:spacing w:val="0"/>
          <w:w w:val="100"/>
          <w:position w:val="0"/>
        </w:rPr>
        <w:t>1+X</w:t>
      </w:r>
      <w:r>
        <w:rPr>
          <w:color w:val="000000"/>
          <w:spacing w:val="0"/>
          <w:w w:val="100"/>
          <w:position w:val="0"/>
        </w:rPr>
        <w:t>”</w:t>
      </w:r>
      <w:r>
        <w:rPr>
          <w:color w:val="000000"/>
          <w:spacing w:val="0"/>
          <w:w w:val="100"/>
          <w:position w:val="0"/>
        </w:rPr>
        <w:t>共享课堂项目规模化、连片化。</w:t>
      </w:r>
    </w:p>
    <w:p>
      <w:pPr>
        <w:pStyle w:val="Style16"/>
        <w:keepNext w:val="0"/>
        <w:keepLines w:val="0"/>
        <w:widowControl w:val="0"/>
        <w:numPr>
          <w:ilvl w:val="0"/>
          <w:numId w:val="9"/>
        </w:numPr>
        <w:shd w:val="clear" w:color="auto" w:fill="auto"/>
        <w:tabs>
          <w:tab w:pos="864" w:val="left"/>
        </w:tabs>
        <w:bidi w:val="0"/>
        <w:spacing w:before="0" w:after="0" w:line="317" w:lineRule="exact"/>
        <w:ind w:left="0" w:right="0" w:firstLine="440"/>
        <w:jc w:val="both"/>
      </w:pPr>
      <w:bookmarkStart w:id="392" w:name="bookmark392"/>
      <w:bookmarkEnd w:id="392"/>
      <w:r>
        <w:rPr>
          <w:color w:val="000000"/>
          <w:spacing w:val="0"/>
          <w:w w:val="100"/>
          <w:position w:val="0"/>
        </w:rPr>
        <w:t>继续加强与上交所公益基金会合作，做好项目推进工作</w:t>
      </w:r>
    </w:p>
    <w:p>
      <w:pPr>
        <w:pStyle w:val="Style16"/>
        <w:keepNext w:val="0"/>
        <w:keepLines w:val="0"/>
        <w:widowControl w:val="0"/>
        <w:shd w:val="clear" w:color="auto" w:fill="auto"/>
        <w:bidi w:val="0"/>
        <w:spacing w:before="0" w:after="0" w:line="317" w:lineRule="exact"/>
        <w:ind w:left="0" w:right="0" w:firstLine="440"/>
        <w:jc w:val="both"/>
      </w:pPr>
      <w:r>
        <w:rPr>
          <w:color w:val="000000"/>
          <w:spacing w:val="0"/>
          <w:w w:val="100"/>
          <w:position w:val="0"/>
        </w:rPr>
        <w:t>国盛证券将继续在于都县、寻乌县推进“互联网</w:t>
      </w:r>
      <w:r>
        <w:rPr>
          <w:rFonts w:ascii="Times New Roman" w:eastAsia="Times New Roman" w:hAnsi="Times New Roman" w:cs="Times New Roman"/>
          <w:color w:val="000000"/>
          <w:spacing w:val="0"/>
          <w:w w:val="100"/>
          <w:position w:val="0"/>
        </w:rPr>
        <w:t>+</w:t>
      </w:r>
      <w:r>
        <w:rPr>
          <w:color w:val="000000"/>
          <w:spacing w:val="0"/>
          <w:w w:val="100"/>
          <w:position w:val="0"/>
        </w:rPr>
        <w:t>教育”公益项目，同时根据上交所公益基金会意见， 继续开设第二期青少年财商教育课程。</w:t>
      </w:r>
    </w:p>
    <w:p>
      <w:pPr>
        <w:pStyle w:val="Style16"/>
        <w:keepNext w:val="0"/>
        <w:keepLines w:val="0"/>
        <w:widowControl w:val="0"/>
        <w:numPr>
          <w:ilvl w:val="0"/>
          <w:numId w:val="9"/>
        </w:numPr>
        <w:shd w:val="clear" w:color="auto" w:fill="auto"/>
        <w:tabs>
          <w:tab w:pos="864" w:val="left"/>
        </w:tabs>
        <w:bidi w:val="0"/>
        <w:spacing w:before="0" w:after="0" w:line="317" w:lineRule="exact"/>
        <w:ind w:left="0" w:right="0" w:firstLine="440"/>
        <w:jc w:val="both"/>
      </w:pPr>
      <w:bookmarkStart w:id="393" w:name="bookmark393"/>
      <w:bookmarkEnd w:id="393"/>
      <w:r>
        <w:rPr>
          <w:color w:val="000000"/>
          <w:spacing w:val="0"/>
          <w:w w:val="100"/>
          <w:position w:val="0"/>
        </w:rPr>
        <w:t>培育造血机制，稳步推进国盛产业园建设</w:t>
      </w:r>
    </w:p>
    <w:p>
      <w:pPr>
        <w:pStyle w:val="Style16"/>
        <w:keepNext w:val="0"/>
        <w:keepLines w:val="0"/>
        <w:widowControl w:val="0"/>
        <w:shd w:val="clear" w:color="auto" w:fill="auto"/>
        <w:bidi w:val="0"/>
        <w:spacing w:before="0" w:after="0" w:line="317" w:lineRule="exact"/>
        <w:ind w:left="0" w:right="0" w:firstLine="440"/>
        <w:jc w:val="left"/>
      </w:pPr>
      <w:r>
        <w:rPr>
          <w:rFonts w:ascii="Times New Roman" w:eastAsia="Times New Roman" w:hAnsi="Times New Roman" w:cs="Times New Roman"/>
          <w:color w:val="000000"/>
          <w:spacing w:val="0"/>
          <w:w w:val="100"/>
          <w:position w:val="0"/>
        </w:rPr>
        <w:t>2021</w:t>
      </w:r>
      <w:r>
        <w:rPr>
          <w:color w:val="000000"/>
          <w:spacing w:val="0"/>
          <w:w w:val="100"/>
          <w:position w:val="0"/>
        </w:rPr>
        <w:t>年，国盛证券将继续在上饶横峰县支持乡村产业振兴，打造“国盛产业园”。</w:t>
      </w:r>
    </w:p>
    <w:p>
      <w:pPr>
        <w:pStyle w:val="Style16"/>
        <w:keepNext w:val="0"/>
        <w:keepLines w:val="0"/>
        <w:widowControl w:val="0"/>
        <w:numPr>
          <w:ilvl w:val="0"/>
          <w:numId w:val="9"/>
        </w:numPr>
        <w:shd w:val="clear" w:color="auto" w:fill="auto"/>
        <w:tabs>
          <w:tab w:pos="864" w:val="left"/>
        </w:tabs>
        <w:bidi w:val="0"/>
        <w:spacing w:before="0" w:after="0" w:line="317" w:lineRule="exact"/>
        <w:ind w:left="0" w:right="0" w:firstLine="440"/>
        <w:jc w:val="both"/>
      </w:pPr>
      <w:bookmarkStart w:id="394" w:name="bookmark394"/>
      <w:bookmarkEnd w:id="394"/>
      <w:r>
        <w:rPr>
          <w:color w:val="000000"/>
          <w:spacing w:val="0"/>
          <w:w w:val="100"/>
          <w:position w:val="0"/>
        </w:rPr>
        <w:t>开展志愿者活动，继续践行公益帮扶</w:t>
      </w:r>
    </w:p>
    <w:p>
      <w:pPr>
        <w:pStyle w:val="Style16"/>
        <w:keepNext w:val="0"/>
        <w:keepLines w:val="0"/>
        <w:widowControl w:val="0"/>
        <w:shd w:val="clear" w:color="auto" w:fill="auto"/>
        <w:bidi w:val="0"/>
        <w:spacing w:before="0" w:after="0" w:line="317"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年公司将继续发扬“力行，传递爱”国盛公益品牌，组织公司志愿者开展各类公益活动，并继续 在“一司一县”结对县乡村学校继开展助学活动。</w:t>
      </w:r>
    </w:p>
    <w:p>
      <w:pPr>
        <w:pStyle w:val="Style16"/>
        <w:keepNext w:val="0"/>
        <w:keepLines w:val="0"/>
        <w:widowControl w:val="0"/>
        <w:numPr>
          <w:ilvl w:val="0"/>
          <w:numId w:val="9"/>
        </w:numPr>
        <w:shd w:val="clear" w:color="auto" w:fill="auto"/>
        <w:tabs>
          <w:tab w:pos="864" w:val="left"/>
        </w:tabs>
        <w:bidi w:val="0"/>
        <w:spacing w:before="0" w:after="0" w:line="317" w:lineRule="exact"/>
        <w:ind w:left="0" w:right="0" w:firstLine="440"/>
        <w:jc w:val="both"/>
      </w:pPr>
      <w:bookmarkStart w:id="395" w:name="bookmark395"/>
      <w:bookmarkEnd w:id="395"/>
      <w:r>
        <w:rPr>
          <w:color w:val="000000"/>
          <w:spacing w:val="0"/>
          <w:w w:val="100"/>
          <w:position w:val="0"/>
        </w:rPr>
        <w:t>助销特色农产品，持续助力消费帮扶</w:t>
      </w:r>
    </w:p>
    <w:p>
      <w:pPr>
        <w:pStyle w:val="Style16"/>
        <w:keepNext w:val="0"/>
        <w:keepLines w:val="0"/>
        <w:widowControl w:val="0"/>
        <w:shd w:val="clear" w:color="auto" w:fill="auto"/>
        <w:bidi w:val="0"/>
        <w:spacing w:before="0" w:after="0" w:line="317"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年公司及子公司将继续在赣州寻乌县、于都县、南康区和上饶横峰县开展特色农产品集中采购活 动，助销当地特色农产品。</w:t>
      </w:r>
    </w:p>
    <w:p>
      <w:pPr>
        <w:pStyle w:val="Style16"/>
        <w:keepNext w:val="0"/>
        <w:keepLines w:val="0"/>
        <w:widowControl w:val="0"/>
        <w:numPr>
          <w:ilvl w:val="0"/>
          <w:numId w:val="9"/>
        </w:numPr>
        <w:shd w:val="clear" w:color="auto" w:fill="auto"/>
        <w:tabs>
          <w:tab w:pos="864" w:val="left"/>
        </w:tabs>
        <w:bidi w:val="0"/>
        <w:spacing w:before="0" w:after="0" w:line="317" w:lineRule="exact"/>
        <w:ind w:left="0" w:right="0" w:firstLine="440"/>
        <w:jc w:val="both"/>
      </w:pPr>
      <w:bookmarkStart w:id="396" w:name="bookmark396"/>
      <w:bookmarkEnd w:id="396"/>
      <w:r>
        <w:rPr>
          <w:color w:val="000000"/>
          <w:spacing w:val="0"/>
          <w:w w:val="100"/>
          <w:position w:val="0"/>
        </w:rPr>
        <w:t>响应“映山红行动”，积极推动金融帮扶</w:t>
      </w:r>
    </w:p>
    <w:p>
      <w:pPr>
        <w:pStyle w:val="Style16"/>
        <w:keepNext w:val="0"/>
        <w:keepLines w:val="0"/>
        <w:widowControl w:val="0"/>
        <w:shd w:val="clear" w:color="auto" w:fill="auto"/>
        <w:bidi w:val="0"/>
        <w:spacing w:before="0" w:after="280" w:line="317" w:lineRule="exact"/>
        <w:ind w:left="0" w:right="0" w:firstLine="440"/>
        <w:jc w:val="both"/>
      </w:pPr>
      <w:r>
        <w:rPr>
          <w:color w:val="000000"/>
          <w:spacing w:val="0"/>
          <w:w w:val="100"/>
          <w:position w:val="0"/>
        </w:rPr>
        <w:t>国盛证券将继续利用公司平台优势，积极推动金融服务，为赣州市于都县等结对县发行项目收益债， 支持当地推进乡村振兴工作。</w:t>
      </w:r>
    </w:p>
    <w:p>
      <w:pPr>
        <w:pStyle w:val="Style37"/>
        <w:keepNext/>
        <w:keepLines/>
        <w:widowControl w:val="0"/>
        <w:shd w:val="clear" w:color="auto" w:fill="auto"/>
        <w:bidi w:val="0"/>
        <w:spacing w:before="0" w:after="280" w:line="317" w:lineRule="exact"/>
        <w:ind w:left="0" w:right="0" w:firstLine="0"/>
        <w:jc w:val="left"/>
      </w:pPr>
      <w:bookmarkStart w:id="397" w:name="bookmark397"/>
      <w:bookmarkStart w:id="398" w:name="bookmark398"/>
      <w:bookmarkStart w:id="399" w:name="bookmark399"/>
      <w:bookmarkStart w:id="400" w:name="bookmark400"/>
      <w:r>
        <w:rPr>
          <w:rFonts w:ascii="Times New Roman" w:eastAsia="Times New Roman" w:hAnsi="Times New Roman" w:cs="Times New Roman"/>
          <w:color w:val="000000"/>
          <w:spacing w:val="0"/>
          <w:w w:val="100"/>
          <w:position w:val="0"/>
        </w:rPr>
        <w:t>3</w:t>
      </w:r>
      <w:bookmarkEnd w:id="399"/>
      <w:r>
        <w:rPr>
          <w:color w:val="000000"/>
          <w:spacing w:val="0"/>
          <w:w w:val="100"/>
          <w:position w:val="0"/>
        </w:rPr>
        <w:t>、环境保护相关的情况</w:t>
      </w:r>
      <w:bookmarkEnd w:id="397"/>
      <w:bookmarkEnd w:id="398"/>
      <w:bookmarkEnd w:id="400"/>
    </w:p>
    <w:p>
      <w:pPr>
        <w:pStyle w:val="Style16"/>
        <w:keepNext w:val="0"/>
        <w:keepLines w:val="0"/>
        <w:widowControl w:val="0"/>
        <w:shd w:val="clear" w:color="auto" w:fill="auto"/>
        <w:tabs>
          <w:tab w:pos="9346" w:val="left"/>
        </w:tabs>
        <w:bidi w:val="0"/>
        <w:spacing w:before="0" w:after="0" w:line="317" w:lineRule="exact"/>
        <w:ind w:left="0" w:right="0" w:firstLine="0"/>
        <w:jc w:val="left"/>
      </w:pPr>
      <w:r>
        <w:rPr>
          <w:color w:val="000000"/>
          <w:spacing w:val="0"/>
          <w:w w:val="100"/>
          <w:position w:val="0"/>
        </w:rPr>
        <w:t>上市公司及其子公司是否属于环境保护部门公布的重点排污单位</w:t>
        <w:tab/>
        <w:t>否</w:t>
      </w:r>
    </w:p>
    <w:p>
      <w:pPr>
        <w:pStyle w:val="Style16"/>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本集团报告期从事证券、投资、金融科技业务，不涉及重大环保问题。本集团严格遵循《环境保护法》</w:t>
      </w:r>
    </w:p>
    <w:p>
      <w:pPr>
        <w:pStyle w:val="Style16"/>
        <w:keepNext w:val="0"/>
        <w:keepLines w:val="0"/>
        <w:widowControl w:val="0"/>
        <w:shd w:val="clear" w:color="auto" w:fill="auto"/>
        <w:bidi w:val="0"/>
        <w:spacing w:before="0" w:after="280" w:line="314" w:lineRule="exact"/>
        <w:ind w:left="0" w:right="0" w:firstLine="0"/>
        <w:jc w:val="both"/>
      </w:pPr>
      <w:r>
        <w:rPr>
          <w:color w:val="000000"/>
          <w:spacing w:val="0"/>
          <w:w w:val="100"/>
          <w:position w:val="0"/>
        </w:rPr>
        <w:t>《节约能源法》等法律法规，始终将绿色经营贯穿于经营管理全过程中，在经营的各个方面注重绿色环保 的经营理念，以实现可持续增长，达到社会、环境、经济效益的有机结合。本集团积极践行绿色经营理念， 持续加强信息化建设，优化</w:t>
      </w:r>
      <w:r>
        <w:rPr>
          <w:rFonts w:ascii="Times New Roman" w:eastAsia="Times New Roman" w:hAnsi="Times New Roman" w:cs="Times New Roman"/>
          <w:color w:val="000000"/>
          <w:spacing w:val="0"/>
          <w:w w:val="100"/>
          <w:position w:val="0"/>
        </w:rPr>
        <w:t>OA</w:t>
      </w:r>
      <w:r>
        <w:rPr>
          <w:color w:val="000000"/>
          <w:spacing w:val="0"/>
          <w:w w:val="100"/>
          <w:position w:val="0"/>
        </w:rPr>
        <w:t>办公流程，大力倡导无纸化办公，采取多种手段减少企业运行对环境和天 然资源产生的不利影响。</w:t>
      </w:r>
    </w:p>
    <w:p>
      <w:pPr>
        <w:pStyle w:val="Style75"/>
        <w:keepNext w:val="0"/>
        <w:keepLines w:val="0"/>
        <w:widowControl w:val="0"/>
        <w:shd w:val="clear" w:color="auto" w:fill="auto"/>
        <w:tabs>
          <w:tab w:pos="8002" w:val="left"/>
        </w:tabs>
        <w:bidi w:val="0"/>
        <w:spacing w:before="0" w:line="240" w:lineRule="auto"/>
        <w:ind w:left="0" w:right="0" w:firstLine="0"/>
        <w:jc w:val="both"/>
        <w:rPr>
          <w:sz w:val="20"/>
          <w:szCs w:val="20"/>
        </w:rPr>
      </w:pPr>
      <w:bookmarkStart w:id="401" w:name="bookmark401"/>
      <w:r>
        <w:rPr>
          <w:color w:val="000000"/>
          <w:spacing w:val="0"/>
          <w:w w:val="100"/>
          <w:position w:val="0"/>
          <w:sz w:val="24"/>
          <w:szCs w:val="24"/>
        </w:rPr>
        <w:t>十九、其他重大事项的说明</w:t>
        <w:tab/>
      </w:r>
      <w:r>
        <w:rPr>
          <w:b w:val="0"/>
          <w:bCs w:val="0"/>
          <w:color w:val="000000"/>
          <w:spacing w:val="0"/>
          <w:w w:val="100"/>
          <w:position w:val="0"/>
          <w:sz w:val="20"/>
          <w:szCs w:val="20"/>
        </w:rPr>
        <w:t>口</w:t>
      </w:r>
      <w:r>
        <w:rPr>
          <w:b w:val="0"/>
          <w:bCs w:val="0"/>
          <w:color w:val="000000"/>
          <w:spacing w:val="0"/>
          <w:w w:val="100"/>
          <w:position w:val="0"/>
          <w:sz w:val="20"/>
          <w:szCs w:val="20"/>
        </w:rPr>
        <w:t>适用</w:t>
      </w:r>
      <w:r>
        <w:rPr>
          <w:b w:val="0"/>
          <w:bCs w:val="0"/>
          <w:color w:val="000000"/>
          <w:spacing w:val="0"/>
          <w:w w:val="100"/>
          <w:position w:val="0"/>
          <w:sz w:val="20"/>
          <w:szCs w:val="20"/>
        </w:rPr>
        <w:t>寸</w:t>
      </w:r>
      <w:r>
        <w:rPr>
          <w:b w:val="0"/>
          <w:bCs w:val="0"/>
          <w:color w:val="000000"/>
          <w:spacing w:val="0"/>
          <w:w w:val="100"/>
          <w:position w:val="0"/>
          <w:sz w:val="20"/>
          <w:szCs w:val="20"/>
        </w:rPr>
        <w:t>不适用</w:t>
      </w:r>
      <w:bookmarkEnd w:id="401"/>
    </w:p>
    <w:p>
      <w:pPr>
        <w:pStyle w:val="Style75"/>
        <w:keepNext w:val="0"/>
        <w:keepLines w:val="0"/>
        <w:widowControl w:val="0"/>
        <w:shd w:val="clear" w:color="auto" w:fill="auto"/>
        <w:tabs>
          <w:tab w:pos="8002" w:val="left"/>
        </w:tabs>
        <w:bidi w:val="0"/>
        <w:spacing w:before="0" w:line="240" w:lineRule="auto"/>
        <w:ind w:left="0" w:right="0" w:firstLine="0"/>
        <w:jc w:val="both"/>
        <w:rPr>
          <w:sz w:val="20"/>
          <w:szCs w:val="20"/>
        </w:rPr>
      </w:pPr>
      <w:bookmarkStart w:id="402" w:name="bookmark402"/>
      <w:bookmarkStart w:id="403" w:name="bookmark403"/>
      <w:r>
        <w:rPr>
          <w:color w:val="000000"/>
          <w:spacing w:val="0"/>
          <w:w w:val="100"/>
          <w:position w:val="0"/>
          <w:sz w:val="24"/>
          <w:szCs w:val="24"/>
        </w:rPr>
        <w:t>二十、公司子公司重大事项</w:t>
        <w:tab/>
      </w:r>
      <w:r>
        <w:rPr>
          <w:b w:val="0"/>
          <w:bCs w:val="0"/>
          <w:color w:val="000000"/>
          <w:spacing w:val="0"/>
          <w:w w:val="100"/>
          <w:position w:val="0"/>
          <w:sz w:val="20"/>
          <w:szCs w:val="20"/>
        </w:rPr>
        <w:t>寸</w:t>
      </w:r>
      <w:r>
        <w:rPr>
          <w:b w:val="0"/>
          <w:bCs w:val="0"/>
          <w:color w:val="000000"/>
          <w:spacing w:val="0"/>
          <w:w w:val="100"/>
          <w:position w:val="0"/>
          <w:sz w:val="20"/>
          <w:szCs w:val="20"/>
        </w:rPr>
        <w:t>适用</w:t>
      </w:r>
      <w:r>
        <w:rPr>
          <w:b w:val="0"/>
          <w:bCs w:val="0"/>
          <w:color w:val="000000"/>
          <w:spacing w:val="0"/>
          <w:w w:val="100"/>
          <w:position w:val="0"/>
          <w:sz w:val="20"/>
          <w:szCs w:val="20"/>
        </w:rPr>
        <w:t>口</w:t>
      </w:r>
      <w:r>
        <w:rPr>
          <w:b w:val="0"/>
          <w:bCs w:val="0"/>
          <w:color w:val="000000"/>
          <w:spacing w:val="0"/>
          <w:w w:val="100"/>
          <w:position w:val="0"/>
          <w:sz w:val="20"/>
          <w:szCs w:val="20"/>
        </w:rPr>
        <w:t>不适用</w:t>
      </w:r>
      <w:bookmarkEnd w:id="402"/>
      <w:bookmarkEnd w:id="403"/>
    </w:p>
    <w:p>
      <w:pPr>
        <w:pStyle w:val="Style16"/>
        <w:keepNext w:val="0"/>
        <w:keepLines w:val="0"/>
        <w:widowControl w:val="0"/>
        <w:shd w:val="clear" w:color="auto" w:fill="auto"/>
        <w:bidi w:val="0"/>
        <w:spacing w:before="0" w:after="300" w:line="317" w:lineRule="exact"/>
        <w:ind w:left="0" w:right="0" w:firstLine="440"/>
        <w:jc w:val="both"/>
        <w:sectPr>
          <w:headerReference w:type="default" r:id="rId25"/>
          <w:footerReference w:type="default" r:id="rId26"/>
          <w:footnotePr>
            <w:pos w:val="pageBottom"/>
            <w:numFmt w:val="decimal"/>
            <w:numRestart w:val="continuous"/>
          </w:footnotePr>
          <w:pgSz w:w="11900" w:h="16840"/>
          <w:pgMar w:top="1407" w:right="1032" w:bottom="1455" w:left="1086" w:header="0" w:footer="3" w:gutter="0"/>
          <w:cols w:space="720"/>
          <w:noEndnote/>
          <w:rtlGutter w:val="0"/>
          <w:docGrid w:linePitch="360"/>
        </w:sectPr>
      </w:pPr>
      <w:bookmarkStart w:id="404" w:name="bookmark404"/>
      <w:bookmarkStart w:id="405" w:name="bookmark405"/>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日中国证监会发布〔</w:t>
      </w:r>
      <w:r>
        <w:rPr>
          <w:rFonts w:ascii="Times New Roman" w:eastAsia="Times New Roman" w:hAnsi="Times New Roman" w:cs="Times New Roman"/>
          <w:color w:val="000000"/>
          <w:spacing w:val="0"/>
          <w:w w:val="100"/>
          <w:position w:val="0"/>
        </w:rPr>
        <w:t>2020</w:t>
      </w:r>
      <w:r>
        <w:rPr>
          <w:color w:val="000000"/>
          <w:spacing w:val="0"/>
          <w:w w:val="100"/>
          <w:position w:val="0"/>
        </w:rPr>
        <w:t xml:space="preserve">) </w:t>
      </w:r>
      <w:r>
        <w:rPr>
          <w:rFonts w:ascii="Times New Roman" w:eastAsia="Times New Roman" w:hAnsi="Times New Roman" w:cs="Times New Roman"/>
          <w:color w:val="000000"/>
          <w:spacing w:val="0"/>
          <w:w w:val="100"/>
          <w:position w:val="0"/>
        </w:rPr>
        <w:t>45</w:t>
      </w:r>
      <w:r>
        <w:rPr>
          <w:color w:val="000000"/>
          <w:spacing w:val="0"/>
          <w:w w:val="100"/>
          <w:position w:val="0"/>
        </w:rPr>
        <w:t>号公告，因国盛证券、国盛期货</w:t>
      </w:r>
      <w:r>
        <w:rPr>
          <w:rFonts w:ascii="Times New Roman" w:eastAsia="Times New Roman" w:hAnsi="Times New Roman" w:cs="Times New Roman"/>
          <w:color w:val="000000"/>
          <w:spacing w:val="0"/>
          <w:w w:val="100"/>
          <w:position w:val="0"/>
        </w:rPr>
        <w:t>“</w:t>
      </w:r>
      <w:r>
        <w:rPr>
          <w:color w:val="000000"/>
          <w:spacing w:val="0"/>
          <w:w w:val="100"/>
          <w:position w:val="0"/>
        </w:rPr>
        <w:t>隐瞒实际控制人或持 股比例，治理失衡</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中国证监会决定自当日起对国盛证券、国盛期货实行接管。自接管之日起，接管组 行使被接管公司的经营管理权，接管组组长行使法定代表人职权，被接管公司的股东大会或股东会、董 事会、监事会及经理层停止履行职责。相关情况详见</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日披露的《关于子公司国盛证券、 国盛期货被接管的公告》。</w:t>
      </w:r>
      <w:bookmarkEnd w:id="404"/>
      <w:bookmarkEnd w:id="405"/>
    </w:p>
    <w:p>
      <w:pPr>
        <w:pStyle w:val="Style14"/>
        <w:keepNext/>
        <w:keepLines/>
        <w:widowControl w:val="0"/>
        <w:shd w:val="clear" w:color="auto" w:fill="auto"/>
        <w:bidi w:val="0"/>
        <w:spacing w:before="0" w:after="0" w:line="240" w:lineRule="auto"/>
        <w:ind w:left="0" w:right="0" w:firstLine="0"/>
        <w:jc w:val="center"/>
      </w:pPr>
      <w:bookmarkStart w:id="413" w:name="bookmark413"/>
      <w:bookmarkStart w:id="414" w:name="bookmark414"/>
      <w:bookmarkStart w:id="415" w:name="bookmark415"/>
      <w:r>
        <w:rPr>
          <w:color w:val="000000"/>
          <w:spacing w:val="0"/>
          <w:w w:val="100"/>
          <w:position w:val="0"/>
        </w:rPr>
        <w:t>第六节股份变动及股东情况</w:t>
      </w:r>
      <w:bookmarkEnd w:id="413"/>
      <w:bookmarkEnd w:id="414"/>
      <w:bookmarkEnd w:id="415"/>
    </w:p>
    <w:p>
      <w:pPr>
        <w:widowControl w:val="0"/>
        <w:spacing w:line="1" w:lineRule="exact"/>
        <w:sectPr>
          <w:footnotePr>
            <w:pos w:val="pageBottom"/>
            <w:numFmt w:val="decimal"/>
            <w:numRestart w:val="continuous"/>
          </w:footnotePr>
          <w:pgSz w:w="11900" w:h="16840"/>
          <w:pgMar w:top="1935" w:right="1102" w:bottom="1849" w:left="1112" w:header="0" w:footer="3" w:gutter="0"/>
          <w:cols w:space="720"/>
          <w:noEndnote/>
          <w:rtlGutter w:val="0"/>
          <w:docGrid w:linePitch="360"/>
        </w:sectPr>
      </w:pPr>
      <w:r>
        <mc:AlternateContent>
          <mc:Choice Requires="wps">
            <w:drawing>
              <wp:anchor distT="241300" distB="0" distL="0" distR="0" simplePos="0" relativeHeight="125829396" behindDoc="0" locked="0" layoutInCell="1" allowOverlap="1">
                <wp:simplePos x="0" y="0"/>
                <wp:positionH relativeFrom="page">
                  <wp:posOffset>708660</wp:posOffset>
                </wp:positionH>
                <wp:positionV relativeFrom="paragraph">
                  <wp:posOffset>241300</wp:posOffset>
                </wp:positionV>
                <wp:extent cx="1243330" cy="585470"/>
                <wp:wrapTopAndBottom/>
                <wp:docPr id="68" name="Shape 68"/>
                <a:graphic xmlns:a="http://schemas.openxmlformats.org/drawingml/2006/main">
                  <a:graphicData uri="http://schemas.microsoft.com/office/word/2010/wordprocessingShape">
                    <wps:wsp>
                      <wps:cNvSpPr txBox="1"/>
                      <wps:spPr>
                        <a:xfrm>
                          <a:ext cx="1243330" cy="585470"/>
                        </a:xfrm>
                        <a:prstGeom prst="rect"/>
                        <a:noFill/>
                      </wps:spPr>
                      <wps:txbx>
                        <w:txbxContent>
                          <w:p>
                            <w:pPr>
                              <w:pStyle w:val="Style29"/>
                              <w:keepNext/>
                              <w:keepLines/>
                              <w:widowControl w:val="0"/>
                              <w:shd w:val="clear" w:color="auto" w:fill="auto"/>
                              <w:bidi w:val="0"/>
                              <w:spacing w:before="0" w:after="360" w:line="240" w:lineRule="auto"/>
                              <w:ind w:left="0" w:right="0" w:firstLine="0"/>
                              <w:jc w:val="left"/>
                            </w:pPr>
                            <w:bookmarkStart w:id="406" w:name="bookmark406"/>
                            <w:bookmarkStart w:id="407" w:name="bookmark407"/>
                            <w:bookmarkStart w:id="408" w:name="bookmark408"/>
                            <w:bookmarkStart w:id="409" w:name="bookmark409"/>
                            <w:r>
                              <w:rPr>
                                <w:color w:val="000000"/>
                                <w:spacing w:val="0"/>
                                <w:w w:val="100"/>
                                <w:position w:val="0"/>
                                <w:sz w:val="24"/>
                                <w:szCs w:val="24"/>
                              </w:rPr>
                              <w:t>一、股份变动情况</w:t>
                            </w:r>
                            <w:bookmarkEnd w:id="407"/>
                            <w:bookmarkEnd w:id="408"/>
                            <w:bookmarkEnd w:id="409"/>
                            <w:bookmarkEnd w:id="406"/>
                          </w:p>
                          <w:p>
                            <w:pPr>
                              <w:pStyle w:val="Style37"/>
                              <w:keepNext/>
                              <w:keepLines/>
                              <w:widowControl w:val="0"/>
                              <w:shd w:val="clear" w:color="auto" w:fill="auto"/>
                              <w:bidi w:val="0"/>
                              <w:spacing w:before="0" w:after="0" w:line="240" w:lineRule="auto"/>
                              <w:ind w:left="0" w:right="0" w:firstLine="0"/>
                              <w:jc w:val="left"/>
                            </w:pPr>
                            <w:bookmarkStart w:id="410" w:name="bookmark410"/>
                            <w:bookmarkStart w:id="411" w:name="bookmark411"/>
                            <w:bookmarkStart w:id="412" w:name="bookmark412"/>
                            <w:r>
                              <w:rPr>
                                <w:rFonts w:ascii="Times New Roman" w:eastAsia="Times New Roman" w:hAnsi="Times New Roman" w:cs="Times New Roman"/>
                                <w:color w:val="000000"/>
                                <w:spacing w:val="0"/>
                                <w:w w:val="100"/>
                                <w:position w:val="0"/>
                              </w:rPr>
                              <w:t>1</w:t>
                            </w:r>
                            <w:r>
                              <w:rPr>
                                <w:color w:val="000000"/>
                                <w:spacing w:val="0"/>
                                <w:w w:val="100"/>
                                <w:position w:val="0"/>
                              </w:rPr>
                              <w:t>、股份变动情况</w:t>
                            </w:r>
                            <w:bookmarkEnd w:id="410"/>
                            <w:bookmarkEnd w:id="411"/>
                            <w:bookmarkEnd w:id="412"/>
                          </w:p>
                        </w:txbxContent>
                      </wps:txbx>
                      <wps:bodyPr lIns="0" tIns="0" rIns="0" bIns="0">
                        <a:noAutoFit/>
                      </wps:bodyPr>
                    </wps:wsp>
                  </a:graphicData>
                </a:graphic>
              </wp:anchor>
            </w:drawing>
          </mc:Choice>
          <mc:Fallback>
            <w:pict>
              <v:shape id="_x0000_s1094" type="#_x0000_t202" style="position:absolute;margin-left:55.800000000000004pt;margin-top:19.pt;width:97.900000000000006pt;height:46.100000000000001pt;z-index:-125829357;mso-wrap-distance-left:0;mso-wrap-distance-top:19.pt;mso-wrap-distance-right:0;mso-position-horizontal-relative:page" filled="f" stroked="f">
                <v:textbox inset="0,0,0,0">
                  <w:txbxContent>
                    <w:p>
                      <w:pPr>
                        <w:pStyle w:val="Style29"/>
                        <w:keepNext/>
                        <w:keepLines/>
                        <w:widowControl w:val="0"/>
                        <w:shd w:val="clear" w:color="auto" w:fill="auto"/>
                        <w:bidi w:val="0"/>
                        <w:spacing w:before="0" w:after="360" w:line="240" w:lineRule="auto"/>
                        <w:ind w:left="0" w:right="0" w:firstLine="0"/>
                        <w:jc w:val="left"/>
                      </w:pPr>
                      <w:bookmarkStart w:id="406" w:name="bookmark406"/>
                      <w:bookmarkStart w:id="407" w:name="bookmark407"/>
                      <w:bookmarkStart w:id="408" w:name="bookmark408"/>
                      <w:bookmarkStart w:id="409" w:name="bookmark409"/>
                      <w:r>
                        <w:rPr>
                          <w:color w:val="000000"/>
                          <w:spacing w:val="0"/>
                          <w:w w:val="100"/>
                          <w:position w:val="0"/>
                          <w:sz w:val="24"/>
                          <w:szCs w:val="24"/>
                        </w:rPr>
                        <w:t>一、股份变动情况</w:t>
                      </w:r>
                      <w:bookmarkEnd w:id="407"/>
                      <w:bookmarkEnd w:id="408"/>
                      <w:bookmarkEnd w:id="409"/>
                      <w:bookmarkEnd w:id="406"/>
                    </w:p>
                    <w:p>
                      <w:pPr>
                        <w:pStyle w:val="Style37"/>
                        <w:keepNext/>
                        <w:keepLines/>
                        <w:widowControl w:val="0"/>
                        <w:shd w:val="clear" w:color="auto" w:fill="auto"/>
                        <w:bidi w:val="0"/>
                        <w:spacing w:before="0" w:after="0" w:line="240" w:lineRule="auto"/>
                        <w:ind w:left="0" w:right="0" w:firstLine="0"/>
                        <w:jc w:val="left"/>
                      </w:pPr>
                      <w:bookmarkStart w:id="410" w:name="bookmark410"/>
                      <w:bookmarkStart w:id="411" w:name="bookmark411"/>
                      <w:bookmarkStart w:id="412" w:name="bookmark412"/>
                      <w:r>
                        <w:rPr>
                          <w:rFonts w:ascii="Times New Roman" w:eastAsia="Times New Roman" w:hAnsi="Times New Roman" w:cs="Times New Roman"/>
                          <w:color w:val="000000"/>
                          <w:spacing w:val="0"/>
                          <w:w w:val="100"/>
                          <w:position w:val="0"/>
                        </w:rPr>
                        <w:t>1</w:t>
                      </w:r>
                      <w:r>
                        <w:rPr>
                          <w:color w:val="000000"/>
                          <w:spacing w:val="0"/>
                          <w:w w:val="100"/>
                          <w:position w:val="0"/>
                        </w:rPr>
                        <w:t>、股份变动情况</w:t>
                      </w:r>
                      <w:bookmarkEnd w:id="410"/>
                      <w:bookmarkEnd w:id="411"/>
                      <w:bookmarkEnd w:id="412"/>
                    </w:p>
                  </w:txbxContent>
                </v:textbox>
                <w10:wrap type="topAndBottom" anchorx="page"/>
              </v:shape>
            </w:pict>
          </mc:Fallback>
        </mc:AlternateContent>
      </w:r>
    </w:p>
    <w:p>
      <w:pPr>
        <w:widowControl w:val="0"/>
        <w:spacing w:line="220" w:lineRule="exact"/>
        <w:rPr>
          <w:sz w:val="18"/>
          <w:szCs w:val="18"/>
        </w:rPr>
      </w:pPr>
    </w:p>
    <w:p>
      <w:pPr>
        <w:widowControl w:val="0"/>
        <w:spacing w:line="1" w:lineRule="exact"/>
        <w:sectPr>
          <w:footnotePr>
            <w:pos w:val="pageBottom"/>
            <w:numFmt w:val="decimal"/>
            <w:numRestart w:val="continuous"/>
          </w:footnotePr>
          <w:type w:val="continuous"/>
          <w:pgSz w:w="11900" w:h="16840"/>
          <w:pgMar w:top="1140" w:right="0" w:bottom="1424" w:left="0" w:header="0" w:footer="3" w:gutter="0"/>
          <w:cols w:space="720"/>
          <w:noEndnote/>
          <w:rtlGutter w:val="0"/>
          <w:docGrid w:linePitch="360"/>
        </w:sectPr>
      </w:pPr>
    </w:p>
    <w:p>
      <w:pPr>
        <w:pStyle w:val="Style16"/>
        <w:keepNext w:val="0"/>
        <w:keepLines w:val="0"/>
        <w:widowControl w:val="0"/>
        <w:shd w:val="clear" w:color="auto" w:fill="auto"/>
        <w:bidi w:val="0"/>
        <w:spacing w:before="0" w:after="60" w:line="240" w:lineRule="auto"/>
        <w:ind w:left="0" w:right="220" w:firstLine="0"/>
        <w:jc w:val="right"/>
      </w:pPr>
      <w:r>
        <w:rPr>
          <w:color w:val="000000"/>
          <w:spacing w:val="0"/>
          <w:w w:val="100"/>
          <w:position w:val="0"/>
        </w:rPr>
        <w:t>单位：股</w:t>
      </w:r>
    </w:p>
    <w:tbl>
      <w:tblPr>
        <w:tblOverlap w:val="never"/>
        <w:jc w:val="center"/>
        <w:tblLayout w:type="fixed"/>
      </w:tblPr>
      <w:tblGrid>
        <w:gridCol w:w="1958"/>
        <w:gridCol w:w="1094"/>
        <w:gridCol w:w="826"/>
        <w:gridCol w:w="490"/>
        <w:gridCol w:w="283"/>
        <w:gridCol w:w="706"/>
        <w:gridCol w:w="1138"/>
        <w:gridCol w:w="1133"/>
        <w:gridCol w:w="1157"/>
        <w:gridCol w:w="802"/>
      </w:tblGrid>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本次变动前</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本次变动增减</w:t>
            </w:r>
            <w:r>
              <w:rPr>
                <w:color w:val="000000"/>
                <w:spacing w:val="0"/>
                <w:w w:val="100"/>
                <w:position w:val="0"/>
                <w:sz w:val="18"/>
                <w:szCs w:val="18"/>
              </w:rPr>
              <w:t>（+,一）</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本次变动后</w:t>
            </w:r>
          </w:p>
        </w:tc>
      </w:tr>
      <w:tr>
        <w:trPr>
          <w:trHeight w:val="71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数量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发行</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新股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送</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公积金 转股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360" w:firstLine="0"/>
              <w:jc w:val="righ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360" w:firstLine="0"/>
              <w:jc w:val="right"/>
              <w:rPr>
                <w:sz w:val="18"/>
                <w:szCs w:val="18"/>
              </w:rPr>
            </w:pPr>
            <w:r>
              <w:rPr>
                <w:color w:val="000000"/>
                <w:spacing w:val="0"/>
                <w:w w:val="100"/>
                <w:position w:val="0"/>
                <w:sz w:val="18"/>
                <w:szCs w:val="18"/>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380" w:firstLine="0"/>
              <w:jc w:val="right"/>
              <w:rPr>
                <w:sz w:val="18"/>
                <w:szCs w:val="18"/>
              </w:rPr>
            </w:pPr>
            <w:r>
              <w:rPr>
                <w:color w:val="000000"/>
                <w:spacing w:val="0"/>
                <w:w w:val="100"/>
                <w:position w:val="0"/>
                <w:sz w:val="18"/>
                <w:szCs w:val="18"/>
              </w:rPr>
              <w:t>数量</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一、有限售条件股份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312,178,783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16.13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-444,664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-444,664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311734119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16.11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、国有法人持股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311,734,019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16.11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311,734,019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16.11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、其他内资持股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444,764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-444,664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-444,664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其中：境内法人持股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境内自然人持股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444,764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-444,664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-444,664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境外自然人持股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二、无限售条件股份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1,622,905,870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83.87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444,664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444,664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1,623,350,534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83.89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、人民币普通股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1,622,905,870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83.87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444,664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444,664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1,623,350,534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83.89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、境外上市的外资股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1,935,084,653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1,935,084,653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bl>
    <w:p>
      <w:pPr>
        <w:widowControl w:val="0"/>
        <w:spacing w:after="59" w:line="1" w:lineRule="exact"/>
      </w:pPr>
    </w:p>
    <w:p>
      <w:pPr>
        <w:pStyle w:val="Style16"/>
        <w:keepNext w:val="0"/>
        <w:keepLines w:val="0"/>
        <w:widowControl w:val="0"/>
        <w:shd w:val="clear" w:color="auto" w:fill="auto"/>
        <w:tabs>
          <w:tab w:pos="7980" w:val="left"/>
        </w:tabs>
        <w:bidi w:val="0"/>
        <w:spacing w:before="0" w:after="120" w:line="240" w:lineRule="auto"/>
        <w:ind w:left="0" w:right="0" w:firstLine="0"/>
        <w:jc w:val="left"/>
      </w:pPr>
      <w:r>
        <w:rPr>
          <w:color w:val="000000"/>
          <w:spacing w:val="0"/>
          <w:w w:val="100"/>
          <w:position w:val="0"/>
        </w:rPr>
        <w:t>股份变动的原因</w:t>
        <w:tab/>
      </w: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6"/>
        <w:keepNext w:val="0"/>
        <w:keepLines w:val="0"/>
        <w:widowControl w:val="0"/>
        <w:shd w:val="clear" w:color="auto" w:fill="auto"/>
        <w:bidi w:val="0"/>
        <w:spacing w:before="0" w:after="420" w:line="240" w:lineRule="auto"/>
        <w:ind w:left="0" w:right="0" w:firstLine="440"/>
        <w:jc w:val="left"/>
      </w:pPr>
      <w:r>
        <mc:AlternateContent>
          <mc:Choice Requires="wps">
            <w:drawing>
              <wp:anchor distT="0" distB="0" distL="114300" distR="114300" simplePos="0" relativeHeight="125829398" behindDoc="0" locked="0" layoutInCell="1" allowOverlap="1">
                <wp:simplePos x="0" y="0"/>
                <wp:positionH relativeFrom="page">
                  <wp:posOffset>5781040</wp:posOffset>
                </wp:positionH>
                <wp:positionV relativeFrom="paragraph">
                  <wp:posOffset>355600</wp:posOffset>
                </wp:positionV>
                <wp:extent cx="1042670" cy="908050"/>
                <wp:wrapSquare wrapText="left"/>
                <wp:docPr id="70" name="Shape 70"/>
                <a:graphic xmlns:a="http://schemas.openxmlformats.org/drawingml/2006/main">
                  <a:graphicData uri="http://schemas.microsoft.com/office/word/2010/wordprocessingShape">
                    <wps:wsp>
                      <wps:cNvSpPr txBox="1"/>
                      <wps:spPr>
                        <a:xfrm>
                          <a:ext cx="1042670" cy="908050"/>
                        </a:xfrm>
                        <a:prstGeom prst="rect"/>
                        <a:noFill/>
                      </wps:spPr>
                      <wps:txbx>
                        <w:txbxContent>
                          <w:p>
                            <w:pPr>
                              <w:pStyle w:val="Style16"/>
                              <w:keepNext w:val="0"/>
                              <w:keepLines w:val="0"/>
                              <w:widowControl w:val="0"/>
                              <w:shd w:val="clear" w:color="auto" w:fill="auto"/>
                              <w:bidi w:val="0"/>
                              <w:spacing w:before="0" w:after="0" w:line="355"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 xml:space="preserve">不适用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6"/>
                              <w:keepNext w:val="0"/>
                              <w:keepLines w:val="0"/>
                              <w:widowControl w:val="0"/>
                              <w:shd w:val="clear" w:color="auto" w:fill="auto"/>
                              <w:bidi w:val="0"/>
                              <w:spacing w:before="0" w:after="0" w:line="355"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6"/>
                              <w:keepNext w:val="0"/>
                              <w:keepLines w:val="0"/>
                              <w:widowControl w:val="0"/>
                              <w:shd w:val="clear" w:color="auto" w:fill="auto"/>
                              <w:bidi w:val="0"/>
                              <w:spacing w:before="0" w:after="0" w:line="355"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txbxContent>
                      </wps:txbx>
                      <wps:bodyPr lIns="0" tIns="0" rIns="0" bIns="0">
                        <a:noAutoFit/>
                      </wps:bodyPr>
                    </wps:wsp>
                  </a:graphicData>
                </a:graphic>
              </wp:anchor>
            </w:drawing>
          </mc:Choice>
          <mc:Fallback>
            <w:pict>
              <v:shape id="_x0000_s1096" type="#_x0000_t202" style="position:absolute;margin-left:455.19999999999999pt;margin-top:28.pt;width:82.100000000000009pt;height:71.5pt;z-index:-125829355;mso-wrap-distance-left:9.pt;mso-wrap-distance-right:9.pt;mso-position-horizontal-relative:page" filled="f" stroked="f">
                <v:textbox inset="0,0,0,0">
                  <w:txbxContent>
                    <w:p>
                      <w:pPr>
                        <w:pStyle w:val="Style16"/>
                        <w:keepNext w:val="0"/>
                        <w:keepLines w:val="0"/>
                        <w:widowControl w:val="0"/>
                        <w:shd w:val="clear" w:color="auto" w:fill="auto"/>
                        <w:bidi w:val="0"/>
                        <w:spacing w:before="0" w:after="0" w:line="355"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 xml:space="preserve">不适用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6"/>
                        <w:keepNext w:val="0"/>
                        <w:keepLines w:val="0"/>
                        <w:widowControl w:val="0"/>
                        <w:shd w:val="clear" w:color="auto" w:fill="auto"/>
                        <w:bidi w:val="0"/>
                        <w:spacing w:before="0" w:after="0" w:line="355"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6"/>
                        <w:keepNext w:val="0"/>
                        <w:keepLines w:val="0"/>
                        <w:widowControl w:val="0"/>
                        <w:shd w:val="clear" w:color="auto" w:fill="auto"/>
                        <w:bidi w:val="0"/>
                        <w:spacing w:before="0" w:after="0" w:line="355"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txbxContent>
                </v:textbox>
                <w10:wrap type="square" side="left" anchorx="page"/>
              </v:shape>
            </w:pict>
          </mc:Fallback>
        </mc:AlternateContent>
      </w:r>
      <w:r>
        <w:rPr>
          <w:color w:val="000000"/>
          <w:spacing w:val="0"/>
          <w:w w:val="100"/>
          <w:position w:val="0"/>
        </w:rPr>
        <w:t>报告期，部分董监高所持股份按有关规定锁定与解锁，导致有限售条件股份减少</w:t>
      </w:r>
      <w:r>
        <w:rPr>
          <w:rFonts w:ascii="Times New Roman" w:eastAsia="Times New Roman" w:hAnsi="Times New Roman" w:cs="Times New Roman"/>
          <w:color w:val="000000"/>
          <w:spacing w:val="0"/>
          <w:w w:val="100"/>
          <w:position w:val="0"/>
        </w:rPr>
        <w:t>208,154</w:t>
      </w:r>
      <w:r>
        <w:rPr>
          <w:color w:val="000000"/>
          <w:spacing w:val="0"/>
          <w:w w:val="100"/>
          <w:position w:val="0"/>
        </w:rPr>
        <w:t>股。</w:t>
      </w:r>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股份变动的批准情况</w:t>
      </w:r>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股份变动的过户情况</w:t>
      </w:r>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股份回购的实施进展情况</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采用集中竞价方式减持回购股份的实施进展情况</w:t>
      </w:r>
    </w:p>
    <w:p>
      <w:pPr>
        <w:pStyle w:val="Style16"/>
        <w:keepNext w:val="0"/>
        <w:keepLines w:val="0"/>
        <w:widowControl w:val="0"/>
        <w:shd w:val="clear" w:color="auto" w:fill="auto"/>
        <w:tabs>
          <w:tab w:pos="7776" w:val="left"/>
        </w:tabs>
        <w:bidi w:val="0"/>
        <w:spacing w:before="0" w:after="0" w:line="317" w:lineRule="exact"/>
        <w:ind w:left="0" w:right="0" w:firstLine="0"/>
        <w:jc w:val="left"/>
      </w:pPr>
      <w:r>
        <w:rPr>
          <w:color w:val="000000"/>
          <w:spacing w:val="0"/>
          <w:w w:val="100"/>
          <w:position w:val="0"/>
        </w:rPr>
        <w:t>股份变动对最近一年和最近一期基本每股收益和稀释每股收益、归属于公司普通股股东的每股净资产等财 务指标的影响</w:t>
        <w:tab/>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6"/>
        <w:keepNext w:val="0"/>
        <w:keepLines w:val="0"/>
        <w:widowControl w:val="0"/>
        <w:shd w:val="clear" w:color="auto" w:fill="auto"/>
        <w:tabs>
          <w:tab w:pos="7980" w:val="left"/>
        </w:tabs>
        <w:bidi w:val="0"/>
        <w:spacing w:before="0" w:after="120" w:line="317" w:lineRule="exact"/>
        <w:ind w:left="0" w:right="0" w:firstLine="0"/>
        <w:jc w:val="left"/>
      </w:pPr>
      <w:r>
        <w:rPr>
          <w:color w:val="000000"/>
          <w:spacing w:val="0"/>
          <w:w w:val="100"/>
          <w:position w:val="0"/>
        </w:rPr>
        <w:t>公司认为必要或证券监管机构要求披露的其他内容</w:t>
        <w:tab/>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r>
        <w:br w:type="page"/>
      </w:r>
    </w:p>
    <w:p>
      <w:pPr>
        <w:pStyle w:val="Style16"/>
        <w:keepNext w:val="0"/>
        <w:keepLines w:val="0"/>
        <w:widowControl w:val="0"/>
        <w:shd w:val="clear" w:color="auto" w:fill="auto"/>
        <w:bidi w:val="0"/>
        <w:spacing w:before="0" w:after="340" w:line="240" w:lineRule="auto"/>
        <w:ind w:left="0" w:right="0" w:firstLine="0"/>
        <w:jc w:val="left"/>
      </w:pPr>
      <w:r>
        <mc:AlternateContent>
          <mc:Choice Requires="wps">
            <w:drawing>
              <wp:anchor distT="0" distB="0" distL="114300" distR="114300" simplePos="0" relativeHeight="125829400" behindDoc="0" locked="0" layoutInCell="1" allowOverlap="1">
                <wp:simplePos x="0" y="0"/>
                <wp:positionH relativeFrom="page">
                  <wp:posOffset>5774690</wp:posOffset>
                </wp:positionH>
                <wp:positionV relativeFrom="paragraph">
                  <wp:posOffset>12700</wp:posOffset>
                </wp:positionV>
                <wp:extent cx="1048385" cy="182880"/>
                <wp:wrapSquare wrapText="left"/>
                <wp:docPr id="72" name="Shape 72"/>
                <a:graphic xmlns:a="http://schemas.openxmlformats.org/drawingml/2006/main">
                  <a:graphicData uri="http://schemas.microsoft.com/office/word/2010/wordprocessingShape">
                    <wps:wsp>
                      <wps:cNvSpPr txBox="1"/>
                      <wps:spPr>
                        <a:xfrm>
                          <a:ext cx="1048385" cy="18288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xbxContent>
                      </wps:txbx>
                      <wps:bodyPr wrap="none" lIns="0" tIns="0" rIns="0" bIns="0">
                        <a:noAutoFit/>
                      </wps:bodyPr>
                    </wps:wsp>
                  </a:graphicData>
                </a:graphic>
              </wp:anchor>
            </w:drawing>
          </mc:Choice>
          <mc:Fallback>
            <w:pict>
              <v:shape id="_x0000_s1098" type="#_x0000_t202" style="position:absolute;margin-left:454.69999999999999pt;margin-top:1.pt;width:82.549999999999997pt;height:14.4pt;z-index:-125829353;mso-wrap-distance-left:9.pt;mso-wrap-distance-right:9.pt;mso-position-horizontal-relative:page" filled="f" stroked="f">
                <v:textbox inset="0,0,0,0">
                  <w:txbxContent>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xbxContent>
                </v:textbox>
                <w10:wrap type="square" side="left" anchorx="page"/>
              </v:shape>
            </w:pict>
          </mc:Fallback>
        </mc:AlternateContent>
      </w:r>
      <w:bookmarkStart w:id="416" w:name="bookmark416"/>
      <w:bookmarkStart w:id="417" w:name="bookmark417"/>
      <w:r>
        <w:rPr>
          <w:rFonts w:ascii="Times New Roman" w:eastAsia="Times New Roman" w:hAnsi="Times New Roman" w:cs="Times New Roman"/>
          <w:b/>
          <w:bCs/>
          <w:color w:val="000000"/>
          <w:spacing w:val="0"/>
          <w:w w:val="100"/>
          <w:position w:val="0"/>
        </w:rPr>
        <w:t>2</w:t>
      </w:r>
      <w:bookmarkEnd w:id="416"/>
      <w:r>
        <w:rPr>
          <w:b/>
          <w:bCs/>
          <w:color w:val="000000"/>
          <w:spacing w:val="0"/>
          <w:w w:val="100"/>
          <w:position w:val="0"/>
        </w:rPr>
        <w:t>、限售股份变动情况</w:t>
      </w:r>
      <w:bookmarkEnd w:id="417"/>
    </w:p>
    <w:p>
      <w:pPr>
        <w:pStyle w:val="Style40"/>
        <w:keepNext w:val="0"/>
        <w:keepLines w:val="0"/>
        <w:widowControl w:val="0"/>
        <w:shd w:val="clear" w:color="auto" w:fill="auto"/>
        <w:bidi w:val="0"/>
        <w:spacing w:before="0" w:after="0" w:line="240" w:lineRule="auto"/>
        <w:ind w:left="8582" w:right="0" w:firstLine="0"/>
        <w:jc w:val="left"/>
      </w:pPr>
      <w:r>
        <w:rPr>
          <w:color w:val="000000"/>
          <w:spacing w:val="0"/>
          <w:w w:val="100"/>
          <w:position w:val="0"/>
        </w:rPr>
        <w:t>单位：股</w:t>
      </w:r>
    </w:p>
    <w:tbl>
      <w:tblPr>
        <w:tblOverlap w:val="never"/>
        <w:jc w:val="center"/>
        <w:tblLayout w:type="fixed"/>
      </w:tblPr>
      <w:tblGrid>
        <w:gridCol w:w="1958"/>
        <w:gridCol w:w="1416"/>
        <w:gridCol w:w="994"/>
        <w:gridCol w:w="1272"/>
        <w:gridCol w:w="1138"/>
        <w:gridCol w:w="1430"/>
        <w:gridCol w:w="1378"/>
      </w:tblGrid>
      <w:tr>
        <w:trPr>
          <w:trHeight w:val="7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股东名称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期初限售股数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center"/>
            </w:pPr>
            <w:r>
              <w:rPr>
                <w:b/>
                <w:bCs/>
                <w:color w:val="000000"/>
                <w:spacing w:val="0"/>
                <w:w w:val="100"/>
                <w:position w:val="0"/>
              </w:rPr>
              <w:t>本期增加 限售股数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55" w:lineRule="exact"/>
              <w:ind w:left="0" w:right="0" w:firstLine="0"/>
              <w:jc w:val="center"/>
            </w:pPr>
            <w:r>
              <w:rPr>
                <w:b/>
                <w:bCs/>
                <w:color w:val="000000"/>
                <w:spacing w:val="0"/>
                <w:w w:val="100"/>
                <w:position w:val="0"/>
              </w:rPr>
              <w:t>本期解除 限售股数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55" w:lineRule="exact"/>
              <w:ind w:left="0" w:right="0" w:firstLine="0"/>
              <w:jc w:val="center"/>
            </w:pPr>
            <w:r>
              <w:rPr>
                <w:b/>
                <w:bCs/>
                <w:color w:val="000000"/>
                <w:spacing w:val="0"/>
                <w:w w:val="100"/>
                <w:position w:val="0"/>
              </w:rPr>
              <w:t>期末限售 股数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解除限售原因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解除限售日期</w:t>
            </w:r>
          </w:p>
        </w:tc>
      </w:tr>
      <w:tr>
        <w:trPr>
          <w:trHeight w:val="140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刘世明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366,710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366,710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截止期末离任 满</w:t>
            </w:r>
            <w:r>
              <w:rPr>
                <w:rFonts w:ascii="Times New Roman" w:eastAsia="Times New Roman" w:hAnsi="Times New Roman" w:cs="Times New Roman"/>
                <w:color w:val="000000"/>
                <w:spacing w:val="0"/>
                <w:w w:val="100"/>
                <w:position w:val="0"/>
              </w:rPr>
              <w:t>6</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执行董监高股 份管理规定</w:t>
            </w:r>
          </w:p>
        </w:tc>
      </w:tr>
      <w:tr>
        <w:trPr>
          <w:trHeight w:val="141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78,054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78,054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截止期末离任 满</w:t>
            </w:r>
            <w:r>
              <w:rPr>
                <w:rFonts w:ascii="Times New Roman" w:eastAsia="Times New Roman" w:hAnsi="Times New Roman" w:cs="Times New Roman"/>
                <w:color w:val="000000"/>
                <w:spacing w:val="0"/>
                <w:w w:val="100"/>
                <w:position w:val="0"/>
              </w:rPr>
              <w:t>6</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执行董监高股 份管理规定</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报告期离任董 事、高管职务， 所持股份</w:t>
            </w:r>
            <w:r>
              <w:rPr>
                <w:rFonts w:ascii="Times New Roman" w:eastAsia="Times New Roman" w:hAnsi="Times New Roman" w:cs="Times New Roman"/>
                <w:color w:val="000000"/>
                <w:spacing w:val="0"/>
                <w:w w:val="100"/>
                <w:position w:val="0"/>
              </w:rPr>
              <w:t xml:space="preserve">100% </w:t>
            </w:r>
            <w:r>
              <w:rPr>
                <w:color w:val="000000"/>
                <w:spacing w:val="0"/>
                <w:w w:val="100"/>
                <w:position w:val="0"/>
              </w:rPr>
              <w:t>锁定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执行董监高股 份管理规定</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444,764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44,4764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bl>
    <w:p>
      <w:pPr>
        <w:widowControl w:val="0"/>
        <w:spacing w:after="339" w:line="1" w:lineRule="exact"/>
      </w:pPr>
    </w:p>
    <w:p>
      <w:pPr>
        <w:pStyle w:val="Style29"/>
        <w:keepNext/>
        <w:keepLines/>
        <w:widowControl w:val="0"/>
        <w:shd w:val="clear" w:color="auto" w:fill="auto"/>
        <w:bidi w:val="0"/>
        <w:spacing w:before="0" w:after="340" w:line="240" w:lineRule="auto"/>
        <w:ind w:left="0" w:right="0" w:firstLine="0"/>
        <w:jc w:val="left"/>
      </w:pPr>
      <w:bookmarkStart w:id="418" w:name="bookmark418"/>
      <w:bookmarkStart w:id="419" w:name="bookmark419"/>
      <w:bookmarkStart w:id="420" w:name="bookmark420"/>
      <w:bookmarkStart w:id="421" w:name="bookmark421"/>
      <w:r>
        <w:rPr>
          <w:color w:val="000000"/>
          <w:spacing w:val="0"/>
          <w:w w:val="100"/>
          <w:position w:val="0"/>
          <w:sz w:val="24"/>
          <w:szCs w:val="24"/>
        </w:rPr>
        <w:t>二</w:t>
      </w:r>
      <w:bookmarkEnd w:id="420"/>
      <w:r>
        <w:rPr>
          <w:color w:val="000000"/>
          <w:spacing w:val="0"/>
          <w:w w:val="100"/>
          <w:position w:val="0"/>
          <w:sz w:val="24"/>
          <w:szCs w:val="24"/>
        </w:rPr>
        <w:t>、证券发行与上市情况</w:t>
      </w:r>
      <w:bookmarkEnd w:id="418"/>
      <w:bookmarkEnd w:id="419"/>
      <w:bookmarkEnd w:id="421"/>
    </w:p>
    <w:p>
      <w:pPr>
        <w:pStyle w:val="Style16"/>
        <w:keepNext w:val="0"/>
        <w:keepLines w:val="0"/>
        <w:widowControl w:val="0"/>
        <w:shd w:val="clear" w:color="auto" w:fill="auto"/>
        <w:bidi w:val="0"/>
        <w:spacing w:before="0" w:after="340" w:line="240" w:lineRule="auto"/>
        <w:ind w:left="0" w:right="0" w:firstLine="0"/>
        <w:jc w:val="left"/>
      </w:pPr>
      <w:r>
        <mc:AlternateContent>
          <mc:Choice Requires="wps">
            <w:drawing>
              <wp:anchor distT="0" distB="771525" distL="114300" distR="139065" simplePos="0" relativeHeight="125829402" behindDoc="0" locked="0" layoutInCell="1" allowOverlap="1">
                <wp:simplePos x="0" y="0"/>
                <wp:positionH relativeFrom="page">
                  <wp:posOffset>5783580</wp:posOffset>
                </wp:positionH>
                <wp:positionV relativeFrom="paragraph">
                  <wp:posOffset>12700</wp:posOffset>
                </wp:positionV>
                <wp:extent cx="435610" cy="176530"/>
                <wp:wrapSquare wrapText="left"/>
                <wp:docPr id="74" name="Shape 74"/>
                <a:graphic xmlns:a="http://schemas.openxmlformats.org/drawingml/2006/main">
                  <a:graphicData uri="http://schemas.microsoft.com/office/word/2010/wordprocessingShape">
                    <wps:wsp>
                      <wps:cNvSpPr txBox="1"/>
                      <wps:spPr>
                        <a:xfrm>
                          <a:ext cx="435610" cy="17653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p>
                        </w:txbxContent>
                      </wps:txbx>
                      <wps:bodyPr wrap="none" lIns="0" tIns="0" rIns="0" bIns="0">
                        <a:noAutoFit/>
                      </wps:bodyPr>
                    </wps:wsp>
                  </a:graphicData>
                </a:graphic>
              </wp:anchor>
            </w:drawing>
          </mc:Choice>
          <mc:Fallback>
            <w:pict>
              <v:shape id="_x0000_s1100" type="#_x0000_t202" style="position:absolute;margin-left:455.40000000000003pt;margin-top:1.pt;width:34.300000000000004pt;height:13.9pt;z-index:-125829351;mso-wrap-distance-left:9.pt;mso-wrap-distance-right:10.950000000000001pt;mso-wrap-distance-bottom:60.75pt;mso-position-horizontal-relative:page" filled="f" stroked="f">
                <v:textbox inset="0,0,0,0">
                  <w:txbxContent>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p>
                  </w:txbxContent>
                </v:textbox>
                <w10:wrap type="square" side="left" anchorx="page"/>
              </v:shape>
            </w:pict>
          </mc:Fallback>
        </mc:AlternateContent>
      </w:r>
      <w:r>
        <mc:AlternateContent>
          <mc:Choice Requires="wps">
            <w:drawing>
              <wp:anchor distT="389890" distB="381635" distL="123190" distR="130175" simplePos="0" relativeHeight="125829404" behindDoc="0" locked="0" layoutInCell="1" allowOverlap="1">
                <wp:simplePos x="0" y="0"/>
                <wp:positionH relativeFrom="page">
                  <wp:posOffset>5792470</wp:posOffset>
                </wp:positionH>
                <wp:positionV relativeFrom="paragraph">
                  <wp:posOffset>402590</wp:posOffset>
                </wp:positionV>
                <wp:extent cx="435610" cy="176530"/>
                <wp:wrapSquare wrapText="left"/>
                <wp:docPr id="76" name="Shape 76"/>
                <a:graphic xmlns:a="http://schemas.openxmlformats.org/drawingml/2006/main">
                  <a:graphicData uri="http://schemas.microsoft.com/office/word/2010/wordprocessingShape">
                    <wps:wsp>
                      <wps:cNvSpPr txBox="1"/>
                      <wps:spPr>
                        <a:xfrm>
                          <a:ext cx="435610" cy="17653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p>
                        </w:txbxContent>
                      </wps:txbx>
                      <wps:bodyPr wrap="none" lIns="0" tIns="0" rIns="0" bIns="0">
                        <a:noAutoFit/>
                      </wps:bodyPr>
                    </wps:wsp>
                  </a:graphicData>
                </a:graphic>
              </wp:anchor>
            </w:drawing>
          </mc:Choice>
          <mc:Fallback>
            <w:pict>
              <v:shape id="_x0000_s1102" type="#_x0000_t202" style="position:absolute;margin-left:456.10000000000002pt;margin-top:31.699999999999999pt;width:34.300000000000004pt;height:13.9pt;z-index:-125829349;mso-wrap-distance-left:9.7000000000000011pt;mso-wrap-distance-top:30.699999999999999pt;mso-wrap-distance-right:10.25pt;mso-wrap-distance-bottom:30.050000000000001pt;mso-position-horizontal-relative:page" filled="f" stroked="f">
                <v:textbox inset="0,0,0,0">
                  <w:txbxContent>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p>
                  </w:txbxContent>
                </v:textbox>
                <w10:wrap type="square" side="left" anchorx="page"/>
              </v:shape>
            </w:pict>
          </mc:Fallback>
        </mc:AlternateContent>
      </w:r>
      <w:r>
        <mc:AlternateContent>
          <mc:Choice Requires="wps">
            <w:drawing>
              <wp:anchor distT="780415" distB="0" distL="138430" distR="114935" simplePos="0" relativeHeight="125829406" behindDoc="0" locked="0" layoutInCell="1" allowOverlap="1">
                <wp:simplePos x="0" y="0"/>
                <wp:positionH relativeFrom="page">
                  <wp:posOffset>5807710</wp:posOffset>
                </wp:positionH>
                <wp:positionV relativeFrom="paragraph">
                  <wp:posOffset>793115</wp:posOffset>
                </wp:positionV>
                <wp:extent cx="435610" cy="167640"/>
                <wp:wrapSquare wrapText="left"/>
                <wp:docPr id="78" name="Shape 78"/>
                <a:graphic xmlns:a="http://schemas.openxmlformats.org/drawingml/2006/main">
                  <a:graphicData uri="http://schemas.microsoft.com/office/word/2010/wordprocessingShape">
                    <wps:wsp>
                      <wps:cNvSpPr txBox="1"/>
                      <wps:spPr>
                        <a:xfrm>
                          <a:ext cx="435610" cy="16764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 </w:t>
                            </w:r>
                            <w:r>
                              <w:rPr>
                                <w:color w:val="000000"/>
                                <w:spacing w:val="0"/>
                                <w:w w:val="100"/>
                                <w:position w:val="0"/>
                              </w:rPr>
                              <w:t>适用</w:t>
                            </w:r>
                          </w:p>
                        </w:txbxContent>
                      </wps:txbx>
                      <wps:bodyPr wrap="none" lIns="0" tIns="0" rIns="0" bIns="0">
                        <a:noAutoFit/>
                      </wps:bodyPr>
                    </wps:wsp>
                  </a:graphicData>
                </a:graphic>
              </wp:anchor>
            </w:drawing>
          </mc:Choice>
          <mc:Fallback>
            <w:pict>
              <v:shape id="_x0000_s1104" type="#_x0000_t202" style="position:absolute;margin-left:457.30000000000001pt;margin-top:62.450000000000003pt;width:34.300000000000004pt;height:13.200000000000001pt;z-index:-125829347;mso-wrap-distance-left:10.9pt;mso-wrap-distance-top:61.450000000000003pt;mso-wrap-distance-right:9.0500000000000007pt;mso-position-horizontal-relative:page" filled="f" stroked="f">
                <v:textbox inset="0,0,0,0">
                  <w:txbxContent>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 </w:t>
                      </w:r>
                      <w:r>
                        <w:rPr>
                          <w:color w:val="000000"/>
                          <w:spacing w:val="0"/>
                          <w:w w:val="100"/>
                          <w:position w:val="0"/>
                        </w:rPr>
                        <w:t>适用</w:t>
                      </w:r>
                    </w:p>
                  </w:txbxContent>
                </v:textbox>
                <w10:wrap type="square" side="left" anchorx="page"/>
              </v:shape>
            </w:pict>
          </mc:Fallback>
        </mc:AlternateContent>
      </w:r>
      <w:bookmarkStart w:id="422" w:name="bookmark422"/>
      <w:bookmarkStart w:id="423" w:name="bookmark423"/>
      <w:r>
        <w:rPr>
          <w:rFonts w:ascii="Times New Roman" w:eastAsia="Times New Roman" w:hAnsi="Times New Roman" w:cs="Times New Roman"/>
          <w:b/>
          <w:bCs/>
          <w:color w:val="000000"/>
          <w:spacing w:val="0"/>
          <w:w w:val="100"/>
          <w:position w:val="0"/>
        </w:rPr>
        <w:t>1</w:t>
      </w:r>
      <w:bookmarkEnd w:id="422"/>
      <w:r>
        <w:rPr>
          <w:b/>
          <w:bCs/>
          <w:color w:val="000000"/>
          <w:spacing w:val="0"/>
          <w:w w:val="100"/>
          <w:position w:val="0"/>
        </w:rPr>
        <w:t>、报告期内证券发行（不含优先股）情况</w:t>
      </w:r>
      <w:bookmarkEnd w:id="423"/>
      <w:r>
        <w:rPr>
          <w:b/>
          <w:bCs/>
          <w:color w:val="000000"/>
          <w:spacing w:val="0"/>
          <w:w w:val="100"/>
          <w:position w:val="0"/>
        </w:rPr>
        <w:t xml:space="preserve"> </w:t>
      </w:r>
      <w:bookmarkStart w:id="424" w:name="bookmark424"/>
      <w:bookmarkStart w:id="425" w:name="bookmark425"/>
      <w:r>
        <w:rPr>
          <w:rFonts w:ascii="Times New Roman" w:eastAsia="Times New Roman" w:hAnsi="Times New Roman" w:cs="Times New Roman"/>
          <w:b/>
          <w:bCs/>
          <w:color w:val="000000"/>
          <w:spacing w:val="0"/>
          <w:w w:val="100"/>
          <w:position w:val="0"/>
        </w:rPr>
        <w:t>2</w:t>
      </w:r>
      <w:bookmarkEnd w:id="424"/>
      <w:r>
        <w:rPr>
          <w:b/>
          <w:bCs/>
          <w:color w:val="000000"/>
          <w:spacing w:val="0"/>
          <w:w w:val="100"/>
          <w:position w:val="0"/>
        </w:rPr>
        <w:t>、公司股份总数及股东结构的变动、公司资产和负债结构的变动情况说明</w:t>
      </w:r>
      <w:bookmarkEnd w:id="425"/>
      <w:r>
        <w:rPr>
          <w:b/>
          <w:bCs/>
          <w:color w:val="000000"/>
          <w:spacing w:val="0"/>
          <w:w w:val="100"/>
          <w:position w:val="0"/>
        </w:rPr>
        <w:t xml:space="preserve"> </w:t>
      </w:r>
      <w:bookmarkStart w:id="426" w:name="bookmark426"/>
      <w:bookmarkStart w:id="427" w:name="bookmark427"/>
      <w:r>
        <w:rPr>
          <w:rFonts w:ascii="Times New Roman" w:eastAsia="Times New Roman" w:hAnsi="Times New Roman" w:cs="Times New Roman"/>
          <w:b/>
          <w:bCs/>
          <w:color w:val="000000"/>
          <w:spacing w:val="0"/>
          <w:w w:val="100"/>
          <w:position w:val="0"/>
        </w:rPr>
        <w:t>3</w:t>
      </w:r>
      <w:bookmarkEnd w:id="426"/>
      <w:r>
        <w:rPr>
          <w:b/>
          <w:bCs/>
          <w:color w:val="000000"/>
          <w:spacing w:val="0"/>
          <w:w w:val="100"/>
          <w:position w:val="0"/>
        </w:rPr>
        <w:t>、现存的内部职工股情况</w:t>
      </w:r>
      <w:bookmarkEnd w:id="427"/>
    </w:p>
    <w:p>
      <w:pPr>
        <w:pStyle w:val="Style29"/>
        <w:keepNext/>
        <w:keepLines/>
        <w:widowControl w:val="0"/>
        <w:shd w:val="clear" w:color="auto" w:fill="auto"/>
        <w:bidi w:val="0"/>
        <w:spacing w:before="0" w:after="340" w:line="240" w:lineRule="auto"/>
        <w:ind w:left="0" w:right="0" w:firstLine="0"/>
        <w:jc w:val="left"/>
      </w:pPr>
      <w:bookmarkStart w:id="428" w:name="bookmark428"/>
      <w:bookmarkStart w:id="429" w:name="bookmark429"/>
      <w:bookmarkStart w:id="430" w:name="bookmark430"/>
      <w:bookmarkStart w:id="431" w:name="bookmark431"/>
      <w:r>
        <w:rPr>
          <w:color w:val="000000"/>
          <w:spacing w:val="0"/>
          <w:w w:val="100"/>
          <w:position w:val="0"/>
          <w:sz w:val="24"/>
          <w:szCs w:val="24"/>
        </w:rPr>
        <w:t>三</w:t>
      </w:r>
      <w:bookmarkEnd w:id="430"/>
      <w:r>
        <w:rPr>
          <w:color w:val="000000"/>
          <w:spacing w:val="0"/>
          <w:w w:val="100"/>
          <w:position w:val="0"/>
          <w:sz w:val="24"/>
          <w:szCs w:val="24"/>
        </w:rPr>
        <w:t>、股东和实际控制人情况</w:t>
      </w:r>
      <w:bookmarkEnd w:id="428"/>
      <w:bookmarkEnd w:id="429"/>
      <w:bookmarkEnd w:id="431"/>
    </w:p>
    <w:p>
      <w:pPr>
        <w:pStyle w:val="Style37"/>
        <w:keepNext/>
        <w:keepLines/>
        <w:widowControl w:val="0"/>
        <w:shd w:val="clear" w:color="auto" w:fill="auto"/>
        <w:bidi w:val="0"/>
        <w:spacing w:before="0" w:after="340" w:line="240" w:lineRule="auto"/>
        <w:ind w:left="0" w:right="0" w:firstLine="0"/>
        <w:jc w:val="left"/>
      </w:pPr>
      <w:bookmarkStart w:id="432" w:name="bookmark432"/>
      <w:bookmarkStart w:id="433" w:name="bookmark433"/>
      <w:bookmarkStart w:id="434" w:name="bookmark434"/>
      <w:bookmarkStart w:id="435" w:name="bookmark435"/>
      <w:r>
        <w:rPr>
          <w:rFonts w:ascii="Times New Roman" w:eastAsia="Times New Roman" w:hAnsi="Times New Roman" w:cs="Times New Roman"/>
          <w:color w:val="000000"/>
          <w:spacing w:val="0"/>
          <w:w w:val="100"/>
          <w:position w:val="0"/>
        </w:rPr>
        <w:t>1</w:t>
      </w:r>
      <w:bookmarkEnd w:id="434"/>
      <w:r>
        <w:rPr>
          <w:color w:val="000000"/>
          <w:spacing w:val="0"/>
          <w:w w:val="100"/>
          <w:position w:val="0"/>
        </w:rPr>
        <w:t>、公司股东数量及持股情况</w:t>
      </w:r>
      <w:bookmarkEnd w:id="432"/>
      <w:bookmarkEnd w:id="433"/>
      <w:bookmarkEnd w:id="435"/>
    </w:p>
    <w:p>
      <w:pPr>
        <w:pStyle w:val="Style4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单位：股</w:t>
      </w:r>
    </w:p>
    <w:tbl>
      <w:tblPr>
        <w:tblOverlap w:val="never"/>
        <w:jc w:val="center"/>
        <w:tblLayout w:type="fixed"/>
      </w:tblPr>
      <w:tblGrid>
        <w:gridCol w:w="1224"/>
        <w:gridCol w:w="629"/>
        <w:gridCol w:w="403"/>
        <w:gridCol w:w="710"/>
        <w:gridCol w:w="715"/>
        <w:gridCol w:w="144"/>
        <w:gridCol w:w="998"/>
        <w:gridCol w:w="1051"/>
        <w:gridCol w:w="931"/>
        <w:gridCol w:w="1142"/>
        <w:gridCol w:w="586"/>
        <w:gridCol w:w="1176"/>
      </w:tblGrid>
      <w:tr>
        <w:trPr>
          <w:trHeight w:val="13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报告期末普通 股股东总数</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82,821</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年度报告披露日 前上一月末普通 股股东总数</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68,403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报告期末表 决权恢复的 优先股股东</w:t>
            </w:r>
          </w:p>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总数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年度报告披露日前上 一月末表决权恢复的 优先股股东总数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名股东持股情况</w:t>
            </w:r>
          </w:p>
        </w:tc>
      </w:tr>
      <w:tr>
        <w:trPr>
          <w:trHeight w:val="403" w:hRule="exact"/>
        </w:trPr>
        <w:tc>
          <w:tcPr>
            <w:gridSpan w:val="2"/>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股东名称</w:t>
            </w:r>
          </w:p>
        </w:tc>
        <w:tc>
          <w:tcPr>
            <w:gridSpan w:val="2"/>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股东性质</w:t>
            </w:r>
          </w:p>
        </w:tc>
        <w:tc>
          <w:tcPr>
            <w:gridSpan w:val="2"/>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持股比例</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期末持股数</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报告期增减 变动</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持有有限售 条件股份数</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持有无限售条 件股份数</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质押或冻结情况</w:t>
            </w:r>
          </w:p>
        </w:tc>
      </w:tr>
      <w:tr>
        <w:trPr>
          <w:trHeight w:val="720" w:hRule="exact"/>
        </w:trPr>
        <w:tc>
          <w:tcPr>
            <w:gridSpan w:val="2"/>
            <w:vMerge/>
            <w:tcBorders>
              <w:left w:val="single" w:sz="4"/>
              <w:bottom w:val="single" w:sz="4"/>
            </w:tcBorders>
            <w:shd w:val="clear" w:color="auto" w:fill="FFFFFF"/>
            <w:vAlign w:val="center"/>
          </w:tcPr>
          <w:p>
            <w:pPr/>
          </w:p>
        </w:tc>
        <w:tc>
          <w:tcPr>
            <w:gridSpan w:val="2"/>
            <w:vMerge/>
            <w:tcBorders>
              <w:left w:val="single" w:sz="4"/>
              <w:bottom w:val="single" w:sz="4"/>
            </w:tcBorders>
            <w:shd w:val="clear" w:color="auto" w:fill="FFFFFF"/>
            <w:vAlign w:val="center"/>
          </w:tcPr>
          <w:p>
            <w:pPr/>
          </w:p>
        </w:tc>
        <w:tc>
          <w:tcPr>
            <w:gridSpan w:val="2"/>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股份</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状态</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400" w:firstLine="0"/>
              <w:jc w:val="right"/>
              <w:rPr>
                <w:sz w:val="18"/>
                <w:szCs w:val="18"/>
              </w:rPr>
            </w:pPr>
            <w:r>
              <w:rPr>
                <w:color w:val="000000"/>
                <w:spacing w:val="0"/>
                <w:w w:val="100"/>
                <w:position w:val="0"/>
                <w:sz w:val="18"/>
                <w:szCs w:val="18"/>
              </w:rPr>
              <w:t>数量</w:t>
            </w:r>
          </w:p>
        </w:tc>
      </w:tr>
    </w:tbl>
    <w:p>
      <w:pPr>
        <w:widowControl w:val="0"/>
        <w:spacing w:line="1" w:lineRule="exact"/>
      </w:pPr>
      <w:r>
        <w:br w:type="page"/>
      </w:r>
    </w:p>
    <w:tbl>
      <w:tblPr>
        <w:tblOverlap w:val="never"/>
        <w:jc w:val="center"/>
        <w:tblLayout w:type="fixed"/>
      </w:tblPr>
      <w:tblGrid>
        <w:gridCol w:w="1853"/>
        <w:gridCol w:w="1114"/>
        <w:gridCol w:w="859"/>
        <w:gridCol w:w="998"/>
        <w:gridCol w:w="998"/>
        <w:gridCol w:w="538"/>
        <w:gridCol w:w="432"/>
        <w:gridCol w:w="1157"/>
        <w:gridCol w:w="586"/>
        <w:gridCol w:w="1176"/>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张家港财智投资中心</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境内非国有 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17.06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330,157,746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330,157,746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330,157,746</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雪松国际信托股份有</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16.11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311,734,019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311,734,019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311,734,019</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深圳前海财智远大投 资中心（有限合伙）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境内非国有 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13.35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258,384,325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258,384,325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29,000,000</w:t>
            </w: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西藏迅杰新科科技有 限公司</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境内非国有 法人</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10.89</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210,654,997</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210,654,997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35,000,000</w:t>
            </w: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gridSpan w:val="2"/>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冻结</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2,170,283</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北京凤凰财鑫股权投 资中心（有限合伙）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境内非国有 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7.42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143,546,846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143,546,846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江西赣粤高速公路股</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85,578,053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-10,833,765</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85,578,053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8"/>
                <w:szCs w:val="18"/>
              </w:rPr>
            </w:pPr>
            <w:r>
              <w:rPr>
                <w:color w:val="000000"/>
                <w:spacing w:val="0"/>
                <w:w w:val="100"/>
                <w:position w:val="0"/>
                <w:sz w:val="18"/>
                <w:szCs w:val="18"/>
              </w:rPr>
              <w:t>北京岫晞股权投资中 心（有限合伙）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境内非国有 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33,000,042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-18,935,690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33,000,042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北京凤凰财智创新投 资中心（有限合伙）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境内非国有 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32,997,360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-34,620,000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32,997,360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29,513,449</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8"/>
                <w:szCs w:val="18"/>
              </w:rPr>
            </w:pPr>
            <w:r>
              <w:rPr>
                <w:color w:val="000000"/>
                <w:spacing w:val="0"/>
                <w:w w:val="100"/>
                <w:position w:val="0"/>
                <w:sz w:val="18"/>
                <w:szCs w:val="18"/>
              </w:rPr>
              <w:t>江西省财政投资管理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30,502,517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30,502,517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8" w:lineRule="exact"/>
              <w:ind w:left="0" w:right="0" w:firstLine="0"/>
              <w:jc w:val="both"/>
              <w:rPr>
                <w:sz w:val="18"/>
                <w:szCs w:val="18"/>
              </w:rPr>
            </w:pPr>
            <w:r>
              <w:rPr>
                <w:color w:val="000000"/>
                <w:spacing w:val="0"/>
                <w:w w:val="100"/>
                <w:position w:val="0"/>
                <w:sz w:val="18"/>
                <w:szCs w:val="18"/>
              </w:rPr>
              <w:t>中国建设银行股份有 限公司一国泰中证全 指证券公司交易型开 放式指数证券投资基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25,138,686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14,387,444</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25,138,686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8"/>
                <w:szCs w:val="18"/>
              </w:rPr>
              <w:t>战略投资者或一般法人因配售新股成 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名股东的情况</w:t>
            </w:r>
          </w:p>
        </w:tc>
        <w:tc>
          <w:tcPr>
            <w:gridSpan w:val="8"/>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r>
      <w:tr>
        <w:trPr>
          <w:trHeight w:val="1027"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上述股东关联关系或一致行动关系说 明</w:t>
            </w:r>
          </w:p>
        </w:tc>
        <w:tc>
          <w:tcPr>
            <w:gridSpan w:val="8"/>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上述股东中，张家港财智、前海远大、凤凰财鑫、凤凰财智均为公司实际控制人杜力 先生及其一致行动人张巍先生控制的企业，为一致行动人。除此以外，公司未知其他 股东间是否存在《上市公司收购管理办法》规定的关联关系或一致行动关系。</w:t>
            </w:r>
          </w:p>
        </w:tc>
      </w:tr>
      <w:tr>
        <w:trPr>
          <w:trHeight w:val="398" w:hRule="exact"/>
        </w:trPr>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名无限售条件股东持股情况</w:t>
            </w:r>
          </w:p>
        </w:tc>
      </w:tr>
      <w:tr>
        <w:trPr>
          <w:trHeight w:val="403" w:hRule="exact"/>
        </w:trPr>
        <w:tc>
          <w:tcPr>
            <w:gridSpan w:val="3"/>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股东名称</w:t>
            </w:r>
          </w:p>
        </w:tc>
        <w:tc>
          <w:tcPr>
            <w:gridSpan w:val="3"/>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报告期末持有无限售条件股份 数量</w:t>
            </w:r>
          </w:p>
        </w:tc>
        <w:tc>
          <w:tcPr>
            <w:gridSpan w:val="4"/>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股份种类</w:t>
            </w:r>
          </w:p>
        </w:tc>
      </w:tr>
      <w:tr>
        <w:trPr>
          <w:trHeight w:val="403" w:hRule="exact"/>
        </w:trPr>
        <w:tc>
          <w:tcPr>
            <w:gridSpan w:val="3"/>
            <w:vMerge/>
            <w:tcBorders>
              <w:left w:val="single" w:sz="4"/>
            </w:tcBorders>
            <w:shd w:val="clear" w:color="auto" w:fill="FFFFFF"/>
            <w:vAlign w:val="center"/>
          </w:tcPr>
          <w:p>
            <w:pPr/>
          </w:p>
        </w:tc>
        <w:tc>
          <w:tcPr>
            <w:gridSpan w:val="3"/>
            <w:vMerge/>
            <w:tcBorders>
              <w:left w:val="single" w:sz="4"/>
            </w:tcBorders>
            <w:shd w:val="clear" w:color="auto" w:fill="FFFFFF"/>
            <w:vAlign w:val="center"/>
          </w:tcPr>
          <w:p>
            <w:pP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股份种类</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400" w:firstLine="0"/>
              <w:jc w:val="right"/>
              <w:rPr>
                <w:sz w:val="18"/>
                <w:szCs w:val="18"/>
              </w:rPr>
            </w:pPr>
            <w:r>
              <w:rPr>
                <w:color w:val="000000"/>
                <w:spacing w:val="0"/>
                <w:w w:val="100"/>
                <w:position w:val="0"/>
                <w:sz w:val="18"/>
                <w:szCs w:val="18"/>
              </w:rPr>
              <w:t>数量</w:t>
            </w:r>
          </w:p>
        </w:tc>
      </w:tr>
      <w:tr>
        <w:trPr>
          <w:trHeight w:val="403" w:hRule="exact"/>
        </w:trPr>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张家港财智投资中心（有限合伙）</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left"/>
              <w:rPr>
                <w:sz w:val="18"/>
                <w:szCs w:val="18"/>
              </w:rPr>
            </w:pPr>
            <w:r>
              <w:rPr>
                <w:rFonts w:ascii="Times New Roman" w:eastAsia="Times New Roman" w:hAnsi="Times New Roman" w:cs="Times New Roman"/>
                <w:color w:val="000000"/>
                <w:spacing w:val="0"/>
                <w:w w:val="100"/>
                <w:position w:val="0"/>
                <w:sz w:val="18"/>
                <w:szCs w:val="18"/>
              </w:rPr>
              <w:t>330,157,746</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330,157,746</w:t>
            </w:r>
          </w:p>
        </w:tc>
      </w:tr>
      <w:tr>
        <w:trPr>
          <w:trHeight w:val="398" w:hRule="exact"/>
        </w:trPr>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深圳前海财智远大投资中心（有限合伙）</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left"/>
              <w:rPr>
                <w:sz w:val="18"/>
                <w:szCs w:val="18"/>
              </w:rPr>
            </w:pPr>
            <w:r>
              <w:rPr>
                <w:rFonts w:ascii="Times New Roman" w:eastAsia="Times New Roman" w:hAnsi="Times New Roman" w:cs="Times New Roman"/>
                <w:color w:val="000000"/>
                <w:spacing w:val="0"/>
                <w:w w:val="100"/>
                <w:position w:val="0"/>
                <w:sz w:val="18"/>
                <w:szCs w:val="18"/>
              </w:rPr>
              <w:t>258,384,325</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258,384,325</w:t>
            </w:r>
          </w:p>
        </w:tc>
      </w:tr>
      <w:tr>
        <w:trPr>
          <w:trHeight w:val="403" w:hRule="exact"/>
        </w:trPr>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西藏迅杰新科科技有限公司</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left"/>
              <w:rPr>
                <w:sz w:val="18"/>
                <w:szCs w:val="18"/>
              </w:rPr>
            </w:pPr>
            <w:r>
              <w:rPr>
                <w:rFonts w:ascii="Times New Roman" w:eastAsia="Times New Roman" w:hAnsi="Times New Roman" w:cs="Times New Roman"/>
                <w:color w:val="000000"/>
                <w:spacing w:val="0"/>
                <w:w w:val="100"/>
                <w:position w:val="0"/>
                <w:sz w:val="18"/>
                <w:szCs w:val="18"/>
              </w:rPr>
              <w:t>210,654,997</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210,654,997</w:t>
            </w:r>
          </w:p>
        </w:tc>
      </w:tr>
      <w:tr>
        <w:trPr>
          <w:trHeight w:val="403" w:hRule="exact"/>
        </w:trPr>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北京凤凰财鑫股权投资中心（有限合伙）</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left"/>
              <w:rPr>
                <w:sz w:val="18"/>
                <w:szCs w:val="18"/>
              </w:rPr>
            </w:pPr>
            <w:r>
              <w:rPr>
                <w:rFonts w:ascii="Times New Roman" w:eastAsia="Times New Roman" w:hAnsi="Times New Roman" w:cs="Times New Roman"/>
                <w:color w:val="000000"/>
                <w:spacing w:val="0"/>
                <w:w w:val="100"/>
                <w:position w:val="0"/>
                <w:sz w:val="18"/>
                <w:szCs w:val="18"/>
              </w:rPr>
              <w:t>143,546,846</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143,546,846</w:t>
            </w:r>
          </w:p>
        </w:tc>
      </w:tr>
      <w:tr>
        <w:trPr>
          <w:trHeight w:val="403" w:hRule="exact"/>
        </w:trPr>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江西赣粤高速公路股份有限公司</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85,578,053</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85,578,053</w:t>
            </w:r>
          </w:p>
        </w:tc>
      </w:tr>
      <w:tr>
        <w:trPr>
          <w:trHeight w:val="398" w:hRule="exact"/>
        </w:trPr>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北京岫晞股权投资中心（有限合伙）</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33,000,042</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33,000,042</w:t>
            </w:r>
          </w:p>
        </w:tc>
      </w:tr>
      <w:tr>
        <w:trPr>
          <w:trHeight w:val="413" w:hRule="exact"/>
        </w:trPr>
        <w:tc>
          <w:tcPr>
            <w:gridSpan w:val="3"/>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北京凤凰财智创新投资中心（有限合伙）</w:t>
            </w:r>
          </w:p>
        </w:tc>
        <w:tc>
          <w:tcPr>
            <w:gridSpan w:val="3"/>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32,997,360</w:t>
            </w:r>
          </w:p>
        </w:tc>
        <w:tc>
          <w:tcPr>
            <w:gridSpan w:val="3"/>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人民币普通股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32,997,360</w:t>
            </w:r>
          </w:p>
        </w:tc>
      </w:tr>
    </w:tbl>
    <w:p>
      <w:pPr>
        <w:widowControl w:val="0"/>
        <w:spacing w:line="1" w:lineRule="exact"/>
      </w:pPr>
      <w:r>
        <w:br w:type="page"/>
      </w:r>
    </w:p>
    <w:tbl>
      <w:tblPr>
        <w:tblOverlap w:val="never"/>
        <w:jc w:val="center"/>
        <w:tblLayout w:type="fixed"/>
      </w:tblPr>
      <w:tblGrid>
        <w:gridCol w:w="3826"/>
        <w:gridCol w:w="2534"/>
        <w:gridCol w:w="2174"/>
        <w:gridCol w:w="1176"/>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江西省财政投资管理公司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30,502,517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30,502,517</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中国建设银行股份有限公司一国泰中证全指证 券公司交易型开放式指数证券投资基金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25,138,686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25,138,686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罗卫霞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20,800,000</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8"/>
                <w:szCs w:val="18"/>
              </w:rPr>
            </w:pPr>
            <w:r>
              <w:rPr>
                <w:color w:val="000000"/>
                <w:spacing w:val="0"/>
                <w:w w:val="100"/>
                <w:position w:val="0"/>
                <w:sz w:val="18"/>
                <w:szCs w:val="18"/>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名无限售流通股股东之间，以及前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名无 限售流通股股东和前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名股东之间关联关系或 一致行动的说明</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rPr>
                <w:sz w:val="18"/>
                <w:szCs w:val="18"/>
              </w:rPr>
            </w:pPr>
            <w:r>
              <w:rPr>
                <w:color w:val="000000"/>
                <w:spacing w:val="0"/>
                <w:w w:val="100"/>
                <w:position w:val="0"/>
                <w:sz w:val="18"/>
                <w:szCs w:val="18"/>
              </w:rPr>
              <w:t>张家港财智、前海远大、凤凰财鑫、凤凰财智均为公司实际控制人杜力先 生及其一致行动人张巍先生控制的企业，为一致行动人。除此以外，公司 未知其他股东间是否存在《上市公司收购管理办法》规定的关联关系或一 致行动关系。</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名普通股股东参与融资融券业务情况说明</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不适用</w:t>
            </w:r>
          </w:p>
        </w:tc>
      </w:tr>
    </w:tbl>
    <w:p>
      <w:pPr>
        <w:pStyle w:val="Style40"/>
        <w:keepNext w:val="0"/>
        <w:keepLines w:val="0"/>
        <w:widowControl w:val="0"/>
        <w:shd w:val="clear" w:color="auto" w:fill="auto"/>
        <w:bidi w:val="0"/>
        <w:spacing w:before="0" w:after="0" w:line="341"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 xml:space="preserve">名无限售条件普通股股东在报告期内是否进行约定购回交易 </w:t>
      </w:r>
      <w:r>
        <w:rPr>
          <w:color w:val="000000"/>
          <w:spacing w:val="0"/>
          <w:w w:val="100"/>
          <w:position w:val="0"/>
        </w:rPr>
        <w:t>口</w:t>
      </w:r>
      <w:r>
        <w:rPr>
          <w:color w:val="000000"/>
          <w:spacing w:val="0"/>
          <w:w w:val="100"/>
          <w:position w:val="0"/>
        </w:rPr>
        <w:t>是</w:t>
      </w:r>
      <w:r>
        <w:rPr>
          <w:color w:val="000000"/>
          <w:spacing w:val="0"/>
          <w:w w:val="100"/>
          <w:position w:val="0"/>
        </w:rPr>
        <w:t>寸</w:t>
      </w:r>
      <w:r>
        <w:rPr>
          <w:color w:val="000000"/>
          <w:spacing w:val="0"/>
          <w:w w:val="100"/>
          <w:position w:val="0"/>
        </w:rPr>
        <w:t>否 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名无限售条件普通股股东在报告期内未进行约定购回交易。</w:t>
      </w:r>
    </w:p>
    <w:p>
      <w:pPr>
        <w:widowControl w:val="0"/>
        <w:spacing w:after="339" w:line="1" w:lineRule="exact"/>
      </w:pPr>
    </w:p>
    <w:p>
      <w:pPr>
        <w:pStyle w:val="Style37"/>
        <w:keepNext/>
        <w:keepLines/>
        <w:widowControl w:val="0"/>
        <w:shd w:val="clear" w:color="auto" w:fill="auto"/>
        <w:bidi w:val="0"/>
        <w:spacing w:before="0" w:after="340" w:line="240" w:lineRule="auto"/>
        <w:ind w:left="0" w:right="0" w:firstLine="0"/>
        <w:jc w:val="left"/>
      </w:pPr>
      <w:bookmarkStart w:id="436" w:name="bookmark436"/>
      <w:bookmarkStart w:id="437" w:name="bookmark437"/>
      <w:bookmarkStart w:id="438" w:name="bookmark438"/>
      <w:bookmarkStart w:id="439" w:name="bookmark439"/>
      <w:r>
        <w:rPr>
          <w:rFonts w:ascii="Times New Roman" w:eastAsia="Times New Roman" w:hAnsi="Times New Roman" w:cs="Times New Roman"/>
          <w:color w:val="000000"/>
          <w:spacing w:val="0"/>
          <w:w w:val="100"/>
          <w:position w:val="0"/>
        </w:rPr>
        <w:t>2</w:t>
      </w:r>
      <w:bookmarkEnd w:id="438"/>
      <w:r>
        <w:rPr>
          <w:color w:val="000000"/>
          <w:spacing w:val="0"/>
          <w:w w:val="100"/>
          <w:position w:val="0"/>
        </w:rPr>
        <w:t>、公司控股股东情况</w:t>
      </w:r>
      <w:bookmarkEnd w:id="436"/>
      <w:bookmarkEnd w:id="437"/>
      <w:bookmarkEnd w:id="439"/>
    </w:p>
    <w:p>
      <w:pPr>
        <w:pStyle w:val="Style4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控股股东性质：自然人控股</w:t>
      </w:r>
    </w:p>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控股股东类型：法人</w:t>
      </w:r>
    </w:p>
    <w:tbl>
      <w:tblPr>
        <w:tblOverlap w:val="never"/>
        <w:jc w:val="center"/>
        <w:tblLayout w:type="fixed"/>
      </w:tblPr>
      <w:tblGrid>
        <w:gridCol w:w="2242"/>
        <w:gridCol w:w="1272"/>
        <w:gridCol w:w="1843"/>
        <w:gridCol w:w="2126"/>
        <w:gridCol w:w="2098"/>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b/>
                <w:bCs/>
                <w:color w:val="000000"/>
                <w:spacing w:val="0"/>
                <w:w w:val="100"/>
                <w:position w:val="0"/>
              </w:rPr>
              <w:t>控股股东名称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b/>
                <w:bCs/>
                <w:color w:val="000000"/>
                <w:spacing w:val="0"/>
                <w:w w:val="100"/>
                <w:position w:val="0"/>
              </w:rPr>
              <w:t>法定代表人</w:t>
            </w:r>
            <w:r>
              <w:rPr>
                <w:rFonts w:ascii="Times New Roman" w:eastAsia="Times New Roman" w:hAnsi="Times New Roman" w:cs="Times New Roman"/>
                <w:b/>
                <w:bCs/>
                <w:color w:val="000000"/>
                <w:spacing w:val="0"/>
                <w:w w:val="100"/>
                <w:position w:val="0"/>
              </w:rPr>
              <w:t xml:space="preserve">/ </w:t>
            </w:r>
            <w:r>
              <w:rPr>
                <w:b/>
                <w:bCs/>
                <w:color w:val="000000"/>
                <w:spacing w:val="0"/>
                <w:w w:val="100"/>
                <w:position w:val="0"/>
              </w:rPr>
              <w:t>单位负责人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成立日期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统一社会信用代码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b/>
                <w:bCs/>
                <w:color w:val="000000"/>
                <w:spacing w:val="0"/>
                <w:w w:val="100"/>
                <w:position w:val="0"/>
              </w:rPr>
              <w:t>主要经营业务</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张家港财智投资中心</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叶强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9144030035912216XQ</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项目投资；投资管理； 投资咨询；资产管理。</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深圳前海财智远大投资 中心（有限合伙）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杜力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91440300359116261W</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项目投资；投资管理； 投资咨询；资产管理。</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北京凤凰财鑫股权投资 中心（有限合伙）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杜力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911100003442295620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项目投资；投资管理； 投资咨询；资产管理。</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北京凤凰财智创新投资 中心（有限合伙）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杜力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911101053181136545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项目投资；投资管理； 投资咨询；资产管理。</w:t>
            </w:r>
          </w:p>
        </w:tc>
      </w:tr>
      <w:tr>
        <w:trPr>
          <w:trHeight w:val="413" w:hRule="exact"/>
        </w:trPr>
        <w:tc>
          <w:tcPr>
            <w:gridSpan w:val="4"/>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控股股东报告期内控股和参股的其他境内外上市公司的股权情况</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40"/>
        <w:keepNext w:val="0"/>
        <w:keepLines w:val="0"/>
        <w:widowControl w:val="0"/>
        <w:shd w:val="clear" w:color="auto" w:fill="auto"/>
        <w:tabs>
          <w:tab w:pos="7987" w:val="left"/>
        </w:tabs>
        <w:bidi w:val="0"/>
        <w:spacing w:before="0" w:after="120" w:line="240" w:lineRule="auto"/>
        <w:ind w:left="0" w:right="0" w:firstLine="0"/>
        <w:jc w:val="left"/>
      </w:pPr>
      <w:r>
        <w:rPr>
          <w:color w:val="000000"/>
          <w:spacing w:val="0"/>
          <w:w w:val="100"/>
          <w:position w:val="0"/>
        </w:rPr>
        <w:t>控股股东报告期内变更</w:t>
        <w:tab/>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公司报告期控股股东未发生变更。</w:t>
      </w:r>
    </w:p>
    <w:p>
      <w:pPr>
        <w:widowControl w:val="0"/>
        <w:spacing w:after="339" w:line="1" w:lineRule="exact"/>
      </w:pPr>
    </w:p>
    <w:p>
      <w:pPr>
        <w:pStyle w:val="Style37"/>
        <w:keepNext/>
        <w:keepLines/>
        <w:widowControl w:val="0"/>
        <w:shd w:val="clear" w:color="auto" w:fill="auto"/>
        <w:bidi w:val="0"/>
        <w:spacing w:before="0" w:after="260" w:line="240" w:lineRule="auto"/>
        <w:ind w:left="0" w:right="0" w:firstLine="0"/>
        <w:jc w:val="left"/>
      </w:pPr>
      <w:bookmarkStart w:id="440" w:name="bookmark440"/>
      <w:bookmarkStart w:id="441" w:name="bookmark441"/>
      <w:bookmarkStart w:id="442" w:name="bookmark442"/>
      <w:bookmarkStart w:id="443" w:name="bookmark443"/>
      <w:r>
        <w:rPr>
          <w:rFonts w:ascii="Times New Roman" w:eastAsia="Times New Roman" w:hAnsi="Times New Roman" w:cs="Times New Roman"/>
          <w:color w:val="000000"/>
          <w:spacing w:val="0"/>
          <w:w w:val="100"/>
          <w:position w:val="0"/>
        </w:rPr>
        <w:t>3</w:t>
      </w:r>
      <w:bookmarkEnd w:id="442"/>
      <w:r>
        <w:rPr>
          <w:color w:val="000000"/>
          <w:spacing w:val="0"/>
          <w:w w:val="100"/>
          <w:position w:val="0"/>
        </w:rPr>
        <w:t>、公司实际控制人及其一致行动人</w:t>
      </w:r>
      <w:bookmarkEnd w:id="440"/>
      <w:bookmarkEnd w:id="441"/>
      <w:bookmarkEnd w:id="443"/>
    </w:p>
    <w:p>
      <w:pPr>
        <w:pStyle w:val="Style40"/>
        <w:keepNext w:val="0"/>
        <w:keepLines w:val="0"/>
        <w:widowControl w:val="0"/>
        <w:shd w:val="clear" w:color="auto" w:fill="auto"/>
        <w:bidi w:val="0"/>
        <w:spacing w:before="0" w:after="0" w:line="350" w:lineRule="exact"/>
        <w:ind w:left="0" w:right="0" w:firstLine="0"/>
        <w:jc w:val="left"/>
      </w:pPr>
      <w:r>
        <w:rPr>
          <w:color w:val="000000"/>
          <w:spacing w:val="0"/>
          <w:w w:val="100"/>
          <w:position w:val="0"/>
        </w:rPr>
        <w:t>实际控制人性质：境内自然人 实际控制人类型：自然人</w:t>
      </w:r>
    </w:p>
    <w:tbl>
      <w:tblPr>
        <w:tblOverlap w:val="never"/>
        <w:jc w:val="center"/>
        <w:tblLayout w:type="fixed"/>
      </w:tblPr>
      <w:tblGrid>
        <w:gridCol w:w="2395"/>
        <w:gridCol w:w="3816"/>
        <w:gridCol w:w="1560"/>
        <w:gridCol w:w="1810"/>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b/>
                <w:bCs/>
                <w:color w:val="000000"/>
                <w:spacing w:val="0"/>
                <w:w w:val="100"/>
                <w:position w:val="0"/>
              </w:rPr>
              <w:t>实际控制人姓名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与实际控制人关系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国籍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pPr>
            <w:r>
              <w:rPr>
                <w:b/>
                <w:bCs/>
                <w:color w:val="000000"/>
                <w:spacing w:val="0"/>
                <w:w w:val="100"/>
                <w:position w:val="0"/>
              </w:rPr>
              <w:t>是否取得其他国家 或地区居留权</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杜力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一致行动（含协议、亲属、同一控制）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w:t>
            </w:r>
            <w:r>
              <w:rPr>
                <w:rFonts w:ascii="Times New Roman" w:eastAsia="Times New Roman" w:hAnsi="Times New Roman" w:cs="Times New Roman"/>
                <w:color w:val="000000"/>
                <w:spacing w:val="0"/>
                <w:w w:val="100"/>
                <w:position w:val="0"/>
              </w:rPr>
              <w:t>“</w:t>
            </w:r>
            <w:r>
              <w:rPr>
                <w:color w:val="000000"/>
                <w:spacing w:val="0"/>
                <w:w w:val="100"/>
                <w:position w:val="0"/>
              </w:rPr>
              <w:t>第九节董事、监事、高级管理人员和员工情况</w:t>
            </w:r>
          </w:p>
        </w:tc>
      </w:tr>
    </w:tbl>
    <w:p>
      <w:pPr>
        <w:widowControl w:val="0"/>
        <w:spacing w:line="1" w:lineRule="exact"/>
      </w:pPr>
      <w:r>
        <w:br w:type="page"/>
      </w:r>
    </w:p>
    <w:tbl>
      <w:tblPr>
        <w:tblOverlap w:val="never"/>
        <w:jc w:val="center"/>
        <w:tblLayout w:type="fixed"/>
      </w:tblPr>
      <w:tblGrid>
        <w:gridCol w:w="2419"/>
        <w:gridCol w:w="7282"/>
      </w:tblGrid>
      <w:tr>
        <w:trPr>
          <w:trHeight w:val="341" w:hRule="exact"/>
        </w:trPr>
        <w:tc>
          <w:tcPr>
            <w:gridSpan w:val="2"/>
            <w:tcBorders>
              <w:top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rPr>
              <w:t>10</w:t>
            </w:r>
            <w:r>
              <w:rPr>
                <w:color w:val="000000"/>
                <w:spacing w:val="0"/>
                <w:w w:val="100"/>
                <w:position w:val="0"/>
              </w:rPr>
              <w:t>年曾控股的境内 外上市公司情况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日，杜力先生及其一致行动人张巍先生以股权受让方式取得广 州达意隆包装机械股份有限公司控制权；截至期末，二人不再控制该公司。</w:t>
            </w:r>
          </w:p>
        </w:tc>
      </w:tr>
      <w:tr>
        <w:trPr>
          <w:trHeight w:val="331"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实际控制人报告期内变更</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p>
        </w:tc>
      </w:tr>
    </w:tbl>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公司报告期实际控制人未发生变更。</w:t>
      </w:r>
    </w:p>
    <w:p>
      <w:pPr>
        <w:widowControl w:val="0"/>
        <w:spacing w:after="419" w:line="1" w:lineRule="exact"/>
      </w:pPr>
    </w:p>
    <w:p>
      <w:pPr>
        <w:widowControl w:val="0"/>
        <w:spacing w:line="1" w:lineRule="exact"/>
      </w:pPr>
    </w:p>
    <w:p>
      <w:pPr>
        <w:pStyle w:val="Style8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公司与实际控制人之间的产权及控制关系的方框图</w:t>
      </w:r>
    </w:p>
    <w:p>
      <w:pPr>
        <w:widowControl w:val="0"/>
        <w:jc w:val="center"/>
        <w:rPr>
          <w:sz w:val="2"/>
          <w:szCs w:val="2"/>
        </w:rPr>
      </w:pPr>
      <w:r>
        <w:drawing>
          <wp:inline>
            <wp:extent cx="6120130" cy="3486785"/>
            <wp:docPr id="80" name="Picutre 80"/>
            <a:graphic xmlns:a="http://schemas.openxmlformats.org/drawingml/2006/main">
              <a:graphicData uri="http://schemas.openxmlformats.org/drawingml/2006/picture">
                <pic:pic xmlns:pic="http://schemas.openxmlformats.org/drawingml/2006/picture">
                  <pic:nvPicPr>
                    <pic:cNvPr id="80" name="Picture 80"/>
                    <pic:cNvPicPr/>
                  </pic:nvPicPr>
                  <pic:blipFill>
                    <a:blip r:embed="rId27"/>
                    <a:stretch/>
                  </pic:blipFill>
                  <pic:spPr>
                    <a:xfrm>
                      <a:ext cx="6120130" cy="3486785"/>
                    </a:xfrm>
                    <a:prstGeom prst="rect"/>
                  </pic:spPr>
                </pic:pic>
              </a:graphicData>
            </a:graphic>
          </wp:inline>
        </w:drawing>
      </w:r>
    </w:p>
    <w:p>
      <w:pPr>
        <w:pStyle w:val="Style89"/>
        <w:keepNext w:val="0"/>
        <w:keepLines w:val="0"/>
        <w:widowControl w:val="0"/>
        <w:shd w:val="clear" w:color="auto" w:fill="auto"/>
        <w:tabs>
          <w:tab w:pos="7747" w:val="left"/>
        </w:tabs>
        <w:bidi w:val="0"/>
        <w:spacing w:before="0" w:after="0" w:line="240" w:lineRule="auto"/>
        <w:ind w:left="0" w:right="0" w:firstLine="0"/>
        <w:jc w:val="center"/>
      </w:pPr>
      <w:r>
        <w:rPr>
          <w:color w:val="000000"/>
          <w:spacing w:val="0"/>
          <w:w w:val="100"/>
          <w:position w:val="0"/>
        </w:rPr>
        <w:t>实际控制人通过信托或其他资产管理方式控制公司</w:t>
        <w:tab/>
      </w: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口</w:t>
      </w:r>
      <w:r>
        <w:rPr>
          <w:color w:val="000000"/>
          <w:spacing w:val="0"/>
          <w:w w:val="100"/>
          <w:position w:val="0"/>
        </w:rPr>
        <w:t>不适用</w:t>
      </w:r>
    </w:p>
    <w:p>
      <w:pPr>
        <w:widowControl w:val="0"/>
        <w:spacing w:after="159" w:line="1" w:lineRule="exact"/>
      </w:pPr>
    </w:p>
    <w:p>
      <w:pPr>
        <w:pStyle w:val="Style16"/>
        <w:keepNext w:val="0"/>
        <w:keepLines w:val="0"/>
        <w:widowControl w:val="0"/>
        <w:shd w:val="clear" w:color="auto" w:fill="auto"/>
        <w:bidi w:val="0"/>
        <w:spacing w:before="0" w:after="340" w:line="312" w:lineRule="exact"/>
        <w:ind w:left="0" w:right="0" w:firstLine="440"/>
        <w:jc w:val="both"/>
      </w:pPr>
      <w:r>
        <w:rPr>
          <w:color w:val="000000"/>
          <w:spacing w:val="0"/>
          <w:w w:val="100"/>
          <w:position w:val="0"/>
        </w:rPr>
        <w:t>公司实际控制人通过张家港财智、前海远大、凤凰财鑫、凤凰财智四家合伙企业控制公司。根据张家 港财智、前海远大、凤凰财鑫、凤凰财智的《合伙协议》，相关合伙企业的普通合伙人有权就合伙企业的 日常运营、投资决策、变更企业名称、经营范围、接纳新合伙人或同意现有合伙人追加出资等重大事项作 出决策，有限合伙人不参与合伙事务。故此，张家港财智、前海远大、凤凰财鑫、凤凰财智的普通合伙人 能够有效控制相关合伙企业。</w:t>
      </w:r>
    </w:p>
    <w:p>
      <w:pPr>
        <w:pStyle w:val="Style40"/>
        <w:keepNext w:val="0"/>
        <w:keepLines w:val="0"/>
        <w:widowControl w:val="0"/>
        <w:shd w:val="clear" w:color="auto" w:fill="auto"/>
        <w:tabs>
          <w:tab w:pos="8035" w:val="left"/>
        </w:tabs>
        <w:bidi w:val="0"/>
        <w:spacing w:before="0" w:after="0" w:line="240" w:lineRule="auto"/>
        <w:ind w:left="0" w:right="0" w:firstLine="0"/>
        <w:jc w:val="center"/>
      </w:pPr>
      <w:bookmarkStart w:id="444" w:name="bookmark444"/>
      <w:r>
        <w:rPr>
          <w:rFonts w:ascii="Times New Roman" w:eastAsia="Times New Roman" w:hAnsi="Times New Roman" w:cs="Times New Roman"/>
          <w:b/>
          <w:bCs/>
          <w:color w:val="000000"/>
          <w:spacing w:val="0"/>
          <w:w w:val="100"/>
          <w:position w:val="0"/>
        </w:rPr>
        <w:t>4</w:t>
      </w:r>
      <w:r>
        <w:rPr>
          <w:b/>
          <w:bCs/>
          <w:color w:val="000000"/>
          <w:spacing w:val="0"/>
          <w:w w:val="100"/>
          <w:position w:val="0"/>
        </w:rPr>
        <w:t>、其他持股在</w:t>
      </w:r>
      <w:r>
        <w:rPr>
          <w:rFonts w:ascii="Times New Roman" w:eastAsia="Times New Roman" w:hAnsi="Times New Roman" w:cs="Times New Roman"/>
          <w:b/>
          <w:bCs/>
          <w:color w:val="000000"/>
          <w:spacing w:val="0"/>
          <w:w w:val="100"/>
          <w:position w:val="0"/>
        </w:rPr>
        <w:t>10%</w:t>
      </w:r>
      <w:r>
        <w:rPr>
          <w:b/>
          <w:bCs/>
          <w:color w:val="000000"/>
          <w:spacing w:val="0"/>
          <w:w w:val="100"/>
          <w:position w:val="0"/>
        </w:rPr>
        <w:t>以上的法人股东</w:t>
        <w:tab/>
      </w: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bookmarkEnd w:id="444"/>
    </w:p>
    <w:tbl>
      <w:tblPr>
        <w:tblOverlap w:val="never"/>
        <w:jc w:val="center"/>
        <w:tblLayout w:type="fixed"/>
      </w:tblPr>
      <w:tblGrid>
        <w:gridCol w:w="965"/>
        <w:gridCol w:w="1277"/>
        <w:gridCol w:w="994"/>
        <w:gridCol w:w="1699"/>
        <w:gridCol w:w="4646"/>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法人股东 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法定代表人</w:t>
            </w:r>
            <w:r>
              <w:rPr>
                <w:rFonts w:ascii="Times New Roman" w:eastAsia="Times New Roman" w:hAnsi="Times New Roman" w:cs="Times New Roman"/>
                <w:color w:val="000000"/>
                <w:spacing w:val="0"/>
                <w:w w:val="100"/>
                <w:position w:val="0"/>
              </w:rPr>
              <w:t xml:space="preserve">/ </w:t>
            </w:r>
            <w:r>
              <w:rPr>
                <w:color w:val="000000"/>
                <w:spacing w:val="0"/>
                <w:w w:val="100"/>
                <w:position w:val="0"/>
              </w:rPr>
              <w:t>单位负责人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成立日期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主要经营业务或管理活动</w:t>
            </w:r>
          </w:p>
        </w:tc>
      </w:tr>
      <w:tr>
        <w:trPr>
          <w:trHeight w:val="193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pPr>
            <w:r>
              <w:rPr>
                <w:color w:val="000000"/>
                <w:spacing w:val="0"/>
                <w:w w:val="100"/>
                <w:position w:val="0"/>
              </w:rPr>
              <w:t>雪松国际 信托股份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"https://www.tianyancha.com/human/2094002026-c3343320437" </w:instrText>
            </w:r>
            <w:r>
              <w:fldChar w:fldCharType="separate"/>
            </w:r>
            <w:r>
              <w:rPr>
                <w:color w:val="000000"/>
                <w:spacing w:val="0"/>
                <w:w w:val="100"/>
                <w:position w:val="0"/>
              </w:rPr>
              <w:t>祁绍斌</w:t>
            </w:r>
            <w:r>
              <w:fldChar w:fldCharType="end"/>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2003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300,505.1748 </w:t>
            </w:r>
            <w:r>
              <w:rPr>
                <w:color w:val="000000"/>
                <w:spacing w:val="0"/>
                <w:w w:val="100"/>
                <w:position w:val="0"/>
              </w:rPr>
              <w:t>万元</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资金信托；动产信托；不动产信托；有价证券信托； 其他财产或财产权信托；作为投资基金或者基金管 理公司的发起人从事投资基金业务；经营企业资产 的重组、购并及项目融资、公司理财、财务顾问等 业务；受托经营国务院有关部门批准的证券承销业 务；办理居间、咨询、资信调查等业务；代保管及</w:t>
            </w:r>
          </w:p>
        </w:tc>
      </w:tr>
    </w:tbl>
    <w:p>
      <w:pPr>
        <w:widowControl w:val="0"/>
        <w:spacing w:line="1" w:lineRule="exact"/>
      </w:pPr>
      <w:r>
        <w:br w:type="page"/>
      </w:r>
    </w:p>
    <w:tbl>
      <w:tblPr>
        <w:tblOverlap w:val="never"/>
        <w:jc w:val="center"/>
        <w:tblLayout w:type="fixed"/>
      </w:tblPr>
      <w:tblGrid>
        <w:gridCol w:w="965"/>
        <w:gridCol w:w="1277"/>
        <w:gridCol w:w="994"/>
        <w:gridCol w:w="1699"/>
        <w:gridCol w:w="4646"/>
      </w:tblGrid>
      <w:tr>
        <w:trPr>
          <w:trHeight w:val="130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保管箱业务；以存放同业、拆放同业、贷款、租赁、 投资方式运用固有财产；以固有财产为他人提供担 保；从事同业拆借；法律法规规定或中国银行业监 督管理委员会批准的其他业务。</w:t>
            </w:r>
          </w:p>
        </w:tc>
      </w:tr>
      <w:tr>
        <w:trPr>
          <w:trHeight w:val="13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西藏迅杰 新科科技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钟声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2009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09</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200,000 </w:t>
            </w:r>
            <w:r>
              <w:rPr>
                <w:color w:val="000000"/>
                <w:spacing w:val="0"/>
                <w:w w:val="100"/>
                <w:position w:val="0"/>
              </w:rPr>
              <w:t>万元</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销售计算机软硬件、电子产品、通讯器材、机械设 备；信息咨询（不含中介服务）；计算机软硬件的 技术开发、技术咨询、技术转让、技术服务；计算 机网络技术服务。</w:t>
            </w:r>
          </w:p>
        </w:tc>
      </w:tr>
    </w:tbl>
    <w:p>
      <w:pPr>
        <w:pStyle w:val="Style40"/>
        <w:keepNext w:val="0"/>
        <w:keepLines w:val="0"/>
        <w:widowControl w:val="0"/>
        <w:shd w:val="clear" w:color="auto" w:fill="auto"/>
        <w:tabs>
          <w:tab w:pos="8006" w:val="left"/>
        </w:tabs>
        <w:bidi w:val="0"/>
        <w:spacing w:before="0" w:after="0" w:line="240" w:lineRule="auto"/>
        <w:ind w:left="0" w:right="0" w:firstLine="0"/>
        <w:jc w:val="center"/>
        <w:sectPr>
          <w:footnotePr>
            <w:pos w:val="pageBottom"/>
            <w:numFmt w:val="decimal"/>
            <w:numRestart w:val="continuous"/>
          </w:footnotePr>
          <w:type w:val="continuous"/>
          <w:pgSz w:w="11900" w:h="16840"/>
          <w:pgMar w:top="1140" w:right="1073" w:bottom="1424" w:left="1097" w:header="0" w:footer="3" w:gutter="0"/>
          <w:cols w:space="720"/>
          <w:noEndnote/>
          <w:rtlGutter w:val="0"/>
          <w:docGrid w:linePitch="360"/>
        </w:sectPr>
      </w:pPr>
      <w:bookmarkStart w:id="445" w:name="bookmark445"/>
      <w:r>
        <w:rPr>
          <w:rFonts w:ascii="Times New Roman" w:eastAsia="Times New Roman" w:hAnsi="Times New Roman" w:cs="Times New Roman"/>
          <w:b/>
          <w:bCs/>
          <w:color w:val="000000"/>
          <w:spacing w:val="0"/>
          <w:w w:val="100"/>
          <w:position w:val="0"/>
        </w:rPr>
        <w:t>5</w:t>
      </w:r>
      <w:r>
        <w:rPr>
          <w:b/>
          <w:bCs/>
          <w:color w:val="000000"/>
          <w:spacing w:val="0"/>
          <w:w w:val="100"/>
          <w:position w:val="0"/>
        </w:rPr>
        <w:t>、控股股东、实际控制人、重组方及其他承诺主体股份限制减持情况</w:t>
        <w:tab/>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bookmarkEnd w:id="445"/>
    </w:p>
    <w:p>
      <w:pPr>
        <w:widowControl w:val="0"/>
        <w:spacing w:line="1" w:lineRule="exact"/>
      </w:pPr>
      <w:r>
        <mc:AlternateContent>
          <mc:Choice Requires="wps">
            <w:drawing>
              <wp:anchor distT="0" distB="254000" distL="0" distR="0" simplePos="0" relativeHeight="125829408" behindDoc="0" locked="0" layoutInCell="1" allowOverlap="1">
                <wp:simplePos x="0" y="0"/>
                <wp:positionH relativeFrom="page">
                  <wp:posOffset>2693035</wp:posOffset>
                </wp:positionH>
                <wp:positionV relativeFrom="paragraph">
                  <wp:posOffset>0</wp:posOffset>
                </wp:positionV>
                <wp:extent cx="2170430" cy="247015"/>
                <wp:wrapTopAndBottom/>
                <wp:docPr id="81" name="Shape 81"/>
                <a:graphic xmlns:a="http://schemas.openxmlformats.org/drawingml/2006/main">
                  <a:graphicData uri="http://schemas.microsoft.com/office/word/2010/wordprocessingShape">
                    <wps:wsp>
                      <wps:cNvSpPr txBox="1"/>
                      <wps:spPr>
                        <a:xfrm>
                          <a:ext cx="2170430" cy="247015"/>
                        </a:xfrm>
                        <a:prstGeom prst="rect"/>
                        <a:noFill/>
                      </wps:spPr>
                      <wps:txbx>
                        <w:txbxContent>
                          <w:p>
                            <w:pPr>
                              <w:pStyle w:val="Style14"/>
                              <w:keepNext/>
                              <w:keepLines/>
                              <w:widowControl w:val="0"/>
                              <w:shd w:val="clear" w:color="auto" w:fill="auto"/>
                              <w:bidi w:val="0"/>
                              <w:spacing w:before="0" w:after="0" w:line="240" w:lineRule="auto"/>
                              <w:ind w:left="0" w:right="0" w:firstLine="0"/>
                              <w:jc w:val="center"/>
                            </w:pPr>
                            <w:bookmarkStart w:id="446" w:name="bookmark446"/>
                            <w:bookmarkStart w:id="447" w:name="bookmark447"/>
                            <w:bookmarkStart w:id="448" w:name="bookmark448"/>
                            <w:r>
                              <w:rPr>
                                <w:color w:val="000000"/>
                                <w:spacing w:val="0"/>
                                <w:w w:val="100"/>
                                <w:position w:val="0"/>
                              </w:rPr>
                              <w:t>第七节优先股相关情况</w:t>
                            </w:r>
                            <w:bookmarkEnd w:id="446"/>
                            <w:bookmarkEnd w:id="447"/>
                            <w:bookmarkEnd w:id="448"/>
                          </w:p>
                        </w:txbxContent>
                      </wps:txbx>
                      <wps:bodyPr wrap="none" lIns="0" tIns="0" rIns="0" bIns="0">
                        <a:noAutoFit/>
                      </wps:bodyPr>
                    </wps:wsp>
                  </a:graphicData>
                </a:graphic>
              </wp:anchor>
            </w:drawing>
          </mc:Choice>
          <mc:Fallback>
            <w:pict>
              <v:shape id="_x0000_s1107" type="#_x0000_t202" style="position:absolute;margin-left:212.05000000000001pt;margin-top:0;width:170.90000000000001pt;height:19.449999999999999pt;z-index:-125829345;mso-wrap-distance-left:0;mso-wrap-distance-right:0;mso-wrap-distance-bottom:20.pt;mso-position-horizontal-relative:page" filled="f" stroked="f">
                <v:textbox inset="0,0,0,0">
                  <w:txbxContent>
                    <w:p>
                      <w:pPr>
                        <w:pStyle w:val="Style14"/>
                        <w:keepNext/>
                        <w:keepLines/>
                        <w:widowControl w:val="0"/>
                        <w:shd w:val="clear" w:color="auto" w:fill="auto"/>
                        <w:bidi w:val="0"/>
                        <w:spacing w:before="0" w:after="0" w:line="240" w:lineRule="auto"/>
                        <w:ind w:left="0" w:right="0" w:firstLine="0"/>
                        <w:jc w:val="center"/>
                      </w:pPr>
                      <w:bookmarkStart w:id="446" w:name="bookmark446"/>
                      <w:bookmarkStart w:id="447" w:name="bookmark447"/>
                      <w:bookmarkStart w:id="448" w:name="bookmark448"/>
                      <w:r>
                        <w:rPr>
                          <w:color w:val="000000"/>
                          <w:spacing w:val="0"/>
                          <w:w w:val="100"/>
                          <w:position w:val="0"/>
                        </w:rPr>
                        <w:t>第七节优先股相关情况</w:t>
                      </w:r>
                      <w:bookmarkEnd w:id="446"/>
                      <w:bookmarkEnd w:id="447"/>
                      <w:bookmarkEnd w:id="448"/>
                    </w:p>
                  </w:txbxContent>
                </v:textbox>
                <w10:wrap type="topAndBottom" anchorx="page"/>
              </v:shape>
            </w:pict>
          </mc:Fallback>
        </mc:AlternateContent>
      </w:r>
    </w:p>
    <w:p>
      <w:pPr>
        <w:pStyle w:val="Style16"/>
        <w:keepNext w:val="0"/>
        <w:keepLines w:val="0"/>
        <w:widowControl w:val="0"/>
        <w:shd w:val="clear" w:color="auto" w:fill="auto"/>
        <w:bidi w:val="0"/>
        <w:spacing w:before="0" w:after="100" w:line="240" w:lineRule="auto"/>
        <w:ind w:left="0" w:right="0" w:firstLine="0"/>
        <w:jc w:val="left"/>
      </w:pPr>
      <w:bookmarkStart w:id="449" w:name="bookmark449"/>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bookmarkEnd w:id="449"/>
    </w:p>
    <w:p>
      <w:pPr>
        <w:pStyle w:val="Style16"/>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35" w:right="3593" w:bottom="1935" w:left="1107" w:header="0" w:footer="3" w:gutter="0"/>
          <w:cols w:space="720"/>
          <w:noEndnote/>
          <w:rtlGutter w:val="0"/>
          <w:docGrid w:linePitch="360"/>
        </w:sectPr>
      </w:pPr>
      <w:r>
        <w:rPr>
          <w:color w:val="000000"/>
          <w:spacing w:val="0"/>
          <w:w w:val="100"/>
          <w:position w:val="0"/>
        </w:rPr>
        <w:t>报告期公司不存在优先股。</w:t>
      </w:r>
    </w:p>
    <w:p>
      <w:pPr>
        <w:pStyle w:val="Style14"/>
        <w:keepNext/>
        <w:keepLines/>
        <w:widowControl w:val="0"/>
        <w:shd w:val="clear" w:color="auto" w:fill="auto"/>
        <w:bidi w:val="0"/>
        <w:spacing w:before="520" w:after="540" w:line="240" w:lineRule="auto"/>
        <w:ind w:left="0" w:right="0" w:firstLine="0"/>
        <w:jc w:val="center"/>
      </w:pPr>
      <w:bookmarkStart w:id="450" w:name="bookmark450"/>
      <w:bookmarkStart w:id="451" w:name="bookmark451"/>
      <w:bookmarkStart w:id="452" w:name="bookmark452"/>
      <w:r>
        <w:rPr>
          <w:color w:val="000000"/>
          <w:spacing w:val="0"/>
          <w:w w:val="100"/>
          <w:position w:val="0"/>
        </w:rPr>
        <w:t>第八节可转换公司债券相关情况</w:t>
      </w:r>
      <w:bookmarkEnd w:id="450"/>
      <w:bookmarkEnd w:id="451"/>
      <w:bookmarkEnd w:id="452"/>
    </w:p>
    <w:p>
      <w:pPr>
        <w:pStyle w:val="Style16"/>
        <w:keepNext w:val="0"/>
        <w:keepLines w:val="0"/>
        <w:widowControl w:val="0"/>
        <w:shd w:val="clear" w:color="auto" w:fill="auto"/>
        <w:bidi w:val="0"/>
        <w:spacing w:before="0" w:after="100" w:line="240" w:lineRule="auto"/>
        <w:ind w:left="0" w:right="0" w:firstLine="460"/>
        <w:jc w:val="left"/>
      </w:pPr>
      <w:bookmarkStart w:id="453" w:name="bookmark453"/>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bookmarkEnd w:id="453"/>
    </w:p>
    <w:p>
      <w:pPr>
        <w:pStyle w:val="Style16"/>
        <w:keepNext w:val="0"/>
        <w:keepLines w:val="0"/>
        <w:widowControl w:val="0"/>
        <w:shd w:val="clear" w:color="auto" w:fill="auto"/>
        <w:bidi w:val="0"/>
        <w:spacing w:before="0" w:after="320" w:line="240" w:lineRule="auto"/>
        <w:ind w:left="0" w:right="0" w:firstLine="460"/>
        <w:jc w:val="left"/>
      </w:pPr>
      <w:r>
        <w:rPr>
          <w:color w:val="000000"/>
          <w:spacing w:val="0"/>
          <w:w w:val="100"/>
          <w:position w:val="0"/>
        </w:rPr>
        <w:t>报告期公司不存在可转换公司债券。</w:t>
      </w:r>
      <w:r>
        <w:br w:type="page"/>
      </w:r>
    </w:p>
    <w:p>
      <w:pPr>
        <w:pStyle w:val="Style14"/>
        <w:keepNext/>
        <w:keepLines/>
        <w:widowControl w:val="0"/>
        <w:shd w:val="clear" w:color="auto" w:fill="auto"/>
        <w:bidi w:val="0"/>
        <w:spacing w:before="0" w:after="500" w:line="240" w:lineRule="auto"/>
        <w:ind w:left="0" w:right="0" w:firstLine="0"/>
        <w:jc w:val="center"/>
      </w:pPr>
      <w:bookmarkStart w:id="454" w:name="bookmark454"/>
      <w:bookmarkStart w:id="455" w:name="bookmark455"/>
      <w:bookmarkStart w:id="456" w:name="bookmark456"/>
      <w:r>
        <w:rPr>
          <w:color w:val="000000"/>
          <w:spacing w:val="0"/>
          <w:w w:val="100"/>
          <w:position w:val="0"/>
        </w:rPr>
        <w:t>第九节 董事、监事、高级管理人员和员工情况</w:t>
      </w:r>
      <w:bookmarkEnd w:id="454"/>
      <w:bookmarkEnd w:id="455"/>
      <w:bookmarkEnd w:id="456"/>
    </w:p>
    <w:p>
      <w:pPr>
        <w:pStyle w:val="Style29"/>
        <w:keepNext/>
        <w:keepLines/>
        <w:widowControl w:val="0"/>
        <w:shd w:val="clear" w:color="auto" w:fill="auto"/>
        <w:bidi w:val="0"/>
        <w:spacing w:before="0" w:after="360" w:line="240" w:lineRule="auto"/>
        <w:ind w:left="0" w:right="0" w:firstLine="700"/>
        <w:jc w:val="left"/>
      </w:pPr>
      <w:bookmarkStart w:id="457" w:name="bookmark457"/>
      <w:bookmarkStart w:id="458" w:name="bookmark458"/>
      <w:bookmarkStart w:id="459" w:name="bookmark459"/>
      <w:bookmarkStart w:id="460" w:name="bookmark460"/>
      <w:r>
        <w:rPr>
          <w:color w:val="000000"/>
          <w:spacing w:val="0"/>
          <w:w w:val="100"/>
          <w:position w:val="0"/>
          <w:sz w:val="24"/>
          <w:szCs w:val="24"/>
        </w:rPr>
        <w:t>、董事、监事和高级管理人员持股变动</w:t>
      </w:r>
      <w:bookmarkEnd w:id="458"/>
      <w:bookmarkEnd w:id="459"/>
      <w:bookmarkEnd w:id="460"/>
      <w:bookmarkEnd w:id="457"/>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998"/>
        <w:gridCol w:w="1142"/>
        <w:gridCol w:w="970"/>
        <w:gridCol w:w="571"/>
        <w:gridCol w:w="427"/>
        <w:gridCol w:w="1003"/>
        <w:gridCol w:w="922"/>
        <w:gridCol w:w="917"/>
        <w:gridCol w:w="902"/>
        <w:gridCol w:w="998"/>
        <w:gridCol w:w="854"/>
        <w:gridCol w:w="869"/>
      </w:tblGrid>
      <w:tr>
        <w:trPr>
          <w:trHeight w:val="7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任职状态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年 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任期起始 日期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240" w:right="0" w:hanging="240"/>
              <w:jc w:val="both"/>
            </w:pPr>
            <w:r>
              <w:rPr>
                <w:color w:val="000000"/>
                <w:spacing w:val="0"/>
                <w:w w:val="100"/>
                <w:position w:val="0"/>
              </w:rPr>
              <w:t>任期终止 日期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55" w:lineRule="exact"/>
              <w:ind w:left="0" w:right="0" w:firstLine="0"/>
              <w:jc w:val="center"/>
            </w:pPr>
            <w:r>
              <w:rPr>
                <w:color w:val="000000"/>
                <w:spacing w:val="0"/>
                <w:w w:val="100"/>
                <w:position w:val="0"/>
              </w:rPr>
              <w:t>期初 持股数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本期增持 股份数量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本期减持 股份数量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其他增 减变动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55" w:lineRule="exact"/>
              <w:ind w:left="0" w:right="0" w:firstLine="0"/>
              <w:jc w:val="center"/>
            </w:pPr>
            <w:r>
              <w:rPr>
                <w:color w:val="000000"/>
                <w:spacing w:val="0"/>
                <w:w w:val="100"/>
                <w:position w:val="0"/>
              </w:rPr>
              <w:t>期末 持股数</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杜力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7</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240" w:right="0" w:hanging="240"/>
              <w:jc w:val="both"/>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4</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副董事长、 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7</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4</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李英明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董事、副总 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7</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4</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董事、副总 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4</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杨志平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4</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4</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徐强国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7</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4</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邵彬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4</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4</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傅继军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4</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4</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叶强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7</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4</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王晓龙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4</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4</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刘晓辉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10</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4</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吴艳艳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4</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董事、董事 会秘书、财 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8 </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刘世明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离任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 xml:space="preserve">2010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10</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4</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368,947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120,047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248,900</w:t>
            </w:r>
          </w:p>
        </w:tc>
      </w:tr>
    </w:tbl>
    <w:p>
      <w:pPr>
        <w:spacing w:lineRule="exact" w:line="1"/>
        <w:rPr>
          <w:sz w:val="2"/>
          <w:szCs w:val="2"/>
        </w:rPr>
      </w:pPr>
      <w:r>
        <w:br w:type="page"/>
      </w:r>
    </w:p>
    <w:tbl>
      <w:tblPr>
        <w:tblOverlap w:val="never"/>
        <w:jc w:val="center"/>
        <w:tblLayout w:type="fixed"/>
      </w:tblPr>
      <w:tblGrid>
        <w:gridCol w:w="998"/>
        <w:gridCol w:w="1142"/>
        <w:gridCol w:w="970"/>
        <w:gridCol w:w="571"/>
        <w:gridCol w:w="427"/>
        <w:gridCol w:w="1003"/>
        <w:gridCol w:w="922"/>
        <w:gridCol w:w="917"/>
        <w:gridCol w:w="902"/>
        <w:gridCol w:w="998"/>
        <w:gridCol w:w="854"/>
        <w:gridCol w:w="869"/>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张李平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5</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4</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周春生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7</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4</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方胜玲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4</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21</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 xml:space="preserve">2010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4</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104,072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54,072</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Lin</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Chienher</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林建何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副总经理兼 首席信息官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6</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4</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473,019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170,047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303,072</w:t>
            </w:r>
          </w:p>
        </w:tc>
      </w:tr>
    </w:tbl>
    <w:p>
      <w:pPr>
        <w:pStyle w:val="Style40"/>
        <w:keepNext w:val="0"/>
        <w:keepLines w:val="0"/>
        <w:widowControl w:val="0"/>
        <w:shd w:val="clear" w:color="auto" w:fill="auto"/>
        <w:bidi w:val="0"/>
        <w:spacing w:before="0" w:after="0" w:line="317" w:lineRule="exact"/>
        <w:ind w:left="446" w:right="0" w:firstLine="0"/>
        <w:jc w:val="left"/>
      </w:pPr>
      <w:r>
        <w:rPr>
          <w:color w:val="000000"/>
          <w:spacing w:val="0"/>
          <w:w w:val="100"/>
          <w:position w:val="0"/>
        </w:rPr>
        <w:t>注：职务栏中有多个职务时，仅标注第一个职务的任期。连选连任的董事、监事，其任期起始日为其首次 担任公司董事、监事之日；连选连任的高级管理人员，其任期起始日为首次上任之日。</w:t>
      </w:r>
    </w:p>
    <w:p>
      <w:pPr>
        <w:widowControl w:val="0"/>
        <w:spacing w:after="579" w:line="1" w:lineRule="exact"/>
      </w:pPr>
    </w:p>
    <w:p>
      <w:pPr>
        <w:pStyle w:val="Style29"/>
        <w:keepNext/>
        <w:keepLines/>
        <w:widowControl w:val="0"/>
        <w:shd w:val="clear" w:color="auto" w:fill="auto"/>
        <w:bidi w:val="0"/>
        <w:spacing w:before="0" w:after="320" w:line="240" w:lineRule="auto"/>
        <w:ind w:left="0" w:right="0" w:firstLine="460"/>
        <w:jc w:val="left"/>
      </w:pPr>
      <w:bookmarkStart w:id="461" w:name="bookmark461"/>
      <w:bookmarkStart w:id="462" w:name="bookmark462"/>
      <w:bookmarkStart w:id="463" w:name="bookmark463"/>
      <w:bookmarkStart w:id="464" w:name="bookmark464"/>
      <w:r>
        <w:rPr>
          <w:color w:val="000000"/>
          <w:spacing w:val="0"/>
          <w:w w:val="100"/>
          <w:position w:val="0"/>
          <w:sz w:val="24"/>
          <w:szCs w:val="24"/>
        </w:rPr>
        <w:t>二</w:t>
      </w:r>
      <w:bookmarkEnd w:id="463"/>
      <w:r>
        <w:rPr>
          <w:color w:val="000000"/>
          <w:spacing w:val="0"/>
          <w:w w:val="100"/>
          <w:position w:val="0"/>
          <w:sz w:val="24"/>
          <w:szCs w:val="24"/>
        </w:rPr>
        <w:t>、公司董事、监事、高级管理人员变动情况</w:t>
      </w:r>
      <w:bookmarkEnd w:id="461"/>
      <w:bookmarkEnd w:id="462"/>
      <w:bookmarkEnd w:id="464"/>
    </w:p>
    <w:tbl>
      <w:tblPr>
        <w:tblOverlap w:val="never"/>
        <w:jc w:val="center"/>
        <w:tblLayout w:type="fixed"/>
      </w:tblPr>
      <w:tblGrid>
        <w:gridCol w:w="1421"/>
        <w:gridCol w:w="1699"/>
        <w:gridCol w:w="1416"/>
        <w:gridCol w:w="1987"/>
        <w:gridCol w:w="3120"/>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担任的职务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杨志平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换届选举</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邵彬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换届选举</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傅继军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换届选举</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王晓龙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换届选举</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刘晓辉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职工大会选举</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李英明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原任公司董事，现任董事、副总 经理</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吴艳艳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董事会聘任</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董事、董事会秘 书、财务总监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解聘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公司解聘</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刘世明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张李平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周春生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方胜玲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个人原因辞去监事职务</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Lin Chienher</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林建何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副总经理兼首席 信息官</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keepLines/>
        <w:widowControl w:val="0"/>
        <w:shd w:val="clear" w:color="auto" w:fill="auto"/>
        <w:bidi w:val="0"/>
        <w:spacing w:before="0" w:after="280" w:line="240" w:lineRule="auto"/>
        <w:ind w:left="0" w:right="0" w:firstLine="460"/>
        <w:jc w:val="both"/>
      </w:pPr>
      <w:bookmarkStart w:id="465" w:name="bookmark465"/>
      <w:bookmarkStart w:id="466" w:name="bookmark466"/>
      <w:bookmarkStart w:id="467" w:name="bookmark467"/>
      <w:bookmarkStart w:id="468" w:name="bookmark468"/>
      <w:r>
        <w:rPr>
          <w:color w:val="000000"/>
          <w:spacing w:val="0"/>
          <w:w w:val="100"/>
          <w:position w:val="0"/>
          <w:sz w:val="24"/>
          <w:szCs w:val="24"/>
        </w:rPr>
        <w:t>三</w:t>
      </w:r>
      <w:bookmarkEnd w:id="467"/>
      <w:r>
        <w:rPr>
          <w:color w:val="000000"/>
          <w:spacing w:val="0"/>
          <w:w w:val="100"/>
          <w:position w:val="0"/>
          <w:sz w:val="24"/>
          <w:szCs w:val="24"/>
        </w:rPr>
        <w:t>、任职情况</w:t>
      </w:r>
      <w:bookmarkEnd w:id="465"/>
      <w:bookmarkEnd w:id="466"/>
      <w:bookmarkEnd w:id="468"/>
    </w:p>
    <w:p>
      <w:pPr>
        <w:pStyle w:val="Style16"/>
        <w:keepNext w:val="0"/>
        <w:keepLines w:val="0"/>
        <w:widowControl w:val="0"/>
        <w:shd w:val="clear" w:color="auto" w:fill="auto"/>
        <w:bidi w:val="0"/>
        <w:spacing w:before="0" w:after="0" w:line="316" w:lineRule="exact"/>
        <w:ind w:left="0" w:right="0" w:firstLine="880"/>
        <w:jc w:val="both"/>
      </w:pPr>
      <w:r>
        <w:rPr>
          <w:color w:val="000000"/>
          <w:spacing w:val="0"/>
          <w:w w:val="100"/>
          <w:position w:val="0"/>
        </w:rPr>
        <w:t>公司现任董事、监事、高级管理人员专业背景、主要工作经历如下：</w:t>
      </w:r>
    </w:p>
    <w:p>
      <w:pPr>
        <w:pStyle w:val="Style16"/>
        <w:keepNext w:val="0"/>
        <w:keepLines w:val="0"/>
        <w:widowControl w:val="0"/>
        <w:shd w:val="clear" w:color="auto" w:fill="auto"/>
        <w:bidi w:val="0"/>
        <w:spacing w:before="0" w:after="0" w:line="316" w:lineRule="exact"/>
        <w:ind w:left="460" w:right="0" w:firstLine="420"/>
        <w:jc w:val="both"/>
      </w:pPr>
      <w:r>
        <w:rPr>
          <w:b/>
          <w:bCs/>
          <w:color w:val="000000"/>
          <w:spacing w:val="0"/>
          <w:w w:val="100"/>
          <w:position w:val="0"/>
        </w:rPr>
        <w:t>杜力先生</w:t>
      </w:r>
      <w:r>
        <w:rPr>
          <w:color w:val="000000"/>
          <w:spacing w:val="0"/>
          <w:w w:val="100"/>
          <w:position w:val="0"/>
        </w:rPr>
        <w:t>，</w:t>
      </w:r>
      <w:r>
        <w:rPr>
          <w:rFonts w:ascii="Times New Roman" w:eastAsia="Times New Roman" w:hAnsi="Times New Roman" w:cs="Times New Roman"/>
          <w:color w:val="000000"/>
          <w:spacing w:val="0"/>
          <w:w w:val="100"/>
          <w:position w:val="0"/>
        </w:rPr>
        <w:t>1980</w:t>
      </w:r>
      <w:r>
        <w:rPr>
          <w:color w:val="000000"/>
          <w:spacing w:val="0"/>
          <w:w w:val="100"/>
          <w:position w:val="0"/>
        </w:rPr>
        <w:t>年出生，中国国籍，无境外永久居留权，硕士研究生学历。曾任广东达意隆包装机械 股份有限公司董事长，现任公司董事长、子公司国盛证券董事长等职。</w:t>
      </w:r>
    </w:p>
    <w:p>
      <w:pPr>
        <w:pStyle w:val="Style16"/>
        <w:keepNext w:val="0"/>
        <w:keepLines w:val="0"/>
        <w:widowControl w:val="0"/>
        <w:shd w:val="clear" w:color="auto" w:fill="auto"/>
        <w:bidi w:val="0"/>
        <w:spacing w:before="0" w:after="0" w:line="316" w:lineRule="exact"/>
        <w:ind w:left="460" w:right="0" w:firstLine="420"/>
        <w:jc w:val="both"/>
      </w:pPr>
      <w:r>
        <w:rPr>
          <w:b/>
          <w:bCs/>
          <w:color w:val="000000"/>
          <w:spacing w:val="0"/>
          <w:w w:val="100"/>
          <w:position w:val="0"/>
        </w:rPr>
        <w:t>张巍先生</w:t>
      </w:r>
      <w:r>
        <w:rPr>
          <w:color w:val="000000"/>
          <w:spacing w:val="0"/>
          <w:w w:val="100"/>
          <w:position w:val="0"/>
        </w:rPr>
        <w:t>，</w:t>
      </w:r>
      <w:r>
        <w:rPr>
          <w:rFonts w:ascii="Times New Roman" w:eastAsia="Times New Roman" w:hAnsi="Times New Roman" w:cs="Times New Roman"/>
          <w:color w:val="000000"/>
          <w:spacing w:val="0"/>
          <w:w w:val="100"/>
          <w:position w:val="0"/>
        </w:rPr>
        <w:t>1980</w:t>
      </w:r>
      <w:r>
        <w:rPr>
          <w:color w:val="000000"/>
          <w:spacing w:val="0"/>
          <w:w w:val="100"/>
          <w:position w:val="0"/>
        </w:rPr>
        <w:t>年出生，中国国籍，无境外永久居留权，硕士研究生学历。曾任江苏通达动力科技股 份有限公司副总经理、董事会秘书，北京凤凰财富投资管理有限公司总经理，北京凤凰财富控股集团有限 公司总裁，现任公司副董事长、总经理，子公司国盛证券副董事长等职。</w:t>
      </w:r>
    </w:p>
    <w:p>
      <w:pPr>
        <w:pStyle w:val="Style16"/>
        <w:keepNext w:val="0"/>
        <w:keepLines w:val="0"/>
        <w:widowControl w:val="0"/>
        <w:shd w:val="clear" w:color="auto" w:fill="auto"/>
        <w:bidi w:val="0"/>
        <w:spacing w:before="0" w:after="0" w:line="316" w:lineRule="exact"/>
        <w:ind w:left="460" w:right="0" w:firstLine="420"/>
        <w:jc w:val="both"/>
      </w:pPr>
      <w:r>
        <w:rPr>
          <w:b/>
          <w:bCs/>
          <w:color w:val="000000"/>
          <w:spacing w:val="0"/>
          <w:w w:val="100"/>
          <w:position w:val="0"/>
        </w:rPr>
        <w:t>李英明先生</w:t>
      </w:r>
      <w:r>
        <w:rPr>
          <w:color w:val="000000"/>
          <w:spacing w:val="0"/>
          <w:w w:val="100"/>
          <w:position w:val="0"/>
        </w:rPr>
        <w:t>，</w:t>
      </w:r>
      <w:r>
        <w:rPr>
          <w:rFonts w:ascii="Times New Roman" w:eastAsia="Times New Roman" w:hAnsi="Times New Roman" w:cs="Times New Roman"/>
          <w:color w:val="000000"/>
          <w:spacing w:val="0"/>
          <w:w w:val="100"/>
          <w:position w:val="0"/>
        </w:rPr>
        <w:t>1978</w:t>
      </w:r>
      <w:r>
        <w:rPr>
          <w:color w:val="000000"/>
          <w:spacing w:val="0"/>
          <w:w w:val="100"/>
          <w:position w:val="0"/>
        </w:rPr>
        <w:t>年出生，中国国籍，无境外永久居留权，硕士研究生学历。曾任正略钧策管理顾问 公司高级顾问、投资经理，现任公司董事、副总经理，子公司深圳投资执行董事、经理，子公司弘大嘉豪 执行董事，海南阿凡题科技有限公司董事等职。</w:t>
      </w:r>
    </w:p>
    <w:p>
      <w:pPr>
        <w:pStyle w:val="Style16"/>
        <w:keepNext w:val="0"/>
        <w:keepLines w:val="0"/>
        <w:widowControl w:val="0"/>
        <w:shd w:val="clear" w:color="auto" w:fill="auto"/>
        <w:bidi w:val="0"/>
        <w:spacing w:before="0" w:after="0" w:line="316" w:lineRule="exact"/>
        <w:ind w:left="460" w:right="0" w:firstLine="420"/>
        <w:jc w:val="both"/>
      </w:pPr>
      <w:r>
        <w:rPr>
          <w:b/>
          <w:bCs/>
          <w:color w:val="000000"/>
          <w:spacing w:val="0"/>
          <w:w w:val="100"/>
          <w:position w:val="0"/>
        </w:rPr>
        <w:t>李娥女士</w:t>
      </w:r>
      <w:r>
        <w:rPr>
          <w:color w:val="000000"/>
          <w:spacing w:val="0"/>
          <w:w w:val="100"/>
          <w:position w:val="0"/>
        </w:rPr>
        <w:t>，</w:t>
      </w:r>
      <w:r>
        <w:rPr>
          <w:rFonts w:ascii="Times New Roman" w:eastAsia="Times New Roman" w:hAnsi="Times New Roman" w:cs="Times New Roman"/>
          <w:color w:val="000000"/>
          <w:spacing w:val="0"/>
          <w:w w:val="100"/>
          <w:position w:val="0"/>
        </w:rPr>
        <w:t>1979</w:t>
      </w:r>
      <w:r>
        <w:rPr>
          <w:color w:val="000000"/>
          <w:spacing w:val="0"/>
          <w:w w:val="100"/>
          <w:position w:val="0"/>
        </w:rPr>
        <w:t>年出生，中国国籍，无永久境外居留权，硕士研究生学历。曾任北京青云创业投资管 理有限公司人力资源兼行政主管、国开金泰资本投资有限责任公司人力资源兼行政总监、北京凤凰财富创 新投资有限公司副总裁，现任公司董事、副总经理、董事会秘书，子公司北京国盛互联信息咨询有限公司 执行董事、经理等职。</w:t>
      </w:r>
    </w:p>
    <w:p>
      <w:pPr>
        <w:pStyle w:val="Style16"/>
        <w:keepNext w:val="0"/>
        <w:keepLines w:val="0"/>
        <w:widowControl w:val="0"/>
        <w:shd w:val="clear" w:color="auto" w:fill="auto"/>
        <w:bidi w:val="0"/>
        <w:spacing w:before="0" w:after="0" w:line="316" w:lineRule="exact"/>
        <w:ind w:left="460" w:right="0" w:firstLine="420"/>
        <w:jc w:val="both"/>
      </w:pPr>
      <w:r>
        <w:rPr>
          <w:b/>
          <w:bCs/>
          <w:color w:val="000000"/>
          <w:spacing w:val="0"/>
          <w:w w:val="100"/>
          <w:position w:val="0"/>
        </w:rPr>
        <w:t>杨志平先生</w:t>
      </w:r>
      <w:r>
        <w:rPr>
          <w:color w:val="000000"/>
          <w:spacing w:val="0"/>
          <w:w w:val="100"/>
          <w:position w:val="0"/>
        </w:rPr>
        <w:t>，</w:t>
      </w:r>
      <w:r>
        <w:rPr>
          <w:rFonts w:ascii="Times New Roman" w:eastAsia="Times New Roman" w:hAnsi="Times New Roman" w:cs="Times New Roman"/>
          <w:color w:val="000000"/>
          <w:spacing w:val="0"/>
          <w:w w:val="100"/>
          <w:position w:val="0"/>
        </w:rPr>
        <w:t>1964</w:t>
      </w:r>
      <w:r>
        <w:rPr>
          <w:color w:val="000000"/>
          <w:spacing w:val="0"/>
          <w:w w:val="100"/>
          <w:position w:val="0"/>
        </w:rPr>
        <w:t>年出生，中国国籍，无境外永久居留权，硕士研究生学历，中国注册会计师、中国 注册税务师。现任立信会计师事务所（特殊普通合伙）权益合伙人、公司董事。</w:t>
      </w:r>
    </w:p>
    <w:p>
      <w:pPr>
        <w:pStyle w:val="Style16"/>
        <w:keepNext w:val="0"/>
        <w:keepLines w:val="0"/>
        <w:widowControl w:val="0"/>
        <w:shd w:val="clear" w:color="auto" w:fill="auto"/>
        <w:bidi w:val="0"/>
        <w:spacing w:before="0" w:after="0" w:line="316" w:lineRule="exact"/>
        <w:ind w:left="460" w:right="0" w:firstLine="420"/>
        <w:jc w:val="both"/>
      </w:pPr>
      <w:r>
        <w:rPr>
          <w:b/>
          <w:bCs/>
          <w:color w:val="000000"/>
          <w:spacing w:val="0"/>
          <w:w w:val="100"/>
          <w:position w:val="0"/>
        </w:rPr>
        <w:t>徐强国先生</w:t>
      </w:r>
      <w:r>
        <w:rPr>
          <w:color w:val="000000"/>
          <w:spacing w:val="0"/>
          <w:w w:val="100"/>
          <w:position w:val="0"/>
        </w:rPr>
        <w:t>，</w:t>
      </w:r>
      <w:r>
        <w:rPr>
          <w:rFonts w:ascii="Times New Roman" w:eastAsia="Times New Roman" w:hAnsi="Times New Roman" w:cs="Times New Roman"/>
          <w:color w:val="000000"/>
          <w:spacing w:val="0"/>
          <w:w w:val="100"/>
          <w:position w:val="0"/>
        </w:rPr>
        <w:t>1964</w:t>
      </w:r>
      <w:r>
        <w:rPr>
          <w:color w:val="000000"/>
          <w:spacing w:val="0"/>
          <w:w w:val="100"/>
          <w:position w:val="0"/>
        </w:rPr>
        <w:t>年出生，中国国籍，无境外永久居留权，博士研究生学历。曾任天津商业大学教授， 现任浙江工商大学财务与会计学院教授、公司独立董事、浙江仙通橡胶股份有限公司独立董事、江苏诺泰 澳赛诺生物制药股份有限公司独立董事、乐歌人体工学科技股份有限公司独立董事等职。</w:t>
      </w:r>
    </w:p>
    <w:p>
      <w:pPr>
        <w:pStyle w:val="Style16"/>
        <w:keepNext w:val="0"/>
        <w:keepLines w:val="0"/>
        <w:widowControl w:val="0"/>
        <w:shd w:val="clear" w:color="auto" w:fill="auto"/>
        <w:bidi w:val="0"/>
        <w:spacing w:before="0" w:after="0" w:line="308" w:lineRule="exact"/>
        <w:ind w:left="460" w:right="0" w:firstLine="420"/>
        <w:jc w:val="both"/>
      </w:pPr>
      <w:r>
        <w:rPr>
          <w:b/>
          <w:bCs/>
          <w:color w:val="000000"/>
          <w:spacing w:val="0"/>
          <w:w w:val="100"/>
          <w:position w:val="0"/>
        </w:rPr>
        <w:t>邵彬先生</w:t>
      </w:r>
      <w:r>
        <w:rPr>
          <w:color w:val="000000"/>
          <w:spacing w:val="0"/>
          <w:w w:val="100"/>
          <w:position w:val="0"/>
        </w:rPr>
        <w:t>，</w:t>
      </w:r>
      <w:r>
        <w:rPr>
          <w:rFonts w:ascii="Times New Roman" w:eastAsia="Times New Roman" w:hAnsi="Times New Roman" w:cs="Times New Roman"/>
          <w:color w:val="000000"/>
          <w:spacing w:val="0"/>
          <w:w w:val="100"/>
          <w:position w:val="0"/>
        </w:rPr>
        <w:t>1986</w:t>
      </w:r>
      <w:r>
        <w:rPr>
          <w:color w:val="000000"/>
          <w:spacing w:val="0"/>
          <w:w w:val="100"/>
          <w:position w:val="0"/>
        </w:rPr>
        <w:t>年出生，中国国籍，无境外永久居留权，硕士研究生学历，执业律师。现任上海市广 发律师事务所合伙人、公司独立董事。</w:t>
      </w:r>
    </w:p>
    <w:p>
      <w:pPr>
        <w:pStyle w:val="Style16"/>
        <w:keepNext w:val="0"/>
        <w:keepLines w:val="0"/>
        <w:widowControl w:val="0"/>
        <w:shd w:val="clear" w:color="auto" w:fill="auto"/>
        <w:bidi w:val="0"/>
        <w:spacing w:before="0" w:after="0" w:line="308" w:lineRule="exact"/>
        <w:ind w:left="460" w:right="0" w:firstLine="420"/>
        <w:jc w:val="both"/>
      </w:pPr>
      <w:r>
        <w:rPr>
          <w:b/>
          <w:bCs/>
          <w:color w:val="000000"/>
          <w:spacing w:val="0"/>
          <w:w w:val="100"/>
          <w:position w:val="0"/>
        </w:rPr>
        <w:t>傅继军先生</w:t>
      </w:r>
      <w:r>
        <w:rPr>
          <w:color w:val="000000"/>
          <w:spacing w:val="0"/>
          <w:w w:val="100"/>
          <w:position w:val="0"/>
        </w:rPr>
        <w:t>，</w:t>
      </w:r>
      <w:r>
        <w:rPr>
          <w:rFonts w:ascii="Times New Roman" w:eastAsia="Times New Roman" w:hAnsi="Times New Roman" w:cs="Times New Roman"/>
          <w:color w:val="000000"/>
          <w:spacing w:val="0"/>
          <w:w w:val="100"/>
          <w:position w:val="0"/>
        </w:rPr>
        <w:t>1957</w:t>
      </w:r>
      <w:r>
        <w:rPr>
          <w:color w:val="000000"/>
          <w:spacing w:val="0"/>
          <w:w w:val="100"/>
          <w:position w:val="0"/>
        </w:rPr>
        <w:t>年出生，中国国籍，无境外永久居留权，博士研究生学历，高级经济师、国际注册 管理咨询师。现任中华财务咨询有限公司董事长、中国企业联合会管理咨询委员会副主任委员、中国并购 公会常务理事、中国财政学会理事会理事、天津财经大学客座教授、哈尔滨工业大学深圳学院客座教授、 公司独立董事、农银汇理基金管理有限公司独立董事、凌云工业股份有限公司独立董事等职。</w:t>
      </w:r>
    </w:p>
    <w:p>
      <w:pPr>
        <w:pStyle w:val="Style16"/>
        <w:keepNext w:val="0"/>
        <w:keepLines w:val="0"/>
        <w:widowControl w:val="0"/>
        <w:shd w:val="clear" w:color="auto" w:fill="auto"/>
        <w:bidi w:val="0"/>
        <w:spacing w:before="0" w:after="0" w:line="308" w:lineRule="exact"/>
        <w:ind w:left="460" w:right="0" w:firstLine="420"/>
        <w:jc w:val="both"/>
      </w:pPr>
      <w:r>
        <w:rPr>
          <w:b/>
          <w:bCs/>
          <w:color w:val="000000"/>
          <w:spacing w:val="0"/>
          <w:w w:val="100"/>
          <w:position w:val="0"/>
        </w:rPr>
        <w:t>叶强先生</w:t>
      </w:r>
      <w:r>
        <w:rPr>
          <w:color w:val="000000"/>
          <w:spacing w:val="0"/>
          <w:w w:val="100"/>
          <w:position w:val="0"/>
        </w:rPr>
        <w:t>，</w:t>
      </w:r>
      <w:r>
        <w:rPr>
          <w:rFonts w:ascii="Times New Roman" w:eastAsia="Times New Roman" w:hAnsi="Times New Roman" w:cs="Times New Roman"/>
          <w:color w:val="000000"/>
          <w:spacing w:val="0"/>
          <w:w w:val="100"/>
          <w:position w:val="0"/>
        </w:rPr>
        <w:t>1980</w:t>
      </w:r>
      <w:r>
        <w:rPr>
          <w:color w:val="000000"/>
          <w:spacing w:val="0"/>
          <w:w w:val="100"/>
          <w:position w:val="0"/>
        </w:rPr>
        <w:t>年出生，中国国籍，无境外永久居留权，硕士研究生学历。曾任屈臣氏集团有限公司 区域经理、北京凤凰财富控股集团有限公司副总裁，现任公司监事会主席，子公司国盛证券监事会主席、 办公室主任等职。</w:t>
      </w:r>
    </w:p>
    <w:p>
      <w:pPr>
        <w:pStyle w:val="Style16"/>
        <w:keepNext w:val="0"/>
        <w:keepLines w:val="0"/>
        <w:widowControl w:val="0"/>
        <w:shd w:val="clear" w:color="auto" w:fill="auto"/>
        <w:bidi w:val="0"/>
        <w:spacing w:before="0" w:after="0" w:line="308" w:lineRule="exact"/>
        <w:ind w:left="460" w:right="0" w:firstLine="420"/>
        <w:jc w:val="both"/>
      </w:pPr>
      <w:r>
        <w:rPr>
          <w:b/>
          <w:bCs/>
          <w:color w:val="000000"/>
          <w:spacing w:val="0"/>
          <w:w w:val="100"/>
          <w:position w:val="0"/>
        </w:rPr>
        <w:t>王晓龙先生</w:t>
      </w:r>
      <w:r>
        <w:rPr>
          <w:color w:val="000000"/>
          <w:spacing w:val="0"/>
          <w:w w:val="100"/>
          <w:position w:val="0"/>
        </w:rPr>
        <w:t>，</w:t>
      </w:r>
      <w:r>
        <w:rPr>
          <w:rFonts w:ascii="Times New Roman" w:eastAsia="Times New Roman" w:hAnsi="Times New Roman" w:cs="Times New Roman"/>
          <w:color w:val="000000"/>
          <w:spacing w:val="0"/>
          <w:w w:val="100"/>
          <w:position w:val="0"/>
        </w:rPr>
        <w:t>1988</w:t>
      </w:r>
      <w:r>
        <w:rPr>
          <w:color w:val="000000"/>
          <w:spacing w:val="0"/>
          <w:w w:val="100"/>
          <w:position w:val="0"/>
        </w:rPr>
        <w:t>年出生，中国国籍，无境外永久居留权，本科学历。曾任北京凤凰财富控股集团有 限公司投资总监、广州达意隆包装机械股份有限公司证券事务代表，现任公司监事、子公司深圳前海弘大 嘉豪资本管理有限公司投资总监。</w:t>
      </w:r>
    </w:p>
    <w:p>
      <w:pPr>
        <w:pStyle w:val="Style16"/>
        <w:keepNext w:val="0"/>
        <w:keepLines w:val="0"/>
        <w:widowControl w:val="0"/>
        <w:shd w:val="clear" w:color="auto" w:fill="auto"/>
        <w:bidi w:val="0"/>
        <w:spacing w:before="0" w:after="0" w:line="313" w:lineRule="exact"/>
        <w:ind w:left="460" w:right="0" w:firstLine="420"/>
        <w:jc w:val="both"/>
      </w:pPr>
      <w:r>
        <w:rPr>
          <w:b/>
          <w:bCs/>
          <w:color w:val="000000"/>
          <w:spacing w:val="0"/>
          <w:w w:val="100"/>
          <w:position w:val="0"/>
        </w:rPr>
        <w:t>刘晓辉女士</w:t>
      </w:r>
      <w:r>
        <w:rPr>
          <w:color w:val="000000"/>
          <w:spacing w:val="0"/>
          <w:w w:val="100"/>
          <w:position w:val="0"/>
        </w:rPr>
        <w:t>，</w:t>
      </w:r>
      <w:r>
        <w:rPr>
          <w:rFonts w:ascii="Times New Roman" w:eastAsia="Times New Roman" w:hAnsi="Times New Roman" w:cs="Times New Roman"/>
          <w:color w:val="000000"/>
          <w:spacing w:val="0"/>
          <w:w w:val="100"/>
          <w:position w:val="0"/>
        </w:rPr>
        <w:t>1978</w:t>
      </w:r>
      <w:r>
        <w:rPr>
          <w:color w:val="000000"/>
          <w:spacing w:val="0"/>
          <w:w w:val="100"/>
          <w:position w:val="0"/>
        </w:rPr>
        <w:t>年出生，中国国籍，无境外永久居留权，本科学历。历任法国法马通核能公司深圳 核能服务部现场翻译、深圳市欧普建筑设计有限公司人事行政总监、深圳国盛前海投资有限公司综合管理 部经理、深圳前海弘大嘉豪资本管理有限公司行政部经理，现任深圳国盛前海投资有限公司监事、公司行 政部经理。</w:t>
      </w:r>
    </w:p>
    <w:p>
      <w:pPr>
        <w:pStyle w:val="Style16"/>
        <w:keepNext w:val="0"/>
        <w:keepLines w:val="0"/>
        <w:widowControl w:val="0"/>
        <w:shd w:val="clear" w:color="auto" w:fill="auto"/>
        <w:bidi w:val="0"/>
        <w:spacing w:before="0" w:after="0" w:line="313" w:lineRule="exact"/>
        <w:ind w:left="460" w:right="0" w:firstLine="420"/>
        <w:jc w:val="both"/>
      </w:pPr>
      <w:r>
        <w:rPr>
          <w:b/>
          <w:bCs/>
          <w:color w:val="000000"/>
          <w:spacing w:val="0"/>
          <w:w w:val="100"/>
          <w:position w:val="0"/>
        </w:rPr>
        <w:t>吴艳艳女士</w:t>
      </w:r>
      <w:r>
        <w:rPr>
          <w:color w:val="000000"/>
          <w:spacing w:val="0"/>
          <w:w w:val="100"/>
          <w:position w:val="0"/>
        </w:rPr>
        <w:t>，</w:t>
      </w:r>
      <w:r>
        <w:rPr>
          <w:rFonts w:ascii="Times New Roman" w:eastAsia="Times New Roman" w:hAnsi="Times New Roman" w:cs="Times New Roman"/>
          <w:color w:val="000000"/>
          <w:spacing w:val="0"/>
          <w:w w:val="100"/>
          <w:position w:val="0"/>
        </w:rPr>
        <w:t>1981</w:t>
      </w:r>
      <w:r>
        <w:rPr>
          <w:color w:val="000000"/>
          <w:spacing w:val="0"/>
          <w:w w:val="100"/>
          <w:position w:val="0"/>
        </w:rPr>
        <w:t>年出生，中国国籍，无境外永久居留权，硕士研究生学历，中国注册会计师，高级 管理会计师。曾任普华永道中天会计事务所（特殊普通合伙）审计经理、深圳中顺易金融服务有限公司财 务总监。</w:t>
      </w:r>
    </w:p>
    <w:p>
      <w:pPr>
        <w:pStyle w:val="Style16"/>
        <w:keepNext w:val="0"/>
        <w:keepLines w:val="0"/>
        <w:widowControl w:val="0"/>
        <w:shd w:val="clear" w:color="auto" w:fill="auto"/>
        <w:tabs>
          <w:tab w:pos="8438" w:val="left"/>
        </w:tabs>
        <w:bidi w:val="0"/>
        <w:spacing w:before="0" w:after="60" w:line="314" w:lineRule="exact"/>
        <w:ind w:left="0" w:right="0" w:firstLine="460"/>
        <w:jc w:val="both"/>
      </w:pPr>
      <w:r>
        <w:rPr>
          <w:color w:val="000000"/>
          <w:spacing w:val="0"/>
          <w:w w:val="100"/>
          <w:position w:val="0"/>
        </w:rPr>
        <w:t>在股东单位任职情况</w:t>
        <w:tab/>
      </w: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821"/>
        <w:gridCol w:w="3120"/>
        <w:gridCol w:w="1589"/>
        <w:gridCol w:w="2381"/>
        <w:gridCol w:w="1670"/>
      </w:tblGrid>
      <w:tr>
        <w:trPr>
          <w:trHeight w:val="76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任职人 员姓名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在股东单位</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担任的职务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任职期间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在股东单位是否 领取报酬津贴</w:t>
            </w:r>
          </w:p>
        </w:tc>
      </w:tr>
    </w:tbl>
    <w:p>
      <w:pPr>
        <w:spacing w:lineRule="exact" w:line="1"/>
        <w:rPr>
          <w:sz w:val="2"/>
          <w:szCs w:val="2"/>
        </w:rPr>
      </w:pPr>
      <w:r>
        <w:br w:type="page"/>
      </w:r>
    </w:p>
    <w:tbl>
      <w:tblPr>
        <w:tblOverlap w:val="never"/>
        <w:jc w:val="center"/>
        <w:tblLayout w:type="fixed"/>
      </w:tblPr>
      <w:tblGrid>
        <w:gridCol w:w="821"/>
        <w:gridCol w:w="3120"/>
        <w:gridCol w:w="1589"/>
        <w:gridCol w:w="2381"/>
        <w:gridCol w:w="1670"/>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杜力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深圳前海财智远大投资中心（有限 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执行事务合伙人 委派代表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日至今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杜力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北京凤凰财鑫股权投资中心（有限 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执行事务合伙人 委派代表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日至今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杜力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北京凤凰财智创新投资中心（有限 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执行事务合伙人 委派代表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日至今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叶强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张家港财智投资中心（有限合伙）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执行事务合伙人 委派代表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日至今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widowControl w:val="0"/>
        <w:spacing w:after="399" w:line="1" w:lineRule="exact"/>
      </w:pPr>
    </w:p>
    <w:tbl>
      <w:tblPr>
        <w:tblOverlap w:val="never"/>
        <w:jc w:val="left"/>
        <w:tblLayout w:type="fixed"/>
      </w:tblPr>
      <w:tblGrid>
        <w:gridCol w:w="821"/>
        <w:gridCol w:w="3120"/>
        <w:gridCol w:w="1560"/>
        <w:gridCol w:w="2410"/>
        <w:gridCol w:w="1670"/>
      </w:tblGrid>
      <w:tr>
        <w:trPr>
          <w:trHeight w:val="758" w:hRule="exact"/>
        </w:trPr>
        <w:tc>
          <w:tcPr>
            <w:tcBorders>
              <w:top w:val="single" w:sz="4"/>
              <w:left w:val="single" w:sz="4"/>
            </w:tcBorders>
            <w:shd w:val="clear" w:color="auto" w:fill="FFFFFF"/>
            <w:vAlign w:val="center"/>
          </w:tcPr>
          <w:p>
            <w:pPr>
              <w:pStyle w:val="Style2"/>
              <w:keepNext w:val="0"/>
              <w:keepLines w:val="0"/>
              <w:framePr w:w="9581" w:h="9696" w:hSpace="14" w:vSpace="336" w:wrap="notBeside" w:vAnchor="text" w:hAnchor="text" w:x="485" w:y="337"/>
              <w:widowControl w:val="0"/>
              <w:shd w:val="clear" w:color="auto" w:fill="auto"/>
              <w:bidi w:val="0"/>
              <w:spacing w:before="0" w:after="0" w:line="317" w:lineRule="exact"/>
              <w:ind w:left="0" w:right="0" w:firstLine="0"/>
              <w:jc w:val="center"/>
            </w:pPr>
            <w:r>
              <w:rPr>
                <w:color w:val="000000"/>
                <w:spacing w:val="0"/>
                <w:w w:val="100"/>
                <w:position w:val="0"/>
              </w:rPr>
              <w:t>任职人 员姓名</w:t>
            </w:r>
          </w:p>
        </w:tc>
        <w:tc>
          <w:tcPr>
            <w:tcBorders>
              <w:top w:val="single" w:sz="4"/>
              <w:left w:val="single" w:sz="4"/>
            </w:tcBorders>
            <w:shd w:val="clear" w:color="auto" w:fill="FFFFFF"/>
            <w:vAlign w:val="center"/>
          </w:tcPr>
          <w:p>
            <w:pPr>
              <w:pStyle w:val="Style2"/>
              <w:keepNext w:val="0"/>
              <w:keepLines w:val="0"/>
              <w:framePr w:w="9581" w:h="9696" w:hSpace="14" w:vSpace="336" w:wrap="notBeside" w:vAnchor="text" w:hAnchor="text" w:x="485" w:y="337"/>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FFFFFF"/>
            <w:vAlign w:val="center"/>
          </w:tcPr>
          <w:p>
            <w:pPr>
              <w:pStyle w:val="Style2"/>
              <w:keepNext w:val="0"/>
              <w:keepLines w:val="0"/>
              <w:framePr w:w="9581" w:h="9696" w:hSpace="14" w:vSpace="336" w:wrap="notBeside" w:vAnchor="text" w:hAnchor="text" w:x="485" w:y="337"/>
              <w:widowControl w:val="0"/>
              <w:shd w:val="clear" w:color="auto" w:fill="auto"/>
              <w:bidi w:val="0"/>
              <w:spacing w:before="0" w:after="120" w:line="240" w:lineRule="auto"/>
              <w:ind w:left="0" w:right="0" w:firstLine="240"/>
              <w:jc w:val="left"/>
            </w:pPr>
            <w:r>
              <w:rPr>
                <w:color w:val="000000"/>
                <w:spacing w:val="0"/>
                <w:w w:val="100"/>
                <w:position w:val="0"/>
              </w:rPr>
              <w:t>在其他单位</w:t>
            </w:r>
          </w:p>
          <w:p>
            <w:pPr>
              <w:pStyle w:val="Style2"/>
              <w:keepNext w:val="0"/>
              <w:keepLines w:val="0"/>
              <w:framePr w:w="9581" w:h="9696" w:hSpace="14" w:vSpace="336" w:wrap="notBeside" w:vAnchor="text" w:hAnchor="text" w:x="485" w:y="337"/>
              <w:widowControl w:val="0"/>
              <w:shd w:val="clear" w:color="auto" w:fill="auto"/>
              <w:bidi w:val="0"/>
              <w:spacing w:before="0" w:after="0" w:line="240" w:lineRule="auto"/>
              <w:ind w:left="0" w:right="0" w:firstLine="240"/>
              <w:jc w:val="left"/>
            </w:pPr>
            <w:r>
              <w:rPr>
                <w:color w:val="000000"/>
                <w:spacing w:val="0"/>
                <w:w w:val="100"/>
                <w:position w:val="0"/>
              </w:rPr>
              <w:t>担任的职务</w:t>
            </w:r>
          </w:p>
        </w:tc>
        <w:tc>
          <w:tcPr>
            <w:tcBorders>
              <w:top w:val="single" w:sz="4"/>
              <w:left w:val="single" w:sz="4"/>
            </w:tcBorders>
            <w:shd w:val="clear" w:color="auto" w:fill="FFFFFF"/>
            <w:vAlign w:val="center"/>
          </w:tcPr>
          <w:p>
            <w:pPr>
              <w:pStyle w:val="Style2"/>
              <w:keepNext w:val="0"/>
              <w:keepLines w:val="0"/>
              <w:framePr w:w="9581" w:h="9696" w:hSpace="14" w:vSpace="336" w:wrap="notBeside" w:vAnchor="text" w:hAnchor="text" w:x="485" w:y="337"/>
              <w:widowControl w:val="0"/>
              <w:shd w:val="clear" w:color="auto" w:fill="auto"/>
              <w:bidi w:val="0"/>
              <w:spacing w:before="0" w:after="0" w:line="240" w:lineRule="auto"/>
              <w:ind w:left="0" w:right="0" w:firstLine="0"/>
              <w:jc w:val="center"/>
            </w:pPr>
            <w:r>
              <w:rPr>
                <w:color w:val="000000"/>
                <w:spacing w:val="0"/>
                <w:w w:val="100"/>
                <w:position w:val="0"/>
              </w:rPr>
              <w:t>任职期间</w:t>
            </w:r>
          </w:p>
        </w:tc>
        <w:tc>
          <w:tcPr>
            <w:tcBorders>
              <w:top w:val="single" w:sz="4"/>
              <w:left w:val="single" w:sz="4"/>
              <w:right w:val="single" w:sz="4"/>
            </w:tcBorders>
            <w:shd w:val="clear" w:color="auto" w:fill="FFFFFF"/>
            <w:vAlign w:val="center"/>
          </w:tcPr>
          <w:p>
            <w:pPr>
              <w:pStyle w:val="Style2"/>
              <w:keepNext w:val="0"/>
              <w:keepLines w:val="0"/>
              <w:framePr w:w="9581" w:h="9696" w:hSpace="14" w:vSpace="336" w:wrap="notBeside" w:vAnchor="text" w:hAnchor="text" w:x="485" w:y="337"/>
              <w:widowControl w:val="0"/>
              <w:shd w:val="clear" w:color="auto" w:fill="auto"/>
              <w:bidi w:val="0"/>
              <w:spacing w:before="0" w:after="0" w:line="312" w:lineRule="exact"/>
              <w:ind w:left="0" w:right="0" w:firstLine="0"/>
              <w:jc w:val="center"/>
            </w:pPr>
            <w:r>
              <w:rPr>
                <w:color w:val="000000"/>
                <w:spacing w:val="0"/>
                <w:w w:val="100"/>
                <w:position w:val="0"/>
              </w:rPr>
              <w:t>在其他单位是否 领取报酬津贴</w:t>
            </w:r>
          </w:p>
        </w:tc>
      </w:tr>
      <w:tr>
        <w:trPr>
          <w:trHeight w:val="403" w:hRule="exact"/>
        </w:trPr>
        <w:tc>
          <w:tcPr>
            <w:tcBorders>
              <w:top w:val="single" w:sz="4"/>
              <w:left w:val="single" w:sz="4"/>
            </w:tcBorders>
            <w:shd w:val="clear" w:color="auto" w:fill="FFFFFF"/>
            <w:vAlign w:val="center"/>
          </w:tcPr>
          <w:p>
            <w:pPr>
              <w:pStyle w:val="Style2"/>
              <w:keepNext w:val="0"/>
              <w:keepLines w:val="0"/>
              <w:framePr w:w="9581" w:h="9696" w:hSpace="14" w:vSpace="336" w:wrap="notBeside" w:vAnchor="text" w:hAnchor="text" w:x="485" w:y="337"/>
              <w:widowControl w:val="0"/>
              <w:shd w:val="clear" w:color="auto" w:fill="auto"/>
              <w:bidi w:val="0"/>
              <w:spacing w:before="0" w:after="0" w:line="240" w:lineRule="auto"/>
              <w:ind w:left="0" w:right="0" w:firstLine="0"/>
              <w:jc w:val="both"/>
            </w:pPr>
            <w:r>
              <w:rPr>
                <w:color w:val="000000"/>
                <w:spacing w:val="0"/>
                <w:w w:val="100"/>
                <w:position w:val="0"/>
              </w:rPr>
              <w:t>杜力</w:t>
            </w:r>
          </w:p>
        </w:tc>
        <w:tc>
          <w:tcPr>
            <w:tcBorders>
              <w:top w:val="single" w:sz="4"/>
              <w:left w:val="single" w:sz="4"/>
            </w:tcBorders>
            <w:shd w:val="clear" w:color="auto" w:fill="FFFFFF"/>
            <w:vAlign w:val="center"/>
          </w:tcPr>
          <w:p>
            <w:pPr>
              <w:pStyle w:val="Style2"/>
              <w:keepNext w:val="0"/>
              <w:keepLines w:val="0"/>
              <w:framePr w:w="9581" w:h="9696" w:hSpace="14" w:vSpace="336" w:wrap="notBeside" w:vAnchor="text" w:hAnchor="text" w:x="485" w:y="337"/>
              <w:widowControl w:val="0"/>
              <w:shd w:val="clear" w:color="auto" w:fill="auto"/>
              <w:bidi w:val="0"/>
              <w:spacing w:before="0" w:after="0" w:line="240" w:lineRule="auto"/>
              <w:ind w:left="0" w:right="0" w:firstLine="0"/>
              <w:jc w:val="left"/>
            </w:pPr>
            <w:r>
              <w:rPr>
                <w:color w:val="000000"/>
                <w:spacing w:val="0"/>
                <w:w w:val="100"/>
                <w:position w:val="0"/>
              </w:rPr>
              <w:t>北京凤凰财鑫投资管理有限公司</w:t>
            </w:r>
          </w:p>
        </w:tc>
        <w:tc>
          <w:tcPr>
            <w:tcBorders>
              <w:top w:val="single" w:sz="4"/>
              <w:left w:val="single" w:sz="4"/>
            </w:tcBorders>
            <w:shd w:val="clear" w:color="auto" w:fill="FFFFFF"/>
            <w:vAlign w:val="center"/>
          </w:tcPr>
          <w:p>
            <w:pPr>
              <w:pStyle w:val="Style2"/>
              <w:keepNext w:val="0"/>
              <w:keepLines w:val="0"/>
              <w:framePr w:w="9581" w:h="9696" w:hSpace="14" w:vSpace="336" w:wrap="notBeside" w:vAnchor="text" w:hAnchor="text" w:x="485" w:y="337"/>
              <w:widowControl w:val="0"/>
              <w:shd w:val="clear" w:color="auto" w:fill="auto"/>
              <w:bidi w:val="0"/>
              <w:spacing w:before="0" w:after="0" w:line="240" w:lineRule="auto"/>
              <w:ind w:left="0" w:right="0" w:firstLine="0"/>
              <w:jc w:val="both"/>
            </w:pPr>
            <w:r>
              <w:rPr>
                <w:color w:val="000000"/>
                <w:spacing w:val="0"/>
                <w:w w:val="100"/>
                <w:position w:val="0"/>
              </w:rPr>
              <w:t>执行董事、经理</w:t>
            </w:r>
          </w:p>
        </w:tc>
        <w:tc>
          <w:tcPr>
            <w:tcBorders>
              <w:top w:val="single" w:sz="4"/>
              <w:left w:val="single" w:sz="4"/>
            </w:tcBorders>
            <w:shd w:val="clear" w:color="auto" w:fill="FFFFFF"/>
            <w:vAlign w:val="center"/>
          </w:tcPr>
          <w:p>
            <w:pPr>
              <w:pStyle w:val="Style2"/>
              <w:keepNext w:val="0"/>
              <w:keepLines w:val="0"/>
              <w:framePr w:w="9581" w:h="9696" w:hSpace="14" w:vSpace="336" w:wrap="notBeside" w:vAnchor="text" w:hAnchor="text" w:x="485" w:y="337"/>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日至今</w:t>
            </w:r>
          </w:p>
        </w:tc>
        <w:tc>
          <w:tcPr>
            <w:tcBorders>
              <w:top w:val="single" w:sz="4"/>
              <w:left w:val="single" w:sz="4"/>
              <w:right w:val="single" w:sz="4"/>
            </w:tcBorders>
            <w:shd w:val="clear" w:color="auto" w:fill="FFFFFF"/>
            <w:vAlign w:val="center"/>
          </w:tcPr>
          <w:p>
            <w:pPr>
              <w:pStyle w:val="Style2"/>
              <w:keepNext w:val="0"/>
              <w:keepLines w:val="0"/>
              <w:framePr w:w="9581" w:h="9696" w:hSpace="14" w:vSpace="336" w:wrap="notBeside" w:vAnchor="text" w:hAnchor="text" w:x="485" w:y="337"/>
              <w:widowControl w:val="0"/>
              <w:shd w:val="clear" w:color="auto" w:fill="auto"/>
              <w:bidi w:val="0"/>
              <w:spacing w:before="0" w:after="0" w:line="240" w:lineRule="auto"/>
              <w:ind w:left="0" w:right="0" w:firstLine="72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framePr w:w="9581" w:h="9696" w:hSpace="14" w:vSpace="336" w:wrap="notBeside" w:vAnchor="text" w:hAnchor="text" w:x="485" w:y="337"/>
              <w:widowControl w:val="0"/>
              <w:shd w:val="clear" w:color="auto" w:fill="auto"/>
              <w:bidi w:val="0"/>
              <w:spacing w:before="0" w:after="0" w:line="240" w:lineRule="auto"/>
              <w:ind w:left="0" w:right="0" w:firstLine="0"/>
              <w:jc w:val="both"/>
            </w:pPr>
            <w:r>
              <w:rPr>
                <w:color w:val="000000"/>
                <w:spacing w:val="0"/>
                <w:w w:val="100"/>
                <w:position w:val="0"/>
              </w:rPr>
              <w:t>杜力</w:t>
            </w:r>
          </w:p>
        </w:tc>
        <w:tc>
          <w:tcPr>
            <w:tcBorders>
              <w:top w:val="single" w:sz="4"/>
              <w:left w:val="single" w:sz="4"/>
            </w:tcBorders>
            <w:shd w:val="clear" w:color="auto" w:fill="FFFFFF"/>
            <w:vAlign w:val="center"/>
          </w:tcPr>
          <w:p>
            <w:pPr>
              <w:pStyle w:val="Style2"/>
              <w:keepNext w:val="0"/>
              <w:keepLines w:val="0"/>
              <w:framePr w:w="9581" w:h="9696" w:hSpace="14" w:vSpace="336" w:wrap="notBeside" w:vAnchor="text" w:hAnchor="text" w:x="485" w:y="337"/>
              <w:widowControl w:val="0"/>
              <w:shd w:val="clear" w:color="auto" w:fill="auto"/>
              <w:bidi w:val="0"/>
              <w:spacing w:before="0" w:after="0" w:line="240" w:lineRule="auto"/>
              <w:ind w:left="0" w:right="0" w:firstLine="0"/>
              <w:jc w:val="left"/>
            </w:pPr>
            <w:r>
              <w:rPr>
                <w:color w:val="000000"/>
                <w:spacing w:val="0"/>
                <w:w w:val="100"/>
                <w:position w:val="0"/>
              </w:rPr>
              <w:t>北京凤凰财富资产管理有限公司</w:t>
            </w:r>
          </w:p>
        </w:tc>
        <w:tc>
          <w:tcPr>
            <w:tcBorders>
              <w:top w:val="single" w:sz="4"/>
              <w:left w:val="single" w:sz="4"/>
            </w:tcBorders>
            <w:shd w:val="clear" w:color="auto" w:fill="FFFFFF"/>
            <w:vAlign w:val="center"/>
          </w:tcPr>
          <w:p>
            <w:pPr>
              <w:pStyle w:val="Style2"/>
              <w:keepNext w:val="0"/>
              <w:keepLines w:val="0"/>
              <w:framePr w:w="9581" w:h="9696" w:hSpace="14" w:vSpace="336" w:wrap="notBeside" w:vAnchor="text" w:hAnchor="text" w:x="485" w:y="337"/>
              <w:widowControl w:val="0"/>
              <w:shd w:val="clear" w:color="auto" w:fill="auto"/>
              <w:bidi w:val="0"/>
              <w:spacing w:before="0" w:after="0" w:line="240" w:lineRule="auto"/>
              <w:ind w:left="0" w:right="0" w:firstLine="0"/>
              <w:jc w:val="both"/>
            </w:pPr>
            <w:r>
              <w:rPr>
                <w:color w:val="000000"/>
                <w:spacing w:val="0"/>
                <w:w w:val="100"/>
                <w:position w:val="0"/>
              </w:rPr>
              <w:t>执行董事、经理</w:t>
            </w:r>
          </w:p>
        </w:tc>
        <w:tc>
          <w:tcPr>
            <w:tcBorders>
              <w:top w:val="single" w:sz="4"/>
              <w:left w:val="single" w:sz="4"/>
            </w:tcBorders>
            <w:shd w:val="clear" w:color="auto" w:fill="FFFFFF"/>
            <w:vAlign w:val="center"/>
          </w:tcPr>
          <w:p>
            <w:pPr>
              <w:pStyle w:val="Style2"/>
              <w:keepNext w:val="0"/>
              <w:keepLines w:val="0"/>
              <w:framePr w:w="9581" w:h="9696" w:hSpace="14" w:vSpace="336" w:wrap="notBeside" w:vAnchor="text" w:hAnchor="text" w:x="485" w:y="337"/>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日至今</w:t>
            </w:r>
          </w:p>
        </w:tc>
        <w:tc>
          <w:tcPr>
            <w:tcBorders>
              <w:top w:val="single" w:sz="4"/>
              <w:left w:val="single" w:sz="4"/>
              <w:right w:val="single" w:sz="4"/>
            </w:tcBorders>
            <w:shd w:val="clear" w:color="auto" w:fill="FFFFFF"/>
            <w:vAlign w:val="center"/>
          </w:tcPr>
          <w:p>
            <w:pPr>
              <w:pStyle w:val="Style2"/>
              <w:keepNext w:val="0"/>
              <w:keepLines w:val="0"/>
              <w:framePr w:w="9581" w:h="9696" w:hSpace="14" w:vSpace="336" w:wrap="notBeside" w:vAnchor="text" w:hAnchor="text" w:x="485" w:y="337"/>
              <w:widowControl w:val="0"/>
              <w:shd w:val="clear" w:color="auto" w:fill="auto"/>
              <w:bidi w:val="0"/>
              <w:spacing w:before="0" w:after="0" w:line="240" w:lineRule="auto"/>
              <w:ind w:left="0" w:right="0" w:firstLine="72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framePr w:w="9581" w:h="9696" w:hSpace="14" w:vSpace="336" w:wrap="notBeside" w:vAnchor="text" w:hAnchor="text" w:x="485" w:y="337"/>
              <w:widowControl w:val="0"/>
              <w:shd w:val="clear" w:color="auto" w:fill="auto"/>
              <w:bidi w:val="0"/>
              <w:spacing w:before="0" w:after="0" w:line="240" w:lineRule="auto"/>
              <w:ind w:left="0" w:right="0" w:firstLine="0"/>
              <w:jc w:val="both"/>
            </w:pPr>
            <w:r>
              <w:rPr>
                <w:color w:val="000000"/>
                <w:spacing w:val="0"/>
                <w:w w:val="100"/>
                <w:position w:val="0"/>
              </w:rPr>
              <w:t>杜力</w:t>
            </w:r>
          </w:p>
        </w:tc>
        <w:tc>
          <w:tcPr>
            <w:tcBorders>
              <w:top w:val="single" w:sz="4"/>
              <w:left w:val="single" w:sz="4"/>
            </w:tcBorders>
            <w:shd w:val="clear" w:color="auto" w:fill="FFFFFF"/>
            <w:vAlign w:val="center"/>
          </w:tcPr>
          <w:p>
            <w:pPr>
              <w:pStyle w:val="Style2"/>
              <w:keepNext w:val="0"/>
              <w:keepLines w:val="0"/>
              <w:framePr w:w="9581" w:h="9696" w:hSpace="14" w:vSpace="336" w:wrap="notBeside" w:vAnchor="text" w:hAnchor="text" w:x="485" w:y="337"/>
              <w:widowControl w:val="0"/>
              <w:shd w:val="clear" w:color="auto" w:fill="auto"/>
              <w:bidi w:val="0"/>
              <w:spacing w:before="0" w:after="0" w:line="240" w:lineRule="auto"/>
              <w:ind w:left="0" w:right="0" w:firstLine="0"/>
              <w:jc w:val="left"/>
            </w:pPr>
            <w:r>
              <w:rPr>
                <w:color w:val="000000"/>
                <w:spacing w:val="0"/>
                <w:w w:val="100"/>
                <w:position w:val="0"/>
              </w:rPr>
              <w:t>北京凤凰财富创新投资有限公司</w:t>
            </w:r>
          </w:p>
        </w:tc>
        <w:tc>
          <w:tcPr>
            <w:tcBorders>
              <w:top w:val="single" w:sz="4"/>
              <w:left w:val="single" w:sz="4"/>
            </w:tcBorders>
            <w:shd w:val="clear" w:color="auto" w:fill="FFFFFF"/>
            <w:vAlign w:val="center"/>
          </w:tcPr>
          <w:p>
            <w:pPr>
              <w:pStyle w:val="Style2"/>
              <w:keepNext w:val="0"/>
              <w:keepLines w:val="0"/>
              <w:framePr w:w="9581" w:h="9696" w:hSpace="14" w:vSpace="336" w:wrap="notBeside" w:vAnchor="text" w:hAnchor="text" w:x="485" w:y="337"/>
              <w:widowControl w:val="0"/>
              <w:shd w:val="clear" w:color="auto" w:fill="auto"/>
              <w:bidi w:val="0"/>
              <w:spacing w:before="0" w:after="0" w:line="240" w:lineRule="auto"/>
              <w:ind w:left="0" w:right="0" w:firstLine="0"/>
              <w:jc w:val="both"/>
            </w:pPr>
            <w:r>
              <w:rPr>
                <w:color w:val="000000"/>
                <w:spacing w:val="0"/>
                <w:w w:val="100"/>
                <w:position w:val="0"/>
              </w:rPr>
              <w:t>经理</w:t>
            </w:r>
          </w:p>
        </w:tc>
        <w:tc>
          <w:tcPr>
            <w:tcBorders>
              <w:top w:val="single" w:sz="4"/>
              <w:left w:val="single" w:sz="4"/>
            </w:tcBorders>
            <w:shd w:val="clear" w:color="auto" w:fill="FFFFFF"/>
            <w:vAlign w:val="center"/>
          </w:tcPr>
          <w:p>
            <w:pPr>
              <w:pStyle w:val="Style2"/>
              <w:keepNext w:val="0"/>
              <w:keepLines w:val="0"/>
              <w:framePr w:w="9581" w:h="9696" w:hSpace="14" w:vSpace="336" w:wrap="notBeside" w:vAnchor="text" w:hAnchor="text" w:x="485" w:y="337"/>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日至今</w:t>
            </w:r>
          </w:p>
        </w:tc>
        <w:tc>
          <w:tcPr>
            <w:tcBorders>
              <w:top w:val="single" w:sz="4"/>
              <w:left w:val="single" w:sz="4"/>
              <w:right w:val="single" w:sz="4"/>
            </w:tcBorders>
            <w:shd w:val="clear" w:color="auto" w:fill="FFFFFF"/>
            <w:vAlign w:val="center"/>
          </w:tcPr>
          <w:p>
            <w:pPr>
              <w:pStyle w:val="Style2"/>
              <w:keepNext w:val="0"/>
              <w:keepLines w:val="0"/>
              <w:framePr w:w="9581" w:h="9696" w:hSpace="14" w:vSpace="336" w:wrap="notBeside" w:vAnchor="text" w:hAnchor="text" w:x="485" w:y="337"/>
              <w:widowControl w:val="0"/>
              <w:shd w:val="clear" w:color="auto" w:fill="auto"/>
              <w:bidi w:val="0"/>
              <w:spacing w:before="0" w:after="0" w:line="240" w:lineRule="auto"/>
              <w:ind w:left="0" w:right="0" w:firstLine="72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framePr w:w="9581" w:h="9696" w:hSpace="14" w:vSpace="336" w:wrap="notBeside" w:vAnchor="text" w:hAnchor="text" w:x="485" w:y="337"/>
              <w:widowControl w:val="0"/>
              <w:shd w:val="clear" w:color="auto" w:fill="auto"/>
              <w:bidi w:val="0"/>
              <w:spacing w:before="0" w:after="0" w:line="240" w:lineRule="auto"/>
              <w:ind w:left="0" w:right="0" w:firstLine="0"/>
              <w:jc w:val="both"/>
            </w:pPr>
            <w:r>
              <w:rPr>
                <w:color w:val="000000"/>
                <w:spacing w:val="0"/>
                <w:w w:val="100"/>
                <w:position w:val="0"/>
              </w:rPr>
              <w:t>杜力</w:t>
            </w:r>
          </w:p>
        </w:tc>
        <w:tc>
          <w:tcPr>
            <w:tcBorders>
              <w:top w:val="single" w:sz="4"/>
              <w:left w:val="single" w:sz="4"/>
            </w:tcBorders>
            <w:shd w:val="clear" w:color="auto" w:fill="FFFFFF"/>
            <w:vAlign w:val="center"/>
          </w:tcPr>
          <w:p>
            <w:pPr>
              <w:pStyle w:val="Style2"/>
              <w:keepNext w:val="0"/>
              <w:keepLines w:val="0"/>
              <w:framePr w:w="9581" w:h="9696" w:hSpace="14" w:vSpace="336" w:wrap="notBeside" w:vAnchor="text" w:hAnchor="text" w:x="485" w:y="337"/>
              <w:widowControl w:val="0"/>
              <w:shd w:val="clear" w:color="auto" w:fill="auto"/>
              <w:bidi w:val="0"/>
              <w:spacing w:before="0" w:after="0" w:line="240" w:lineRule="auto"/>
              <w:ind w:left="0" w:right="0" w:firstLine="0"/>
              <w:jc w:val="left"/>
            </w:pPr>
            <w:r>
              <w:rPr>
                <w:color w:val="000000"/>
                <w:spacing w:val="0"/>
                <w:w w:val="100"/>
                <w:position w:val="0"/>
              </w:rPr>
              <w:t>北京凤凰财富投资咨询有限公司</w:t>
            </w:r>
          </w:p>
        </w:tc>
        <w:tc>
          <w:tcPr>
            <w:tcBorders>
              <w:top w:val="single" w:sz="4"/>
              <w:left w:val="single" w:sz="4"/>
            </w:tcBorders>
            <w:shd w:val="clear" w:color="auto" w:fill="FFFFFF"/>
            <w:vAlign w:val="center"/>
          </w:tcPr>
          <w:p>
            <w:pPr>
              <w:pStyle w:val="Style2"/>
              <w:keepNext w:val="0"/>
              <w:keepLines w:val="0"/>
              <w:framePr w:w="9581" w:h="9696" w:hSpace="14" w:vSpace="336" w:wrap="notBeside" w:vAnchor="text" w:hAnchor="text" w:x="485" w:y="337"/>
              <w:widowControl w:val="0"/>
              <w:shd w:val="clear" w:color="auto" w:fill="auto"/>
              <w:bidi w:val="0"/>
              <w:spacing w:before="0" w:after="0" w:line="240" w:lineRule="auto"/>
              <w:ind w:left="0" w:right="0" w:firstLine="0"/>
              <w:jc w:val="both"/>
            </w:pPr>
            <w:r>
              <w:rPr>
                <w:color w:val="000000"/>
                <w:spacing w:val="0"/>
                <w:w w:val="100"/>
                <w:position w:val="0"/>
              </w:rPr>
              <w:t>执行董事、经理</w:t>
            </w:r>
          </w:p>
        </w:tc>
        <w:tc>
          <w:tcPr>
            <w:tcBorders>
              <w:top w:val="single" w:sz="4"/>
              <w:left w:val="single" w:sz="4"/>
            </w:tcBorders>
            <w:shd w:val="clear" w:color="auto" w:fill="FFFFFF"/>
            <w:vAlign w:val="center"/>
          </w:tcPr>
          <w:p>
            <w:pPr>
              <w:pStyle w:val="Style2"/>
              <w:keepNext w:val="0"/>
              <w:keepLines w:val="0"/>
              <w:framePr w:w="9581" w:h="9696" w:hSpace="14" w:vSpace="336" w:wrap="notBeside" w:vAnchor="text" w:hAnchor="text" w:x="485" w:y="337"/>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日至今</w:t>
            </w:r>
          </w:p>
        </w:tc>
        <w:tc>
          <w:tcPr>
            <w:tcBorders>
              <w:top w:val="single" w:sz="4"/>
              <w:left w:val="single" w:sz="4"/>
              <w:right w:val="single" w:sz="4"/>
            </w:tcBorders>
            <w:shd w:val="clear" w:color="auto" w:fill="FFFFFF"/>
            <w:vAlign w:val="center"/>
          </w:tcPr>
          <w:p>
            <w:pPr>
              <w:pStyle w:val="Style2"/>
              <w:keepNext w:val="0"/>
              <w:keepLines w:val="0"/>
              <w:framePr w:w="9581" w:h="9696" w:hSpace="14" w:vSpace="336" w:wrap="notBeside" w:vAnchor="text" w:hAnchor="text" w:x="485" w:y="337"/>
              <w:widowControl w:val="0"/>
              <w:shd w:val="clear" w:color="auto" w:fill="auto"/>
              <w:bidi w:val="0"/>
              <w:spacing w:before="0" w:after="0" w:line="240" w:lineRule="auto"/>
              <w:ind w:left="0" w:right="0" w:firstLine="72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framePr w:w="9581" w:h="9696" w:hSpace="14" w:vSpace="336" w:wrap="notBeside" w:vAnchor="text" w:hAnchor="text" w:x="485" w:y="337"/>
              <w:widowControl w:val="0"/>
              <w:shd w:val="clear" w:color="auto" w:fill="auto"/>
              <w:bidi w:val="0"/>
              <w:spacing w:before="0" w:after="0" w:line="240" w:lineRule="auto"/>
              <w:ind w:left="0" w:right="0" w:firstLine="0"/>
              <w:jc w:val="both"/>
            </w:pPr>
            <w:r>
              <w:rPr>
                <w:color w:val="000000"/>
                <w:spacing w:val="0"/>
                <w:w w:val="100"/>
                <w:position w:val="0"/>
              </w:rPr>
              <w:t>杜力</w:t>
            </w:r>
          </w:p>
        </w:tc>
        <w:tc>
          <w:tcPr>
            <w:tcBorders>
              <w:top w:val="single" w:sz="4"/>
              <w:left w:val="single" w:sz="4"/>
            </w:tcBorders>
            <w:shd w:val="clear" w:color="auto" w:fill="FFFFFF"/>
            <w:vAlign w:val="center"/>
          </w:tcPr>
          <w:p>
            <w:pPr>
              <w:pStyle w:val="Style2"/>
              <w:keepNext w:val="0"/>
              <w:keepLines w:val="0"/>
              <w:framePr w:w="9581" w:h="9696" w:hSpace="14" w:vSpace="336" w:wrap="notBeside" w:vAnchor="text" w:hAnchor="text" w:x="485" w:y="337"/>
              <w:widowControl w:val="0"/>
              <w:shd w:val="clear" w:color="auto" w:fill="auto"/>
              <w:bidi w:val="0"/>
              <w:spacing w:before="0" w:after="0" w:line="240" w:lineRule="auto"/>
              <w:ind w:left="0" w:right="0" w:firstLine="0"/>
              <w:jc w:val="left"/>
            </w:pPr>
            <w:r>
              <w:rPr>
                <w:color w:val="000000"/>
                <w:spacing w:val="0"/>
                <w:w w:val="100"/>
                <w:position w:val="0"/>
              </w:rPr>
              <w:t>北京凤凰财富投资管理有限公司</w:t>
            </w:r>
          </w:p>
        </w:tc>
        <w:tc>
          <w:tcPr>
            <w:tcBorders>
              <w:top w:val="single" w:sz="4"/>
              <w:left w:val="single" w:sz="4"/>
            </w:tcBorders>
            <w:shd w:val="clear" w:color="auto" w:fill="FFFFFF"/>
            <w:vAlign w:val="center"/>
          </w:tcPr>
          <w:p>
            <w:pPr>
              <w:pStyle w:val="Style2"/>
              <w:keepNext w:val="0"/>
              <w:keepLines w:val="0"/>
              <w:framePr w:w="9581" w:h="9696" w:hSpace="14" w:vSpace="336" w:wrap="notBeside" w:vAnchor="text" w:hAnchor="text" w:x="485" w:y="337"/>
              <w:widowControl w:val="0"/>
              <w:shd w:val="clear" w:color="auto" w:fill="auto"/>
              <w:bidi w:val="0"/>
              <w:spacing w:before="0" w:after="0" w:line="240" w:lineRule="auto"/>
              <w:ind w:left="0" w:right="0" w:firstLine="0"/>
              <w:jc w:val="both"/>
            </w:pPr>
            <w:r>
              <w:rPr>
                <w:color w:val="000000"/>
                <w:spacing w:val="0"/>
                <w:w w:val="100"/>
                <w:position w:val="0"/>
              </w:rPr>
              <w:t>执行董事、经理</w:t>
            </w:r>
          </w:p>
        </w:tc>
        <w:tc>
          <w:tcPr>
            <w:tcBorders>
              <w:top w:val="single" w:sz="4"/>
              <w:left w:val="single" w:sz="4"/>
            </w:tcBorders>
            <w:shd w:val="clear" w:color="auto" w:fill="FFFFFF"/>
            <w:vAlign w:val="center"/>
          </w:tcPr>
          <w:p>
            <w:pPr>
              <w:pStyle w:val="Style2"/>
              <w:keepNext w:val="0"/>
              <w:keepLines w:val="0"/>
              <w:framePr w:w="9581" w:h="9696" w:hSpace="14" w:vSpace="336" w:wrap="notBeside" w:vAnchor="text" w:hAnchor="text" w:x="485" w:y="337"/>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日至今</w:t>
            </w:r>
          </w:p>
        </w:tc>
        <w:tc>
          <w:tcPr>
            <w:tcBorders>
              <w:top w:val="single" w:sz="4"/>
              <w:left w:val="single" w:sz="4"/>
              <w:right w:val="single" w:sz="4"/>
            </w:tcBorders>
            <w:shd w:val="clear" w:color="auto" w:fill="FFFFFF"/>
            <w:vAlign w:val="center"/>
          </w:tcPr>
          <w:p>
            <w:pPr>
              <w:pStyle w:val="Style2"/>
              <w:keepNext w:val="0"/>
              <w:keepLines w:val="0"/>
              <w:framePr w:w="9581" w:h="9696" w:hSpace="14" w:vSpace="336" w:wrap="notBeside" w:vAnchor="text" w:hAnchor="text" w:x="485" w:y="337"/>
              <w:widowControl w:val="0"/>
              <w:shd w:val="clear" w:color="auto" w:fill="auto"/>
              <w:bidi w:val="0"/>
              <w:spacing w:before="0" w:after="0" w:line="240" w:lineRule="auto"/>
              <w:ind w:left="0" w:right="0" w:firstLine="72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framePr w:w="9581" w:h="9696" w:hSpace="14" w:vSpace="336" w:wrap="notBeside" w:vAnchor="text" w:hAnchor="text" w:x="485" w:y="337"/>
              <w:widowControl w:val="0"/>
              <w:shd w:val="clear" w:color="auto" w:fill="auto"/>
              <w:bidi w:val="0"/>
              <w:spacing w:before="0" w:after="0" w:line="240" w:lineRule="auto"/>
              <w:ind w:left="0" w:right="0" w:firstLine="0"/>
              <w:jc w:val="both"/>
            </w:pPr>
            <w:r>
              <w:rPr>
                <w:color w:val="000000"/>
                <w:spacing w:val="0"/>
                <w:w w:val="100"/>
                <w:position w:val="0"/>
              </w:rPr>
              <w:t>杜力</w:t>
            </w:r>
          </w:p>
        </w:tc>
        <w:tc>
          <w:tcPr>
            <w:tcBorders>
              <w:top w:val="single" w:sz="4"/>
              <w:left w:val="single" w:sz="4"/>
            </w:tcBorders>
            <w:shd w:val="clear" w:color="auto" w:fill="FFFFFF"/>
            <w:vAlign w:val="center"/>
          </w:tcPr>
          <w:p>
            <w:pPr>
              <w:pStyle w:val="Style2"/>
              <w:keepNext w:val="0"/>
              <w:keepLines w:val="0"/>
              <w:framePr w:w="9581" w:h="9696" w:hSpace="14" w:vSpace="336" w:wrap="notBeside" w:vAnchor="text" w:hAnchor="text" w:x="485" w:y="337"/>
              <w:widowControl w:val="0"/>
              <w:shd w:val="clear" w:color="auto" w:fill="auto"/>
              <w:bidi w:val="0"/>
              <w:spacing w:before="0" w:after="0" w:line="240" w:lineRule="auto"/>
              <w:ind w:left="0" w:right="0" w:firstLine="0"/>
              <w:jc w:val="left"/>
            </w:pPr>
            <w:r>
              <w:rPr>
                <w:color w:val="000000"/>
                <w:spacing w:val="0"/>
                <w:w w:val="100"/>
                <w:position w:val="0"/>
              </w:rPr>
              <w:t>北京凤凰财富控股集团有限公司</w:t>
            </w:r>
          </w:p>
        </w:tc>
        <w:tc>
          <w:tcPr>
            <w:tcBorders>
              <w:top w:val="single" w:sz="4"/>
              <w:left w:val="single" w:sz="4"/>
            </w:tcBorders>
            <w:shd w:val="clear" w:color="auto" w:fill="FFFFFF"/>
            <w:vAlign w:val="center"/>
          </w:tcPr>
          <w:p>
            <w:pPr>
              <w:pStyle w:val="Style2"/>
              <w:keepNext w:val="0"/>
              <w:keepLines w:val="0"/>
              <w:framePr w:w="9581" w:h="9696" w:hSpace="14" w:vSpace="336" w:wrap="notBeside" w:vAnchor="text" w:hAnchor="text" w:x="485" w:y="337"/>
              <w:widowControl w:val="0"/>
              <w:shd w:val="clear" w:color="auto" w:fill="auto"/>
              <w:bidi w:val="0"/>
              <w:spacing w:before="0" w:after="0" w:line="240" w:lineRule="auto"/>
              <w:ind w:left="0" w:right="0" w:firstLine="0"/>
              <w:jc w:val="both"/>
            </w:pPr>
            <w:r>
              <w:rPr>
                <w:color w:val="000000"/>
                <w:spacing w:val="0"/>
                <w:w w:val="100"/>
                <w:position w:val="0"/>
              </w:rPr>
              <w:t>执行董事、经理</w:t>
            </w:r>
          </w:p>
        </w:tc>
        <w:tc>
          <w:tcPr>
            <w:tcBorders>
              <w:top w:val="single" w:sz="4"/>
              <w:left w:val="single" w:sz="4"/>
            </w:tcBorders>
            <w:shd w:val="clear" w:color="auto" w:fill="FFFFFF"/>
            <w:vAlign w:val="center"/>
          </w:tcPr>
          <w:p>
            <w:pPr>
              <w:pStyle w:val="Style2"/>
              <w:keepNext w:val="0"/>
              <w:keepLines w:val="0"/>
              <w:framePr w:w="9581" w:h="9696" w:hSpace="14" w:vSpace="336" w:wrap="notBeside" w:vAnchor="text" w:hAnchor="text" w:x="485" w:y="337"/>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日至今</w:t>
            </w:r>
          </w:p>
        </w:tc>
        <w:tc>
          <w:tcPr>
            <w:tcBorders>
              <w:top w:val="single" w:sz="4"/>
              <w:left w:val="single" w:sz="4"/>
              <w:right w:val="single" w:sz="4"/>
            </w:tcBorders>
            <w:shd w:val="clear" w:color="auto" w:fill="FFFFFF"/>
            <w:vAlign w:val="center"/>
          </w:tcPr>
          <w:p>
            <w:pPr>
              <w:pStyle w:val="Style2"/>
              <w:keepNext w:val="0"/>
              <w:keepLines w:val="0"/>
              <w:framePr w:w="9581" w:h="9696" w:hSpace="14" w:vSpace="336" w:wrap="notBeside" w:vAnchor="text" w:hAnchor="text" w:x="485" w:y="337"/>
              <w:widowControl w:val="0"/>
              <w:shd w:val="clear" w:color="auto" w:fill="auto"/>
              <w:bidi w:val="0"/>
              <w:spacing w:before="0" w:after="0" w:line="240" w:lineRule="auto"/>
              <w:ind w:left="0" w:right="0" w:firstLine="72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framePr w:w="9581" w:h="9696" w:hSpace="14" w:vSpace="336" w:wrap="notBeside" w:vAnchor="text" w:hAnchor="text" w:x="485" w:y="337"/>
              <w:widowControl w:val="0"/>
              <w:shd w:val="clear" w:color="auto" w:fill="auto"/>
              <w:bidi w:val="0"/>
              <w:spacing w:before="0" w:after="0" w:line="240" w:lineRule="auto"/>
              <w:ind w:left="0" w:right="0" w:firstLine="0"/>
              <w:jc w:val="both"/>
            </w:pPr>
            <w:r>
              <w:rPr>
                <w:color w:val="000000"/>
                <w:spacing w:val="0"/>
                <w:w w:val="100"/>
                <w:position w:val="0"/>
              </w:rPr>
              <w:t>杜力</w:t>
            </w:r>
          </w:p>
        </w:tc>
        <w:tc>
          <w:tcPr>
            <w:tcBorders>
              <w:top w:val="single" w:sz="4"/>
              <w:left w:val="single" w:sz="4"/>
            </w:tcBorders>
            <w:shd w:val="clear" w:color="auto" w:fill="FFFFFF"/>
            <w:vAlign w:val="center"/>
          </w:tcPr>
          <w:p>
            <w:pPr>
              <w:pStyle w:val="Style2"/>
              <w:keepNext w:val="0"/>
              <w:keepLines w:val="0"/>
              <w:framePr w:w="9581" w:h="9696" w:hSpace="14" w:vSpace="336" w:wrap="notBeside" w:vAnchor="text" w:hAnchor="text" w:x="485" w:y="337"/>
              <w:widowControl w:val="0"/>
              <w:shd w:val="clear" w:color="auto" w:fill="auto"/>
              <w:bidi w:val="0"/>
              <w:spacing w:before="0" w:after="0" w:line="312" w:lineRule="exact"/>
              <w:ind w:left="0" w:right="0" w:firstLine="0"/>
              <w:jc w:val="left"/>
            </w:pPr>
            <w:r>
              <w:rPr>
                <w:color w:val="000000"/>
                <w:spacing w:val="0"/>
                <w:w w:val="100"/>
                <w:position w:val="0"/>
              </w:rPr>
              <w:t>北京凤凰祥瑞互联投资基金（有限 合伙）</w:t>
            </w:r>
          </w:p>
        </w:tc>
        <w:tc>
          <w:tcPr>
            <w:tcBorders>
              <w:top w:val="single" w:sz="4"/>
              <w:left w:val="single" w:sz="4"/>
            </w:tcBorders>
            <w:shd w:val="clear" w:color="auto" w:fill="FFFFFF"/>
            <w:vAlign w:val="center"/>
          </w:tcPr>
          <w:p>
            <w:pPr>
              <w:pStyle w:val="Style2"/>
              <w:keepNext w:val="0"/>
              <w:keepLines w:val="0"/>
              <w:framePr w:w="9581" w:h="9696" w:hSpace="14" w:vSpace="336" w:wrap="notBeside" w:vAnchor="text" w:hAnchor="text" w:x="485" w:y="337"/>
              <w:widowControl w:val="0"/>
              <w:shd w:val="clear" w:color="auto" w:fill="auto"/>
              <w:bidi w:val="0"/>
              <w:spacing w:before="0" w:after="0" w:line="312" w:lineRule="exact"/>
              <w:ind w:left="0" w:right="0" w:firstLine="0"/>
              <w:jc w:val="both"/>
            </w:pPr>
            <w:r>
              <w:rPr>
                <w:color w:val="000000"/>
                <w:spacing w:val="0"/>
                <w:w w:val="100"/>
                <w:position w:val="0"/>
              </w:rPr>
              <w:t>执行事务合伙人 委派代表</w:t>
            </w:r>
          </w:p>
        </w:tc>
        <w:tc>
          <w:tcPr>
            <w:tcBorders>
              <w:top w:val="single" w:sz="4"/>
              <w:left w:val="single" w:sz="4"/>
            </w:tcBorders>
            <w:shd w:val="clear" w:color="auto" w:fill="FFFFFF"/>
            <w:vAlign w:val="center"/>
          </w:tcPr>
          <w:p>
            <w:pPr>
              <w:pStyle w:val="Style2"/>
              <w:keepNext w:val="0"/>
              <w:keepLines w:val="0"/>
              <w:framePr w:w="9581" w:h="9696" w:hSpace="14" w:vSpace="336" w:wrap="notBeside" w:vAnchor="text" w:hAnchor="text" w:x="485" w:y="337"/>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日至今</w:t>
            </w:r>
          </w:p>
        </w:tc>
        <w:tc>
          <w:tcPr>
            <w:tcBorders>
              <w:top w:val="single" w:sz="4"/>
              <w:left w:val="single" w:sz="4"/>
              <w:right w:val="single" w:sz="4"/>
            </w:tcBorders>
            <w:shd w:val="clear" w:color="auto" w:fill="FFFFFF"/>
            <w:vAlign w:val="center"/>
          </w:tcPr>
          <w:p>
            <w:pPr>
              <w:pStyle w:val="Style2"/>
              <w:keepNext w:val="0"/>
              <w:keepLines w:val="0"/>
              <w:framePr w:w="9581" w:h="9696" w:hSpace="14" w:vSpace="336" w:wrap="notBeside" w:vAnchor="text" w:hAnchor="text" w:x="485" w:y="337"/>
              <w:widowControl w:val="0"/>
              <w:shd w:val="clear" w:color="auto" w:fill="auto"/>
              <w:bidi w:val="0"/>
              <w:spacing w:before="0" w:after="0" w:line="240" w:lineRule="auto"/>
              <w:ind w:left="0" w:right="0" w:firstLine="72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framePr w:w="9581" w:h="9696" w:hSpace="14" w:vSpace="336" w:wrap="notBeside" w:vAnchor="text" w:hAnchor="text" w:x="485" w:y="337"/>
              <w:widowControl w:val="0"/>
              <w:shd w:val="clear" w:color="auto" w:fill="auto"/>
              <w:bidi w:val="0"/>
              <w:spacing w:before="0" w:after="0" w:line="240" w:lineRule="auto"/>
              <w:ind w:left="0" w:right="0" w:firstLine="0"/>
              <w:jc w:val="both"/>
            </w:pPr>
            <w:r>
              <w:rPr>
                <w:color w:val="000000"/>
                <w:spacing w:val="0"/>
                <w:w w:val="100"/>
                <w:position w:val="0"/>
              </w:rPr>
              <w:t>杜力</w:t>
            </w:r>
          </w:p>
        </w:tc>
        <w:tc>
          <w:tcPr>
            <w:tcBorders>
              <w:top w:val="single" w:sz="4"/>
              <w:left w:val="single" w:sz="4"/>
            </w:tcBorders>
            <w:shd w:val="clear" w:color="auto" w:fill="FFFFFF"/>
            <w:vAlign w:val="center"/>
          </w:tcPr>
          <w:p>
            <w:pPr>
              <w:pStyle w:val="Style2"/>
              <w:keepNext w:val="0"/>
              <w:keepLines w:val="0"/>
              <w:framePr w:w="9581" w:h="9696" w:hSpace="14" w:vSpace="336" w:wrap="notBeside" w:vAnchor="text" w:hAnchor="text" w:x="485" w:y="337"/>
              <w:widowControl w:val="0"/>
              <w:shd w:val="clear" w:color="auto" w:fill="auto"/>
              <w:bidi w:val="0"/>
              <w:spacing w:before="0" w:after="0" w:line="317" w:lineRule="exact"/>
              <w:ind w:left="0" w:right="0" w:firstLine="0"/>
              <w:jc w:val="left"/>
            </w:pPr>
            <w:r>
              <w:rPr>
                <w:color w:val="000000"/>
                <w:spacing w:val="0"/>
                <w:w w:val="100"/>
                <w:position w:val="0"/>
              </w:rPr>
              <w:t>北京凤凰财富成长投资中心（有限 合伙）</w:t>
            </w:r>
          </w:p>
        </w:tc>
        <w:tc>
          <w:tcPr>
            <w:tcBorders>
              <w:top w:val="single" w:sz="4"/>
              <w:left w:val="single" w:sz="4"/>
            </w:tcBorders>
            <w:shd w:val="clear" w:color="auto" w:fill="FFFFFF"/>
            <w:vAlign w:val="center"/>
          </w:tcPr>
          <w:p>
            <w:pPr>
              <w:pStyle w:val="Style2"/>
              <w:keepNext w:val="0"/>
              <w:keepLines w:val="0"/>
              <w:framePr w:w="9581" w:h="9696" w:hSpace="14" w:vSpace="336" w:wrap="notBeside" w:vAnchor="text" w:hAnchor="text" w:x="485" w:y="337"/>
              <w:widowControl w:val="0"/>
              <w:shd w:val="clear" w:color="auto" w:fill="auto"/>
              <w:bidi w:val="0"/>
              <w:spacing w:before="0" w:after="0" w:line="317" w:lineRule="exact"/>
              <w:ind w:left="0" w:right="0" w:firstLine="0"/>
              <w:jc w:val="both"/>
            </w:pPr>
            <w:r>
              <w:rPr>
                <w:color w:val="000000"/>
                <w:spacing w:val="0"/>
                <w:w w:val="100"/>
                <w:position w:val="0"/>
              </w:rPr>
              <w:t>执行事务合伙人 委派代表</w:t>
            </w:r>
          </w:p>
        </w:tc>
        <w:tc>
          <w:tcPr>
            <w:tcBorders>
              <w:top w:val="single" w:sz="4"/>
              <w:left w:val="single" w:sz="4"/>
            </w:tcBorders>
            <w:shd w:val="clear" w:color="auto" w:fill="FFFFFF"/>
            <w:vAlign w:val="center"/>
          </w:tcPr>
          <w:p>
            <w:pPr>
              <w:pStyle w:val="Style2"/>
              <w:keepNext w:val="0"/>
              <w:keepLines w:val="0"/>
              <w:framePr w:w="9581" w:h="9696" w:hSpace="14" w:vSpace="336" w:wrap="notBeside" w:vAnchor="text" w:hAnchor="text" w:x="485" w:y="337"/>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日至今</w:t>
            </w:r>
          </w:p>
        </w:tc>
        <w:tc>
          <w:tcPr>
            <w:tcBorders>
              <w:top w:val="single" w:sz="4"/>
              <w:left w:val="single" w:sz="4"/>
              <w:right w:val="single" w:sz="4"/>
            </w:tcBorders>
            <w:shd w:val="clear" w:color="auto" w:fill="FFFFFF"/>
            <w:vAlign w:val="center"/>
          </w:tcPr>
          <w:p>
            <w:pPr>
              <w:pStyle w:val="Style2"/>
              <w:keepNext w:val="0"/>
              <w:keepLines w:val="0"/>
              <w:framePr w:w="9581" w:h="9696" w:hSpace="14" w:vSpace="336" w:wrap="notBeside" w:vAnchor="text" w:hAnchor="text" w:x="485" w:y="337"/>
              <w:widowControl w:val="0"/>
              <w:shd w:val="clear" w:color="auto" w:fill="auto"/>
              <w:bidi w:val="0"/>
              <w:spacing w:before="0" w:after="0" w:line="240" w:lineRule="auto"/>
              <w:ind w:left="0" w:right="0" w:firstLine="72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framePr w:w="9581" w:h="9696" w:hSpace="14" w:vSpace="336" w:wrap="notBeside" w:vAnchor="text" w:hAnchor="text" w:x="485" w:y="337"/>
              <w:widowControl w:val="0"/>
              <w:shd w:val="clear" w:color="auto" w:fill="auto"/>
              <w:bidi w:val="0"/>
              <w:spacing w:before="0" w:after="0" w:line="240" w:lineRule="auto"/>
              <w:ind w:left="0" w:right="0" w:firstLine="0"/>
              <w:jc w:val="both"/>
            </w:pPr>
            <w:r>
              <w:rPr>
                <w:color w:val="000000"/>
                <w:spacing w:val="0"/>
                <w:w w:val="100"/>
                <w:position w:val="0"/>
              </w:rPr>
              <w:t>杜力</w:t>
            </w:r>
          </w:p>
        </w:tc>
        <w:tc>
          <w:tcPr>
            <w:tcBorders>
              <w:top w:val="single" w:sz="4"/>
              <w:left w:val="single" w:sz="4"/>
            </w:tcBorders>
            <w:shd w:val="clear" w:color="auto" w:fill="FFFFFF"/>
            <w:vAlign w:val="center"/>
          </w:tcPr>
          <w:p>
            <w:pPr>
              <w:pStyle w:val="Style2"/>
              <w:keepNext w:val="0"/>
              <w:keepLines w:val="0"/>
              <w:framePr w:w="9581" w:h="9696" w:hSpace="14" w:vSpace="336" w:wrap="notBeside" w:vAnchor="text" w:hAnchor="text" w:x="485" w:y="337"/>
              <w:widowControl w:val="0"/>
              <w:shd w:val="clear" w:color="auto" w:fill="auto"/>
              <w:bidi w:val="0"/>
              <w:spacing w:before="0" w:after="0" w:line="240" w:lineRule="auto"/>
              <w:ind w:left="0" w:right="0" w:firstLine="0"/>
              <w:jc w:val="left"/>
            </w:pPr>
            <w:r>
              <w:rPr>
                <w:color w:val="000000"/>
                <w:spacing w:val="0"/>
                <w:w w:val="100"/>
                <w:position w:val="0"/>
              </w:rPr>
              <w:t>国盛证券有限责任公司</w:t>
            </w:r>
          </w:p>
        </w:tc>
        <w:tc>
          <w:tcPr>
            <w:tcBorders>
              <w:top w:val="single" w:sz="4"/>
              <w:left w:val="single" w:sz="4"/>
            </w:tcBorders>
            <w:shd w:val="clear" w:color="auto" w:fill="FFFFFF"/>
            <w:vAlign w:val="center"/>
          </w:tcPr>
          <w:p>
            <w:pPr>
              <w:pStyle w:val="Style2"/>
              <w:keepNext w:val="0"/>
              <w:keepLines w:val="0"/>
              <w:framePr w:w="9581" w:h="9696" w:hSpace="14" w:vSpace="336" w:wrap="notBeside" w:vAnchor="text" w:hAnchor="text" w:x="485" w:y="337"/>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framePr w:w="9581" w:h="9696" w:hSpace="14" w:vSpace="336" w:wrap="notBeside" w:vAnchor="text" w:hAnchor="text" w:x="485" w:y="337"/>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i/>
                <w:iCs/>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日至今</w:t>
            </w:r>
          </w:p>
        </w:tc>
        <w:tc>
          <w:tcPr>
            <w:tcBorders>
              <w:top w:val="single" w:sz="4"/>
              <w:left w:val="single" w:sz="4"/>
              <w:right w:val="single" w:sz="4"/>
            </w:tcBorders>
            <w:shd w:val="clear" w:color="auto" w:fill="FFFFFF"/>
            <w:vAlign w:val="center"/>
          </w:tcPr>
          <w:p>
            <w:pPr>
              <w:pStyle w:val="Style2"/>
              <w:keepNext w:val="0"/>
              <w:keepLines w:val="0"/>
              <w:framePr w:w="9581" w:h="9696" w:hSpace="14" w:vSpace="336" w:wrap="notBeside" w:vAnchor="text" w:hAnchor="text" w:x="485" w:y="337"/>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framePr w:w="9581" w:h="9696" w:hSpace="14" w:vSpace="336" w:wrap="notBeside" w:vAnchor="text" w:hAnchor="text" w:x="485" w:y="337"/>
              <w:widowControl w:val="0"/>
              <w:shd w:val="clear" w:color="auto" w:fill="auto"/>
              <w:bidi w:val="0"/>
              <w:spacing w:before="0" w:after="0" w:line="240" w:lineRule="auto"/>
              <w:ind w:left="0" w:right="0" w:firstLine="0"/>
              <w:jc w:val="both"/>
            </w:pPr>
            <w:r>
              <w:rPr>
                <w:color w:val="000000"/>
                <w:spacing w:val="0"/>
                <w:w w:val="100"/>
                <w:position w:val="0"/>
              </w:rPr>
              <w:t>杜力</w:t>
            </w:r>
          </w:p>
        </w:tc>
        <w:tc>
          <w:tcPr>
            <w:tcBorders>
              <w:top w:val="single" w:sz="4"/>
              <w:left w:val="single" w:sz="4"/>
            </w:tcBorders>
            <w:shd w:val="clear" w:color="auto" w:fill="FFFFFF"/>
            <w:vAlign w:val="center"/>
          </w:tcPr>
          <w:p>
            <w:pPr>
              <w:pStyle w:val="Style2"/>
              <w:keepNext w:val="0"/>
              <w:keepLines w:val="0"/>
              <w:framePr w:w="9581" w:h="9696" w:hSpace="14" w:vSpace="336" w:wrap="notBeside" w:vAnchor="text" w:hAnchor="text" w:x="485" w:y="337"/>
              <w:widowControl w:val="0"/>
              <w:shd w:val="clear" w:color="auto" w:fill="auto"/>
              <w:bidi w:val="0"/>
              <w:spacing w:before="0" w:after="0" w:line="240" w:lineRule="auto"/>
              <w:ind w:left="0" w:right="0" w:firstLine="0"/>
              <w:jc w:val="left"/>
            </w:pPr>
            <w:r>
              <w:rPr>
                <w:color w:val="000000"/>
                <w:spacing w:val="0"/>
                <w:w w:val="100"/>
                <w:position w:val="0"/>
              </w:rPr>
              <w:t>北京凤凰鼎耀投资管理有限公司</w:t>
            </w:r>
          </w:p>
        </w:tc>
        <w:tc>
          <w:tcPr>
            <w:tcBorders>
              <w:top w:val="single" w:sz="4"/>
              <w:left w:val="single" w:sz="4"/>
            </w:tcBorders>
            <w:shd w:val="clear" w:color="auto" w:fill="FFFFFF"/>
            <w:vAlign w:val="center"/>
          </w:tcPr>
          <w:p>
            <w:pPr>
              <w:pStyle w:val="Style2"/>
              <w:keepNext w:val="0"/>
              <w:keepLines w:val="0"/>
              <w:framePr w:w="9581" w:h="9696" w:hSpace="14" w:vSpace="336" w:wrap="notBeside" w:vAnchor="text" w:hAnchor="text" w:x="485" w:y="337"/>
              <w:widowControl w:val="0"/>
              <w:shd w:val="clear" w:color="auto" w:fill="auto"/>
              <w:bidi w:val="0"/>
              <w:spacing w:before="0" w:after="0" w:line="240" w:lineRule="auto"/>
              <w:ind w:left="0" w:right="0" w:firstLine="0"/>
              <w:jc w:val="both"/>
            </w:pPr>
            <w:r>
              <w:rPr>
                <w:color w:val="000000"/>
                <w:spacing w:val="0"/>
                <w:w w:val="100"/>
                <w:position w:val="0"/>
              </w:rPr>
              <w:t>执行董事、经理</w:t>
            </w:r>
          </w:p>
        </w:tc>
        <w:tc>
          <w:tcPr>
            <w:tcBorders>
              <w:top w:val="single" w:sz="4"/>
              <w:left w:val="single" w:sz="4"/>
            </w:tcBorders>
            <w:shd w:val="clear" w:color="auto" w:fill="FFFFFF"/>
            <w:vAlign w:val="center"/>
          </w:tcPr>
          <w:p>
            <w:pPr>
              <w:pStyle w:val="Style2"/>
              <w:keepNext w:val="0"/>
              <w:keepLines w:val="0"/>
              <w:framePr w:w="9581" w:h="9696" w:hSpace="14" w:vSpace="336" w:wrap="notBeside" w:vAnchor="text" w:hAnchor="text" w:x="485" w:y="337"/>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日至今</w:t>
            </w:r>
          </w:p>
        </w:tc>
        <w:tc>
          <w:tcPr>
            <w:tcBorders>
              <w:top w:val="single" w:sz="4"/>
              <w:left w:val="single" w:sz="4"/>
              <w:right w:val="single" w:sz="4"/>
            </w:tcBorders>
            <w:shd w:val="clear" w:color="auto" w:fill="FFFFFF"/>
            <w:vAlign w:val="center"/>
          </w:tcPr>
          <w:p>
            <w:pPr>
              <w:pStyle w:val="Style2"/>
              <w:keepNext w:val="0"/>
              <w:keepLines w:val="0"/>
              <w:framePr w:w="9581" w:h="9696" w:hSpace="14" w:vSpace="336" w:wrap="notBeside" w:vAnchor="text" w:hAnchor="text" w:x="485" w:y="337"/>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framePr w:w="9581" w:h="9696" w:hSpace="14" w:vSpace="336" w:wrap="notBeside" w:vAnchor="text" w:hAnchor="text" w:x="485" w:y="337"/>
              <w:widowControl w:val="0"/>
              <w:shd w:val="clear" w:color="auto" w:fill="auto"/>
              <w:bidi w:val="0"/>
              <w:spacing w:before="0" w:after="0" w:line="240" w:lineRule="auto"/>
              <w:ind w:left="0" w:right="0" w:firstLine="0"/>
              <w:jc w:val="both"/>
            </w:pPr>
            <w:r>
              <w:rPr>
                <w:color w:val="000000"/>
                <w:spacing w:val="0"/>
                <w:w w:val="100"/>
                <w:position w:val="0"/>
              </w:rPr>
              <w:t>杜力</w:t>
            </w:r>
          </w:p>
        </w:tc>
        <w:tc>
          <w:tcPr>
            <w:tcBorders>
              <w:top w:val="single" w:sz="4"/>
              <w:left w:val="single" w:sz="4"/>
            </w:tcBorders>
            <w:shd w:val="clear" w:color="auto" w:fill="FFFFFF"/>
            <w:vAlign w:val="center"/>
          </w:tcPr>
          <w:p>
            <w:pPr>
              <w:pStyle w:val="Style2"/>
              <w:keepNext w:val="0"/>
              <w:keepLines w:val="0"/>
              <w:framePr w:w="9581" w:h="9696" w:hSpace="14" w:vSpace="336" w:wrap="notBeside" w:vAnchor="text" w:hAnchor="text" w:x="485" w:y="337"/>
              <w:widowControl w:val="0"/>
              <w:shd w:val="clear" w:color="auto" w:fill="auto"/>
              <w:bidi w:val="0"/>
              <w:spacing w:before="0" w:after="0" w:line="312" w:lineRule="exact"/>
              <w:ind w:left="0" w:right="0" w:firstLine="0"/>
              <w:jc w:val="left"/>
            </w:pPr>
            <w:r>
              <w:rPr>
                <w:color w:val="000000"/>
                <w:spacing w:val="0"/>
                <w:w w:val="100"/>
                <w:position w:val="0"/>
              </w:rPr>
              <w:t>北京凤凰鼎丰创业投资中心（有限 合伙）</w:t>
            </w:r>
          </w:p>
        </w:tc>
        <w:tc>
          <w:tcPr>
            <w:tcBorders>
              <w:top w:val="single" w:sz="4"/>
              <w:left w:val="single" w:sz="4"/>
            </w:tcBorders>
            <w:shd w:val="clear" w:color="auto" w:fill="FFFFFF"/>
            <w:vAlign w:val="center"/>
          </w:tcPr>
          <w:p>
            <w:pPr>
              <w:pStyle w:val="Style2"/>
              <w:keepNext w:val="0"/>
              <w:keepLines w:val="0"/>
              <w:framePr w:w="9581" w:h="9696" w:hSpace="14" w:vSpace="336" w:wrap="notBeside" w:vAnchor="text" w:hAnchor="text" w:x="485" w:y="337"/>
              <w:widowControl w:val="0"/>
              <w:shd w:val="clear" w:color="auto" w:fill="auto"/>
              <w:bidi w:val="0"/>
              <w:spacing w:before="0" w:after="0" w:line="312" w:lineRule="exact"/>
              <w:ind w:left="0" w:right="0" w:firstLine="0"/>
              <w:jc w:val="both"/>
            </w:pPr>
            <w:r>
              <w:rPr>
                <w:color w:val="000000"/>
                <w:spacing w:val="0"/>
                <w:w w:val="100"/>
                <w:position w:val="0"/>
              </w:rPr>
              <w:t>执行事务合伙人 委派代表</w:t>
            </w:r>
          </w:p>
        </w:tc>
        <w:tc>
          <w:tcPr>
            <w:tcBorders>
              <w:top w:val="single" w:sz="4"/>
              <w:left w:val="single" w:sz="4"/>
            </w:tcBorders>
            <w:shd w:val="clear" w:color="auto" w:fill="FFFFFF"/>
            <w:vAlign w:val="center"/>
          </w:tcPr>
          <w:p>
            <w:pPr>
              <w:pStyle w:val="Style2"/>
              <w:keepNext w:val="0"/>
              <w:keepLines w:val="0"/>
              <w:framePr w:w="9581" w:h="9696" w:hSpace="14" w:vSpace="336" w:wrap="notBeside" w:vAnchor="text" w:hAnchor="text" w:x="485" w:y="337"/>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日至今</w:t>
            </w:r>
          </w:p>
        </w:tc>
        <w:tc>
          <w:tcPr>
            <w:tcBorders>
              <w:top w:val="single" w:sz="4"/>
              <w:left w:val="single" w:sz="4"/>
              <w:right w:val="single" w:sz="4"/>
            </w:tcBorders>
            <w:shd w:val="clear" w:color="auto" w:fill="FFFFFF"/>
            <w:vAlign w:val="center"/>
          </w:tcPr>
          <w:p>
            <w:pPr>
              <w:pStyle w:val="Style2"/>
              <w:keepNext w:val="0"/>
              <w:keepLines w:val="0"/>
              <w:framePr w:w="9581" w:h="9696" w:hSpace="14" w:vSpace="336" w:wrap="notBeside" w:vAnchor="text" w:hAnchor="text" w:x="485" w:y="337"/>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framePr w:w="9581" w:h="9696" w:hSpace="14" w:vSpace="336" w:wrap="notBeside" w:vAnchor="text" w:hAnchor="text" w:x="485" w:y="337"/>
              <w:widowControl w:val="0"/>
              <w:shd w:val="clear" w:color="auto" w:fill="auto"/>
              <w:bidi w:val="0"/>
              <w:spacing w:before="0" w:after="0" w:line="240" w:lineRule="auto"/>
              <w:ind w:left="0" w:right="0" w:firstLine="0"/>
              <w:jc w:val="both"/>
            </w:pPr>
            <w:r>
              <w:rPr>
                <w:color w:val="000000"/>
                <w:spacing w:val="0"/>
                <w:w w:val="100"/>
                <w:position w:val="0"/>
              </w:rPr>
              <w:t>杜力</w:t>
            </w:r>
          </w:p>
        </w:tc>
        <w:tc>
          <w:tcPr>
            <w:tcBorders>
              <w:top w:val="single" w:sz="4"/>
              <w:left w:val="single" w:sz="4"/>
            </w:tcBorders>
            <w:shd w:val="clear" w:color="auto" w:fill="FFFFFF"/>
            <w:vAlign w:val="center"/>
          </w:tcPr>
          <w:p>
            <w:pPr>
              <w:pStyle w:val="Style2"/>
              <w:keepNext w:val="0"/>
              <w:keepLines w:val="0"/>
              <w:framePr w:w="9581" w:h="9696" w:hSpace="14" w:vSpace="336" w:wrap="notBeside" w:vAnchor="text" w:hAnchor="text" w:x="485" w:y="337"/>
              <w:widowControl w:val="0"/>
              <w:shd w:val="clear" w:color="auto" w:fill="auto"/>
              <w:bidi w:val="0"/>
              <w:spacing w:before="0" w:after="0" w:line="317" w:lineRule="exact"/>
              <w:ind w:left="0" w:right="0" w:firstLine="0"/>
              <w:jc w:val="left"/>
            </w:pPr>
            <w:r>
              <w:rPr>
                <w:color w:val="000000"/>
                <w:spacing w:val="0"/>
                <w:w w:val="100"/>
                <w:position w:val="0"/>
              </w:rPr>
              <w:t>北京凤凰鼎耀创新投资中心（有限 合伙）</w:t>
            </w:r>
          </w:p>
        </w:tc>
        <w:tc>
          <w:tcPr>
            <w:tcBorders>
              <w:top w:val="single" w:sz="4"/>
              <w:left w:val="single" w:sz="4"/>
            </w:tcBorders>
            <w:shd w:val="clear" w:color="auto" w:fill="FFFFFF"/>
            <w:vAlign w:val="center"/>
          </w:tcPr>
          <w:p>
            <w:pPr>
              <w:pStyle w:val="Style2"/>
              <w:keepNext w:val="0"/>
              <w:keepLines w:val="0"/>
              <w:framePr w:w="9581" w:h="9696" w:hSpace="14" w:vSpace="336" w:wrap="notBeside" w:vAnchor="text" w:hAnchor="text" w:x="485" w:y="337"/>
              <w:widowControl w:val="0"/>
              <w:shd w:val="clear" w:color="auto" w:fill="auto"/>
              <w:bidi w:val="0"/>
              <w:spacing w:before="0" w:after="0" w:line="317" w:lineRule="exact"/>
              <w:ind w:left="0" w:right="0" w:firstLine="0"/>
              <w:jc w:val="both"/>
            </w:pPr>
            <w:r>
              <w:rPr>
                <w:color w:val="000000"/>
                <w:spacing w:val="0"/>
                <w:w w:val="100"/>
                <w:position w:val="0"/>
              </w:rPr>
              <w:t>执行事务合伙人 委派代表</w:t>
            </w:r>
          </w:p>
        </w:tc>
        <w:tc>
          <w:tcPr>
            <w:tcBorders>
              <w:top w:val="single" w:sz="4"/>
              <w:left w:val="single" w:sz="4"/>
            </w:tcBorders>
            <w:shd w:val="clear" w:color="auto" w:fill="FFFFFF"/>
            <w:vAlign w:val="center"/>
          </w:tcPr>
          <w:p>
            <w:pPr>
              <w:pStyle w:val="Style2"/>
              <w:keepNext w:val="0"/>
              <w:keepLines w:val="0"/>
              <w:framePr w:w="9581" w:h="9696" w:hSpace="14" w:vSpace="336" w:wrap="notBeside" w:vAnchor="text" w:hAnchor="text" w:x="485" w:y="337"/>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日至今</w:t>
            </w:r>
          </w:p>
        </w:tc>
        <w:tc>
          <w:tcPr>
            <w:tcBorders>
              <w:top w:val="single" w:sz="4"/>
              <w:left w:val="single" w:sz="4"/>
              <w:right w:val="single" w:sz="4"/>
            </w:tcBorders>
            <w:shd w:val="clear" w:color="auto" w:fill="FFFFFF"/>
            <w:vAlign w:val="center"/>
          </w:tcPr>
          <w:p>
            <w:pPr>
              <w:pStyle w:val="Style2"/>
              <w:keepNext w:val="0"/>
              <w:keepLines w:val="0"/>
              <w:framePr w:w="9581" w:h="9696" w:hSpace="14" w:vSpace="336" w:wrap="notBeside" w:vAnchor="text" w:hAnchor="text" w:x="485" w:y="337"/>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framePr w:w="9581" w:h="9696" w:hSpace="14" w:vSpace="336" w:wrap="notBeside" w:vAnchor="text" w:hAnchor="text" w:x="485" w:y="337"/>
              <w:widowControl w:val="0"/>
              <w:shd w:val="clear" w:color="auto" w:fill="auto"/>
              <w:bidi w:val="0"/>
              <w:spacing w:before="0" w:after="0" w:line="240" w:lineRule="auto"/>
              <w:ind w:left="0" w:right="0" w:firstLine="0"/>
              <w:jc w:val="both"/>
            </w:pPr>
            <w:r>
              <w:rPr>
                <w:color w:val="000000"/>
                <w:spacing w:val="0"/>
                <w:w w:val="100"/>
                <w:position w:val="0"/>
              </w:rPr>
              <w:t>杜力</w:t>
            </w:r>
          </w:p>
        </w:tc>
        <w:tc>
          <w:tcPr>
            <w:tcBorders>
              <w:top w:val="single" w:sz="4"/>
              <w:left w:val="single" w:sz="4"/>
            </w:tcBorders>
            <w:shd w:val="clear" w:color="auto" w:fill="FFFFFF"/>
            <w:vAlign w:val="center"/>
          </w:tcPr>
          <w:p>
            <w:pPr>
              <w:pStyle w:val="Style2"/>
              <w:keepNext w:val="0"/>
              <w:keepLines w:val="0"/>
              <w:framePr w:w="9581" w:h="9696" w:hSpace="14" w:vSpace="336" w:wrap="notBeside" w:vAnchor="text" w:hAnchor="text" w:x="485" w:y="337"/>
              <w:widowControl w:val="0"/>
              <w:shd w:val="clear" w:color="auto" w:fill="auto"/>
              <w:bidi w:val="0"/>
              <w:spacing w:before="0" w:after="0" w:line="240" w:lineRule="auto"/>
              <w:ind w:left="0" w:right="0" w:firstLine="0"/>
              <w:jc w:val="left"/>
            </w:pPr>
            <w:r>
              <w:rPr>
                <w:color w:val="000000"/>
                <w:spacing w:val="0"/>
                <w:w w:val="100"/>
                <w:position w:val="0"/>
              </w:rPr>
              <w:t>北京凤凰金服投资有限公司</w:t>
            </w:r>
          </w:p>
        </w:tc>
        <w:tc>
          <w:tcPr>
            <w:tcBorders>
              <w:top w:val="single" w:sz="4"/>
              <w:left w:val="single" w:sz="4"/>
            </w:tcBorders>
            <w:shd w:val="clear" w:color="auto" w:fill="FFFFFF"/>
            <w:vAlign w:val="center"/>
          </w:tcPr>
          <w:p>
            <w:pPr>
              <w:pStyle w:val="Style2"/>
              <w:keepNext w:val="0"/>
              <w:keepLines w:val="0"/>
              <w:framePr w:w="9581" w:h="9696" w:hSpace="14" w:vSpace="336" w:wrap="notBeside" w:vAnchor="text" w:hAnchor="text" w:x="485" w:y="337"/>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framePr w:w="9581" w:h="9696" w:hSpace="14" w:vSpace="336" w:wrap="notBeside" w:vAnchor="text" w:hAnchor="text" w:x="485" w:y="337"/>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日至</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framePr w:w="9581" w:h="9696" w:hSpace="14" w:vSpace="336" w:wrap="notBeside" w:vAnchor="text" w:hAnchor="text" w:x="485" w:y="337"/>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framePr w:w="9581" w:h="9696" w:hSpace="14" w:vSpace="336" w:wrap="notBeside" w:vAnchor="text" w:hAnchor="text" w:x="485" w:y="337"/>
              <w:widowControl w:val="0"/>
              <w:shd w:val="clear" w:color="auto" w:fill="auto"/>
              <w:bidi w:val="0"/>
              <w:spacing w:before="0" w:after="0" w:line="240" w:lineRule="auto"/>
              <w:ind w:left="0" w:right="0" w:firstLine="0"/>
              <w:jc w:val="both"/>
            </w:pPr>
            <w:r>
              <w:rPr>
                <w:color w:val="000000"/>
                <w:spacing w:val="0"/>
                <w:w w:val="100"/>
                <w:position w:val="0"/>
              </w:rPr>
              <w:t>杜力</w:t>
            </w:r>
          </w:p>
        </w:tc>
        <w:tc>
          <w:tcPr>
            <w:tcBorders>
              <w:top w:val="single" w:sz="4"/>
              <w:left w:val="single" w:sz="4"/>
            </w:tcBorders>
            <w:shd w:val="clear" w:color="auto" w:fill="FFFFFF"/>
            <w:vAlign w:val="center"/>
          </w:tcPr>
          <w:p>
            <w:pPr>
              <w:pStyle w:val="Style2"/>
              <w:keepNext w:val="0"/>
              <w:keepLines w:val="0"/>
              <w:framePr w:w="9581" w:h="9696" w:hSpace="14" w:vSpace="336" w:wrap="notBeside" w:vAnchor="text" w:hAnchor="text" w:x="485" w:y="337"/>
              <w:widowControl w:val="0"/>
              <w:shd w:val="clear" w:color="auto" w:fill="auto"/>
              <w:bidi w:val="0"/>
              <w:spacing w:before="0" w:after="0" w:line="240" w:lineRule="auto"/>
              <w:ind w:left="0" w:right="0" w:firstLine="0"/>
              <w:jc w:val="left"/>
            </w:pPr>
            <w:r>
              <w:rPr>
                <w:color w:val="000000"/>
                <w:spacing w:val="0"/>
                <w:w w:val="100"/>
                <w:position w:val="0"/>
              </w:rPr>
              <w:t>深圳乐丰投资管理有限公司</w:t>
            </w:r>
          </w:p>
        </w:tc>
        <w:tc>
          <w:tcPr>
            <w:tcBorders>
              <w:top w:val="single" w:sz="4"/>
              <w:left w:val="single" w:sz="4"/>
            </w:tcBorders>
            <w:shd w:val="clear" w:color="auto" w:fill="FFFFFF"/>
            <w:vAlign w:val="center"/>
          </w:tcPr>
          <w:p>
            <w:pPr>
              <w:pStyle w:val="Style2"/>
              <w:keepNext w:val="0"/>
              <w:keepLines w:val="0"/>
              <w:framePr w:w="9581" w:h="9696" w:hSpace="14" w:vSpace="336" w:wrap="notBeside" w:vAnchor="text" w:hAnchor="text" w:x="485" w:y="337"/>
              <w:widowControl w:val="0"/>
              <w:shd w:val="clear" w:color="auto" w:fill="auto"/>
              <w:bidi w:val="0"/>
              <w:spacing w:before="0" w:after="60" w:line="240" w:lineRule="auto"/>
              <w:ind w:left="0" w:right="0" w:firstLine="0"/>
              <w:jc w:val="both"/>
            </w:pPr>
            <w:r>
              <w:rPr>
                <w:color w:val="000000"/>
                <w:spacing w:val="0"/>
                <w:w w:val="100"/>
                <w:position w:val="0"/>
              </w:rPr>
              <w:t>执行董事、总经</w:t>
            </w:r>
          </w:p>
          <w:p>
            <w:pPr>
              <w:pStyle w:val="Style2"/>
              <w:keepNext w:val="0"/>
              <w:keepLines w:val="0"/>
              <w:framePr w:w="9581" w:h="9696" w:hSpace="14" w:vSpace="336" w:wrap="notBeside" w:vAnchor="text" w:hAnchor="text" w:x="485" w:y="337"/>
              <w:widowControl w:val="0"/>
              <w:shd w:val="clear" w:color="auto" w:fill="auto"/>
              <w:bidi w:val="0"/>
              <w:spacing w:before="0" w:after="0" w:line="240" w:lineRule="auto"/>
              <w:ind w:left="0" w:right="0" w:firstLine="0"/>
              <w:jc w:val="both"/>
            </w:pPr>
            <w:r>
              <w:rPr>
                <w:color w:val="000000"/>
                <w:spacing w:val="0"/>
                <w:w w:val="100"/>
                <w:position w:val="0"/>
              </w:rPr>
              <w:t>理</w:t>
            </w:r>
          </w:p>
        </w:tc>
        <w:tc>
          <w:tcPr>
            <w:tcBorders>
              <w:top w:val="single" w:sz="4"/>
              <w:left w:val="single" w:sz="4"/>
            </w:tcBorders>
            <w:shd w:val="clear" w:color="auto" w:fill="FFFFFF"/>
            <w:vAlign w:val="center"/>
          </w:tcPr>
          <w:p>
            <w:pPr>
              <w:pStyle w:val="Style2"/>
              <w:keepNext w:val="0"/>
              <w:keepLines w:val="0"/>
              <w:framePr w:w="9581" w:h="9696" w:hSpace="14" w:vSpace="336" w:wrap="notBeside" w:vAnchor="text" w:hAnchor="text" w:x="485" w:y="337"/>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日至今</w:t>
            </w:r>
          </w:p>
        </w:tc>
        <w:tc>
          <w:tcPr>
            <w:tcBorders>
              <w:top w:val="single" w:sz="4"/>
              <w:left w:val="single" w:sz="4"/>
              <w:right w:val="single" w:sz="4"/>
            </w:tcBorders>
            <w:shd w:val="clear" w:color="auto" w:fill="FFFFFF"/>
            <w:vAlign w:val="center"/>
          </w:tcPr>
          <w:p>
            <w:pPr>
              <w:pStyle w:val="Style2"/>
              <w:keepNext w:val="0"/>
              <w:keepLines w:val="0"/>
              <w:framePr w:w="9581" w:h="9696" w:hSpace="14" w:vSpace="336" w:wrap="notBeside" w:vAnchor="text" w:hAnchor="text" w:x="485" w:y="337"/>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framePr w:w="9581" w:h="9696" w:hSpace="14" w:vSpace="336" w:wrap="notBeside" w:vAnchor="text" w:hAnchor="text" w:x="485" w:y="337"/>
              <w:widowControl w:val="0"/>
              <w:shd w:val="clear" w:color="auto" w:fill="auto"/>
              <w:bidi w:val="0"/>
              <w:spacing w:before="0" w:after="0" w:line="240" w:lineRule="auto"/>
              <w:ind w:left="0" w:right="0" w:firstLine="0"/>
              <w:jc w:val="both"/>
            </w:pPr>
            <w:r>
              <w:rPr>
                <w:color w:val="000000"/>
                <w:spacing w:val="0"/>
                <w:w w:val="100"/>
                <w:position w:val="0"/>
              </w:rPr>
              <w:t>杜力</w:t>
            </w:r>
          </w:p>
        </w:tc>
        <w:tc>
          <w:tcPr>
            <w:tcBorders>
              <w:top w:val="single" w:sz="4"/>
              <w:left w:val="single" w:sz="4"/>
            </w:tcBorders>
            <w:shd w:val="clear" w:color="auto" w:fill="FFFFFF"/>
            <w:vAlign w:val="center"/>
          </w:tcPr>
          <w:p>
            <w:pPr>
              <w:pStyle w:val="Style2"/>
              <w:keepNext w:val="0"/>
              <w:keepLines w:val="0"/>
              <w:framePr w:w="9581" w:h="9696" w:hSpace="14" w:vSpace="336" w:wrap="notBeside" w:vAnchor="text" w:hAnchor="text" w:x="485" w:y="337"/>
              <w:widowControl w:val="0"/>
              <w:shd w:val="clear" w:color="auto" w:fill="auto"/>
              <w:bidi w:val="0"/>
              <w:spacing w:before="0" w:after="0" w:line="240" w:lineRule="auto"/>
              <w:ind w:left="0" w:right="0" w:firstLine="0"/>
              <w:jc w:val="left"/>
            </w:pPr>
            <w:r>
              <w:rPr>
                <w:color w:val="000000"/>
                <w:spacing w:val="0"/>
                <w:w w:val="100"/>
                <w:position w:val="0"/>
              </w:rPr>
              <w:t>深圳华意实业投资有限公司</w:t>
            </w:r>
          </w:p>
        </w:tc>
        <w:tc>
          <w:tcPr>
            <w:tcBorders>
              <w:top w:val="single" w:sz="4"/>
              <w:left w:val="single" w:sz="4"/>
            </w:tcBorders>
            <w:shd w:val="clear" w:color="auto" w:fill="FFFFFF"/>
            <w:vAlign w:val="center"/>
          </w:tcPr>
          <w:p>
            <w:pPr>
              <w:pStyle w:val="Style2"/>
              <w:keepNext w:val="0"/>
              <w:keepLines w:val="0"/>
              <w:framePr w:w="9581" w:h="9696" w:hSpace="14" w:vSpace="336" w:wrap="notBeside" w:vAnchor="text" w:hAnchor="text" w:x="485" w:y="337"/>
              <w:widowControl w:val="0"/>
              <w:shd w:val="clear" w:color="auto" w:fill="auto"/>
              <w:bidi w:val="0"/>
              <w:spacing w:before="0" w:after="60" w:line="240" w:lineRule="auto"/>
              <w:ind w:left="0" w:right="0" w:firstLine="0"/>
              <w:jc w:val="both"/>
            </w:pPr>
            <w:r>
              <w:rPr>
                <w:color w:val="000000"/>
                <w:spacing w:val="0"/>
                <w:w w:val="100"/>
                <w:position w:val="0"/>
              </w:rPr>
              <w:t>执行董事、总经</w:t>
            </w:r>
          </w:p>
          <w:p>
            <w:pPr>
              <w:pStyle w:val="Style2"/>
              <w:keepNext w:val="0"/>
              <w:keepLines w:val="0"/>
              <w:framePr w:w="9581" w:h="9696" w:hSpace="14" w:vSpace="336" w:wrap="notBeside" w:vAnchor="text" w:hAnchor="text" w:x="485" w:y="337"/>
              <w:widowControl w:val="0"/>
              <w:shd w:val="clear" w:color="auto" w:fill="auto"/>
              <w:bidi w:val="0"/>
              <w:spacing w:before="0" w:after="0" w:line="240" w:lineRule="auto"/>
              <w:ind w:left="0" w:right="0" w:firstLine="0"/>
              <w:jc w:val="both"/>
            </w:pPr>
            <w:r>
              <w:rPr>
                <w:color w:val="000000"/>
                <w:spacing w:val="0"/>
                <w:w w:val="100"/>
                <w:position w:val="0"/>
              </w:rPr>
              <w:t>理</w:t>
            </w:r>
          </w:p>
        </w:tc>
        <w:tc>
          <w:tcPr>
            <w:tcBorders>
              <w:top w:val="single" w:sz="4"/>
              <w:left w:val="single" w:sz="4"/>
            </w:tcBorders>
            <w:shd w:val="clear" w:color="auto" w:fill="FFFFFF"/>
            <w:vAlign w:val="center"/>
          </w:tcPr>
          <w:p>
            <w:pPr>
              <w:pStyle w:val="Style2"/>
              <w:keepNext w:val="0"/>
              <w:keepLines w:val="0"/>
              <w:framePr w:w="9581" w:h="9696" w:hSpace="14" w:vSpace="336" w:wrap="notBeside" w:vAnchor="text" w:hAnchor="text" w:x="485" w:y="337"/>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日至今</w:t>
            </w:r>
          </w:p>
        </w:tc>
        <w:tc>
          <w:tcPr>
            <w:tcBorders>
              <w:top w:val="single" w:sz="4"/>
              <w:left w:val="single" w:sz="4"/>
              <w:right w:val="single" w:sz="4"/>
            </w:tcBorders>
            <w:shd w:val="clear" w:color="auto" w:fill="FFFFFF"/>
            <w:vAlign w:val="center"/>
          </w:tcPr>
          <w:p>
            <w:pPr>
              <w:pStyle w:val="Style2"/>
              <w:keepNext w:val="0"/>
              <w:keepLines w:val="0"/>
              <w:framePr w:w="9581" w:h="9696" w:hSpace="14" w:vSpace="336" w:wrap="notBeside" w:vAnchor="text" w:hAnchor="text" w:x="485" w:y="337"/>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framePr w:w="9581" w:h="9696" w:hSpace="14" w:vSpace="336" w:wrap="notBeside" w:vAnchor="text" w:hAnchor="text" w:x="485" w:y="337"/>
              <w:widowControl w:val="0"/>
              <w:shd w:val="clear" w:color="auto" w:fill="auto"/>
              <w:bidi w:val="0"/>
              <w:spacing w:before="0" w:after="0" w:line="240" w:lineRule="auto"/>
              <w:ind w:left="0" w:right="0" w:firstLine="0"/>
              <w:jc w:val="both"/>
            </w:pPr>
            <w:r>
              <w:rPr>
                <w:color w:val="000000"/>
                <w:spacing w:val="0"/>
                <w:w w:val="100"/>
                <w:position w:val="0"/>
              </w:rPr>
              <w:t>杜力</w:t>
            </w:r>
          </w:p>
        </w:tc>
        <w:tc>
          <w:tcPr>
            <w:tcBorders>
              <w:top w:val="single" w:sz="4"/>
              <w:left w:val="single" w:sz="4"/>
              <w:bottom w:val="single" w:sz="4"/>
            </w:tcBorders>
            <w:shd w:val="clear" w:color="auto" w:fill="FFFFFF"/>
            <w:vAlign w:val="center"/>
          </w:tcPr>
          <w:p>
            <w:pPr>
              <w:pStyle w:val="Style2"/>
              <w:keepNext w:val="0"/>
              <w:keepLines w:val="0"/>
              <w:framePr w:w="9581" w:h="9696" w:hSpace="14" w:vSpace="336" w:wrap="notBeside" w:vAnchor="text" w:hAnchor="text" w:x="485" w:y="337"/>
              <w:widowControl w:val="0"/>
              <w:shd w:val="clear" w:color="auto" w:fill="auto"/>
              <w:bidi w:val="0"/>
              <w:spacing w:before="0" w:after="0" w:line="317" w:lineRule="exact"/>
              <w:ind w:left="0" w:right="0" w:firstLine="0"/>
              <w:jc w:val="left"/>
            </w:pPr>
            <w:r>
              <w:rPr>
                <w:color w:val="000000"/>
                <w:spacing w:val="0"/>
                <w:w w:val="100"/>
                <w:position w:val="0"/>
              </w:rPr>
              <w:t>宁波梅山保税港区励锐投资管理 有限公司</w:t>
            </w:r>
          </w:p>
        </w:tc>
        <w:tc>
          <w:tcPr>
            <w:tcBorders>
              <w:top w:val="single" w:sz="4"/>
              <w:left w:val="single" w:sz="4"/>
              <w:bottom w:val="single" w:sz="4"/>
            </w:tcBorders>
            <w:shd w:val="clear" w:color="auto" w:fill="FFFFFF"/>
            <w:vAlign w:val="center"/>
          </w:tcPr>
          <w:p>
            <w:pPr>
              <w:pStyle w:val="Style2"/>
              <w:keepNext w:val="0"/>
              <w:keepLines w:val="0"/>
              <w:framePr w:w="9581" w:h="9696" w:hSpace="14" w:vSpace="336" w:wrap="notBeside" w:vAnchor="text" w:hAnchor="text" w:x="485" w:y="337"/>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bottom w:val="single" w:sz="4"/>
            </w:tcBorders>
            <w:shd w:val="clear" w:color="auto" w:fill="FFFFFF"/>
            <w:vAlign w:val="center"/>
          </w:tcPr>
          <w:p>
            <w:pPr>
              <w:pStyle w:val="Style2"/>
              <w:keepNext w:val="0"/>
              <w:keepLines w:val="0"/>
              <w:framePr w:w="9581" w:h="9696" w:hSpace="14" w:vSpace="336" w:wrap="notBeside" w:vAnchor="text" w:hAnchor="text" w:x="485" w:y="337"/>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日至今</w:t>
            </w:r>
          </w:p>
        </w:tc>
        <w:tc>
          <w:tcPr>
            <w:tcBorders>
              <w:top w:val="single" w:sz="4"/>
              <w:left w:val="single" w:sz="4"/>
              <w:bottom w:val="single" w:sz="4"/>
              <w:right w:val="single" w:sz="4"/>
            </w:tcBorders>
            <w:shd w:val="clear" w:color="auto" w:fill="FFFFFF"/>
            <w:vAlign w:val="center"/>
          </w:tcPr>
          <w:p>
            <w:pPr>
              <w:pStyle w:val="Style2"/>
              <w:keepNext w:val="0"/>
              <w:keepLines w:val="0"/>
              <w:framePr w:w="9581" w:h="9696" w:hSpace="14" w:vSpace="336" w:wrap="notBeside" w:vAnchor="text" w:hAnchor="text" w:x="485" w:y="337"/>
              <w:widowControl w:val="0"/>
              <w:shd w:val="clear" w:color="auto" w:fill="auto"/>
              <w:bidi w:val="0"/>
              <w:spacing w:before="0" w:after="0" w:line="240" w:lineRule="auto"/>
              <w:ind w:left="0" w:right="0" w:firstLine="0"/>
              <w:jc w:val="center"/>
            </w:pPr>
            <w:r>
              <w:rPr>
                <w:color w:val="000000"/>
                <w:spacing w:val="0"/>
                <w:w w:val="100"/>
                <w:position w:val="0"/>
              </w:rPr>
              <w:t>否</w:t>
            </w:r>
          </w:p>
        </w:tc>
      </w:tr>
    </w:tbl>
    <w:p>
      <w:pPr>
        <w:pStyle w:val="Style40"/>
        <w:keepNext w:val="0"/>
        <w:keepLines w:val="0"/>
        <w:framePr w:w="1934" w:h="269" w:hSpace="470" w:wrap="notBeside" w:vAnchor="text" w:hAnchor="text" w:x="471" w:y="20"/>
        <w:widowControl w:val="0"/>
        <w:shd w:val="clear" w:color="auto" w:fill="auto"/>
        <w:bidi w:val="0"/>
        <w:spacing w:before="0" w:after="0" w:line="240" w:lineRule="auto"/>
        <w:ind w:left="0" w:right="0" w:firstLine="0"/>
        <w:jc w:val="left"/>
      </w:pPr>
      <w:r>
        <w:rPr>
          <w:color w:val="000000"/>
          <w:spacing w:val="0"/>
          <w:w w:val="100"/>
          <w:position w:val="0"/>
        </w:rPr>
        <w:t>在其他单位任职情况</w:t>
      </w:r>
    </w:p>
    <w:p>
      <w:pPr>
        <w:pStyle w:val="Style40"/>
        <w:keepNext w:val="0"/>
        <w:keepLines w:val="0"/>
        <w:framePr w:w="1651" w:h="288" w:hSpace="470" w:wrap="notBeside" w:vAnchor="text" w:hAnchor="text" w:x="8453" w:y="1"/>
        <w:widowControl w:val="0"/>
        <w:shd w:val="clear" w:color="auto" w:fill="auto"/>
        <w:bidi w:val="0"/>
        <w:spacing w:before="0" w:after="0" w:line="240" w:lineRule="auto"/>
        <w:ind w:left="0" w:right="0" w:firstLine="0"/>
        <w:jc w:val="center"/>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widowControl w:val="0"/>
        <w:spacing w:line="1" w:lineRule="exact"/>
      </w:pPr>
      <w:r>
        <w:br w:type="page"/>
      </w:r>
    </w:p>
    <w:tbl>
      <w:tblPr>
        <w:tblOverlap w:val="never"/>
        <w:jc w:val="center"/>
        <w:tblLayout w:type="fixed"/>
      </w:tblPr>
      <w:tblGrid>
        <w:gridCol w:w="821"/>
        <w:gridCol w:w="3120"/>
        <w:gridCol w:w="1560"/>
        <w:gridCol w:w="2410"/>
        <w:gridCol w:w="1670"/>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杜力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fldChar w:fldCharType="begin"/>
            </w:r>
            <w:r>
              <w:rPr/>
              <w:instrText> HYPERLINK "https://www.tianyancha.com/company/2354127326" </w:instrText>
            </w:r>
            <w:r>
              <w:fldChar w:fldCharType="separate"/>
            </w:r>
            <w:r>
              <w:rPr>
                <w:color w:val="000000"/>
                <w:spacing w:val="0"/>
                <w:w w:val="100"/>
                <w:position w:val="0"/>
              </w:rPr>
              <w:t>北京凤凰日晟创新投资中心（有限</w:t>
            </w:r>
            <w:r>
              <w:fldChar w:fldCharType="end"/>
            </w:r>
            <w:r>
              <w:rPr>
                <w:color w:val="000000"/>
                <w:spacing w:val="0"/>
                <w:w w:val="100"/>
                <w:position w:val="0"/>
              </w:rPr>
              <w:t xml:space="preserve"> </w:t>
            </w:r>
            <w:r>
              <w:fldChar w:fldCharType="begin"/>
            </w:r>
            <w:r>
              <w:rPr/>
              <w:instrText> HYPERLINK "https://www.tianyancha.com/company/2354127326" </w:instrText>
            </w:r>
            <w:r>
              <w:fldChar w:fldCharType="separate"/>
            </w:r>
            <w:r>
              <w:rPr>
                <w:color w:val="000000"/>
                <w:spacing w:val="0"/>
                <w:w w:val="100"/>
                <w:position w:val="0"/>
              </w:rPr>
              <w:t>合伙）</w:t>
            </w:r>
            <w:r>
              <w:fldChar w:fldCharType="end"/>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执行事务合伙人 委派代表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日至今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杜力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国盛弘远（上海）投资有限公司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日至</w:t>
            </w: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北京凤凰财富资产管理有限公司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日至今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北京凤凰财富控股集团有限公司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日至今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国盛证券有限责任公司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日至今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珠海横琴极盛科技有限公司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日至今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北京左江科技股份有限公司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日至</w:t>
            </w:r>
            <w:r>
              <w:rPr>
                <w:rFonts w:ascii="Times New Roman" w:eastAsia="Times New Roman" w:hAnsi="Times New Roman" w:cs="Times New Roman"/>
                <w:color w:val="000000"/>
                <w:spacing w:val="0"/>
                <w:w w:val="100"/>
                <w:position w:val="0"/>
              </w:rPr>
              <w:t>2022</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深圳前海国盛科技有限公司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执行董事、总经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日至今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广州仁诺互联网小额贷款有限公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日至今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北京凤凰财富创新投资有限公司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02</w:t>
            </w:r>
            <w:r>
              <w:rPr>
                <w:color w:val="000000"/>
                <w:spacing w:val="0"/>
                <w:w w:val="100"/>
                <w:position w:val="0"/>
              </w:rPr>
              <w:t>日至</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北京凤凰财富投资咨询有限公司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日至今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北京凤凰财鑫投资管理有限公司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日至今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北京凤凰鼎耀投资管理有限公司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日至今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北京凤凰金服投资有限公司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日至</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深圳乐丰投资管理有限公司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日至今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深圳华意实业投资有限公司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日至今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fldChar w:fldCharType="begin"/>
            </w:r>
            <w:r>
              <w:rPr/>
              <w:instrText> HYPERLINK "https://www.tianyancha.com/company/3306928859" </w:instrText>
            </w:r>
            <w:r>
              <w:fldChar w:fldCharType="separate"/>
            </w:r>
            <w:r>
              <w:rPr>
                <w:color w:val="000000"/>
                <w:spacing w:val="0"/>
                <w:w w:val="100"/>
                <w:position w:val="0"/>
              </w:rPr>
              <w:t>上海程欧信息咨询合伙企业（有限</w:t>
            </w:r>
            <w:r>
              <w:fldChar w:fldCharType="end"/>
            </w:r>
            <w:r>
              <w:rPr>
                <w:color w:val="000000"/>
                <w:spacing w:val="0"/>
                <w:w w:val="100"/>
                <w:position w:val="0"/>
              </w:rPr>
              <w:t xml:space="preserve"> </w:t>
            </w:r>
            <w:r>
              <w:fldChar w:fldCharType="begin"/>
            </w:r>
            <w:r>
              <w:rPr/>
              <w:instrText> HYPERLINK "https://www.tianyancha.com/company/3306928859" </w:instrText>
            </w:r>
            <w:r>
              <w:fldChar w:fldCharType="separate"/>
            </w:r>
            <w:r>
              <w:rPr>
                <w:color w:val="000000"/>
                <w:spacing w:val="0"/>
                <w:w w:val="100"/>
                <w:position w:val="0"/>
              </w:rPr>
              <w:t>合伙）</w:t>
            </w:r>
            <w:r>
              <w:fldChar w:fldCharType="end"/>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执行事务合伙人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日至今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北京悟空保科技有限公司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日至今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国盛期货有限责任公司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日至</w:t>
            </w:r>
            <w:r>
              <w:rPr>
                <w:rFonts w:ascii="Times New Roman" w:eastAsia="Times New Roman" w:hAnsi="Times New Roman" w:cs="Times New Roman"/>
                <w:color w:val="000000"/>
                <w:spacing w:val="0"/>
                <w:w w:val="100"/>
                <w:position w:val="0"/>
              </w:rPr>
              <w:t>2023</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李英明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深圳国盛前海投资有限公司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执行董事、总经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日至今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李英明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海南阿凡题科技有限公司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日至今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李英明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北京国盛互联信息咨询有限公司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日至今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李英明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深圳前海国盛科技有限公司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日至今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李英明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广州极盛融资租赁有限公司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执行董事、总经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日至今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李英明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上海钰信金融信息服务有限公司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日至今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李英明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天津国盛信安科技有限公司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执行董事、经理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日至今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821"/>
        <w:gridCol w:w="3120"/>
        <w:gridCol w:w="1560"/>
        <w:gridCol w:w="2410"/>
        <w:gridCol w:w="1670"/>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李英明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宁波梅山保税港区励锐投资管理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日至今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李英明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香港弊服科技有限公司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日至今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李英明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Qudian Inc.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日至今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李英明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沿海惠融科技（北京）有限公司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日至今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李英明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宁波梅花天使投资管理有限公司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日至今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李英明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珠海凡泰极客有限责任公司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日至今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北京国盛互联信息咨询有限公司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日至今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珠海横琴极盛科技有限公司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月日至今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上海钰信金融信息服务有限公司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日至今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深圳前海弘大嘉豪资本管理有限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日至今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广州极盛融资租赁有限公司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日至</w:t>
            </w:r>
            <w:r>
              <w:rPr>
                <w:rFonts w:ascii="Times New Roman" w:eastAsia="Times New Roman" w:hAnsi="Times New Roman" w:cs="Times New Roman"/>
                <w:color w:val="000000"/>
                <w:spacing w:val="0"/>
                <w:w w:val="100"/>
                <w:position w:val="0"/>
              </w:rPr>
              <w:t>2021</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上海多专科技有限公司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杨志平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立信会计师事务所（特殊普通合 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权益合伙人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日至今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徐强国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浙江仙通橡胶股份有限公司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徐强国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江苏诺泰澳赛诺生物制药股份有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徐强国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乐歌人体工学科技股份有限公司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日至今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邵彬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上海市广发律师事务所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合伙人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傅继军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中华财务咨询有限公司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2000</w:t>
            </w:r>
            <w:r>
              <w:rPr>
                <w:color w:val="000000"/>
                <w:spacing w:val="0"/>
                <w:w w:val="100"/>
                <w:position w:val="0"/>
              </w:rPr>
              <w:t>年</w:t>
            </w:r>
            <w:r>
              <w:rPr>
                <w:i/>
                <w:iCs/>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日至今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傅继军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博略现代咨询（北京）有限公司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日至今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傅继军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国合现代（深圳）资本研究院有限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日至今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傅继军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原画（北京）影业投资有限公司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i/>
                <w:iCs/>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日至今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傅继军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凌云工业股份有限公司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日至</w:t>
            </w: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叶强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珠海横琴极盛科技有限公司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日至今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叶强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国盛证券有限责任公司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监事会主席、办 公室主任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日至今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叶强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江信基金管理有限公司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日至今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王晓龙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深圳前海弘大嘉豪资本管理有限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投资总监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821"/>
        <w:gridCol w:w="3120"/>
        <w:gridCol w:w="1560"/>
        <w:gridCol w:w="2410"/>
        <w:gridCol w:w="1670"/>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王晓龙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北京凤凰金服投资有限公司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r>
              <w:rPr>
                <w:rFonts w:ascii="Times New Roman" w:eastAsia="Times New Roman" w:hAnsi="Times New Roman" w:cs="Times New Roman"/>
                <w:color w:val="000000"/>
                <w:spacing w:val="0"/>
                <w:w w:val="100"/>
                <w:position w:val="0"/>
              </w:rPr>
              <w:t>2021</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王晓龙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深圳前海鸿大盛世资本管理有限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日至</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王晓龙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启赞数字科技（上海）有限公司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日至今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公司现任及报告期内离任董事、监事和高级管理人员近三年证券监管机构处罚的情况</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widowControl w:val="0"/>
        <w:spacing w:after="359" w:line="1" w:lineRule="exact"/>
      </w:pPr>
    </w:p>
    <w:p>
      <w:pPr>
        <w:pStyle w:val="Style29"/>
        <w:keepNext/>
        <w:keepLines/>
        <w:widowControl w:val="0"/>
        <w:shd w:val="clear" w:color="auto" w:fill="auto"/>
        <w:bidi w:val="0"/>
        <w:spacing w:before="0" w:after="360" w:line="240" w:lineRule="auto"/>
        <w:ind w:left="0" w:right="0" w:firstLine="0"/>
        <w:jc w:val="left"/>
      </w:pPr>
      <w:bookmarkStart w:id="469" w:name="bookmark469"/>
      <w:bookmarkStart w:id="470" w:name="bookmark470"/>
      <w:bookmarkStart w:id="471" w:name="bookmark471"/>
      <w:bookmarkStart w:id="472" w:name="bookmark472"/>
      <w:r>
        <w:rPr>
          <w:color w:val="000000"/>
          <w:spacing w:val="0"/>
          <w:w w:val="100"/>
          <w:position w:val="0"/>
          <w:sz w:val="24"/>
          <w:szCs w:val="24"/>
        </w:rPr>
        <w:t>四</w:t>
      </w:r>
      <w:bookmarkEnd w:id="471"/>
      <w:r>
        <w:rPr>
          <w:color w:val="000000"/>
          <w:spacing w:val="0"/>
          <w:w w:val="100"/>
          <w:position w:val="0"/>
          <w:sz w:val="24"/>
          <w:szCs w:val="24"/>
        </w:rPr>
        <w:t>、董事、监事、高级管理人员报酬情况</w:t>
      </w:r>
      <w:bookmarkEnd w:id="469"/>
      <w:bookmarkEnd w:id="470"/>
      <w:bookmarkEnd w:id="472"/>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董事、监事、高级管理人员报酬的决策程序、确定依据、实际支付情况</w:t>
      </w:r>
    </w:p>
    <w:p>
      <w:pPr>
        <w:pStyle w:val="Style16"/>
        <w:keepNext w:val="0"/>
        <w:keepLines w:val="0"/>
        <w:widowControl w:val="0"/>
        <w:shd w:val="clear" w:color="auto" w:fill="auto"/>
        <w:bidi w:val="0"/>
        <w:spacing w:before="0" w:after="100" w:line="677" w:lineRule="exact"/>
        <w:ind w:left="0" w:right="0" w:firstLine="440"/>
        <w:jc w:val="left"/>
      </w:pPr>
      <w:r>
        <w:rPr>
          <w:color w:val="000000"/>
          <w:spacing w:val="0"/>
          <w:w w:val="100"/>
          <w:position w:val="0"/>
        </w:rPr>
        <w:t>公司董事、监事津贴方案经股东大会批准后实施，公司高级管理人员薪酬方案经董事会批准后实施。 报告期董事、监事和高级管理人员报酬情况</w:t>
      </w:r>
    </w:p>
    <w:p>
      <w:pPr>
        <w:pStyle w:val="Style40"/>
        <w:keepNext w:val="0"/>
        <w:keepLines w:val="0"/>
        <w:widowControl w:val="0"/>
        <w:shd w:val="clear" w:color="auto" w:fill="auto"/>
        <w:bidi w:val="0"/>
        <w:spacing w:before="0" w:after="0" w:line="240" w:lineRule="auto"/>
        <w:ind w:left="8582" w:right="0" w:firstLine="0"/>
        <w:jc w:val="left"/>
      </w:pPr>
      <w:r>
        <w:rPr>
          <w:color w:val="000000"/>
          <w:spacing w:val="0"/>
          <w:w w:val="100"/>
          <w:position w:val="0"/>
        </w:rPr>
        <w:t>单位：万元</w:t>
      </w:r>
    </w:p>
    <w:tbl>
      <w:tblPr>
        <w:tblOverlap w:val="never"/>
        <w:jc w:val="center"/>
        <w:tblLayout w:type="fixed"/>
      </w:tblPr>
      <w:tblGrid>
        <w:gridCol w:w="2702"/>
        <w:gridCol w:w="3451"/>
        <w:gridCol w:w="1354"/>
        <w:gridCol w:w="2203"/>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从公司获得的税前报酬 总额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杜力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18.64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303.01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李英明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161.05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159.86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杨志平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14.56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徐强国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18.64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邵彬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14.56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傅继军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14.56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叶强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279.22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王晓龙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61.12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刘晓辉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31.25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吴艳艳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92.06</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董事、董事会秘书、财务总监（报告 期内离任）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230.76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刘世明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董事（报告期内离任）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张李平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独立董事（报告期内离任）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周春生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独立董事（报告期内离任）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监事（报告期内离任）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方胜玲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监事（报告期内离任）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35.89</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Lin Chienher </w:t>
            </w:r>
            <w:r>
              <w:rPr>
                <w:color w:val="000000"/>
                <w:spacing w:val="0"/>
                <w:w w:val="100"/>
                <w:position w:val="0"/>
              </w:rPr>
              <w:t>（林建何）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副总经理兼首席信息官（报告期内离 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158.51</w:t>
            </w:r>
          </w:p>
        </w:tc>
      </w:tr>
    </w:tbl>
    <w:p>
      <w:pPr>
        <w:spacing w:lineRule="exact" w:line="1"/>
        <w:rPr>
          <w:sz w:val="2"/>
          <w:szCs w:val="2"/>
        </w:rPr>
      </w:pPr>
      <w:r>
        <w:br w:type="page"/>
      </w:r>
    </w:p>
    <w:tbl>
      <w:tblPr>
        <w:tblOverlap w:val="never"/>
        <w:jc w:val="center"/>
        <w:tblLayout w:type="fixed"/>
      </w:tblPr>
      <w:tblGrid>
        <w:gridCol w:w="2702"/>
        <w:gridCol w:w="3451"/>
        <w:gridCol w:w="1354"/>
        <w:gridCol w:w="2203"/>
      </w:tblGrid>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1,606.14</w:t>
            </w:r>
          </w:p>
        </w:tc>
      </w:tr>
    </w:tbl>
    <w:p>
      <w:pPr>
        <w:pStyle w:val="Style40"/>
        <w:keepNext w:val="0"/>
        <w:keepLines w:val="0"/>
        <w:widowControl w:val="0"/>
        <w:shd w:val="clear" w:color="auto" w:fill="auto"/>
        <w:bidi w:val="0"/>
        <w:spacing w:before="0" w:after="0" w:line="317" w:lineRule="exact"/>
        <w:ind w:left="0" w:right="0" w:firstLine="0"/>
        <w:jc w:val="left"/>
      </w:pPr>
      <w:r>
        <w:rPr>
          <w:color w:val="000000"/>
          <w:spacing w:val="0"/>
          <w:w w:val="100"/>
          <w:position w:val="0"/>
        </w:rPr>
        <w:t>注：报告期董事、监事、高级管理人员除在上述</w:t>
      </w:r>
      <w:r>
        <w:rPr>
          <w:rFonts w:ascii="Times New Roman" w:eastAsia="Times New Roman" w:hAnsi="Times New Roman" w:cs="Times New Roman"/>
          <w:color w:val="000000"/>
          <w:spacing w:val="0"/>
          <w:w w:val="100"/>
          <w:position w:val="0"/>
        </w:rPr>
        <w:t>“</w:t>
      </w:r>
      <w:r>
        <w:rPr>
          <w:color w:val="000000"/>
          <w:spacing w:val="0"/>
          <w:w w:val="100"/>
          <w:position w:val="0"/>
        </w:rPr>
        <w:t>股东单位</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其他单位</w:t>
      </w:r>
      <w:r>
        <w:rPr>
          <w:rFonts w:ascii="Times New Roman" w:eastAsia="Times New Roman" w:hAnsi="Times New Roman" w:cs="Times New Roman"/>
          <w:color w:val="000000"/>
          <w:spacing w:val="0"/>
          <w:w w:val="100"/>
          <w:position w:val="0"/>
        </w:rPr>
        <w:t>''</w:t>
      </w:r>
      <w:r>
        <w:rPr>
          <w:color w:val="000000"/>
          <w:spacing w:val="0"/>
          <w:w w:val="100"/>
          <w:position w:val="0"/>
        </w:rPr>
        <w:t>任职并领取报酬（如有）外，未 在公司其他关联方单位领取报酬。</w:t>
      </w:r>
    </w:p>
    <w:p>
      <w:pPr>
        <w:widowControl w:val="0"/>
        <w:spacing w:after="399" w:line="1" w:lineRule="exact"/>
      </w:pPr>
    </w:p>
    <w:p>
      <w:pPr>
        <w:pStyle w:val="Style16"/>
        <w:keepNext w:val="0"/>
        <w:keepLines w:val="0"/>
        <w:widowControl w:val="0"/>
        <w:shd w:val="clear" w:color="auto" w:fill="auto"/>
        <w:tabs>
          <w:tab w:pos="7968" w:val="left"/>
        </w:tabs>
        <w:bidi w:val="0"/>
        <w:spacing w:before="0" w:after="660" w:line="317" w:lineRule="exact"/>
        <w:ind w:left="0" w:right="0" w:firstLine="0"/>
        <w:jc w:val="left"/>
      </w:pPr>
      <w:r>
        <w:rPr>
          <w:color w:val="000000"/>
          <w:spacing w:val="0"/>
          <w:w w:val="100"/>
          <w:position w:val="0"/>
        </w:rPr>
        <w:t>公司董事、高级管理人员报告期内被授予的股权激励情况</w:t>
        <w:tab/>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9"/>
        <w:keepNext/>
        <w:keepLines/>
        <w:widowControl w:val="0"/>
        <w:shd w:val="clear" w:color="auto" w:fill="auto"/>
        <w:bidi w:val="0"/>
        <w:spacing w:before="0" w:after="660" w:line="240" w:lineRule="auto"/>
        <w:ind w:left="0" w:right="0" w:firstLine="0"/>
        <w:jc w:val="left"/>
      </w:pPr>
      <w:bookmarkStart w:id="473" w:name="bookmark473"/>
      <w:bookmarkStart w:id="474" w:name="bookmark474"/>
      <w:bookmarkStart w:id="475" w:name="bookmark475"/>
      <w:bookmarkStart w:id="476" w:name="bookmark476"/>
      <w:r>
        <w:rPr>
          <w:color w:val="000000"/>
          <w:spacing w:val="0"/>
          <w:w w:val="100"/>
          <w:position w:val="0"/>
          <w:sz w:val="24"/>
          <w:szCs w:val="24"/>
        </w:rPr>
        <w:t>五</w:t>
      </w:r>
      <w:bookmarkEnd w:id="475"/>
      <w:r>
        <w:rPr>
          <w:color w:val="000000"/>
          <w:spacing w:val="0"/>
          <w:w w:val="100"/>
          <w:position w:val="0"/>
          <w:sz w:val="24"/>
          <w:szCs w:val="24"/>
        </w:rPr>
        <w:t>、公司员工情况</w:t>
      </w:r>
      <w:bookmarkEnd w:id="473"/>
      <w:bookmarkEnd w:id="474"/>
      <w:bookmarkEnd w:id="476"/>
    </w:p>
    <w:p>
      <w:pPr>
        <w:pStyle w:val="Style40"/>
        <w:keepNext w:val="0"/>
        <w:keepLines w:val="0"/>
        <w:widowControl w:val="0"/>
        <w:shd w:val="clear" w:color="auto" w:fill="auto"/>
        <w:bidi w:val="0"/>
        <w:spacing w:before="0" w:after="0" w:line="240" w:lineRule="auto"/>
        <w:ind w:left="0" w:right="0" w:firstLine="0"/>
        <w:jc w:val="left"/>
      </w:pPr>
      <w:bookmarkStart w:id="477" w:name="bookmark477"/>
      <w:r>
        <w:rPr>
          <w:rFonts w:ascii="Times New Roman" w:eastAsia="Times New Roman" w:hAnsi="Times New Roman" w:cs="Times New Roman"/>
          <w:b/>
          <w:bCs/>
          <w:color w:val="000000"/>
          <w:spacing w:val="0"/>
          <w:w w:val="100"/>
          <w:position w:val="0"/>
        </w:rPr>
        <w:t>1</w:t>
      </w:r>
      <w:r>
        <w:rPr>
          <w:b/>
          <w:bCs/>
          <w:color w:val="000000"/>
          <w:spacing w:val="0"/>
          <w:w w:val="100"/>
          <w:position w:val="0"/>
        </w:rPr>
        <w:t>、员工数量、专业构成及教育程度</w:t>
      </w:r>
      <w:bookmarkEnd w:id="477"/>
    </w:p>
    <w:tbl>
      <w:tblPr>
        <w:tblOverlap w:val="never"/>
        <w:jc w:val="center"/>
        <w:tblLayout w:type="fixed"/>
      </w:tblPr>
      <w:tblGrid>
        <w:gridCol w:w="5357"/>
        <w:gridCol w:w="4224"/>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2,580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2,580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研究人员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法律、合规、风控、稽核人员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2,580</w:t>
            </w:r>
          </w:p>
        </w:tc>
      </w:tr>
      <w:tr>
        <w:trPr>
          <w:trHeight w:val="403"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教育程度类别</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大专及以下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硕士研究生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博士研究生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2,580</w:t>
            </w:r>
          </w:p>
        </w:tc>
      </w:tr>
    </w:tbl>
    <w:p>
      <w:pPr>
        <w:pStyle w:val="Style37"/>
        <w:keepNext/>
        <w:keepLines/>
        <w:widowControl w:val="0"/>
        <w:shd w:val="clear" w:color="auto" w:fill="auto"/>
        <w:tabs>
          <w:tab w:pos="378" w:val="left"/>
        </w:tabs>
        <w:bidi w:val="0"/>
        <w:spacing w:before="0" w:after="280" w:line="314" w:lineRule="exact"/>
        <w:ind w:left="0" w:right="0" w:firstLine="0"/>
        <w:jc w:val="both"/>
      </w:pPr>
      <w:bookmarkStart w:id="478" w:name="bookmark478"/>
      <w:bookmarkStart w:id="479" w:name="bookmark479"/>
      <w:bookmarkStart w:id="480" w:name="bookmark480"/>
      <w:bookmarkStart w:id="481" w:name="bookmark481"/>
      <w:r>
        <w:rPr>
          <w:rFonts w:ascii="Times New Roman" w:eastAsia="Times New Roman" w:hAnsi="Times New Roman" w:cs="Times New Roman"/>
          <w:color w:val="000000"/>
          <w:spacing w:val="0"/>
          <w:w w:val="100"/>
          <w:position w:val="0"/>
        </w:rPr>
        <w:t>2</w:t>
      </w:r>
      <w:bookmarkEnd w:id="480"/>
      <w:r>
        <w:rPr>
          <w:color w:val="000000"/>
          <w:spacing w:val="0"/>
          <w:w w:val="100"/>
          <w:position w:val="0"/>
        </w:rPr>
        <w:t>、</w:t>
        <w:tab/>
        <w:t>薪酬政策</w:t>
      </w:r>
      <w:bookmarkEnd w:id="478"/>
      <w:bookmarkEnd w:id="479"/>
      <w:bookmarkEnd w:id="481"/>
    </w:p>
    <w:p>
      <w:pPr>
        <w:pStyle w:val="Style1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公司薪酬管理秉承“价值分配、务实高效、公平规范、可持续发展”的原则，兼顾内部公平性和市场 竞争性，旨在吸引、留住和激励优秀人才，支撑公司经营战略的实现，促进公司持续、稳定、健康发展。</w:t>
      </w:r>
    </w:p>
    <w:p>
      <w:pPr>
        <w:pStyle w:val="Style16"/>
        <w:keepNext w:val="0"/>
        <w:keepLines w:val="0"/>
        <w:widowControl w:val="0"/>
        <w:shd w:val="clear" w:color="auto" w:fill="auto"/>
        <w:bidi w:val="0"/>
        <w:spacing w:before="0" w:after="280" w:line="314" w:lineRule="exact"/>
        <w:ind w:left="0" w:right="0" w:firstLine="440"/>
        <w:jc w:val="both"/>
      </w:pPr>
      <w:r>
        <w:rPr>
          <w:color w:val="000000"/>
          <w:spacing w:val="0"/>
          <w:w w:val="100"/>
          <w:position w:val="0"/>
        </w:rPr>
        <w:t>公司根据经营情况、管理需求、人才市场行情等因素，定期进行薪酬分析，适时对员工薪酬进行调整， 保持薪酬的竞争力和人员稳定性。同时，各子公司所处行业、经营情况和市场薪酬水平不一样，薪酬政策 也不尽相同。</w:t>
      </w:r>
    </w:p>
    <w:p>
      <w:pPr>
        <w:pStyle w:val="Style37"/>
        <w:keepNext/>
        <w:keepLines/>
        <w:widowControl w:val="0"/>
        <w:shd w:val="clear" w:color="auto" w:fill="auto"/>
        <w:tabs>
          <w:tab w:pos="378" w:val="left"/>
        </w:tabs>
        <w:bidi w:val="0"/>
        <w:spacing w:before="0" w:after="280" w:line="314" w:lineRule="exact"/>
        <w:ind w:left="0" w:right="0" w:firstLine="0"/>
        <w:jc w:val="both"/>
      </w:pPr>
      <w:bookmarkStart w:id="482" w:name="bookmark482"/>
      <w:bookmarkStart w:id="483" w:name="bookmark483"/>
      <w:bookmarkStart w:id="484" w:name="bookmark484"/>
      <w:bookmarkStart w:id="485" w:name="bookmark485"/>
      <w:r>
        <w:rPr>
          <w:rFonts w:ascii="Times New Roman" w:eastAsia="Times New Roman" w:hAnsi="Times New Roman" w:cs="Times New Roman"/>
          <w:color w:val="000000"/>
          <w:spacing w:val="0"/>
          <w:w w:val="100"/>
          <w:position w:val="0"/>
        </w:rPr>
        <w:t>3</w:t>
      </w:r>
      <w:bookmarkEnd w:id="484"/>
      <w:r>
        <w:rPr>
          <w:color w:val="000000"/>
          <w:spacing w:val="0"/>
          <w:w w:val="100"/>
          <w:position w:val="0"/>
        </w:rPr>
        <w:t>、</w:t>
        <w:tab/>
        <w:t>培训计划</w:t>
      </w:r>
      <w:bookmarkEnd w:id="482"/>
      <w:bookmarkEnd w:id="483"/>
      <w:bookmarkEnd w:id="485"/>
    </w:p>
    <w:p>
      <w:pPr>
        <w:pStyle w:val="Style1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公司将继续推进培训资源的开发与整合，进一步完善培训管理体系。培训工作将以提升员工能力、驱 动公司战略实现、满足业务需求为核心目标，重点开展以下工作：</w:t>
      </w:r>
    </w:p>
    <w:p>
      <w:pPr>
        <w:pStyle w:val="Style16"/>
        <w:keepNext w:val="0"/>
        <w:keepLines w:val="0"/>
        <w:widowControl w:val="0"/>
        <w:numPr>
          <w:ilvl w:val="0"/>
          <w:numId w:val="11"/>
        </w:numPr>
        <w:shd w:val="clear" w:color="auto" w:fill="auto"/>
        <w:tabs>
          <w:tab w:pos="928" w:val="left"/>
        </w:tabs>
        <w:bidi w:val="0"/>
        <w:spacing w:before="0" w:after="0" w:line="336" w:lineRule="exact"/>
        <w:ind w:left="0" w:right="0" w:firstLine="440"/>
        <w:jc w:val="both"/>
      </w:pPr>
      <w:bookmarkStart w:id="486" w:name="bookmark486"/>
      <w:bookmarkEnd w:id="486"/>
      <w:r>
        <w:rPr>
          <w:color w:val="000000"/>
          <w:spacing w:val="0"/>
          <w:w w:val="100"/>
          <w:position w:val="0"/>
        </w:rPr>
        <w:t>专业能力培训：着力提升其专业理论水平、业务执行能力、业务创新能力等。</w:t>
      </w:r>
    </w:p>
    <w:p>
      <w:pPr>
        <w:pStyle w:val="Style16"/>
        <w:keepNext w:val="0"/>
        <w:keepLines w:val="0"/>
        <w:widowControl w:val="0"/>
        <w:numPr>
          <w:ilvl w:val="0"/>
          <w:numId w:val="11"/>
        </w:numPr>
        <w:shd w:val="clear" w:color="auto" w:fill="auto"/>
        <w:tabs>
          <w:tab w:pos="1021" w:val="left"/>
        </w:tabs>
        <w:bidi w:val="0"/>
        <w:spacing w:before="0" w:after="0" w:line="336" w:lineRule="exact"/>
        <w:ind w:left="0" w:right="0" w:firstLine="440"/>
        <w:jc w:val="both"/>
      </w:pPr>
      <w:bookmarkStart w:id="487" w:name="bookmark487"/>
      <w:bookmarkEnd w:id="487"/>
      <w:r>
        <w:rPr>
          <w:color w:val="000000"/>
          <w:spacing w:val="0"/>
          <w:w w:val="100"/>
          <w:position w:val="0"/>
        </w:rPr>
        <w:t>通用技能培训：普及员工职业化和通用技能培训，提升其专业沟通能力、团队协作能力、办公 操作能力等。</w:t>
      </w:r>
    </w:p>
    <w:p>
      <w:pPr>
        <w:pStyle w:val="Style16"/>
        <w:keepNext w:val="0"/>
        <w:keepLines w:val="0"/>
        <w:widowControl w:val="0"/>
        <w:numPr>
          <w:ilvl w:val="0"/>
          <w:numId w:val="11"/>
        </w:numPr>
        <w:shd w:val="clear" w:color="auto" w:fill="auto"/>
        <w:tabs>
          <w:tab w:pos="928" w:val="left"/>
        </w:tabs>
        <w:bidi w:val="0"/>
        <w:spacing w:before="0" w:after="280" w:line="336" w:lineRule="exact"/>
        <w:ind w:left="0" w:right="0" w:firstLine="440"/>
        <w:jc w:val="both"/>
      </w:pPr>
      <w:bookmarkStart w:id="488" w:name="bookmark488"/>
      <w:bookmarkEnd w:id="488"/>
      <w:r>
        <w:rPr>
          <w:color w:val="000000"/>
          <w:spacing w:val="0"/>
          <w:w w:val="100"/>
          <w:position w:val="0"/>
        </w:rPr>
        <w:t>制度合规培训：加强其业务运行、工作流程、规章制度等方面教育，提高员工合规风控意识。</w:t>
      </w:r>
    </w:p>
    <w:p>
      <w:pPr>
        <w:pStyle w:val="Style16"/>
        <w:keepNext w:val="0"/>
        <w:keepLines w:val="0"/>
        <w:widowControl w:val="0"/>
        <w:shd w:val="clear" w:color="auto" w:fill="auto"/>
        <w:tabs>
          <w:tab w:pos="8030" w:val="left"/>
        </w:tabs>
        <w:bidi w:val="0"/>
        <w:spacing w:before="0" w:after="280" w:line="314" w:lineRule="exact"/>
        <w:ind w:left="0" w:right="0" w:firstLine="0"/>
        <w:jc w:val="both"/>
        <w:sectPr>
          <w:footnotePr>
            <w:pos w:val="pageBottom"/>
            <w:numFmt w:val="decimal"/>
            <w:numRestart w:val="continuous"/>
          </w:footnotePr>
          <w:pgSz w:w="11900" w:h="16840"/>
          <w:pgMar w:top="1407" w:right="656" w:bottom="1498" w:left="670" w:header="0" w:footer="3" w:gutter="0"/>
          <w:cols w:space="720"/>
          <w:noEndnote/>
          <w:rtlGutter w:val="0"/>
          <w:docGrid w:linePitch="360"/>
        </w:sectPr>
      </w:pPr>
      <w:bookmarkStart w:id="489" w:name="bookmark489"/>
      <w:bookmarkStart w:id="490" w:name="bookmark490"/>
      <w:r>
        <w:rPr>
          <w:rFonts w:ascii="Times New Roman" w:eastAsia="Times New Roman" w:hAnsi="Times New Roman" w:cs="Times New Roman"/>
          <w:b/>
          <w:bCs/>
          <w:color w:val="000000"/>
          <w:spacing w:val="0"/>
          <w:w w:val="100"/>
          <w:position w:val="0"/>
        </w:rPr>
        <w:t>4</w:t>
      </w:r>
      <w:bookmarkEnd w:id="489"/>
      <w:r>
        <w:rPr>
          <w:b/>
          <w:bCs/>
          <w:color w:val="000000"/>
          <w:spacing w:val="0"/>
          <w:w w:val="100"/>
          <w:position w:val="0"/>
        </w:rPr>
        <w:t>、 劳务外包情况</w:t>
        <w:tab/>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bookmarkEnd w:id="490"/>
    </w:p>
    <w:p>
      <w:pPr>
        <w:pStyle w:val="Style14"/>
        <w:keepNext/>
        <w:keepLines/>
        <w:widowControl w:val="0"/>
        <w:shd w:val="clear" w:color="auto" w:fill="auto"/>
        <w:bidi w:val="0"/>
        <w:spacing w:before="520" w:after="540" w:line="240" w:lineRule="auto"/>
        <w:ind w:left="0" w:right="0" w:firstLine="0"/>
        <w:jc w:val="center"/>
      </w:pPr>
      <w:bookmarkStart w:id="491" w:name="bookmark491"/>
      <w:bookmarkStart w:id="492" w:name="bookmark492"/>
      <w:bookmarkStart w:id="493" w:name="bookmark493"/>
      <w:r>
        <w:rPr>
          <w:color w:val="000000"/>
          <w:spacing w:val="0"/>
          <w:w w:val="100"/>
          <w:position w:val="0"/>
        </w:rPr>
        <w:t>第十节公司治理</w:t>
      </w:r>
      <w:bookmarkEnd w:id="491"/>
      <w:bookmarkEnd w:id="492"/>
      <w:bookmarkEnd w:id="493"/>
    </w:p>
    <w:p>
      <w:pPr>
        <w:pStyle w:val="Style29"/>
        <w:keepNext/>
        <w:keepLines/>
        <w:widowControl w:val="0"/>
        <w:shd w:val="clear" w:color="auto" w:fill="auto"/>
        <w:tabs>
          <w:tab w:pos="517" w:val="left"/>
        </w:tabs>
        <w:bidi w:val="0"/>
        <w:spacing w:before="0" w:after="320" w:line="240" w:lineRule="auto"/>
        <w:ind w:left="0" w:right="0" w:firstLine="0"/>
        <w:jc w:val="left"/>
      </w:pPr>
      <w:bookmarkStart w:id="494" w:name="bookmark494"/>
      <w:bookmarkStart w:id="495" w:name="bookmark495"/>
      <w:bookmarkStart w:id="496" w:name="bookmark496"/>
      <w:bookmarkStart w:id="497" w:name="bookmark497"/>
      <w:bookmarkStart w:id="498" w:name="bookmark498"/>
      <w:r>
        <w:rPr>
          <w:color w:val="000000"/>
          <w:spacing w:val="0"/>
          <w:w w:val="100"/>
          <w:position w:val="0"/>
          <w:sz w:val="24"/>
          <w:szCs w:val="24"/>
        </w:rPr>
        <w:t>一</w:t>
      </w:r>
      <w:bookmarkEnd w:id="497"/>
      <w:r>
        <w:rPr>
          <w:color w:val="000000"/>
          <w:spacing w:val="0"/>
          <w:w w:val="100"/>
          <w:position w:val="0"/>
          <w:sz w:val="24"/>
          <w:szCs w:val="24"/>
        </w:rPr>
        <w:t>、</w:t>
        <w:tab/>
        <w:t>公司治理的基本状况</w:t>
      </w:r>
      <w:bookmarkEnd w:id="495"/>
      <w:bookmarkEnd w:id="496"/>
      <w:bookmarkEnd w:id="498"/>
      <w:bookmarkEnd w:id="494"/>
    </w:p>
    <w:p>
      <w:pPr>
        <w:pStyle w:val="Style29"/>
        <w:keepNext/>
        <w:keepLines/>
        <w:widowControl w:val="0"/>
        <w:shd w:val="clear" w:color="auto" w:fill="auto"/>
        <w:bidi w:val="0"/>
        <w:spacing w:before="0" w:after="320" w:line="312" w:lineRule="exact"/>
        <w:ind w:left="0" w:right="0" w:firstLine="440"/>
        <w:jc w:val="both"/>
        <w:rPr>
          <w:sz w:val="20"/>
          <w:szCs w:val="20"/>
        </w:rPr>
      </w:pPr>
      <w:bookmarkStart w:id="499" w:name="bookmark499"/>
      <w:bookmarkStart w:id="500" w:name="bookmark500"/>
      <w:bookmarkStart w:id="501" w:name="bookmark501"/>
      <w:r>
        <w:rPr>
          <w:b w:val="0"/>
          <w:bCs w:val="0"/>
          <w:color w:val="000000"/>
          <w:spacing w:val="0"/>
          <w:w w:val="100"/>
          <w:position w:val="0"/>
          <w:sz w:val="20"/>
          <w:szCs w:val="20"/>
        </w:rPr>
        <w:t>公司严格按照《公司法》、《证券法》、《深圳证券交易所股票上市规则》等有关法律法规、部门规章、 规范性文件的要求，不断完善法人治理结构。董事会下设战略委员会、审计委员会、提名委员会、薪酬与 考核委员会等专门委员会，为董事会提供咨询、建议，保证董事会议事、决策的专业化与高效化。公司股 东大会、董事会、监事会和经营管理层责权分明、各司其职、有效制衡、科学决策、协调运营，为公司持 续、稳定、健康发展奠定了坚实的基础。</w:t>
      </w:r>
      <w:bookmarkEnd w:id="499"/>
      <w:bookmarkEnd w:id="500"/>
      <w:bookmarkEnd w:id="501"/>
    </w:p>
    <w:p>
      <w:pPr>
        <w:pStyle w:val="Style16"/>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公司治理的实际状况与中国证监会发布的有关上市公司治理的规范性文件是否存在重大差异</w:t>
      </w:r>
      <w:r>
        <w:rPr>
          <w:color w:val="000000"/>
          <w:spacing w:val="0"/>
          <w:w w:val="100"/>
          <w:position w:val="0"/>
        </w:rPr>
        <w:t>口</w:t>
      </w:r>
      <w:r>
        <w:rPr>
          <w:color w:val="000000"/>
          <w:spacing w:val="0"/>
          <w:w w:val="100"/>
          <w:position w:val="0"/>
        </w:rPr>
        <w:t>是</w:t>
      </w:r>
      <w:r>
        <w:rPr>
          <w:color w:val="000000"/>
          <w:spacing w:val="0"/>
          <w:w w:val="100"/>
          <w:position w:val="0"/>
        </w:rPr>
        <w:t>寸</w:t>
      </w:r>
      <w:r>
        <w:rPr>
          <w:color w:val="000000"/>
          <w:spacing w:val="0"/>
          <w:w w:val="100"/>
          <w:position w:val="0"/>
        </w:rPr>
        <w:t>否</w:t>
      </w:r>
    </w:p>
    <w:p>
      <w:pPr>
        <w:pStyle w:val="Style16"/>
        <w:keepNext w:val="0"/>
        <w:keepLines w:val="0"/>
        <w:widowControl w:val="0"/>
        <w:shd w:val="clear" w:color="auto" w:fill="auto"/>
        <w:bidi w:val="0"/>
        <w:spacing w:before="0" w:after="320" w:line="317" w:lineRule="exact"/>
        <w:ind w:left="0" w:right="0" w:firstLine="440"/>
        <w:jc w:val="both"/>
      </w:pPr>
      <w:r>
        <w:rPr>
          <w:color w:val="000000"/>
          <w:spacing w:val="0"/>
          <w:w w:val="100"/>
          <w:position w:val="0"/>
        </w:rPr>
        <w:t>公司治理的实际状况与中国证监会发布的有关上市公司治理的规范性文件不存在重大差异。</w:t>
      </w:r>
    </w:p>
    <w:p>
      <w:pPr>
        <w:pStyle w:val="Style29"/>
        <w:keepNext/>
        <w:keepLines/>
        <w:widowControl w:val="0"/>
        <w:shd w:val="clear" w:color="auto" w:fill="auto"/>
        <w:tabs>
          <w:tab w:pos="517" w:val="left"/>
        </w:tabs>
        <w:bidi w:val="0"/>
        <w:spacing w:before="0" w:after="320" w:line="240" w:lineRule="auto"/>
        <w:ind w:left="0" w:right="0" w:firstLine="0"/>
        <w:jc w:val="left"/>
      </w:pPr>
      <w:bookmarkStart w:id="502" w:name="bookmark502"/>
      <w:bookmarkStart w:id="503" w:name="bookmark503"/>
      <w:bookmarkStart w:id="504" w:name="bookmark504"/>
      <w:bookmarkStart w:id="505" w:name="bookmark505"/>
      <w:r>
        <w:rPr>
          <w:color w:val="000000"/>
          <w:spacing w:val="0"/>
          <w:w w:val="100"/>
          <w:position w:val="0"/>
          <w:sz w:val="24"/>
          <w:szCs w:val="24"/>
        </w:rPr>
        <w:t>二</w:t>
      </w:r>
      <w:bookmarkEnd w:id="504"/>
      <w:r>
        <w:rPr>
          <w:color w:val="000000"/>
          <w:spacing w:val="0"/>
          <w:w w:val="100"/>
          <w:position w:val="0"/>
          <w:sz w:val="24"/>
          <w:szCs w:val="24"/>
        </w:rPr>
        <w:t>、</w:t>
        <w:tab/>
        <w:t>公司相对于控股股东在业务、人员、资产、机构、财务等方面的独立情况</w:t>
      </w:r>
      <w:bookmarkEnd w:id="502"/>
      <w:bookmarkEnd w:id="503"/>
      <w:bookmarkEnd w:id="505"/>
    </w:p>
    <w:p>
      <w:pPr>
        <w:pStyle w:val="Style16"/>
        <w:keepNext w:val="0"/>
        <w:keepLines w:val="0"/>
        <w:widowControl w:val="0"/>
        <w:shd w:val="clear" w:color="auto" w:fill="auto"/>
        <w:bidi w:val="0"/>
        <w:spacing w:before="0" w:after="0" w:line="319" w:lineRule="exact"/>
        <w:ind w:left="0" w:right="0" w:firstLine="440"/>
        <w:jc w:val="both"/>
      </w:pPr>
      <w:bookmarkStart w:id="506" w:name="bookmark506"/>
      <w:r>
        <w:rPr>
          <w:rFonts w:ascii="Times New Roman" w:eastAsia="Times New Roman" w:hAnsi="Times New Roman" w:cs="Times New Roman"/>
          <w:color w:val="000000"/>
          <w:spacing w:val="0"/>
          <w:w w:val="100"/>
          <w:position w:val="0"/>
        </w:rPr>
        <w:t>1</w:t>
      </w:r>
      <w:bookmarkEnd w:id="506"/>
      <w:r>
        <w:rPr>
          <w:color w:val="000000"/>
          <w:spacing w:val="0"/>
          <w:w w:val="100"/>
          <w:position w:val="0"/>
        </w:rPr>
        <w:t>、 业务独立情况。公司具有独立、完整的业务流程及自主经营能力，有关业务决策按照《公司章程》 等规定做出，独立于控股股东及其控制的其它企业。</w:t>
      </w:r>
    </w:p>
    <w:p>
      <w:pPr>
        <w:pStyle w:val="Style16"/>
        <w:keepNext w:val="0"/>
        <w:keepLines w:val="0"/>
        <w:widowControl w:val="0"/>
        <w:shd w:val="clear" w:color="auto" w:fill="auto"/>
        <w:tabs>
          <w:tab w:pos="790" w:val="left"/>
        </w:tabs>
        <w:bidi w:val="0"/>
        <w:spacing w:before="0" w:after="0" w:line="319" w:lineRule="exact"/>
        <w:ind w:left="0" w:right="0" w:firstLine="440"/>
        <w:jc w:val="both"/>
      </w:pPr>
      <w:bookmarkStart w:id="507" w:name="bookmark507"/>
      <w:r>
        <w:rPr>
          <w:rFonts w:ascii="Times New Roman" w:eastAsia="Times New Roman" w:hAnsi="Times New Roman" w:cs="Times New Roman"/>
          <w:color w:val="000000"/>
          <w:spacing w:val="0"/>
          <w:w w:val="100"/>
          <w:position w:val="0"/>
        </w:rPr>
        <w:t>2</w:t>
      </w:r>
      <w:bookmarkEnd w:id="507"/>
      <w:r>
        <w:rPr>
          <w:color w:val="000000"/>
          <w:spacing w:val="0"/>
          <w:w w:val="100"/>
          <w:position w:val="0"/>
        </w:rPr>
        <w:t>、</w:t>
        <w:tab/>
        <w:t>人员独立情况。公司董事、监事、高级管理人员均严格按照《公司法》、《公司章程》的有关规定 选举、聘任，不存在控股股东干预公司董事会和股东大会做出人事任免决定的情况。公司总经理、副总经 理、财务负责人、董事会秘书等高级管理人员不在控股股东及其控制的其它单位担任除董事、监事以外的 其它职务。公司财务人员不在控股股东及其控制的其它企业兼职。</w:t>
      </w:r>
    </w:p>
    <w:p>
      <w:pPr>
        <w:pStyle w:val="Style16"/>
        <w:keepNext w:val="0"/>
        <w:keepLines w:val="0"/>
        <w:widowControl w:val="0"/>
        <w:shd w:val="clear" w:color="auto" w:fill="auto"/>
        <w:tabs>
          <w:tab w:pos="813" w:val="left"/>
        </w:tabs>
        <w:bidi w:val="0"/>
        <w:spacing w:before="0" w:after="0" w:line="317" w:lineRule="exact"/>
        <w:ind w:left="0" w:right="0" w:firstLine="440"/>
        <w:jc w:val="both"/>
      </w:pPr>
      <w:bookmarkStart w:id="508" w:name="bookmark508"/>
      <w:r>
        <w:rPr>
          <w:rFonts w:ascii="Times New Roman" w:eastAsia="Times New Roman" w:hAnsi="Times New Roman" w:cs="Times New Roman"/>
          <w:color w:val="000000"/>
          <w:spacing w:val="0"/>
          <w:w w:val="100"/>
          <w:position w:val="0"/>
        </w:rPr>
        <w:t>3</w:t>
      </w:r>
      <w:bookmarkEnd w:id="508"/>
      <w:r>
        <w:rPr>
          <w:color w:val="000000"/>
          <w:spacing w:val="0"/>
          <w:w w:val="100"/>
          <w:position w:val="0"/>
        </w:rPr>
        <w:t>、</w:t>
        <w:tab/>
        <w:t>资产完整情况。公司合法拥有与经营有关的资产，公司资产独立于控股股东及其控制的其它企业。</w:t>
      </w:r>
    </w:p>
    <w:p>
      <w:pPr>
        <w:pStyle w:val="Style16"/>
        <w:keepNext w:val="0"/>
        <w:keepLines w:val="0"/>
        <w:widowControl w:val="0"/>
        <w:shd w:val="clear" w:color="auto" w:fill="auto"/>
        <w:bidi w:val="0"/>
        <w:spacing w:before="0" w:after="0" w:line="315" w:lineRule="exact"/>
        <w:ind w:left="0" w:right="0" w:firstLine="440"/>
        <w:jc w:val="both"/>
      </w:pPr>
      <w:bookmarkStart w:id="509" w:name="bookmark509"/>
      <w:r>
        <w:rPr>
          <w:rFonts w:ascii="Times New Roman" w:eastAsia="Times New Roman" w:hAnsi="Times New Roman" w:cs="Times New Roman"/>
          <w:color w:val="000000"/>
          <w:spacing w:val="0"/>
          <w:w w:val="100"/>
          <w:position w:val="0"/>
        </w:rPr>
        <w:t>4</w:t>
      </w:r>
      <w:bookmarkEnd w:id="509"/>
      <w:r>
        <w:rPr>
          <w:color w:val="000000"/>
          <w:spacing w:val="0"/>
          <w:w w:val="100"/>
          <w:position w:val="0"/>
        </w:rPr>
        <w:t>、 机构独立情况。公司拥有独立的法人治理结构，经营机构完整、独立，法人治理结构健全。公司 在劳动用工、薪酬分配、人事制度、经营管理等方面与控股股东及其控制的其它企业之间不存在交叉和上 下级关系。公司具有完全独立的办公机构与经营场所，不存在与控股股东及其控制的其它企业混合经营、 合署办公的情形。</w:t>
      </w:r>
    </w:p>
    <w:p>
      <w:pPr>
        <w:pStyle w:val="Style16"/>
        <w:keepNext w:val="0"/>
        <w:keepLines w:val="0"/>
        <w:widowControl w:val="0"/>
        <w:shd w:val="clear" w:color="auto" w:fill="auto"/>
        <w:tabs>
          <w:tab w:pos="795" w:val="left"/>
        </w:tabs>
        <w:bidi w:val="0"/>
        <w:spacing w:before="0" w:after="320" w:line="319" w:lineRule="exact"/>
        <w:ind w:left="0" w:right="0" w:firstLine="440"/>
        <w:jc w:val="both"/>
      </w:pPr>
      <w:bookmarkStart w:id="510" w:name="bookmark510"/>
      <w:r>
        <w:rPr>
          <w:rFonts w:ascii="Times New Roman" w:eastAsia="Times New Roman" w:hAnsi="Times New Roman" w:cs="Times New Roman"/>
          <w:color w:val="000000"/>
          <w:spacing w:val="0"/>
          <w:w w:val="100"/>
          <w:position w:val="0"/>
        </w:rPr>
        <w:t>5</w:t>
      </w:r>
      <w:bookmarkEnd w:id="510"/>
      <w:r>
        <w:rPr>
          <w:color w:val="000000"/>
          <w:spacing w:val="0"/>
          <w:w w:val="100"/>
          <w:position w:val="0"/>
        </w:rPr>
        <w:t>、</w:t>
        <w:tab/>
        <w:t>财务独立情况。公司建立了独立的财务部门，配备了专门的财务人员，建立了独立的会计核算体 系和财务管理制度等内控制度，能够独立做出财务决策；公司开立了独立的银行账户，并依法独立履行纳 税义务。公司拥有财务独立性。</w:t>
      </w:r>
    </w:p>
    <w:p>
      <w:pPr>
        <w:pStyle w:val="Style75"/>
        <w:keepNext w:val="0"/>
        <w:keepLines w:val="0"/>
        <w:widowControl w:val="0"/>
        <w:shd w:val="clear" w:color="auto" w:fill="auto"/>
        <w:tabs>
          <w:tab w:pos="517" w:val="left"/>
          <w:tab w:pos="8026" w:val="left"/>
        </w:tabs>
        <w:bidi w:val="0"/>
        <w:spacing w:before="0" w:after="320" w:line="240" w:lineRule="auto"/>
        <w:ind w:left="0" w:right="0" w:firstLine="0"/>
        <w:jc w:val="left"/>
        <w:rPr>
          <w:sz w:val="20"/>
          <w:szCs w:val="20"/>
        </w:rPr>
      </w:pPr>
      <w:bookmarkStart w:id="511" w:name="bookmark511"/>
      <w:bookmarkStart w:id="512" w:name="bookmark512"/>
      <w:r>
        <w:rPr>
          <w:color w:val="000000"/>
          <w:spacing w:val="0"/>
          <w:w w:val="100"/>
          <w:position w:val="0"/>
          <w:sz w:val="24"/>
          <w:szCs w:val="24"/>
        </w:rPr>
        <w:t>三</w:t>
      </w:r>
      <w:bookmarkEnd w:id="511"/>
      <w:r>
        <w:rPr>
          <w:color w:val="000000"/>
          <w:spacing w:val="0"/>
          <w:w w:val="100"/>
          <w:position w:val="0"/>
          <w:sz w:val="24"/>
          <w:szCs w:val="24"/>
        </w:rPr>
        <w:t>、</w:t>
        <w:tab/>
        <w:t>同业竞争情况</w:t>
        <w:tab/>
      </w:r>
      <w:r>
        <w:rPr>
          <w:rFonts w:ascii="Times New Roman" w:eastAsia="Times New Roman" w:hAnsi="Times New Roman" w:cs="Times New Roman"/>
          <w:b w:val="0"/>
          <w:bCs w:val="0"/>
          <w:color w:val="000000"/>
          <w:spacing w:val="0"/>
          <w:w w:val="100"/>
          <w:position w:val="0"/>
          <w:sz w:val="20"/>
          <w:szCs w:val="20"/>
        </w:rPr>
        <w:t>□</w:t>
      </w:r>
      <w:r>
        <w:rPr>
          <w:b w:val="0"/>
          <w:bCs w:val="0"/>
          <w:color w:val="000000"/>
          <w:spacing w:val="0"/>
          <w:w w:val="100"/>
          <w:position w:val="0"/>
          <w:sz w:val="20"/>
          <w:szCs w:val="20"/>
        </w:rPr>
        <w:t>适用</w:t>
      </w:r>
      <w:r>
        <w:rPr>
          <w:b w:val="0"/>
          <w:bCs w:val="0"/>
          <w:i/>
          <w:iCs/>
          <w:color w:val="000000"/>
          <w:spacing w:val="0"/>
          <w:w w:val="100"/>
          <w:position w:val="0"/>
          <w:sz w:val="20"/>
          <w:szCs w:val="20"/>
        </w:rPr>
        <w:t>勺</w:t>
      </w:r>
      <w:r>
        <w:rPr>
          <w:b w:val="0"/>
          <w:bCs w:val="0"/>
          <w:color w:val="000000"/>
          <w:spacing w:val="0"/>
          <w:w w:val="100"/>
          <w:position w:val="0"/>
          <w:sz w:val="20"/>
          <w:szCs w:val="20"/>
        </w:rPr>
        <w:t>不适用</w:t>
      </w:r>
      <w:bookmarkEnd w:id="512"/>
    </w:p>
    <w:p>
      <w:pPr>
        <w:pStyle w:val="Style29"/>
        <w:keepNext/>
        <w:keepLines/>
        <w:widowControl w:val="0"/>
        <w:shd w:val="clear" w:color="auto" w:fill="auto"/>
        <w:tabs>
          <w:tab w:pos="517" w:val="left"/>
        </w:tabs>
        <w:bidi w:val="0"/>
        <w:spacing w:before="0" w:after="320" w:line="240" w:lineRule="auto"/>
        <w:ind w:left="0" w:right="0" w:firstLine="0"/>
        <w:jc w:val="left"/>
      </w:pPr>
      <w:bookmarkStart w:id="513" w:name="bookmark513"/>
      <w:bookmarkStart w:id="514" w:name="bookmark514"/>
      <w:bookmarkStart w:id="515" w:name="bookmark515"/>
      <w:bookmarkStart w:id="516" w:name="bookmark516"/>
      <w:bookmarkStart w:id="517" w:name="bookmark517"/>
      <w:r>
        <w:rPr>
          <w:color w:val="000000"/>
          <w:spacing w:val="0"/>
          <w:w w:val="100"/>
          <w:position w:val="0"/>
          <w:sz w:val="24"/>
          <w:szCs w:val="24"/>
        </w:rPr>
        <w:t>四</w:t>
      </w:r>
      <w:bookmarkEnd w:id="515"/>
      <w:r>
        <w:rPr>
          <w:color w:val="000000"/>
          <w:spacing w:val="0"/>
          <w:w w:val="100"/>
          <w:position w:val="0"/>
          <w:sz w:val="24"/>
          <w:szCs w:val="24"/>
        </w:rPr>
        <w:t>、</w:t>
        <w:tab/>
        <w:t>报告期内召开的年度股东大会和临时股东大会的有关情况</w:t>
      </w:r>
      <w:bookmarkEnd w:id="513"/>
      <w:bookmarkEnd w:id="514"/>
      <w:bookmarkEnd w:id="516"/>
      <w:bookmarkEnd w:id="517"/>
    </w:p>
    <w:p>
      <w:pPr>
        <w:pStyle w:val="Style40"/>
        <w:keepNext w:val="0"/>
        <w:keepLines w:val="0"/>
        <w:widowControl w:val="0"/>
        <w:shd w:val="clear" w:color="auto" w:fill="auto"/>
        <w:bidi w:val="0"/>
        <w:spacing w:before="0" w:after="0" w:line="240" w:lineRule="auto"/>
        <w:ind w:left="0" w:right="0" w:firstLine="0"/>
        <w:jc w:val="left"/>
      </w:pPr>
      <w:bookmarkStart w:id="518" w:name="bookmark518"/>
      <w:r>
        <w:rPr>
          <w:rFonts w:ascii="Times New Roman" w:eastAsia="Times New Roman" w:hAnsi="Times New Roman" w:cs="Times New Roman"/>
          <w:b/>
          <w:bCs/>
          <w:color w:val="000000"/>
          <w:spacing w:val="0"/>
          <w:w w:val="100"/>
          <w:position w:val="0"/>
        </w:rPr>
        <w:t>1</w:t>
      </w:r>
      <w:r>
        <w:rPr>
          <w:b/>
          <w:bCs/>
          <w:color w:val="000000"/>
          <w:spacing w:val="0"/>
          <w:w w:val="100"/>
          <w:position w:val="0"/>
        </w:rPr>
        <w:t>、本报告期股东大会情况</w:t>
      </w:r>
      <w:bookmarkEnd w:id="518"/>
    </w:p>
    <w:tbl>
      <w:tblPr>
        <w:tblOverlap w:val="never"/>
        <w:jc w:val="center"/>
        <w:tblLayout w:type="fixed"/>
      </w:tblPr>
      <w:tblGrid>
        <w:gridCol w:w="1814"/>
        <w:gridCol w:w="1382"/>
        <w:gridCol w:w="1594"/>
        <w:gridCol w:w="1277"/>
        <w:gridCol w:w="1277"/>
        <w:gridCol w:w="2237"/>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b/>
                <w:bCs/>
                <w:color w:val="000000"/>
                <w:spacing w:val="0"/>
                <w:w w:val="100"/>
                <w:position w:val="0"/>
              </w:rPr>
              <w:t>会议届次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会议类型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投资者参与比例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召开日期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披露日期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披露索引</w:t>
            </w: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年第一次临时</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临时股东大会</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40.54%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r>
        <w:trPr>
          <w:trHeight w:val="278"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www.cninfo.com.cn</w:t>
            </w:r>
            <w:r>
              <w:fldChar w:fldCharType="end"/>
            </w:r>
            <w:r>
              <w:rPr>
                <w:color w:val="000000"/>
                <w:spacing w:val="0"/>
                <w:w w:val="100"/>
                <w:position w:val="0"/>
              </w:rPr>
              <w:t>)</w:t>
            </w: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年第二次临时</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临时股东大会</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39.75%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r>
        <w:trPr>
          <w:trHeight w:val="283" w:hRule="exact"/>
        </w:trPr>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w:t>
            </w: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www.cninfo.com.cn</w:t>
            </w:r>
            <w:r>
              <w:fldChar w:fldCharType="end"/>
            </w:r>
            <w:r>
              <w:rPr>
                <w:color w:val="000000"/>
                <w:spacing w:val="0"/>
                <w:w w:val="100"/>
                <w:position w:val="0"/>
              </w:rPr>
              <w:t>)</w:t>
            </w:r>
          </w:p>
        </w:tc>
      </w:tr>
    </w:tbl>
    <w:tbl>
      <w:tblPr>
        <w:tblOverlap w:val="never"/>
        <w:jc w:val="center"/>
        <w:tblLayout w:type="fixed"/>
      </w:tblPr>
      <w:tblGrid>
        <w:gridCol w:w="1814"/>
        <w:gridCol w:w="1382"/>
        <w:gridCol w:w="1594"/>
        <w:gridCol w:w="1277"/>
        <w:gridCol w:w="1277"/>
        <w:gridCol w:w="2237"/>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年度股东大会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巨潮资讯网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www.cninfo.com.cn</w:t>
            </w:r>
            <w:r>
              <w:fldChar w:fldCharType="end"/>
            </w:r>
            <w:r>
              <w:rPr>
                <w:color w:val="000000"/>
                <w:spacing w:val="0"/>
                <w:w w:val="100"/>
                <w:position w:val="0"/>
              </w:rPr>
              <w:t>)</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年第三次临时 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巨潮资讯网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www.cninfo.com.cn</w:t>
            </w:r>
            <w:r>
              <w:fldChar w:fldCharType="end"/>
            </w:r>
            <w:r>
              <w:rPr>
                <w:color w:val="000000"/>
                <w:spacing w:val="0"/>
                <w:w w:val="100"/>
                <w:position w:val="0"/>
              </w:rPr>
              <w:t>)</w:t>
            </w:r>
          </w:p>
        </w:tc>
      </w:tr>
    </w:tbl>
    <w:p>
      <w:pPr>
        <w:pStyle w:val="Style40"/>
        <w:keepNext w:val="0"/>
        <w:keepLines w:val="0"/>
        <w:widowControl w:val="0"/>
        <w:shd w:val="clear" w:color="auto" w:fill="auto"/>
        <w:tabs>
          <w:tab w:pos="7982" w:val="left"/>
        </w:tabs>
        <w:bidi w:val="0"/>
        <w:spacing w:before="0" w:after="0" w:line="240" w:lineRule="auto"/>
        <w:ind w:left="0" w:right="0" w:firstLine="0"/>
        <w:jc w:val="center"/>
      </w:pPr>
      <w:bookmarkStart w:id="519" w:name="bookmark519"/>
      <w:r>
        <w:rPr>
          <w:rFonts w:ascii="Times New Roman" w:eastAsia="Times New Roman" w:hAnsi="Times New Roman" w:cs="Times New Roman"/>
          <w:b/>
          <w:bCs/>
          <w:color w:val="000000"/>
          <w:spacing w:val="0"/>
          <w:w w:val="100"/>
          <w:position w:val="0"/>
        </w:rPr>
        <w:t>2</w:t>
      </w:r>
      <w:r>
        <w:rPr>
          <w:b/>
          <w:bCs/>
          <w:color w:val="000000"/>
          <w:spacing w:val="0"/>
          <w:w w:val="100"/>
          <w:position w:val="0"/>
        </w:rPr>
        <w:t>、表决权恢复的优先股股东请求召开临时股东大会</w:t>
        <w:tab/>
      </w:r>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寸</w:t>
      </w:r>
      <w:r>
        <w:rPr>
          <w:color w:val="000000"/>
          <w:spacing w:val="0"/>
          <w:w w:val="100"/>
          <w:position w:val="0"/>
        </w:rPr>
        <w:t>不适用</w:t>
      </w:r>
      <w:bookmarkEnd w:id="519"/>
    </w:p>
    <w:p>
      <w:pPr>
        <w:widowControl w:val="0"/>
        <w:spacing w:after="279" w:line="1" w:lineRule="exact"/>
      </w:pPr>
    </w:p>
    <w:p>
      <w:pPr>
        <w:pStyle w:val="Style29"/>
        <w:keepNext/>
        <w:keepLines/>
        <w:widowControl w:val="0"/>
        <w:shd w:val="clear" w:color="auto" w:fill="auto"/>
        <w:tabs>
          <w:tab w:pos="517" w:val="left"/>
        </w:tabs>
        <w:bidi w:val="0"/>
        <w:spacing w:before="0" w:after="280" w:line="240" w:lineRule="auto"/>
        <w:ind w:left="0" w:right="0" w:firstLine="0"/>
        <w:jc w:val="left"/>
      </w:pPr>
      <w:bookmarkStart w:id="520" w:name="bookmark520"/>
      <w:bookmarkStart w:id="521" w:name="bookmark521"/>
      <w:bookmarkStart w:id="522" w:name="bookmark522"/>
      <w:bookmarkStart w:id="523" w:name="bookmark523"/>
      <w:r>
        <w:rPr>
          <w:color w:val="000000"/>
          <w:spacing w:val="0"/>
          <w:w w:val="100"/>
          <w:position w:val="0"/>
          <w:sz w:val="24"/>
          <w:szCs w:val="24"/>
        </w:rPr>
        <w:t>五</w:t>
      </w:r>
      <w:bookmarkEnd w:id="522"/>
      <w:r>
        <w:rPr>
          <w:color w:val="000000"/>
          <w:spacing w:val="0"/>
          <w:w w:val="100"/>
          <w:position w:val="0"/>
          <w:sz w:val="24"/>
          <w:szCs w:val="24"/>
        </w:rPr>
        <w:t>、</w:t>
        <w:tab/>
        <w:t>报告期内独立董事履行职责的情况</w:t>
      </w:r>
      <w:bookmarkEnd w:id="520"/>
      <w:bookmarkEnd w:id="521"/>
      <w:bookmarkEnd w:id="523"/>
    </w:p>
    <w:p>
      <w:pPr>
        <w:pStyle w:val="Style37"/>
        <w:keepNext/>
        <w:keepLines/>
        <w:widowControl w:val="0"/>
        <w:shd w:val="clear" w:color="auto" w:fill="auto"/>
        <w:tabs>
          <w:tab w:pos="368" w:val="left"/>
        </w:tabs>
        <w:bidi w:val="0"/>
        <w:spacing w:before="0" w:after="280" w:line="312" w:lineRule="exact"/>
        <w:ind w:left="0" w:right="0" w:firstLine="0"/>
        <w:jc w:val="left"/>
      </w:pPr>
      <w:bookmarkStart w:id="524" w:name="bookmark524"/>
      <w:bookmarkStart w:id="525" w:name="bookmark525"/>
      <w:bookmarkStart w:id="526" w:name="bookmark526"/>
      <w:bookmarkStart w:id="527" w:name="bookmark527"/>
      <w:r>
        <w:rPr>
          <w:rFonts w:ascii="Times New Roman" w:eastAsia="Times New Roman" w:hAnsi="Times New Roman" w:cs="Times New Roman"/>
          <w:color w:val="000000"/>
          <w:spacing w:val="0"/>
          <w:w w:val="100"/>
          <w:position w:val="0"/>
        </w:rPr>
        <w:t>1</w:t>
      </w:r>
      <w:bookmarkEnd w:id="526"/>
      <w:r>
        <w:rPr>
          <w:color w:val="000000"/>
          <w:spacing w:val="0"/>
          <w:w w:val="100"/>
          <w:position w:val="0"/>
        </w:rPr>
        <w:t>、</w:t>
        <w:tab/>
        <w:t>独立董事出席董事会及股东大会的情况</w:t>
      </w:r>
      <w:bookmarkEnd w:id="524"/>
      <w:bookmarkEnd w:id="525"/>
      <w:bookmarkEnd w:id="527"/>
    </w:p>
    <w:p>
      <w:pPr>
        <w:pStyle w:val="Style16"/>
        <w:keepNext w:val="0"/>
        <w:keepLines w:val="0"/>
        <w:widowControl w:val="0"/>
        <w:shd w:val="clear" w:color="auto" w:fill="auto"/>
        <w:bidi w:val="0"/>
        <w:spacing w:before="0" w:after="280" w:line="314" w:lineRule="exact"/>
        <w:ind w:left="0" w:right="0" w:firstLine="440"/>
        <w:jc w:val="both"/>
      </w:pPr>
      <w:r>
        <w:rPr>
          <w:color w:val="000000"/>
          <w:spacing w:val="0"/>
          <w:w w:val="100"/>
          <w:position w:val="0"/>
        </w:rPr>
        <w:t>报告期，公司共召开董事会会议</w:t>
      </w:r>
      <w:r>
        <w:rPr>
          <w:rFonts w:ascii="Times New Roman" w:eastAsia="Times New Roman" w:hAnsi="Times New Roman" w:cs="Times New Roman"/>
          <w:color w:val="000000"/>
          <w:spacing w:val="0"/>
          <w:w w:val="100"/>
          <w:position w:val="0"/>
        </w:rPr>
        <w:t>12</w:t>
      </w:r>
      <w:r>
        <w:rPr>
          <w:color w:val="000000"/>
          <w:spacing w:val="0"/>
          <w:w w:val="100"/>
          <w:position w:val="0"/>
        </w:rPr>
        <w:t>次，现任独立董事徐强国先生亲自出席会议</w:t>
      </w:r>
      <w:r>
        <w:rPr>
          <w:rFonts w:ascii="Times New Roman" w:eastAsia="Times New Roman" w:hAnsi="Times New Roman" w:cs="Times New Roman"/>
          <w:color w:val="000000"/>
          <w:spacing w:val="0"/>
          <w:w w:val="100"/>
          <w:position w:val="0"/>
        </w:rPr>
        <w:t>12</w:t>
      </w:r>
      <w:r>
        <w:rPr>
          <w:color w:val="000000"/>
          <w:spacing w:val="0"/>
          <w:w w:val="100"/>
          <w:position w:val="0"/>
        </w:rPr>
        <w:t>次，邵彬先生、傅 继军先生均亲自出席会议</w:t>
      </w:r>
      <w:r>
        <w:rPr>
          <w:rFonts w:ascii="Times New Roman" w:eastAsia="Times New Roman" w:hAnsi="Times New Roman" w:cs="Times New Roman"/>
          <w:color w:val="000000"/>
          <w:spacing w:val="0"/>
          <w:w w:val="100"/>
          <w:position w:val="0"/>
        </w:rPr>
        <w:t>10</w:t>
      </w:r>
      <w:r>
        <w:rPr>
          <w:color w:val="000000"/>
          <w:spacing w:val="0"/>
          <w:w w:val="100"/>
          <w:position w:val="0"/>
        </w:rPr>
        <w:t>次，已离任独立董事张李平先生、周春生先生均亲自出席会议</w:t>
      </w:r>
      <w:r>
        <w:rPr>
          <w:rFonts w:ascii="Times New Roman" w:eastAsia="Times New Roman" w:hAnsi="Times New Roman" w:cs="Times New Roman"/>
          <w:color w:val="000000"/>
          <w:spacing w:val="0"/>
          <w:w w:val="100"/>
          <w:position w:val="0"/>
        </w:rPr>
        <w:t>2</w:t>
      </w:r>
      <w:r>
        <w:rPr>
          <w:color w:val="000000"/>
          <w:spacing w:val="0"/>
          <w:w w:val="100"/>
          <w:position w:val="0"/>
        </w:rPr>
        <w:t>次。期内， 独立董事出席股东大会</w:t>
      </w:r>
      <w:r>
        <w:rPr>
          <w:rFonts w:ascii="Times New Roman" w:eastAsia="Times New Roman" w:hAnsi="Times New Roman" w:cs="Times New Roman"/>
          <w:color w:val="000000"/>
          <w:spacing w:val="0"/>
          <w:w w:val="100"/>
          <w:position w:val="0"/>
        </w:rPr>
        <w:t>4</w:t>
      </w:r>
      <w:r>
        <w:rPr>
          <w:color w:val="000000"/>
          <w:spacing w:val="0"/>
          <w:w w:val="100"/>
          <w:position w:val="0"/>
        </w:rPr>
        <w:t>次。</w:t>
      </w:r>
    </w:p>
    <w:p>
      <w:pPr>
        <w:pStyle w:val="Style37"/>
        <w:keepNext/>
        <w:keepLines/>
        <w:widowControl w:val="0"/>
        <w:shd w:val="clear" w:color="auto" w:fill="auto"/>
        <w:tabs>
          <w:tab w:pos="378" w:val="left"/>
        </w:tabs>
        <w:bidi w:val="0"/>
        <w:spacing w:before="0" w:after="280" w:line="312" w:lineRule="exact"/>
        <w:ind w:left="0" w:right="0" w:firstLine="0"/>
        <w:jc w:val="left"/>
      </w:pPr>
      <w:bookmarkStart w:id="528" w:name="bookmark528"/>
      <w:bookmarkStart w:id="529" w:name="bookmark529"/>
      <w:bookmarkStart w:id="530" w:name="bookmark530"/>
      <w:bookmarkStart w:id="531" w:name="bookmark531"/>
      <w:r>
        <w:rPr>
          <w:rFonts w:ascii="Times New Roman" w:eastAsia="Times New Roman" w:hAnsi="Times New Roman" w:cs="Times New Roman"/>
          <w:color w:val="000000"/>
          <w:spacing w:val="0"/>
          <w:w w:val="100"/>
          <w:position w:val="0"/>
        </w:rPr>
        <w:t>2</w:t>
      </w:r>
      <w:bookmarkEnd w:id="530"/>
      <w:r>
        <w:rPr>
          <w:color w:val="000000"/>
          <w:spacing w:val="0"/>
          <w:w w:val="100"/>
          <w:position w:val="0"/>
        </w:rPr>
        <w:t>、</w:t>
        <w:tab/>
        <w:t>独立董事对公司有关事项提出异议的情况</w:t>
      </w:r>
      <w:bookmarkEnd w:id="528"/>
      <w:bookmarkEnd w:id="529"/>
      <w:bookmarkEnd w:id="531"/>
    </w:p>
    <w:p>
      <w:pPr>
        <w:pStyle w:val="Style16"/>
        <w:keepNext w:val="0"/>
        <w:keepLines w:val="0"/>
        <w:widowControl w:val="0"/>
        <w:shd w:val="clear" w:color="auto" w:fill="auto"/>
        <w:tabs>
          <w:tab w:pos="8611" w:val="left"/>
        </w:tabs>
        <w:bidi w:val="0"/>
        <w:spacing w:before="0" w:after="40" w:line="312" w:lineRule="exact"/>
        <w:ind w:left="0" w:right="0" w:firstLine="0"/>
        <w:jc w:val="left"/>
      </w:pPr>
      <w:r>
        <w:rPr>
          <w:color w:val="000000"/>
          <w:spacing w:val="0"/>
          <w:w w:val="100"/>
          <w:position w:val="0"/>
        </w:rPr>
        <w:t>独立董事对公司有关事项是否提出异议</w:t>
        <w:tab/>
      </w:r>
      <w:r>
        <w:rPr>
          <w:color w:val="000000"/>
          <w:spacing w:val="0"/>
          <w:w w:val="100"/>
          <w:position w:val="0"/>
        </w:rPr>
        <w:t>口</w:t>
      </w:r>
      <w:r>
        <w:rPr>
          <w:color w:val="000000"/>
          <w:spacing w:val="0"/>
          <w:w w:val="100"/>
          <w:position w:val="0"/>
        </w:rPr>
        <w:t>是</w:t>
      </w:r>
      <w:r>
        <w:rPr>
          <w:color w:val="000000"/>
          <w:spacing w:val="0"/>
          <w:w w:val="100"/>
          <w:position w:val="0"/>
        </w:rPr>
        <w:t>寸</w:t>
      </w:r>
      <w:r>
        <w:rPr>
          <w:color w:val="000000"/>
          <w:spacing w:val="0"/>
          <w:w w:val="100"/>
          <w:position w:val="0"/>
        </w:rPr>
        <w:t>否</w:t>
      </w:r>
    </w:p>
    <w:p>
      <w:pPr>
        <w:pStyle w:val="Style16"/>
        <w:keepNext w:val="0"/>
        <w:keepLines w:val="0"/>
        <w:widowControl w:val="0"/>
        <w:shd w:val="clear" w:color="auto" w:fill="auto"/>
        <w:bidi w:val="0"/>
        <w:spacing w:before="0" w:after="360" w:line="312" w:lineRule="exact"/>
        <w:ind w:left="0" w:right="0" w:firstLine="440"/>
        <w:jc w:val="both"/>
      </w:pPr>
      <w:r>
        <w:rPr>
          <w:color w:val="000000"/>
          <w:spacing w:val="0"/>
          <w:w w:val="100"/>
          <w:position w:val="0"/>
        </w:rPr>
        <w:t>报告期独立董事对公司有关事项未提出异议。</w:t>
      </w:r>
    </w:p>
    <w:p>
      <w:pPr>
        <w:pStyle w:val="Style37"/>
        <w:keepNext/>
        <w:keepLines/>
        <w:widowControl w:val="0"/>
        <w:shd w:val="clear" w:color="auto" w:fill="auto"/>
        <w:tabs>
          <w:tab w:pos="378" w:val="left"/>
        </w:tabs>
        <w:bidi w:val="0"/>
        <w:spacing w:before="0" w:after="220" w:line="326" w:lineRule="auto"/>
        <w:ind w:left="0" w:right="0" w:firstLine="0"/>
        <w:jc w:val="left"/>
      </w:pPr>
      <w:bookmarkStart w:id="532" w:name="bookmark532"/>
      <w:bookmarkStart w:id="533" w:name="bookmark533"/>
      <w:bookmarkStart w:id="534" w:name="bookmark534"/>
      <w:bookmarkStart w:id="535" w:name="bookmark535"/>
      <w:r>
        <w:rPr>
          <w:rFonts w:ascii="Times New Roman" w:eastAsia="Times New Roman" w:hAnsi="Times New Roman" w:cs="Times New Roman"/>
          <w:color w:val="000000"/>
          <w:spacing w:val="0"/>
          <w:w w:val="100"/>
          <w:position w:val="0"/>
        </w:rPr>
        <w:t>3</w:t>
      </w:r>
      <w:bookmarkEnd w:id="534"/>
      <w:r>
        <w:rPr>
          <w:color w:val="000000"/>
          <w:spacing w:val="0"/>
          <w:w w:val="100"/>
          <w:position w:val="0"/>
        </w:rPr>
        <w:t>、</w:t>
        <w:tab/>
        <w:t>独立董事履行职责的其他说明</w:t>
      </w:r>
      <w:bookmarkEnd w:id="532"/>
      <w:bookmarkEnd w:id="533"/>
      <w:bookmarkEnd w:id="535"/>
    </w:p>
    <w:p>
      <w:pPr>
        <w:pStyle w:val="Style16"/>
        <w:keepNext w:val="0"/>
        <w:keepLines w:val="0"/>
        <w:widowControl w:val="0"/>
        <w:shd w:val="clear" w:color="auto" w:fill="auto"/>
        <w:tabs>
          <w:tab w:pos="8611" w:val="left"/>
        </w:tabs>
        <w:bidi w:val="0"/>
        <w:spacing w:before="0" w:after="40" w:line="312" w:lineRule="exact"/>
        <w:ind w:left="0" w:right="0" w:firstLine="0"/>
        <w:jc w:val="left"/>
      </w:pPr>
      <w:r>
        <w:rPr>
          <w:color w:val="000000"/>
          <w:spacing w:val="0"/>
          <w:w w:val="100"/>
          <w:position w:val="0"/>
        </w:rPr>
        <w:t>独立董事对公司有关建议是否被采纳</w:t>
        <w:tab/>
      </w:r>
      <w:r>
        <w:rPr>
          <w:color w:val="000000"/>
          <w:spacing w:val="0"/>
          <w:w w:val="100"/>
          <w:position w:val="0"/>
        </w:rPr>
        <w:t>寸</w:t>
      </w:r>
      <w:r>
        <w:rPr>
          <w:color w:val="000000"/>
          <w:spacing w:val="0"/>
          <w:w w:val="100"/>
          <w:position w:val="0"/>
        </w:rPr>
        <w:t>是</w:t>
      </w:r>
      <w:r>
        <w:rPr>
          <w:color w:val="000000"/>
          <w:spacing w:val="0"/>
          <w:w w:val="100"/>
          <w:position w:val="0"/>
        </w:rPr>
        <w:t>口</w:t>
      </w:r>
      <w:r>
        <w:rPr>
          <w:color w:val="000000"/>
          <w:spacing w:val="0"/>
          <w:w w:val="100"/>
          <w:position w:val="0"/>
        </w:rPr>
        <w:t>否</w:t>
      </w:r>
    </w:p>
    <w:p>
      <w:pPr>
        <w:pStyle w:val="Style16"/>
        <w:keepNext w:val="0"/>
        <w:keepLines w:val="0"/>
        <w:widowControl w:val="0"/>
        <w:shd w:val="clear" w:color="auto" w:fill="auto"/>
        <w:bidi w:val="0"/>
        <w:spacing w:before="0" w:after="40" w:line="312" w:lineRule="exact"/>
        <w:ind w:left="0" w:right="0" w:firstLine="0"/>
        <w:jc w:val="left"/>
      </w:pPr>
      <w:r>
        <w:rPr>
          <w:color w:val="000000"/>
          <w:spacing w:val="0"/>
          <w:w w:val="100"/>
          <w:position w:val="0"/>
        </w:rPr>
        <w:t>独立董事对公司有关建议被采纳或未被采纳的说明</w:t>
      </w:r>
    </w:p>
    <w:p>
      <w:pPr>
        <w:pStyle w:val="Style16"/>
        <w:keepNext w:val="0"/>
        <w:keepLines w:val="0"/>
        <w:widowControl w:val="0"/>
        <w:shd w:val="clear" w:color="auto" w:fill="auto"/>
        <w:bidi w:val="0"/>
        <w:spacing w:before="0" w:after="360" w:line="312" w:lineRule="exact"/>
        <w:ind w:left="0" w:right="0" w:firstLine="440"/>
        <w:jc w:val="both"/>
      </w:pPr>
      <w:r>
        <w:rPr>
          <w:color w:val="000000"/>
          <w:spacing w:val="0"/>
          <w:w w:val="100"/>
          <w:position w:val="0"/>
        </w:rPr>
        <w:t>报告期，公司独立董事严格按照有关法律、法规和《公司章程》的规定，关注公司运作，独立履行职 责，对公司经营决策提出专业性意见，对报告期需要独立董事发表意见的事项出具独立、公正意见，为完 善公司监督机制，维护公司和股东特别是中小股东合法权益发挥应有作用。</w:t>
      </w:r>
    </w:p>
    <w:p>
      <w:pPr>
        <w:pStyle w:val="Style29"/>
        <w:keepNext/>
        <w:keepLines/>
        <w:widowControl w:val="0"/>
        <w:shd w:val="clear" w:color="auto" w:fill="auto"/>
        <w:tabs>
          <w:tab w:pos="517" w:val="left"/>
        </w:tabs>
        <w:bidi w:val="0"/>
        <w:spacing w:before="0" w:after="280" w:line="240" w:lineRule="auto"/>
        <w:ind w:left="0" w:right="0" w:firstLine="0"/>
        <w:jc w:val="left"/>
      </w:pPr>
      <w:bookmarkStart w:id="536" w:name="bookmark536"/>
      <w:bookmarkStart w:id="537" w:name="bookmark537"/>
      <w:bookmarkStart w:id="538" w:name="bookmark538"/>
      <w:bookmarkStart w:id="539" w:name="bookmark539"/>
      <w:r>
        <w:rPr>
          <w:color w:val="000000"/>
          <w:spacing w:val="0"/>
          <w:w w:val="100"/>
          <w:position w:val="0"/>
          <w:sz w:val="24"/>
          <w:szCs w:val="24"/>
        </w:rPr>
        <w:t>六</w:t>
      </w:r>
      <w:bookmarkEnd w:id="538"/>
      <w:r>
        <w:rPr>
          <w:color w:val="000000"/>
          <w:spacing w:val="0"/>
          <w:w w:val="100"/>
          <w:position w:val="0"/>
          <w:sz w:val="24"/>
          <w:szCs w:val="24"/>
        </w:rPr>
        <w:t>、</w:t>
        <w:tab/>
        <w:t>董事会下设专门委员会在报告期内履行职责情况</w:t>
      </w:r>
      <w:bookmarkEnd w:id="536"/>
      <w:bookmarkEnd w:id="537"/>
      <w:bookmarkEnd w:id="539"/>
    </w:p>
    <w:p>
      <w:pPr>
        <w:pStyle w:val="Style16"/>
        <w:keepNext w:val="0"/>
        <w:keepLines w:val="0"/>
        <w:widowControl w:val="0"/>
        <w:shd w:val="clear" w:color="auto" w:fill="auto"/>
        <w:bidi w:val="0"/>
        <w:spacing w:before="0" w:after="80" w:line="312" w:lineRule="exact"/>
        <w:ind w:left="0" w:right="0" w:firstLine="440"/>
        <w:jc w:val="left"/>
      </w:pPr>
      <w:r>
        <w:rPr>
          <w:color w:val="000000"/>
          <w:spacing w:val="0"/>
          <w:w w:val="100"/>
          <w:position w:val="0"/>
        </w:rPr>
        <w:t>公司董事会下设战略委员会、审计委员会、提名委员会、薪酬与考核委员会等四个专门委员会，各专 门委员会委员依据《公司章程》及有关规定，认真履行职责，就专业性事项进行研究，提出意见及建议， 供董事会决策参考。根据《公司章程》，专门委员会成员全部由董事组成，各专门委员会报告期履行职责 情况如下：</w:t>
      </w:r>
    </w:p>
    <w:p>
      <w:pPr>
        <w:pStyle w:val="Style16"/>
        <w:keepNext w:val="0"/>
        <w:keepLines w:val="0"/>
        <w:widowControl w:val="0"/>
        <w:shd w:val="clear" w:color="auto" w:fill="auto"/>
        <w:tabs>
          <w:tab w:pos="794" w:val="left"/>
        </w:tabs>
        <w:bidi w:val="0"/>
        <w:spacing w:before="0" w:after="0"/>
        <w:ind w:left="0" w:right="0" w:firstLine="440"/>
        <w:jc w:val="both"/>
      </w:pPr>
      <w:bookmarkStart w:id="540" w:name="bookmark540"/>
      <w:r>
        <w:rPr>
          <w:rFonts w:ascii="Times New Roman" w:eastAsia="Times New Roman" w:hAnsi="Times New Roman" w:cs="Times New Roman"/>
          <w:color w:val="000000"/>
          <w:spacing w:val="0"/>
          <w:w w:val="100"/>
          <w:position w:val="0"/>
        </w:rPr>
        <w:t>1</w:t>
      </w:r>
      <w:bookmarkEnd w:id="540"/>
      <w:r>
        <w:rPr>
          <w:color w:val="000000"/>
          <w:spacing w:val="0"/>
          <w:w w:val="100"/>
          <w:position w:val="0"/>
        </w:rPr>
        <w:t>、</w:t>
        <w:tab/>
        <w:t>董事会战略委员会</w:t>
      </w:r>
    </w:p>
    <w:p>
      <w:pPr>
        <w:pStyle w:val="Style16"/>
        <w:keepNext w:val="0"/>
        <w:keepLines w:val="0"/>
        <w:widowControl w:val="0"/>
        <w:shd w:val="clear" w:color="auto" w:fill="auto"/>
        <w:bidi w:val="0"/>
        <w:spacing w:before="0" w:after="80" w:line="312" w:lineRule="exact"/>
        <w:ind w:left="0" w:right="0" w:firstLine="440"/>
        <w:jc w:val="left"/>
      </w:pPr>
      <w:r>
        <w:rPr>
          <w:color w:val="000000"/>
          <w:spacing w:val="0"/>
          <w:w w:val="100"/>
          <w:position w:val="0"/>
        </w:rPr>
        <w:t>报告期，董事会战略委员会勤勉尽责地履行职责，及时对公司战略规划等事项进行研究。</w:t>
      </w:r>
    </w:p>
    <w:p>
      <w:pPr>
        <w:pStyle w:val="Style16"/>
        <w:keepNext w:val="0"/>
        <w:keepLines w:val="0"/>
        <w:widowControl w:val="0"/>
        <w:shd w:val="clear" w:color="auto" w:fill="auto"/>
        <w:tabs>
          <w:tab w:pos="813" w:val="left"/>
        </w:tabs>
        <w:bidi w:val="0"/>
        <w:spacing w:before="0" w:after="0"/>
        <w:ind w:left="0" w:right="0" w:firstLine="440"/>
        <w:jc w:val="both"/>
      </w:pPr>
      <w:bookmarkStart w:id="541" w:name="bookmark541"/>
      <w:r>
        <w:rPr>
          <w:rFonts w:ascii="Times New Roman" w:eastAsia="Times New Roman" w:hAnsi="Times New Roman" w:cs="Times New Roman"/>
          <w:color w:val="000000"/>
          <w:spacing w:val="0"/>
          <w:w w:val="100"/>
          <w:position w:val="0"/>
        </w:rPr>
        <w:t>2</w:t>
      </w:r>
      <w:bookmarkEnd w:id="541"/>
      <w:r>
        <w:rPr>
          <w:color w:val="000000"/>
          <w:spacing w:val="0"/>
          <w:w w:val="100"/>
          <w:position w:val="0"/>
        </w:rPr>
        <w:t>、</w:t>
        <w:tab/>
        <w:t>董事会审计委员会</w:t>
      </w:r>
    </w:p>
    <w:p>
      <w:pPr>
        <w:pStyle w:val="Style16"/>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报告期内，董事会审计委员会对大华会计师事务所(特殊普通合伙)</w:t>
      </w:r>
      <w:r>
        <w:rPr>
          <w:rFonts w:ascii="Times New Roman" w:eastAsia="Times New Roman" w:hAnsi="Times New Roman" w:cs="Times New Roman"/>
          <w:color w:val="000000"/>
          <w:spacing w:val="0"/>
          <w:w w:val="100"/>
          <w:position w:val="0"/>
        </w:rPr>
        <w:t>2019</w:t>
      </w:r>
      <w:r>
        <w:rPr>
          <w:color w:val="000000"/>
          <w:spacing w:val="0"/>
          <w:w w:val="100"/>
          <w:position w:val="0"/>
        </w:rPr>
        <w:t>年度财务报告审计情况进行 讨论，就审计过程中发现的问题进行了沟通和交流；审核了公司</w:t>
      </w:r>
      <w:r>
        <w:rPr>
          <w:rFonts w:ascii="Times New Roman" w:eastAsia="Times New Roman" w:hAnsi="Times New Roman" w:cs="Times New Roman"/>
          <w:color w:val="000000"/>
          <w:spacing w:val="0"/>
          <w:w w:val="100"/>
          <w:position w:val="0"/>
        </w:rPr>
        <w:t>2019</w:t>
      </w:r>
      <w:r>
        <w:rPr>
          <w:color w:val="000000"/>
          <w:spacing w:val="0"/>
          <w:w w:val="100"/>
          <w:position w:val="0"/>
        </w:rPr>
        <w:t>年年度报告及</w:t>
      </w:r>
      <w:r>
        <w:rPr>
          <w:rFonts w:ascii="Times New Roman" w:eastAsia="Times New Roman" w:hAnsi="Times New Roman" w:cs="Times New Roman"/>
          <w:color w:val="000000"/>
          <w:spacing w:val="0"/>
          <w:w w:val="100"/>
          <w:position w:val="0"/>
        </w:rPr>
        <w:t>2020</w:t>
      </w:r>
      <w:r>
        <w:rPr>
          <w:color w:val="000000"/>
          <w:spacing w:val="0"/>
          <w:w w:val="100"/>
          <w:position w:val="0"/>
        </w:rPr>
        <w:t>年各定期报告；审 核并听取了公司</w:t>
      </w:r>
      <w:r>
        <w:rPr>
          <w:rFonts w:ascii="Times New Roman" w:eastAsia="Times New Roman" w:hAnsi="Times New Roman" w:cs="Times New Roman"/>
          <w:color w:val="000000"/>
          <w:spacing w:val="0"/>
          <w:w w:val="100"/>
          <w:position w:val="0"/>
        </w:rPr>
        <w:t>2020</w:t>
      </w:r>
      <w:r>
        <w:rPr>
          <w:color w:val="000000"/>
          <w:spacing w:val="0"/>
          <w:w w:val="100"/>
          <w:position w:val="0"/>
        </w:rPr>
        <w:t>年度审计工作计划和内审工作季度汇报；向董事会提议续聘大华会计师事务所(特殊 普通合伙)为</w:t>
      </w:r>
      <w:r>
        <w:rPr>
          <w:rFonts w:ascii="Times New Roman" w:eastAsia="Times New Roman" w:hAnsi="Times New Roman" w:cs="Times New Roman"/>
          <w:color w:val="000000"/>
          <w:spacing w:val="0"/>
          <w:w w:val="100"/>
          <w:position w:val="0"/>
        </w:rPr>
        <w:t>2020</w:t>
      </w:r>
      <w:r>
        <w:rPr>
          <w:color w:val="000000"/>
          <w:spacing w:val="0"/>
          <w:w w:val="100"/>
          <w:position w:val="0"/>
        </w:rPr>
        <w:t>年度财务审计机构。</w:t>
      </w:r>
    </w:p>
    <w:p>
      <w:pPr>
        <w:pStyle w:val="Style16"/>
        <w:keepNext w:val="0"/>
        <w:keepLines w:val="0"/>
        <w:widowControl w:val="0"/>
        <w:shd w:val="clear" w:color="auto" w:fill="auto"/>
        <w:tabs>
          <w:tab w:pos="813" w:val="left"/>
        </w:tabs>
        <w:bidi w:val="0"/>
        <w:spacing w:before="0" w:after="0"/>
        <w:ind w:left="0" w:right="0" w:firstLine="440"/>
        <w:jc w:val="both"/>
      </w:pPr>
      <w:bookmarkStart w:id="542" w:name="bookmark542"/>
      <w:r>
        <w:rPr>
          <w:rFonts w:ascii="Times New Roman" w:eastAsia="Times New Roman" w:hAnsi="Times New Roman" w:cs="Times New Roman"/>
          <w:color w:val="000000"/>
          <w:spacing w:val="0"/>
          <w:w w:val="100"/>
          <w:position w:val="0"/>
        </w:rPr>
        <w:t>3</w:t>
      </w:r>
      <w:bookmarkEnd w:id="542"/>
      <w:r>
        <w:rPr>
          <w:color w:val="000000"/>
          <w:spacing w:val="0"/>
          <w:w w:val="100"/>
          <w:position w:val="0"/>
        </w:rPr>
        <w:t>、</w:t>
        <w:tab/>
        <w:t>董事会提名委员会</w:t>
      </w:r>
    </w:p>
    <w:p>
      <w:pPr>
        <w:pStyle w:val="Style1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 xml:space="preserve">报告期，董事会提名委员会积极开展工作，审查了股东提名的第四届董事会董事候选人任职资格和财 </w:t>
      </w:r>
      <w:r>
        <w:rPr>
          <w:color w:val="000000"/>
          <w:spacing w:val="0"/>
          <w:w w:val="100"/>
          <w:position w:val="0"/>
        </w:rPr>
        <w:t>务总监候选人任职资格。</w:t>
      </w:r>
    </w:p>
    <w:p>
      <w:pPr>
        <w:pStyle w:val="Style16"/>
        <w:keepNext w:val="0"/>
        <w:keepLines w:val="0"/>
        <w:widowControl w:val="0"/>
        <w:shd w:val="clear" w:color="auto" w:fill="auto"/>
        <w:bidi w:val="0"/>
        <w:spacing w:before="0" w:after="0" w:line="317" w:lineRule="exact"/>
        <w:ind w:left="0" w:right="0" w:firstLine="440"/>
        <w:jc w:val="both"/>
      </w:pPr>
      <w:bookmarkStart w:id="543" w:name="bookmark543"/>
      <w:r>
        <w:rPr>
          <w:rFonts w:ascii="Times New Roman" w:eastAsia="Times New Roman" w:hAnsi="Times New Roman" w:cs="Times New Roman"/>
          <w:color w:val="000000"/>
          <w:spacing w:val="0"/>
          <w:w w:val="100"/>
          <w:position w:val="0"/>
        </w:rPr>
        <w:t>4</w:t>
      </w:r>
      <w:bookmarkEnd w:id="543"/>
      <w:r>
        <w:rPr>
          <w:color w:val="000000"/>
          <w:spacing w:val="0"/>
          <w:w w:val="100"/>
          <w:position w:val="0"/>
        </w:rPr>
        <w:t>、董事会薪酬与考核委员会</w:t>
      </w:r>
    </w:p>
    <w:p>
      <w:pPr>
        <w:pStyle w:val="Style16"/>
        <w:keepNext w:val="0"/>
        <w:keepLines w:val="0"/>
        <w:widowControl w:val="0"/>
        <w:shd w:val="clear" w:color="auto" w:fill="auto"/>
        <w:bidi w:val="0"/>
        <w:spacing w:before="0" w:after="340" w:line="317" w:lineRule="exact"/>
        <w:ind w:left="0" w:right="0" w:firstLine="440"/>
        <w:jc w:val="both"/>
      </w:pPr>
      <w:r>
        <w:rPr>
          <w:color w:val="000000"/>
          <w:spacing w:val="0"/>
          <w:w w:val="100"/>
          <w:position w:val="0"/>
        </w:rPr>
        <w:t>报告期，董事会薪酬与考核委员会审议了《高管薪酬管理制度》，根据相关规定对公司董事、高级管 理人员薪酬进行审查。</w:t>
      </w:r>
    </w:p>
    <w:p>
      <w:pPr>
        <w:pStyle w:val="Style29"/>
        <w:keepNext/>
        <w:keepLines/>
        <w:widowControl w:val="0"/>
        <w:shd w:val="clear" w:color="auto" w:fill="auto"/>
        <w:tabs>
          <w:tab w:pos="522" w:val="left"/>
        </w:tabs>
        <w:bidi w:val="0"/>
        <w:spacing w:before="0" w:after="280" w:line="240" w:lineRule="auto"/>
        <w:ind w:left="0" w:right="0" w:firstLine="0"/>
        <w:jc w:val="left"/>
      </w:pPr>
      <w:bookmarkStart w:id="544" w:name="bookmark544"/>
      <w:bookmarkStart w:id="545" w:name="bookmark545"/>
      <w:bookmarkStart w:id="546" w:name="bookmark546"/>
      <w:bookmarkStart w:id="547" w:name="bookmark547"/>
      <w:r>
        <w:rPr>
          <w:color w:val="000000"/>
          <w:spacing w:val="0"/>
          <w:w w:val="100"/>
          <w:position w:val="0"/>
          <w:sz w:val="24"/>
          <w:szCs w:val="24"/>
        </w:rPr>
        <w:t>七</w:t>
      </w:r>
      <w:bookmarkEnd w:id="546"/>
      <w:r>
        <w:rPr>
          <w:color w:val="000000"/>
          <w:spacing w:val="0"/>
          <w:w w:val="100"/>
          <w:position w:val="0"/>
          <w:sz w:val="24"/>
          <w:szCs w:val="24"/>
        </w:rPr>
        <w:t>、</w:t>
        <w:tab/>
        <w:t>监事会工作情况</w:t>
      </w:r>
      <w:bookmarkEnd w:id="544"/>
      <w:bookmarkEnd w:id="545"/>
      <w:bookmarkEnd w:id="547"/>
    </w:p>
    <w:p>
      <w:pPr>
        <w:pStyle w:val="Style16"/>
        <w:keepNext w:val="0"/>
        <w:keepLines w:val="0"/>
        <w:widowControl w:val="0"/>
        <w:shd w:val="clear" w:color="auto" w:fill="auto"/>
        <w:tabs>
          <w:tab w:pos="8566" w:val="left"/>
        </w:tabs>
        <w:bidi w:val="0"/>
        <w:spacing w:before="0" w:after="0" w:line="314" w:lineRule="exact"/>
        <w:ind w:left="0" w:right="0" w:firstLine="0"/>
        <w:jc w:val="left"/>
      </w:pPr>
      <w:r>
        <w:rPr>
          <w:color w:val="000000"/>
          <w:spacing w:val="0"/>
          <w:w w:val="100"/>
          <w:position w:val="0"/>
        </w:rPr>
        <w:t>监事会在报告期内的监督活动中发现公司是否存在风险</w:t>
        <w:tab/>
      </w:r>
      <w:r>
        <w:rPr>
          <w:color w:val="000000"/>
          <w:spacing w:val="0"/>
          <w:w w:val="100"/>
          <w:position w:val="0"/>
        </w:rPr>
        <w:t>口</w:t>
      </w:r>
      <w:r>
        <w:rPr>
          <w:color w:val="000000"/>
          <w:spacing w:val="0"/>
          <w:w w:val="100"/>
          <w:position w:val="0"/>
        </w:rPr>
        <w:t>是</w:t>
      </w:r>
      <w:r>
        <w:rPr>
          <w:color w:val="000000"/>
          <w:spacing w:val="0"/>
          <w:w w:val="100"/>
          <w:position w:val="0"/>
        </w:rPr>
        <w:t>寸</w:t>
      </w:r>
      <w:r>
        <w:rPr>
          <w:color w:val="000000"/>
          <w:spacing w:val="0"/>
          <w:w w:val="100"/>
          <w:position w:val="0"/>
        </w:rPr>
        <w:t>否</w:t>
      </w:r>
    </w:p>
    <w:p>
      <w:pPr>
        <w:pStyle w:val="Style16"/>
        <w:keepNext w:val="0"/>
        <w:keepLines w:val="0"/>
        <w:widowControl w:val="0"/>
        <w:shd w:val="clear" w:color="auto" w:fill="auto"/>
        <w:bidi w:val="0"/>
        <w:spacing w:before="0" w:after="340" w:line="314" w:lineRule="exact"/>
        <w:ind w:left="0" w:right="0" w:firstLine="440"/>
        <w:jc w:val="both"/>
      </w:pPr>
      <w:r>
        <w:rPr>
          <w:color w:val="000000"/>
          <w:spacing w:val="0"/>
          <w:w w:val="100"/>
          <w:position w:val="0"/>
        </w:rPr>
        <w:t>监事会对报告期的监督事项无异议。</w:t>
      </w:r>
    </w:p>
    <w:p>
      <w:pPr>
        <w:pStyle w:val="Style29"/>
        <w:keepNext/>
        <w:keepLines/>
        <w:widowControl w:val="0"/>
        <w:shd w:val="clear" w:color="auto" w:fill="auto"/>
        <w:tabs>
          <w:tab w:pos="522" w:val="left"/>
        </w:tabs>
        <w:bidi w:val="0"/>
        <w:spacing w:before="0" w:after="280" w:line="240" w:lineRule="auto"/>
        <w:ind w:left="0" w:right="0" w:firstLine="0"/>
        <w:jc w:val="left"/>
      </w:pPr>
      <w:bookmarkStart w:id="548" w:name="bookmark548"/>
      <w:bookmarkStart w:id="549" w:name="bookmark549"/>
      <w:bookmarkStart w:id="550" w:name="bookmark550"/>
      <w:bookmarkStart w:id="551" w:name="bookmark551"/>
      <w:r>
        <w:rPr>
          <w:color w:val="000000"/>
          <w:spacing w:val="0"/>
          <w:w w:val="100"/>
          <w:position w:val="0"/>
          <w:sz w:val="24"/>
          <w:szCs w:val="24"/>
        </w:rPr>
        <w:t>八</w:t>
      </w:r>
      <w:bookmarkEnd w:id="550"/>
      <w:r>
        <w:rPr>
          <w:color w:val="000000"/>
          <w:spacing w:val="0"/>
          <w:w w:val="100"/>
          <w:position w:val="0"/>
          <w:sz w:val="24"/>
          <w:szCs w:val="24"/>
        </w:rPr>
        <w:t>、</w:t>
        <w:tab/>
        <w:t>高级管理人员的考评及激励情况</w:t>
      </w:r>
      <w:bookmarkEnd w:id="548"/>
      <w:bookmarkEnd w:id="549"/>
      <w:bookmarkEnd w:id="551"/>
    </w:p>
    <w:p>
      <w:pPr>
        <w:pStyle w:val="Style16"/>
        <w:keepNext w:val="0"/>
        <w:keepLines w:val="0"/>
        <w:widowControl w:val="0"/>
        <w:shd w:val="clear" w:color="auto" w:fill="auto"/>
        <w:bidi w:val="0"/>
        <w:spacing w:before="0" w:after="340" w:line="312" w:lineRule="exact"/>
        <w:ind w:left="0" w:right="0" w:firstLine="440"/>
        <w:jc w:val="both"/>
      </w:pPr>
      <w:r>
        <w:rPr>
          <w:color w:val="000000"/>
          <w:spacing w:val="0"/>
          <w:w w:val="100"/>
          <w:position w:val="0"/>
        </w:rPr>
        <w:t>公司高级管理人员直接对董事会负责，接受董事会的考核，实行责权利统一的激励机制。高级管理人 员实行年薪制，薪资标准依据行业薪酬水平、企业经营效益、高管岗位职级等因素确定。年终对高管人员 的履职情况和年度业绩情况予以考核，根据考核结果发放年度绩效奖金。</w:t>
      </w:r>
    </w:p>
    <w:p>
      <w:pPr>
        <w:pStyle w:val="Style29"/>
        <w:keepNext/>
        <w:keepLines/>
        <w:widowControl w:val="0"/>
        <w:shd w:val="clear" w:color="auto" w:fill="auto"/>
        <w:tabs>
          <w:tab w:pos="522" w:val="left"/>
        </w:tabs>
        <w:bidi w:val="0"/>
        <w:spacing w:before="0" w:after="280" w:line="240" w:lineRule="auto"/>
        <w:ind w:left="0" w:right="0" w:firstLine="0"/>
        <w:jc w:val="left"/>
      </w:pPr>
      <w:bookmarkStart w:id="552" w:name="bookmark552"/>
      <w:bookmarkStart w:id="553" w:name="bookmark553"/>
      <w:bookmarkStart w:id="554" w:name="bookmark554"/>
      <w:bookmarkStart w:id="555" w:name="bookmark555"/>
      <w:r>
        <w:rPr>
          <w:color w:val="000000"/>
          <w:spacing w:val="0"/>
          <w:w w:val="100"/>
          <w:position w:val="0"/>
          <w:sz w:val="24"/>
          <w:szCs w:val="24"/>
        </w:rPr>
        <w:t>九</w:t>
      </w:r>
      <w:bookmarkEnd w:id="554"/>
      <w:r>
        <w:rPr>
          <w:color w:val="000000"/>
          <w:spacing w:val="0"/>
          <w:w w:val="100"/>
          <w:position w:val="0"/>
          <w:sz w:val="24"/>
          <w:szCs w:val="24"/>
        </w:rPr>
        <w:t>、</w:t>
        <w:tab/>
        <w:t>内部控制评价报告</w:t>
      </w:r>
      <w:bookmarkEnd w:id="552"/>
      <w:bookmarkEnd w:id="553"/>
      <w:bookmarkEnd w:id="555"/>
    </w:p>
    <w:p>
      <w:pPr>
        <w:pStyle w:val="Style16"/>
        <w:keepNext w:val="0"/>
        <w:keepLines w:val="0"/>
        <w:widowControl w:val="0"/>
        <w:shd w:val="clear" w:color="auto" w:fill="auto"/>
        <w:tabs>
          <w:tab w:pos="8566" w:val="left"/>
        </w:tabs>
        <w:bidi w:val="0"/>
        <w:spacing w:before="0" w:after="340" w:line="314" w:lineRule="exact"/>
        <w:ind w:left="0" w:right="0" w:firstLine="0"/>
        <w:jc w:val="left"/>
      </w:pPr>
      <w:bookmarkStart w:id="556" w:name="bookmark556"/>
      <w:bookmarkStart w:id="557" w:name="bookmark557"/>
      <w:r>
        <w:rPr>
          <w:rFonts w:ascii="Times New Roman" w:eastAsia="Times New Roman" w:hAnsi="Times New Roman" w:cs="Times New Roman"/>
          <w:b/>
          <w:bCs/>
          <w:color w:val="000000"/>
          <w:spacing w:val="0"/>
          <w:w w:val="100"/>
          <w:position w:val="0"/>
        </w:rPr>
        <w:t>1</w:t>
      </w:r>
      <w:bookmarkEnd w:id="556"/>
      <w:r>
        <w:rPr>
          <w:b/>
          <w:bCs/>
          <w:color w:val="000000"/>
          <w:spacing w:val="0"/>
          <w:w w:val="100"/>
          <w:position w:val="0"/>
        </w:rPr>
        <w:t>、报告期内发现的内部控制重大缺陷的具体情况</w:t>
        <w:tab/>
      </w:r>
      <w:r>
        <w:rPr>
          <w:color w:val="000000"/>
          <w:spacing w:val="0"/>
          <w:w w:val="100"/>
          <w:position w:val="0"/>
        </w:rPr>
        <w:t>口</w:t>
      </w:r>
      <w:r>
        <w:rPr>
          <w:color w:val="000000"/>
          <w:spacing w:val="0"/>
          <w:w w:val="100"/>
          <w:position w:val="0"/>
        </w:rPr>
        <w:t>是</w:t>
      </w:r>
      <w:r>
        <w:rPr>
          <w:color w:val="000000"/>
          <w:spacing w:val="0"/>
          <w:w w:val="100"/>
          <w:position w:val="0"/>
        </w:rPr>
        <w:t>寸</w:t>
      </w:r>
      <w:r>
        <w:rPr>
          <w:color w:val="000000"/>
          <w:spacing w:val="0"/>
          <w:w w:val="100"/>
          <w:position w:val="0"/>
        </w:rPr>
        <w:t>否</w:t>
      </w:r>
      <w:bookmarkEnd w:id="557"/>
    </w:p>
    <w:p>
      <w:pPr>
        <w:pStyle w:val="Style40"/>
        <w:keepNext w:val="0"/>
        <w:keepLines w:val="0"/>
        <w:widowControl w:val="0"/>
        <w:shd w:val="clear" w:color="auto" w:fill="auto"/>
        <w:bidi w:val="0"/>
        <w:spacing w:before="0" w:after="0" w:line="240" w:lineRule="auto"/>
        <w:ind w:left="0" w:right="0" w:firstLine="0"/>
        <w:jc w:val="left"/>
      </w:pPr>
      <w:bookmarkStart w:id="558" w:name="bookmark558"/>
      <w:r>
        <w:rPr>
          <w:rFonts w:ascii="Times New Roman" w:eastAsia="Times New Roman" w:hAnsi="Times New Roman" w:cs="Times New Roman"/>
          <w:b/>
          <w:bCs/>
          <w:color w:val="000000"/>
          <w:spacing w:val="0"/>
          <w:w w:val="100"/>
          <w:position w:val="0"/>
        </w:rPr>
        <w:t>2</w:t>
      </w:r>
      <w:r>
        <w:rPr>
          <w:b/>
          <w:bCs/>
          <w:color w:val="000000"/>
          <w:spacing w:val="0"/>
          <w:w w:val="100"/>
          <w:position w:val="0"/>
        </w:rPr>
        <w:t>、内控自我评价报告</w:t>
      </w:r>
      <w:bookmarkEnd w:id="558"/>
    </w:p>
    <w:tbl>
      <w:tblPr>
        <w:tblOverlap w:val="never"/>
        <w:jc w:val="center"/>
        <w:tblLayout w:type="fixed"/>
      </w:tblPr>
      <w:tblGrid>
        <w:gridCol w:w="3197"/>
        <w:gridCol w:w="3326"/>
        <w:gridCol w:w="3058"/>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详见披露于深圳证券交易所网站（</w:t>
            </w:r>
            <w:r>
              <w:rPr>
                <w:rFonts w:ascii="Times New Roman" w:eastAsia="Times New Roman" w:hAnsi="Times New Roman" w:cs="Times New Roman"/>
                <w:color w:val="000000"/>
                <w:spacing w:val="0"/>
                <w:w w:val="100"/>
                <w:position w:val="0"/>
              </w:rPr>
              <w:t>www.szse.com.cn</w:t>
            </w:r>
            <w:r>
              <w:rPr>
                <w:color w:val="000000"/>
                <w:spacing w:val="0"/>
                <w:w w:val="100"/>
                <w:position w:val="0"/>
              </w:rPr>
              <w:t>）</w:t>
            </w:r>
            <w:r>
              <w:rPr>
                <w:color w:val="000000"/>
                <w:spacing w:val="0"/>
                <w:w w:val="100"/>
                <w:position w:val="0"/>
              </w:rPr>
              <w:t>和巨潮资讯网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www.cninfo.com.cn</w:t>
            </w:r>
            <w:r>
              <w:rPr>
                <w:color w:val="000000"/>
                <w:spacing w:val="0"/>
                <w:w w:val="100"/>
                <w:position w:val="0"/>
              </w:rPr>
              <w:t>）的《</w:t>
            </w:r>
            <w:r>
              <w:rPr>
                <w:rFonts w:ascii="Times New Roman" w:eastAsia="Times New Roman" w:hAnsi="Times New Roman" w:cs="Times New Roman"/>
                <w:color w:val="000000"/>
                <w:spacing w:val="0"/>
                <w:w w:val="100"/>
                <w:position w:val="0"/>
              </w:rPr>
              <w:t>2020</w:t>
            </w:r>
            <w:r>
              <w:rPr>
                <w:color w:val="000000"/>
                <w:spacing w:val="0"/>
                <w:w w:val="100"/>
                <w:position w:val="0"/>
              </w:rPr>
              <w:t>年度内部控制自我评价报告》。</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纳入评价范围单位资产总额占公 司合并财务报表资产总额的比例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5580" w:right="0" w:firstLine="0"/>
              <w:jc w:val="left"/>
            </w:pPr>
            <w:r>
              <w:rPr>
                <w:rFonts w:ascii="Times New Roman" w:eastAsia="Times New Roman" w:hAnsi="Times New Roman" w:cs="Times New Roman"/>
                <w:color w:val="000000"/>
                <w:spacing w:val="0"/>
                <w:w w:val="100"/>
                <w:position w:val="0"/>
              </w:rPr>
              <w:t>100.00%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纳入评价范围单位营业收入占公 司合并财务报表营业收入的比例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5580" w:right="0" w:firstLine="0"/>
              <w:jc w:val="left"/>
            </w:pPr>
            <w:r>
              <w:rPr>
                <w:rFonts w:ascii="Times New Roman" w:eastAsia="Times New Roman" w:hAnsi="Times New Roman" w:cs="Times New Roman"/>
                <w:color w:val="000000"/>
                <w:spacing w:val="0"/>
                <w:w w:val="100"/>
                <w:position w:val="0"/>
              </w:rPr>
              <w:t>100.00%</w:t>
            </w:r>
          </w:p>
        </w:tc>
      </w:tr>
      <w:tr>
        <w:trPr>
          <w:trHeight w:val="403" w:hRule="exact"/>
        </w:trPr>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64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详见同日披露的《</w:t>
            </w:r>
            <w:r>
              <w:rPr>
                <w:rFonts w:ascii="Times New Roman" w:eastAsia="Times New Roman" w:hAnsi="Times New Roman" w:cs="Times New Roman"/>
                <w:color w:val="000000"/>
                <w:spacing w:val="0"/>
                <w:w w:val="100"/>
                <w:position w:val="0"/>
              </w:rPr>
              <w:t>2020</w:t>
            </w:r>
            <w:r>
              <w:rPr>
                <w:color w:val="000000"/>
                <w:spacing w:val="0"/>
                <w:w w:val="100"/>
                <w:position w:val="0"/>
              </w:rPr>
              <w:t>年度内部控 制自我评价报告》的</w:t>
            </w:r>
            <w:r>
              <w:rPr>
                <w:rFonts w:ascii="Times New Roman" w:eastAsia="Times New Roman" w:hAnsi="Times New Roman" w:cs="Times New Roman"/>
                <w:color w:val="000000"/>
                <w:spacing w:val="0"/>
                <w:w w:val="100"/>
                <w:position w:val="0"/>
              </w:rPr>
              <w:t>“</w:t>
            </w:r>
            <w:r>
              <w:rPr>
                <w:color w:val="000000"/>
                <w:spacing w:val="0"/>
                <w:w w:val="100"/>
                <w:position w:val="0"/>
              </w:rPr>
              <w:t>三</w:t>
            </w:r>
            <w:r>
              <w:rPr>
                <w:rFonts w:ascii="Times New Roman" w:eastAsia="Times New Roman" w:hAnsi="Times New Roman" w:cs="Times New Roman"/>
                <w:color w:val="000000"/>
                <w:spacing w:val="0"/>
                <w:w w:val="100"/>
                <w:position w:val="0"/>
              </w:rPr>
              <w:t>'</w:t>
            </w:r>
            <w:r>
              <w:rPr>
                <w:color w:val="000000"/>
                <w:spacing w:val="0"/>
                <w:w w:val="100"/>
                <w:position w:val="0"/>
              </w:rPr>
              <w:t>'之</w:t>
            </w:r>
            <w:r>
              <w:rPr>
                <w:rFonts w:ascii="Times New Roman" w:eastAsia="Times New Roman" w:hAnsi="Times New Roman" w:cs="Times New Roman"/>
                <w:color w:val="000000"/>
                <w:spacing w:val="0"/>
                <w:w w:val="100"/>
                <w:position w:val="0"/>
              </w:rPr>
              <w:t>“</w:t>
            </w:r>
            <w:r>
              <w:rPr>
                <w:color w:val="000000"/>
                <w:spacing w:val="0"/>
                <w:w w:val="100"/>
                <w:position w:val="0"/>
              </w:rPr>
              <w:t>（二） 内部控制评价工作依据及内部控制 缺陷认定标准</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详见同日披露的《</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年度内部 控制自我评价报告》的“三''之 </w:t>
            </w:r>
            <w:r>
              <w:rPr>
                <w:rFonts w:ascii="Times New Roman" w:eastAsia="Times New Roman" w:hAnsi="Times New Roman" w:cs="Times New Roman"/>
                <w:color w:val="000000"/>
                <w:spacing w:val="0"/>
                <w:w w:val="100"/>
                <w:position w:val="0"/>
              </w:rPr>
              <w:t>“</w:t>
            </w:r>
            <w:r>
              <w:rPr>
                <w:color w:val="000000"/>
                <w:spacing w:val="0"/>
                <w:w w:val="100"/>
                <w:position w:val="0"/>
              </w:rPr>
              <w:t>（二）内部控制评价工作依据及 内部控制缺陷认定标准</w:t>
            </w:r>
          </w:p>
        </w:tc>
      </w:tr>
      <w:tr>
        <w:trPr>
          <w:trHeight w:val="68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240" w:right="0" w:firstLine="0"/>
              <w:jc w:val="lef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240" w:right="0" w:firstLine="0"/>
              <w:jc w:val="lef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240" w:right="0" w:firstLine="0"/>
              <w:jc w:val="left"/>
            </w:pPr>
            <w:r>
              <w:rPr>
                <w:rFonts w:ascii="Times New Roman" w:eastAsia="Times New Roman" w:hAnsi="Times New Roman" w:cs="Times New Roman"/>
                <w:color w:val="000000"/>
                <w:spacing w:val="0"/>
                <w:w w:val="100"/>
                <w:position w:val="0"/>
              </w:rPr>
              <w:t>0</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240" w:right="0" w:firstLine="0"/>
              <w:jc w:val="left"/>
            </w:pPr>
            <w:r>
              <w:rPr>
                <w:rFonts w:ascii="Times New Roman" w:eastAsia="Times New Roman" w:hAnsi="Times New Roman" w:cs="Times New Roman"/>
                <w:color w:val="000000"/>
                <w:spacing w:val="0"/>
                <w:w w:val="100"/>
                <w:position w:val="0"/>
              </w:rPr>
              <w:t>0</w:t>
            </w:r>
          </w:p>
        </w:tc>
      </w:tr>
    </w:tbl>
    <w:p>
      <w:pPr>
        <w:spacing w:lineRule="exact" w:line="1"/>
        <w:rPr>
          <w:sz w:val="2"/>
          <w:szCs w:val="2"/>
        </w:rPr>
      </w:pPr>
      <w:r>
        <w:br w:type="page"/>
      </w:r>
    </w:p>
    <w:p>
      <w:pPr>
        <w:pStyle w:val="Style29"/>
        <w:keepNext/>
        <w:keepLines/>
        <w:widowControl w:val="0"/>
        <w:shd w:val="clear" w:color="auto" w:fill="auto"/>
        <w:bidi w:val="0"/>
        <w:spacing w:before="0" w:after="320" w:line="240" w:lineRule="auto"/>
        <w:ind w:left="0" w:right="0" w:firstLine="0"/>
        <w:jc w:val="left"/>
      </w:pPr>
      <w:bookmarkStart w:id="559" w:name="bookmark559"/>
      <w:bookmarkStart w:id="560" w:name="bookmark560"/>
      <w:bookmarkStart w:id="561" w:name="bookmark561"/>
      <w:r>
        <w:rPr>
          <w:color w:val="000000"/>
          <w:spacing w:val="0"/>
          <w:w w:val="100"/>
          <w:position w:val="0"/>
          <w:sz w:val="24"/>
          <w:szCs w:val="24"/>
        </w:rPr>
        <w:t>十、内部控制鉴证报告</w:t>
      </w:r>
      <w:bookmarkEnd w:id="559"/>
      <w:bookmarkEnd w:id="560"/>
      <w:bookmarkEnd w:id="561"/>
    </w:p>
    <w:tbl>
      <w:tblPr>
        <w:tblOverlap w:val="never"/>
        <w:jc w:val="center"/>
        <w:tblLayout w:type="fixed"/>
      </w:tblPr>
      <w:tblGrid>
        <w:gridCol w:w="3235"/>
        <w:gridCol w:w="6346"/>
      </w:tblGrid>
      <w:tr>
        <w:trPr>
          <w:trHeight w:val="408"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内部控制鉴证报告中的审议意见段</w:t>
            </w:r>
          </w:p>
        </w:tc>
      </w:tr>
      <w:tr>
        <w:trPr>
          <w:trHeight w:val="710"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内部控制鉴证机构认为，公司按照《企业内部控制基本规范》和相关规定于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日在所有重 大方面保持了与财务报表相关的有效的内部控制。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内控鉴证报告披露情况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内部控制鉴证报告全文披露日期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内部控制鉴证报告全文披露索引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详见披露于深圳证券交易所网站(</w:t>
            </w:r>
            <w:r>
              <w:rPr>
                <w:rFonts w:ascii="Times New Roman" w:eastAsia="Times New Roman" w:hAnsi="Times New Roman" w:cs="Times New Roman"/>
                <w:color w:val="000000"/>
                <w:spacing w:val="0"/>
                <w:w w:val="100"/>
                <w:position w:val="0"/>
              </w:rPr>
              <w:t>www.szse.com.cn</w:t>
            </w:r>
            <w:r>
              <w:rPr>
                <w:color w:val="000000"/>
                <w:spacing w:val="0"/>
                <w:w w:val="100"/>
                <w:position w:val="0"/>
              </w:rPr>
              <w:t>)和巨潮资讯网 (</w:t>
            </w:r>
            <w:r>
              <w:rPr>
                <w:rFonts w:ascii="Times New Roman" w:eastAsia="Times New Roman" w:hAnsi="Times New Roman" w:cs="Times New Roman"/>
                <w:color w:val="000000"/>
                <w:spacing w:val="0"/>
                <w:w w:val="100"/>
                <w:position w:val="0"/>
              </w:rPr>
              <w:t>www.cninfo.com.cn</w:t>
            </w:r>
            <w:r>
              <w:rPr>
                <w:color w:val="000000"/>
                <w:spacing w:val="0"/>
                <w:w w:val="100"/>
                <w:position w:val="0"/>
              </w:rPr>
              <w:t>)的《</w:t>
            </w:r>
            <w:r>
              <w:rPr>
                <w:rFonts w:ascii="Times New Roman" w:eastAsia="Times New Roman" w:hAnsi="Times New Roman" w:cs="Times New Roman"/>
                <w:color w:val="000000"/>
                <w:spacing w:val="0"/>
                <w:w w:val="100"/>
                <w:position w:val="0"/>
              </w:rPr>
              <w:t>2020</w:t>
            </w:r>
            <w:r>
              <w:rPr>
                <w:color w:val="000000"/>
                <w:spacing w:val="0"/>
                <w:w w:val="100"/>
                <w:position w:val="0"/>
              </w:rPr>
              <w:t>年度内部控制鉴证报告》。</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内控鉴证报告意见类型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标准无保留意见</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非财务报告是否存在重大缺陷</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pStyle w:val="Style40"/>
        <w:keepNext w:val="0"/>
        <w:keepLines w:val="0"/>
        <w:widowControl w:val="0"/>
        <w:shd w:val="clear" w:color="auto" w:fill="auto"/>
        <w:tabs>
          <w:tab w:pos="8616" w:val="left"/>
        </w:tabs>
        <w:bidi w:val="0"/>
        <w:spacing w:before="0" w:after="120" w:line="240" w:lineRule="auto"/>
        <w:ind w:left="0" w:right="0" w:firstLine="0"/>
        <w:jc w:val="center"/>
      </w:pPr>
      <w:r>
        <w:rPr>
          <w:color w:val="000000"/>
          <w:spacing w:val="0"/>
          <w:w w:val="100"/>
          <w:position w:val="0"/>
        </w:rPr>
        <w:t>会计师事务所是否出具非标准意见的内部控制鉴证报告</w:t>
        <w:tab/>
      </w:r>
      <w:r>
        <w:rPr>
          <w:color w:val="000000"/>
          <w:spacing w:val="0"/>
          <w:w w:val="100"/>
          <w:position w:val="0"/>
        </w:rPr>
        <w:t>口</w:t>
      </w:r>
      <w:r>
        <w:rPr>
          <w:color w:val="000000"/>
          <w:spacing w:val="0"/>
          <w:w w:val="100"/>
          <w:position w:val="0"/>
        </w:rPr>
        <w:t>是</w:t>
      </w:r>
      <w:r>
        <w:rPr>
          <w:color w:val="000000"/>
          <w:spacing w:val="0"/>
          <w:w w:val="100"/>
          <w:position w:val="0"/>
        </w:rPr>
        <w:t>寸</w:t>
      </w:r>
      <w:r>
        <w:rPr>
          <w:color w:val="000000"/>
          <w:spacing w:val="0"/>
          <w:w w:val="100"/>
          <w:position w:val="0"/>
        </w:rPr>
        <w:t>否</w:t>
      </w:r>
    </w:p>
    <w:p>
      <w:pPr>
        <w:pStyle w:val="Style40"/>
        <w:keepNext w:val="0"/>
        <w:keepLines w:val="0"/>
        <w:widowControl w:val="0"/>
        <w:shd w:val="clear" w:color="auto" w:fill="auto"/>
        <w:tabs>
          <w:tab w:pos="8606" w:val="left"/>
        </w:tabs>
        <w:bidi w:val="0"/>
        <w:spacing w:before="0" w:after="0" w:line="240" w:lineRule="auto"/>
        <w:ind w:left="0" w:right="0" w:firstLine="0"/>
        <w:jc w:val="center"/>
        <w:sectPr>
          <w:footnotePr>
            <w:pos w:val="pageBottom"/>
            <w:numFmt w:val="decimal"/>
            <w:numRestart w:val="continuous"/>
          </w:footnotePr>
          <w:pgSz w:w="11900" w:h="16840"/>
          <w:pgMar w:top="1398" w:right="1027" w:bottom="1451" w:left="1091" w:header="0" w:footer="3" w:gutter="0"/>
          <w:cols w:space="720"/>
          <w:noEndnote/>
          <w:rtlGutter w:val="0"/>
          <w:docGrid w:linePitch="360"/>
        </w:sectPr>
      </w:pPr>
      <w:r>
        <w:rPr>
          <w:color w:val="000000"/>
          <w:spacing w:val="0"/>
          <w:w w:val="100"/>
          <w:position w:val="0"/>
        </w:rPr>
        <w:t>会计师事务所出具的内部控制鉴证报告与董事会的自我评价报告意见是否一致</w:t>
        <w:tab/>
      </w:r>
      <w:r>
        <w:rPr>
          <w:color w:val="000000"/>
          <w:spacing w:val="0"/>
          <w:w w:val="100"/>
          <w:position w:val="0"/>
        </w:rPr>
        <w:t>寸</w:t>
      </w:r>
      <w:r>
        <w:rPr>
          <w:color w:val="000000"/>
          <w:spacing w:val="0"/>
          <w:w w:val="100"/>
          <w:position w:val="0"/>
        </w:rPr>
        <w:t>是</w:t>
      </w:r>
      <w:r>
        <w:rPr>
          <w:color w:val="000000"/>
          <w:spacing w:val="0"/>
          <w:w w:val="100"/>
          <w:position w:val="0"/>
        </w:rPr>
        <w:t>口</w:t>
      </w:r>
      <w:r>
        <w:rPr>
          <w:color w:val="000000"/>
          <w:spacing w:val="0"/>
          <w:w w:val="100"/>
          <w:position w:val="0"/>
        </w:rPr>
        <w:t>否</w:t>
      </w:r>
    </w:p>
    <w:p>
      <w:pPr>
        <w:pStyle w:val="Style14"/>
        <w:keepNext/>
        <w:keepLines/>
        <w:widowControl w:val="0"/>
        <w:shd w:val="clear" w:color="auto" w:fill="auto"/>
        <w:bidi w:val="0"/>
        <w:spacing w:before="640" w:after="480" w:line="240" w:lineRule="auto"/>
        <w:ind w:left="0" w:right="0" w:firstLine="0"/>
        <w:jc w:val="center"/>
      </w:pPr>
      <w:bookmarkStart w:id="562" w:name="bookmark562"/>
      <w:bookmarkStart w:id="563" w:name="bookmark563"/>
      <w:bookmarkStart w:id="564" w:name="bookmark564"/>
      <w:r>
        <w:rPr>
          <w:color w:val="000000"/>
          <w:spacing w:val="0"/>
          <w:w w:val="100"/>
          <w:position w:val="0"/>
        </w:rPr>
        <w:t>第十一节公司债券相关情况</w:t>
      </w:r>
      <w:bookmarkEnd w:id="562"/>
      <w:bookmarkEnd w:id="563"/>
      <w:bookmarkEnd w:id="564"/>
    </w:p>
    <w:p>
      <w:pPr>
        <w:pStyle w:val="Style16"/>
        <w:keepNext w:val="0"/>
        <w:keepLines w:val="0"/>
        <w:widowControl w:val="0"/>
        <w:shd w:val="clear" w:color="auto" w:fill="auto"/>
        <w:tabs>
          <w:tab w:pos="8606" w:val="left"/>
        </w:tabs>
        <w:bidi w:val="0"/>
        <w:spacing w:before="0" w:after="320" w:line="322" w:lineRule="exact"/>
        <w:ind w:left="0" w:right="0" w:firstLine="0"/>
        <w:jc w:val="left"/>
      </w:pPr>
      <w:bookmarkStart w:id="565" w:name="bookmark565"/>
      <w:r>
        <w:rPr>
          <w:color w:val="000000"/>
          <w:spacing w:val="0"/>
          <w:w w:val="100"/>
          <w:position w:val="0"/>
        </w:rPr>
        <w:t>公司是否存在公开发行并在证券交易所上市，且在年度报告批准报出日未到期或到期未能全额兑付的公司 债券</w:t>
        <w:tab/>
      </w:r>
      <w:r>
        <w:rPr>
          <w:color w:val="000000"/>
          <w:spacing w:val="0"/>
          <w:w w:val="100"/>
          <w:position w:val="0"/>
        </w:rPr>
        <w:t>寸</w:t>
      </w:r>
      <w:r>
        <w:rPr>
          <w:color w:val="000000"/>
          <w:spacing w:val="0"/>
          <w:w w:val="100"/>
          <w:position w:val="0"/>
        </w:rPr>
        <w:t>是</w:t>
      </w:r>
      <w:r>
        <w:rPr>
          <w:color w:val="000000"/>
          <w:spacing w:val="0"/>
          <w:w w:val="100"/>
          <w:position w:val="0"/>
        </w:rPr>
        <w:t>口</w:t>
      </w:r>
      <w:r>
        <w:rPr>
          <w:color w:val="000000"/>
          <w:spacing w:val="0"/>
          <w:w w:val="100"/>
          <w:position w:val="0"/>
        </w:rPr>
        <w:t>否</w:t>
      </w:r>
      <w:bookmarkEnd w:id="565"/>
    </w:p>
    <w:p>
      <w:pPr>
        <w:pStyle w:val="Style29"/>
        <w:keepNext/>
        <w:keepLines/>
        <w:widowControl w:val="0"/>
        <w:shd w:val="clear" w:color="auto" w:fill="auto"/>
        <w:bidi w:val="0"/>
        <w:spacing w:before="0" w:after="320" w:line="240" w:lineRule="auto"/>
        <w:ind w:left="0" w:right="0" w:firstLine="0"/>
        <w:jc w:val="left"/>
      </w:pPr>
      <w:bookmarkStart w:id="566" w:name="bookmark566"/>
      <w:bookmarkStart w:id="567" w:name="bookmark567"/>
      <w:bookmarkStart w:id="568" w:name="bookmark568"/>
      <w:bookmarkStart w:id="569" w:name="bookmark569"/>
      <w:r>
        <w:rPr>
          <w:color w:val="000000"/>
          <w:spacing w:val="0"/>
          <w:w w:val="100"/>
          <w:position w:val="0"/>
          <w:sz w:val="24"/>
          <w:szCs w:val="24"/>
        </w:rPr>
        <w:t>一</w:t>
      </w:r>
      <w:bookmarkEnd w:id="568"/>
      <w:r>
        <w:rPr>
          <w:color w:val="000000"/>
          <w:spacing w:val="0"/>
          <w:w w:val="100"/>
          <w:position w:val="0"/>
          <w:sz w:val="24"/>
          <w:szCs w:val="24"/>
        </w:rPr>
        <w:t>、公司债券基本信息</w:t>
      </w:r>
      <w:bookmarkEnd w:id="566"/>
      <w:bookmarkEnd w:id="567"/>
      <w:bookmarkEnd w:id="569"/>
    </w:p>
    <w:tbl>
      <w:tblPr>
        <w:tblOverlap w:val="never"/>
        <w:jc w:val="center"/>
        <w:tblLayout w:type="fixed"/>
      </w:tblPr>
      <w:tblGrid>
        <w:gridCol w:w="1814"/>
        <w:gridCol w:w="994"/>
        <w:gridCol w:w="994"/>
        <w:gridCol w:w="989"/>
        <w:gridCol w:w="994"/>
        <w:gridCol w:w="994"/>
        <w:gridCol w:w="706"/>
        <w:gridCol w:w="2098"/>
      </w:tblGrid>
      <w:tr>
        <w:trPr>
          <w:trHeight w:val="7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债券简称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债券代码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债券余额</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期末</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还本付息方式</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国盛证券有限责任 公司公开发行</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年公司债券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w:t>
            </w:r>
            <w:r>
              <w:rPr>
                <w:color w:val="000000"/>
                <w:spacing w:val="0"/>
                <w:w w:val="100"/>
                <w:position w:val="0"/>
              </w:rPr>
              <w:t>国盛</w:t>
            </w:r>
            <w:r>
              <w:rPr>
                <w:rFonts w:ascii="Times New Roman" w:eastAsia="Times New Roman" w:hAnsi="Times New Roman" w:cs="Times New Roman"/>
                <w:color w:val="000000"/>
                <w:spacing w:val="0"/>
                <w:w w:val="100"/>
                <w:position w:val="0"/>
              </w:rPr>
              <w:t>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136442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5</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5</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55,550.00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left"/>
            </w:pPr>
            <w:r>
              <w:rPr>
                <w:color w:val="000000"/>
                <w:spacing w:val="0"/>
                <w:w w:val="100"/>
                <w:position w:val="0"/>
              </w:rPr>
              <w:t>按年计息，不计复利。 每年付息一次、到期一 次还本，最后一期利息 随本金一同支付。</w:t>
            </w: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公司债券上市或转让的交易场 所</w:t>
            </w:r>
          </w:p>
        </w:tc>
        <w:tc>
          <w:tcPr>
            <w:gridSpan w:val="6"/>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上海证券交易所</w:t>
            </w:r>
          </w:p>
        </w:tc>
      </w:tr>
      <w:tr>
        <w:trPr>
          <w:trHeight w:val="398"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投资者适当性安排</w:t>
            </w:r>
          </w:p>
        </w:tc>
        <w:tc>
          <w:tcPr>
            <w:gridSpan w:val="6"/>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面向合格投资者交易的债券。</w:t>
            </w: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报告期内公司债券的付息兑付 情况</w:t>
            </w:r>
          </w:p>
        </w:tc>
        <w:tc>
          <w:tcPr>
            <w:gridSpan w:val="6"/>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日已按时支付全额兑付</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23</w:t>
            </w:r>
            <w:r>
              <w:rPr>
                <w:color w:val="000000"/>
                <w:spacing w:val="0"/>
                <w:w w:val="100"/>
                <w:position w:val="0"/>
              </w:rPr>
              <w:t>日期间的利息。</w:t>
            </w:r>
          </w:p>
        </w:tc>
      </w:tr>
      <w:tr>
        <w:trPr>
          <w:trHeight w:val="1661" w:hRule="exact"/>
        </w:trPr>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公司债券附发行人或投资者选 择权条款、可交换条款等特殊 条款的，报告期内相关条款的 执行情况（如适用）</w:t>
            </w:r>
          </w:p>
        </w:tc>
        <w:tc>
          <w:tcPr>
            <w:gridSpan w:val="6"/>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附第</w:t>
            </w:r>
            <w:r>
              <w:rPr>
                <w:rFonts w:ascii="Times New Roman" w:eastAsia="Times New Roman" w:hAnsi="Times New Roman" w:cs="Times New Roman"/>
                <w:color w:val="000000"/>
                <w:spacing w:val="0"/>
                <w:w w:val="100"/>
                <w:position w:val="0"/>
              </w:rPr>
              <w:t>3</w:t>
            </w:r>
            <w:r>
              <w:rPr>
                <w:color w:val="000000"/>
                <w:spacing w:val="0"/>
                <w:w w:val="100"/>
                <w:position w:val="0"/>
              </w:rPr>
              <w:t>年发行人上调票面利率选择权和投资者回售选择权。</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 xml:space="preserve">9 </w:t>
            </w:r>
            <w:r>
              <w:rPr>
                <w:color w:val="000000"/>
                <w:spacing w:val="0"/>
                <w:w w:val="100"/>
                <w:position w:val="0"/>
              </w:rPr>
              <w:t>日，发行人公告将该债券</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日的票面利 率由</w:t>
            </w:r>
            <w:r>
              <w:rPr>
                <w:rFonts w:ascii="Times New Roman" w:eastAsia="Times New Roman" w:hAnsi="Times New Roman" w:cs="Times New Roman"/>
                <w:color w:val="000000"/>
                <w:spacing w:val="0"/>
                <w:w w:val="100"/>
                <w:position w:val="0"/>
              </w:rPr>
              <w:t>4.28%</w:t>
            </w:r>
            <w:r>
              <w:rPr>
                <w:color w:val="000000"/>
                <w:spacing w:val="0"/>
                <w:w w:val="100"/>
                <w:position w:val="0"/>
              </w:rPr>
              <w:t>调整为</w:t>
            </w:r>
            <w:r>
              <w:rPr>
                <w:rFonts w:ascii="Times New Roman" w:eastAsia="Times New Roman" w:hAnsi="Times New Roman" w:cs="Times New Roman"/>
                <w:color w:val="000000"/>
                <w:spacing w:val="0"/>
                <w:w w:val="100"/>
                <w:position w:val="0"/>
              </w:rPr>
              <w:t xml:space="preserve">5.00 </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日，投资者合计回售债券</w:t>
            </w:r>
            <w:r>
              <w:rPr>
                <w:rFonts w:ascii="Times New Roman" w:eastAsia="Times New Roman" w:hAnsi="Times New Roman" w:cs="Times New Roman"/>
                <w:color w:val="000000"/>
                <w:spacing w:val="0"/>
                <w:w w:val="100"/>
                <w:position w:val="0"/>
              </w:rPr>
              <w:t xml:space="preserve">60,150 </w:t>
            </w:r>
            <w:r>
              <w:rPr>
                <w:color w:val="000000"/>
                <w:spacing w:val="0"/>
                <w:w w:val="100"/>
                <w:position w:val="0"/>
              </w:rPr>
              <w:t>万元。</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月，发行人对回售债券进行转售，转售金额合计</w:t>
            </w:r>
            <w:r>
              <w:rPr>
                <w:rFonts w:ascii="Times New Roman" w:eastAsia="Times New Roman" w:hAnsi="Times New Roman" w:cs="Times New Roman"/>
                <w:color w:val="000000"/>
                <w:spacing w:val="0"/>
                <w:w w:val="100"/>
                <w:position w:val="0"/>
              </w:rPr>
              <w:t xml:space="preserve">15,700 </w:t>
            </w:r>
            <w:r>
              <w:rPr>
                <w:color w:val="000000"/>
                <w:spacing w:val="0"/>
                <w:w w:val="100"/>
                <w:position w:val="0"/>
              </w:rPr>
              <w:t>万元。目前债券余额</w:t>
            </w:r>
            <w:r>
              <w:rPr>
                <w:rFonts w:ascii="Times New Roman" w:eastAsia="Times New Roman" w:hAnsi="Times New Roman" w:cs="Times New Roman"/>
                <w:color w:val="000000"/>
                <w:spacing w:val="0"/>
                <w:w w:val="100"/>
                <w:position w:val="0"/>
              </w:rPr>
              <w:t>55,550</w:t>
            </w:r>
            <w:r>
              <w:rPr>
                <w:color w:val="000000"/>
                <w:spacing w:val="0"/>
                <w:w w:val="100"/>
                <w:position w:val="0"/>
              </w:rPr>
              <w:t>万元。</w:t>
            </w:r>
          </w:p>
        </w:tc>
      </w:tr>
    </w:tbl>
    <w:p>
      <w:pPr>
        <w:widowControl w:val="0"/>
        <w:spacing w:after="319" w:line="1" w:lineRule="exact"/>
      </w:pPr>
    </w:p>
    <w:p>
      <w:pPr>
        <w:pStyle w:val="Style29"/>
        <w:keepNext/>
        <w:keepLines/>
        <w:widowControl w:val="0"/>
        <w:shd w:val="clear" w:color="auto" w:fill="auto"/>
        <w:bidi w:val="0"/>
        <w:spacing w:before="0" w:after="320" w:line="240" w:lineRule="auto"/>
        <w:ind w:left="0" w:right="0" w:firstLine="0"/>
        <w:jc w:val="left"/>
      </w:pPr>
      <w:bookmarkStart w:id="570" w:name="bookmark570"/>
      <w:bookmarkStart w:id="571" w:name="bookmark571"/>
      <w:bookmarkStart w:id="572" w:name="bookmark572"/>
      <w:bookmarkStart w:id="573" w:name="bookmark573"/>
      <w:r>
        <w:rPr>
          <w:color w:val="000000"/>
          <w:spacing w:val="0"/>
          <w:w w:val="100"/>
          <w:position w:val="0"/>
          <w:sz w:val="24"/>
          <w:szCs w:val="24"/>
        </w:rPr>
        <w:t>二</w:t>
      </w:r>
      <w:bookmarkEnd w:id="572"/>
      <w:r>
        <w:rPr>
          <w:color w:val="000000"/>
          <w:spacing w:val="0"/>
          <w:w w:val="100"/>
          <w:position w:val="0"/>
          <w:sz w:val="24"/>
          <w:szCs w:val="24"/>
        </w:rPr>
        <w:t>、债券受托管理人和资信评级机构信息</w:t>
      </w:r>
      <w:bookmarkEnd w:id="570"/>
      <w:bookmarkEnd w:id="571"/>
      <w:bookmarkEnd w:id="573"/>
    </w:p>
    <w:tbl>
      <w:tblPr>
        <w:tblOverlap w:val="never"/>
        <w:jc w:val="center"/>
        <w:tblLayout w:type="fixed"/>
      </w:tblPr>
      <w:tblGrid>
        <w:gridCol w:w="2242"/>
        <w:gridCol w:w="2693"/>
        <w:gridCol w:w="2410"/>
        <w:gridCol w:w="2275"/>
      </w:tblGrid>
      <w:tr>
        <w:trPr>
          <w:trHeight w:val="408" w:hRule="exact"/>
        </w:trPr>
        <w:tc>
          <w:tcPr>
            <w:gridSpan w:val="4"/>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债券受托管理人：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办公地址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联系人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联系人电话</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光大证券股份有限公司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北京市西城区复兴门外大街</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号光大大厦</w:t>
            </w:r>
            <w:r>
              <w:rPr>
                <w:rFonts w:ascii="Times New Roman" w:eastAsia="Times New Roman" w:hAnsi="Times New Roman" w:cs="Times New Roman"/>
                <w:color w:val="000000"/>
                <w:spacing w:val="0"/>
                <w:w w:val="100"/>
                <w:position w:val="0"/>
              </w:rPr>
              <w:t>15</w:t>
            </w:r>
            <w:r>
              <w:rPr>
                <w:color w:val="000000"/>
                <w:spacing w:val="0"/>
                <w:w w:val="100"/>
                <w:position w:val="0"/>
              </w:rPr>
              <w:t>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王一帆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010-58377828</w:t>
            </w:r>
          </w:p>
        </w:tc>
      </w:tr>
      <w:tr>
        <w:trPr>
          <w:trHeight w:val="403" w:hRule="exact"/>
        </w:trPr>
        <w:tc>
          <w:tcPr>
            <w:gridSpan w:val="4"/>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报告期对公司债券进行跟踪评级的资信评级机构：</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 w:right="0" w:firstLine="0"/>
              <w:jc w:val="center"/>
            </w:pPr>
            <w:r>
              <w:rPr>
                <w:color w:val="000000"/>
                <w:spacing w:val="0"/>
                <w:w w:val="100"/>
                <w:position w:val="0"/>
              </w:rPr>
              <w:t>办公地址</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联合信用评级有限公司</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 w:right="0" w:firstLine="0"/>
              <w:jc w:val="center"/>
            </w:pPr>
            <w:r>
              <w:rPr>
                <w:color w:val="000000"/>
                <w:spacing w:val="0"/>
                <w:w w:val="100"/>
                <w:position w:val="0"/>
              </w:rPr>
              <w:t>北京市朝阳区建国门外大街</w:t>
            </w:r>
            <w:r>
              <w:rPr>
                <w:rFonts w:ascii="Times New Roman" w:eastAsia="Times New Roman" w:hAnsi="Times New Roman" w:cs="Times New Roman"/>
                <w:color w:val="000000"/>
                <w:spacing w:val="0"/>
                <w:w w:val="100"/>
                <w:position w:val="0"/>
              </w:rPr>
              <w:t>2</w:t>
            </w:r>
            <w:r>
              <w:rPr>
                <w:color w:val="000000"/>
                <w:spacing w:val="0"/>
                <w:w w:val="100"/>
                <w:position w:val="0"/>
              </w:rPr>
              <w:t>号</w:t>
            </w:r>
            <w:r>
              <w:rPr>
                <w:rFonts w:ascii="Times New Roman" w:eastAsia="Times New Roman" w:hAnsi="Times New Roman" w:cs="Times New Roman"/>
                <w:color w:val="000000"/>
                <w:spacing w:val="0"/>
                <w:w w:val="100"/>
                <w:position w:val="0"/>
              </w:rPr>
              <w:t>PICC</w:t>
            </w:r>
            <w:r>
              <w:rPr>
                <w:color w:val="000000"/>
                <w:spacing w:val="0"/>
                <w:w w:val="100"/>
                <w:position w:val="0"/>
              </w:rPr>
              <w:t>大厦</w:t>
            </w:r>
            <w:r>
              <w:rPr>
                <w:rFonts w:ascii="Times New Roman" w:eastAsia="Times New Roman" w:hAnsi="Times New Roman" w:cs="Times New Roman"/>
                <w:color w:val="000000"/>
                <w:spacing w:val="0"/>
                <w:w w:val="100"/>
                <w:position w:val="0"/>
              </w:rPr>
              <w:t>12</w:t>
            </w:r>
            <w:r>
              <w:rPr>
                <w:color w:val="000000"/>
                <w:spacing w:val="0"/>
                <w:w w:val="100"/>
                <w:position w:val="0"/>
              </w:rPr>
              <w:t>层</w:t>
            </w:r>
          </w:p>
        </w:tc>
      </w:tr>
      <w:tr>
        <w:trPr>
          <w:trHeight w:val="725" w:hRule="exact"/>
        </w:trPr>
        <w:tc>
          <w:tcPr>
            <w:gridSpan w:val="3"/>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报告期内公司聘请的债券受托管理人、资信评级机构发生变更的，变更的原因、 履行的程序、对投资者利益的影响等</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bl>
    <w:p>
      <w:pPr>
        <w:pStyle w:val="Style29"/>
        <w:keepNext/>
        <w:keepLines/>
        <w:widowControl w:val="0"/>
        <w:shd w:val="clear" w:color="auto" w:fill="auto"/>
        <w:bidi w:val="0"/>
        <w:spacing w:before="0" w:after="280" w:line="240" w:lineRule="auto"/>
        <w:ind w:left="0" w:right="0" w:firstLine="0"/>
        <w:jc w:val="left"/>
      </w:pPr>
      <w:bookmarkStart w:id="574" w:name="bookmark574"/>
      <w:bookmarkStart w:id="575" w:name="bookmark575"/>
      <w:bookmarkStart w:id="576" w:name="bookmark576"/>
      <w:bookmarkStart w:id="577" w:name="bookmark577"/>
      <w:r>
        <w:rPr>
          <w:color w:val="000000"/>
          <w:spacing w:val="0"/>
          <w:w w:val="100"/>
          <w:position w:val="0"/>
          <w:sz w:val="24"/>
          <w:szCs w:val="24"/>
        </w:rPr>
        <w:t>三</w:t>
      </w:r>
      <w:bookmarkEnd w:id="576"/>
      <w:r>
        <w:rPr>
          <w:color w:val="000000"/>
          <w:spacing w:val="0"/>
          <w:w w:val="100"/>
          <w:position w:val="0"/>
          <w:sz w:val="24"/>
          <w:szCs w:val="24"/>
        </w:rPr>
        <w:t>、公司债券募集资金使用情况</w:t>
      </w:r>
      <w:bookmarkEnd w:id="574"/>
      <w:bookmarkEnd w:id="575"/>
      <w:bookmarkEnd w:id="577"/>
    </w:p>
    <w:tbl>
      <w:tblPr>
        <w:tblOverlap w:val="never"/>
        <w:jc w:val="center"/>
        <w:tblLayout w:type="fixed"/>
      </w:tblPr>
      <w:tblGrid>
        <w:gridCol w:w="3658"/>
        <w:gridCol w:w="5923"/>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公司债券募集资金使用情况及履行的程 序</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16</w:t>
            </w:r>
            <w:r>
              <w:rPr>
                <w:color w:val="000000"/>
                <w:spacing w:val="0"/>
                <w:w w:val="100"/>
                <w:position w:val="0"/>
              </w:rPr>
              <w:t>国盛</w:t>
            </w:r>
            <w:r>
              <w:rPr>
                <w:rFonts w:ascii="Times New Roman" w:eastAsia="Times New Roman" w:hAnsi="Times New Roman" w:cs="Times New Roman"/>
                <w:color w:val="000000"/>
                <w:spacing w:val="0"/>
                <w:w w:val="100"/>
                <w:position w:val="0"/>
              </w:rPr>
              <w:t>01</w:t>
            </w:r>
            <w:r>
              <w:rPr>
                <w:color w:val="000000"/>
                <w:spacing w:val="0"/>
                <w:w w:val="100"/>
                <w:position w:val="0"/>
              </w:rPr>
              <w:t>”募集资金扣除发行费用后全部用于补充国盛证券 营运资金。</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年末余额（万元）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募集资金专项账户运作情况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报告期内，公司“</w:t>
            </w:r>
            <w:r>
              <w:rPr>
                <w:rFonts w:ascii="Times New Roman" w:eastAsia="Times New Roman" w:hAnsi="Times New Roman" w:cs="Times New Roman"/>
                <w:color w:val="000000"/>
                <w:spacing w:val="0"/>
                <w:w w:val="100"/>
                <w:position w:val="0"/>
              </w:rPr>
              <w:t>16</w:t>
            </w:r>
            <w:r>
              <w:rPr>
                <w:color w:val="000000"/>
                <w:spacing w:val="0"/>
                <w:w w:val="100"/>
                <w:position w:val="0"/>
              </w:rPr>
              <w:t>国盛</w:t>
            </w:r>
            <w:r>
              <w:rPr>
                <w:rFonts w:ascii="Times New Roman" w:eastAsia="Times New Roman" w:hAnsi="Times New Roman" w:cs="Times New Roman"/>
                <w:color w:val="000000"/>
                <w:spacing w:val="0"/>
                <w:w w:val="100"/>
                <w:position w:val="0"/>
              </w:rPr>
              <w:t>01</w:t>
            </w:r>
            <w:r>
              <w:rPr>
                <w:color w:val="000000"/>
                <w:spacing w:val="0"/>
                <w:w w:val="100"/>
                <w:position w:val="0"/>
              </w:rPr>
              <w:t>”募集资金专项账户运作正常，募 集资金支取程序合规。</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募集资金使用是否与募集说明书承诺的 用途、使用计划及其他约定一致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279" w:line="1" w:lineRule="exact"/>
      </w:pPr>
    </w:p>
    <w:p>
      <w:pPr>
        <w:pStyle w:val="Style29"/>
        <w:keepNext/>
        <w:keepLines/>
        <w:widowControl w:val="0"/>
        <w:shd w:val="clear" w:color="auto" w:fill="auto"/>
        <w:bidi w:val="0"/>
        <w:spacing w:before="0" w:after="280" w:line="240" w:lineRule="auto"/>
        <w:ind w:left="0" w:right="0" w:firstLine="0"/>
        <w:jc w:val="left"/>
      </w:pPr>
      <w:bookmarkStart w:id="578" w:name="bookmark578"/>
      <w:bookmarkStart w:id="579" w:name="bookmark579"/>
      <w:bookmarkStart w:id="580" w:name="bookmark580"/>
      <w:bookmarkStart w:id="581" w:name="bookmark581"/>
      <w:r>
        <w:rPr>
          <w:color w:val="000000"/>
          <w:spacing w:val="0"/>
          <w:w w:val="100"/>
          <w:position w:val="0"/>
          <w:sz w:val="24"/>
          <w:szCs w:val="24"/>
        </w:rPr>
        <w:t>四</w:t>
      </w:r>
      <w:bookmarkEnd w:id="580"/>
      <w:r>
        <w:rPr>
          <w:color w:val="000000"/>
          <w:spacing w:val="0"/>
          <w:w w:val="100"/>
          <w:position w:val="0"/>
          <w:sz w:val="24"/>
          <w:szCs w:val="24"/>
        </w:rPr>
        <w:t>、公司债券最新跟踪评级及评级变化情况</w:t>
      </w:r>
      <w:bookmarkEnd w:id="578"/>
      <w:bookmarkEnd w:id="579"/>
      <w:bookmarkEnd w:id="581"/>
    </w:p>
    <w:p>
      <w:pPr>
        <w:pStyle w:val="Style16"/>
        <w:keepNext w:val="0"/>
        <w:keepLines w:val="0"/>
        <w:widowControl w:val="0"/>
        <w:shd w:val="clear" w:color="auto" w:fill="auto"/>
        <w:bidi w:val="0"/>
        <w:spacing w:before="0" w:after="40" w:line="312"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日，联合信用评级有限公司对国盛证券和</w:t>
      </w:r>
      <w:r>
        <w:rPr>
          <w:rFonts w:ascii="Times New Roman" w:eastAsia="Times New Roman" w:hAnsi="Times New Roman" w:cs="Times New Roman"/>
          <w:color w:val="000000"/>
          <w:spacing w:val="0"/>
          <w:w w:val="100"/>
          <w:position w:val="0"/>
        </w:rPr>
        <w:t>“16</w:t>
      </w:r>
      <w:r>
        <w:rPr>
          <w:color w:val="000000"/>
          <w:spacing w:val="0"/>
          <w:w w:val="100"/>
          <w:position w:val="0"/>
        </w:rPr>
        <w:t>国盛</w:t>
      </w:r>
      <w:r>
        <w:rPr>
          <w:rFonts w:ascii="Times New Roman" w:eastAsia="Times New Roman" w:hAnsi="Times New Roman" w:cs="Times New Roman"/>
          <w:color w:val="000000"/>
          <w:spacing w:val="0"/>
          <w:w w:val="100"/>
          <w:position w:val="0"/>
        </w:rPr>
        <w:t>01”</w:t>
      </w:r>
      <w:r>
        <w:rPr>
          <w:color w:val="000000"/>
          <w:spacing w:val="0"/>
          <w:w w:val="100"/>
          <w:position w:val="0"/>
        </w:rPr>
        <w:t>债券出具跟踪评级结果，维持国盛证 券</w:t>
      </w:r>
      <w:r>
        <w:rPr>
          <w:rFonts w:ascii="Times New Roman" w:eastAsia="Times New Roman" w:hAnsi="Times New Roman" w:cs="Times New Roman"/>
          <w:color w:val="000000"/>
          <w:spacing w:val="0"/>
          <w:w w:val="100"/>
          <w:position w:val="0"/>
        </w:rPr>
        <w:t>"AA+"</w:t>
      </w:r>
      <w:r>
        <w:rPr>
          <w:color w:val="000000"/>
          <w:spacing w:val="0"/>
          <w:w w:val="100"/>
          <w:position w:val="0"/>
        </w:rPr>
        <w:t>的主体评级，评级展望维持</w:t>
      </w:r>
      <w:r>
        <w:rPr>
          <w:rFonts w:ascii="Times New Roman" w:eastAsia="Times New Roman" w:hAnsi="Times New Roman" w:cs="Times New Roman"/>
          <w:color w:val="000000"/>
          <w:spacing w:val="0"/>
          <w:w w:val="100"/>
          <w:position w:val="0"/>
        </w:rPr>
        <w:t>“</w:t>
      </w:r>
      <w:r>
        <w:rPr>
          <w:color w:val="000000"/>
          <w:spacing w:val="0"/>
          <w:w w:val="100"/>
          <w:position w:val="0"/>
        </w:rPr>
        <w:t>稳定</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同时维持</w:t>
      </w:r>
      <w:r>
        <w:rPr>
          <w:rFonts w:ascii="Times New Roman" w:eastAsia="Times New Roman" w:hAnsi="Times New Roman" w:cs="Times New Roman"/>
          <w:color w:val="000000"/>
          <w:spacing w:val="0"/>
          <w:w w:val="100"/>
          <w:position w:val="0"/>
        </w:rPr>
        <w:t>“16</w:t>
      </w:r>
      <w:r>
        <w:rPr>
          <w:color w:val="000000"/>
          <w:spacing w:val="0"/>
          <w:w w:val="100"/>
          <w:position w:val="0"/>
        </w:rPr>
        <w:t>国盛</w:t>
      </w:r>
      <w:r>
        <w:rPr>
          <w:rFonts w:ascii="Times New Roman" w:eastAsia="Times New Roman" w:hAnsi="Times New Roman" w:cs="Times New Roman"/>
          <w:color w:val="000000"/>
          <w:spacing w:val="0"/>
          <w:w w:val="100"/>
          <w:position w:val="0"/>
        </w:rPr>
        <w:t>01”</w:t>
      </w:r>
      <w:r>
        <w:rPr>
          <w:color w:val="000000"/>
          <w:spacing w:val="0"/>
          <w:w w:val="100"/>
          <w:position w:val="0"/>
        </w:rPr>
        <w:t>债项信用等级为</w:t>
      </w:r>
      <w:r>
        <w:rPr>
          <w:rFonts w:ascii="Times New Roman" w:eastAsia="Times New Roman" w:hAnsi="Times New Roman" w:cs="Times New Roman"/>
          <w:color w:val="000000"/>
          <w:spacing w:val="0"/>
          <w:w w:val="100"/>
          <w:position w:val="0"/>
        </w:rPr>
        <w:t>"AA+"</w:t>
      </w:r>
      <w:r>
        <w:rPr>
          <w:color w:val="000000"/>
          <w:spacing w:val="0"/>
          <w:w w:val="100"/>
          <w:position w:val="0"/>
        </w:rPr>
        <w:t>,</w:t>
      </w:r>
      <w:r>
        <w:rPr>
          <w:color w:val="000000"/>
          <w:spacing w:val="0"/>
          <w:w w:val="100"/>
          <w:position w:val="0"/>
        </w:rPr>
        <w:t>本次评级结果 与上一次对国盛证券和</w:t>
      </w:r>
      <w:r>
        <w:rPr>
          <w:rFonts w:ascii="Times New Roman" w:eastAsia="Times New Roman" w:hAnsi="Times New Roman" w:cs="Times New Roman"/>
          <w:color w:val="000000"/>
          <w:spacing w:val="0"/>
          <w:w w:val="100"/>
          <w:position w:val="0"/>
        </w:rPr>
        <w:t>“16</w:t>
      </w:r>
      <w:r>
        <w:rPr>
          <w:color w:val="000000"/>
          <w:spacing w:val="0"/>
          <w:w w:val="100"/>
          <w:position w:val="0"/>
        </w:rPr>
        <w:t>国盛</w:t>
      </w:r>
      <w:r>
        <w:rPr>
          <w:rFonts w:ascii="Times New Roman" w:eastAsia="Times New Roman" w:hAnsi="Times New Roman" w:cs="Times New Roman"/>
          <w:color w:val="000000"/>
          <w:spacing w:val="0"/>
          <w:w w:val="100"/>
          <w:position w:val="0"/>
        </w:rPr>
        <w:t>01”</w:t>
      </w:r>
      <w:r>
        <w:rPr>
          <w:color w:val="000000"/>
          <w:spacing w:val="0"/>
          <w:w w:val="100"/>
          <w:position w:val="0"/>
        </w:rPr>
        <w:t>的评级结果相比无变化。</w:t>
      </w:r>
    </w:p>
    <w:p>
      <w:pPr>
        <w:pStyle w:val="Style16"/>
        <w:keepNext w:val="0"/>
        <w:keepLines w:val="0"/>
        <w:widowControl w:val="0"/>
        <w:shd w:val="clear" w:color="auto" w:fill="auto"/>
        <w:bidi w:val="0"/>
        <w:spacing w:before="0" w:after="340" w:line="322"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日联合信用评级有限公司将国盛金控主体长期信用等级由</w:t>
      </w:r>
      <w:r>
        <w:rPr>
          <w:rFonts w:ascii="Times New Roman" w:eastAsia="Times New Roman" w:hAnsi="Times New Roman" w:cs="Times New Roman"/>
          <w:color w:val="000000"/>
          <w:spacing w:val="0"/>
          <w:w w:val="100"/>
          <w:position w:val="0"/>
        </w:rPr>
        <w:t>AA+</w:t>
      </w:r>
      <w:r>
        <w:rPr>
          <w:color w:val="000000"/>
          <w:spacing w:val="0"/>
          <w:w w:val="100"/>
          <w:position w:val="0"/>
        </w:rPr>
        <w:t>下调至</w:t>
      </w:r>
      <w:r>
        <w:rPr>
          <w:rFonts w:ascii="Times New Roman" w:eastAsia="Times New Roman" w:hAnsi="Times New Roman" w:cs="Times New Roman"/>
          <w:color w:val="000000"/>
          <w:spacing w:val="0"/>
          <w:w w:val="100"/>
          <w:position w:val="0"/>
        </w:rPr>
        <w:t>AA-</w:t>
      </w:r>
      <w:r>
        <w:rPr>
          <w:color w:val="000000"/>
          <w:spacing w:val="0"/>
          <w:w w:val="100"/>
          <w:position w:val="0"/>
        </w:rPr>
        <w:t>,</w:t>
      </w:r>
      <w:r>
        <w:rPr>
          <w:color w:val="000000"/>
          <w:spacing w:val="0"/>
          <w:w w:val="100"/>
          <w:position w:val="0"/>
        </w:rPr>
        <w:t>将“</w:t>
      </w:r>
      <w:r>
        <w:rPr>
          <w:rFonts w:ascii="Times New Roman" w:eastAsia="Times New Roman" w:hAnsi="Times New Roman" w:cs="Times New Roman"/>
          <w:color w:val="000000"/>
          <w:spacing w:val="0"/>
          <w:w w:val="100"/>
          <w:position w:val="0"/>
        </w:rPr>
        <w:t xml:space="preserve">16 </w:t>
      </w:r>
      <w:r>
        <w:rPr>
          <w:color w:val="000000"/>
          <w:spacing w:val="0"/>
          <w:w w:val="100"/>
          <w:position w:val="0"/>
        </w:rPr>
        <w:t>国盛金”（报告期内已全额兑付）债券的信用等级由</w:t>
      </w:r>
      <w:r>
        <w:rPr>
          <w:rFonts w:ascii="Times New Roman" w:eastAsia="Times New Roman" w:hAnsi="Times New Roman" w:cs="Times New Roman"/>
          <w:color w:val="000000"/>
          <w:spacing w:val="0"/>
          <w:w w:val="100"/>
          <w:position w:val="0"/>
        </w:rPr>
        <w:t>AA+</w:t>
      </w:r>
      <w:r>
        <w:rPr>
          <w:color w:val="000000"/>
          <w:spacing w:val="0"/>
          <w:w w:val="100"/>
          <w:position w:val="0"/>
        </w:rPr>
        <w:t>下调至</w:t>
      </w:r>
      <w:r>
        <w:rPr>
          <w:rFonts w:ascii="Times New Roman" w:eastAsia="Times New Roman" w:hAnsi="Times New Roman" w:cs="Times New Roman"/>
          <w:color w:val="000000"/>
          <w:spacing w:val="0"/>
          <w:w w:val="100"/>
          <w:position w:val="0"/>
        </w:rPr>
        <w:t>AA-</w:t>
      </w:r>
      <w:r>
        <w:rPr>
          <w:color w:val="000000"/>
          <w:spacing w:val="0"/>
          <w:w w:val="100"/>
          <w:position w:val="0"/>
        </w:rPr>
        <w:t>。</w:t>
      </w:r>
    </w:p>
    <w:p>
      <w:pPr>
        <w:pStyle w:val="Style29"/>
        <w:keepNext/>
        <w:keepLines/>
        <w:widowControl w:val="0"/>
        <w:shd w:val="clear" w:color="auto" w:fill="auto"/>
        <w:tabs>
          <w:tab w:pos="517" w:val="left"/>
        </w:tabs>
        <w:bidi w:val="0"/>
        <w:spacing w:before="0" w:after="280" w:line="240" w:lineRule="auto"/>
        <w:ind w:left="0" w:right="0" w:firstLine="0"/>
        <w:jc w:val="left"/>
      </w:pPr>
      <w:bookmarkStart w:id="582" w:name="bookmark582"/>
      <w:bookmarkStart w:id="583" w:name="bookmark583"/>
      <w:bookmarkStart w:id="584" w:name="bookmark584"/>
      <w:bookmarkStart w:id="585" w:name="bookmark585"/>
      <w:r>
        <w:rPr>
          <w:color w:val="000000"/>
          <w:spacing w:val="0"/>
          <w:w w:val="100"/>
          <w:position w:val="0"/>
          <w:sz w:val="24"/>
          <w:szCs w:val="24"/>
        </w:rPr>
        <w:t>五</w:t>
      </w:r>
      <w:bookmarkEnd w:id="584"/>
      <w:r>
        <w:rPr>
          <w:color w:val="000000"/>
          <w:spacing w:val="0"/>
          <w:w w:val="100"/>
          <w:position w:val="0"/>
          <w:sz w:val="24"/>
          <w:szCs w:val="24"/>
        </w:rPr>
        <w:t>、</w:t>
        <w:tab/>
        <w:t>公司债券增信机制、偿债计划及其他偿债保障措施</w:t>
      </w:r>
      <w:bookmarkEnd w:id="582"/>
      <w:bookmarkEnd w:id="583"/>
      <w:bookmarkEnd w:id="585"/>
    </w:p>
    <w:p>
      <w:pPr>
        <w:pStyle w:val="Style29"/>
        <w:keepNext/>
        <w:keepLines/>
        <w:widowControl w:val="0"/>
        <w:shd w:val="clear" w:color="auto" w:fill="auto"/>
        <w:bidi w:val="0"/>
        <w:spacing w:before="0" w:after="340" w:line="316" w:lineRule="exact"/>
        <w:ind w:left="0" w:right="0" w:firstLine="440"/>
        <w:jc w:val="both"/>
        <w:rPr>
          <w:sz w:val="20"/>
          <w:szCs w:val="20"/>
        </w:rPr>
      </w:pPr>
      <w:bookmarkStart w:id="586" w:name="bookmark586"/>
      <w:bookmarkStart w:id="587" w:name="bookmark587"/>
      <w:bookmarkStart w:id="588" w:name="bookmark588"/>
      <w:r>
        <w:rPr>
          <w:b w:val="0"/>
          <w:bCs w:val="0"/>
          <w:color w:val="000000"/>
          <w:spacing w:val="0"/>
          <w:w w:val="100"/>
          <w:position w:val="0"/>
          <w:sz w:val="20"/>
          <w:szCs w:val="20"/>
        </w:rPr>
        <w:t>“</w:t>
      </w:r>
      <w:r>
        <w:rPr>
          <w:rFonts w:ascii="Times New Roman" w:eastAsia="Times New Roman" w:hAnsi="Times New Roman" w:cs="Times New Roman"/>
          <w:b w:val="0"/>
          <w:bCs w:val="0"/>
          <w:color w:val="000000"/>
          <w:spacing w:val="0"/>
          <w:w w:val="100"/>
          <w:position w:val="0"/>
          <w:sz w:val="20"/>
          <w:szCs w:val="20"/>
        </w:rPr>
        <w:t>16</w:t>
      </w:r>
      <w:r>
        <w:rPr>
          <w:b w:val="0"/>
          <w:bCs w:val="0"/>
          <w:color w:val="000000"/>
          <w:spacing w:val="0"/>
          <w:w w:val="100"/>
          <w:position w:val="0"/>
          <w:sz w:val="20"/>
          <w:szCs w:val="20"/>
        </w:rPr>
        <w:t>国盛</w:t>
      </w:r>
      <w:r>
        <w:rPr>
          <w:rFonts w:ascii="Times New Roman" w:eastAsia="Times New Roman" w:hAnsi="Times New Roman" w:cs="Times New Roman"/>
          <w:b w:val="0"/>
          <w:bCs w:val="0"/>
          <w:color w:val="000000"/>
          <w:spacing w:val="0"/>
          <w:w w:val="100"/>
          <w:position w:val="0"/>
          <w:sz w:val="20"/>
          <w:szCs w:val="20"/>
        </w:rPr>
        <w:t>01</w:t>
      </w:r>
      <w:r>
        <w:rPr>
          <w:b w:val="0"/>
          <w:bCs w:val="0"/>
          <w:color w:val="000000"/>
          <w:spacing w:val="0"/>
          <w:w w:val="100"/>
          <w:position w:val="0"/>
          <w:sz w:val="20"/>
          <w:szCs w:val="20"/>
        </w:rPr>
        <w:t>”债券为无担保债券，为了充分、有效地维护债券持有人的利益，国盛证券为本期债券 的按时、足额偿付做出一系列安排，包括制定《债券持有人会议规则》、设立专门的偿付工作小组、制定 并严格执行资金管理计划、充分发挥债券受托管理人的作用和严格履行信息披露义务等，形成一套确保债 券安全付息、兑付的保障措施。国盛证券严格按照“</w:t>
      </w:r>
      <w:r>
        <w:rPr>
          <w:rFonts w:ascii="Times New Roman" w:eastAsia="Times New Roman" w:hAnsi="Times New Roman" w:cs="Times New Roman"/>
          <w:b w:val="0"/>
          <w:bCs w:val="0"/>
          <w:color w:val="000000"/>
          <w:spacing w:val="0"/>
          <w:w w:val="100"/>
          <w:position w:val="0"/>
          <w:sz w:val="20"/>
          <w:szCs w:val="20"/>
        </w:rPr>
        <w:t>16</w:t>
      </w:r>
      <w:r>
        <w:rPr>
          <w:b w:val="0"/>
          <w:bCs w:val="0"/>
          <w:color w:val="000000"/>
          <w:spacing w:val="0"/>
          <w:w w:val="100"/>
          <w:position w:val="0"/>
          <w:sz w:val="20"/>
          <w:szCs w:val="20"/>
        </w:rPr>
        <w:t>国盛</w:t>
      </w:r>
      <w:r>
        <w:rPr>
          <w:rFonts w:ascii="Times New Roman" w:eastAsia="Times New Roman" w:hAnsi="Times New Roman" w:cs="Times New Roman"/>
          <w:b w:val="0"/>
          <w:bCs w:val="0"/>
          <w:color w:val="000000"/>
          <w:spacing w:val="0"/>
          <w:w w:val="100"/>
          <w:position w:val="0"/>
          <w:sz w:val="20"/>
          <w:szCs w:val="20"/>
        </w:rPr>
        <w:t>01</w:t>
      </w:r>
      <w:r>
        <w:rPr>
          <w:b w:val="0"/>
          <w:bCs w:val="0"/>
          <w:color w:val="000000"/>
          <w:spacing w:val="0"/>
          <w:w w:val="100"/>
          <w:position w:val="0"/>
          <w:sz w:val="20"/>
          <w:szCs w:val="20"/>
        </w:rPr>
        <w:t>”债券的募集说明书相关承诺履行偿债保 障措施，切实、有效的保护债券持有人的利益。</w:t>
      </w:r>
      <w:bookmarkEnd w:id="586"/>
      <w:bookmarkEnd w:id="587"/>
      <w:bookmarkEnd w:id="588"/>
    </w:p>
    <w:p>
      <w:pPr>
        <w:pStyle w:val="Style29"/>
        <w:keepNext/>
        <w:keepLines/>
        <w:widowControl w:val="0"/>
        <w:shd w:val="clear" w:color="auto" w:fill="auto"/>
        <w:tabs>
          <w:tab w:pos="517" w:val="left"/>
        </w:tabs>
        <w:bidi w:val="0"/>
        <w:spacing w:before="0" w:after="280" w:line="240" w:lineRule="auto"/>
        <w:ind w:left="0" w:right="0" w:firstLine="0"/>
        <w:jc w:val="left"/>
      </w:pPr>
      <w:bookmarkStart w:id="589" w:name="bookmark589"/>
      <w:bookmarkStart w:id="590" w:name="bookmark590"/>
      <w:bookmarkStart w:id="591" w:name="bookmark591"/>
      <w:bookmarkStart w:id="592" w:name="bookmark592"/>
      <w:r>
        <w:rPr>
          <w:color w:val="000000"/>
          <w:spacing w:val="0"/>
          <w:w w:val="100"/>
          <w:position w:val="0"/>
          <w:sz w:val="24"/>
          <w:szCs w:val="24"/>
        </w:rPr>
        <w:t>六</w:t>
      </w:r>
      <w:bookmarkEnd w:id="591"/>
      <w:r>
        <w:rPr>
          <w:color w:val="000000"/>
          <w:spacing w:val="0"/>
          <w:w w:val="100"/>
          <w:position w:val="0"/>
          <w:sz w:val="24"/>
          <w:szCs w:val="24"/>
        </w:rPr>
        <w:t>、</w:t>
        <w:tab/>
        <w:t>报告期内债券持有人会议的召开情况</w:t>
      </w:r>
      <w:bookmarkEnd w:id="589"/>
      <w:bookmarkEnd w:id="590"/>
      <w:bookmarkEnd w:id="592"/>
    </w:p>
    <w:p>
      <w:pPr>
        <w:pStyle w:val="Style16"/>
        <w:keepNext w:val="0"/>
        <w:keepLines w:val="0"/>
        <w:widowControl w:val="0"/>
        <w:shd w:val="clear" w:color="auto" w:fill="auto"/>
        <w:bidi w:val="0"/>
        <w:spacing w:before="0" w:after="340" w:line="316" w:lineRule="exact"/>
        <w:ind w:left="0" w:right="0" w:firstLine="440"/>
        <w:jc w:val="left"/>
      </w:pPr>
      <w:r>
        <w:rPr>
          <w:color w:val="000000"/>
          <w:spacing w:val="0"/>
          <w:w w:val="100"/>
          <w:position w:val="0"/>
        </w:rPr>
        <w:t>报告期内，“</w:t>
      </w:r>
      <w:r>
        <w:rPr>
          <w:rFonts w:ascii="Times New Roman" w:eastAsia="Times New Roman" w:hAnsi="Times New Roman" w:cs="Times New Roman"/>
          <w:color w:val="000000"/>
          <w:spacing w:val="0"/>
          <w:w w:val="100"/>
          <w:position w:val="0"/>
        </w:rPr>
        <w:t>16</w:t>
      </w:r>
      <w:r>
        <w:rPr>
          <w:color w:val="000000"/>
          <w:spacing w:val="0"/>
          <w:w w:val="100"/>
          <w:position w:val="0"/>
        </w:rPr>
        <w:t>国盛</w:t>
      </w:r>
      <w:r>
        <w:rPr>
          <w:rFonts w:ascii="Times New Roman" w:eastAsia="Times New Roman" w:hAnsi="Times New Roman" w:cs="Times New Roman"/>
          <w:color w:val="000000"/>
          <w:spacing w:val="0"/>
          <w:w w:val="100"/>
          <w:position w:val="0"/>
        </w:rPr>
        <w:t>01</w:t>
      </w:r>
      <w:r>
        <w:rPr>
          <w:color w:val="000000"/>
          <w:spacing w:val="0"/>
          <w:w w:val="100"/>
          <w:position w:val="0"/>
        </w:rPr>
        <w:t>”债券未召开债券持有人会议。</w:t>
      </w:r>
    </w:p>
    <w:p>
      <w:pPr>
        <w:pStyle w:val="Style29"/>
        <w:keepNext/>
        <w:keepLines/>
        <w:widowControl w:val="0"/>
        <w:shd w:val="clear" w:color="auto" w:fill="auto"/>
        <w:tabs>
          <w:tab w:pos="522" w:val="left"/>
        </w:tabs>
        <w:bidi w:val="0"/>
        <w:spacing w:before="0" w:after="280" w:line="240" w:lineRule="auto"/>
        <w:ind w:left="0" w:right="0" w:firstLine="0"/>
        <w:jc w:val="left"/>
      </w:pPr>
      <w:bookmarkStart w:id="593" w:name="bookmark593"/>
      <w:bookmarkStart w:id="594" w:name="bookmark594"/>
      <w:bookmarkStart w:id="595" w:name="bookmark595"/>
      <w:bookmarkStart w:id="596" w:name="bookmark596"/>
      <w:r>
        <w:rPr>
          <w:color w:val="000000"/>
          <w:spacing w:val="0"/>
          <w:w w:val="100"/>
          <w:position w:val="0"/>
          <w:sz w:val="24"/>
          <w:szCs w:val="24"/>
        </w:rPr>
        <w:t>七</w:t>
      </w:r>
      <w:bookmarkEnd w:id="595"/>
      <w:r>
        <w:rPr>
          <w:color w:val="000000"/>
          <w:spacing w:val="0"/>
          <w:w w:val="100"/>
          <w:position w:val="0"/>
          <w:sz w:val="24"/>
          <w:szCs w:val="24"/>
        </w:rPr>
        <w:t>、</w:t>
        <w:tab/>
        <w:t>报告期内债券受托管理人履行职责的情况</w:t>
      </w:r>
      <w:bookmarkEnd w:id="593"/>
      <w:bookmarkEnd w:id="594"/>
      <w:bookmarkEnd w:id="596"/>
    </w:p>
    <w:p>
      <w:pPr>
        <w:pStyle w:val="Style16"/>
        <w:keepNext w:val="0"/>
        <w:keepLines w:val="0"/>
        <w:widowControl w:val="0"/>
        <w:shd w:val="clear" w:color="auto" w:fill="auto"/>
        <w:bidi w:val="0"/>
        <w:spacing w:before="0" w:after="340" w:line="314" w:lineRule="exact"/>
        <w:ind w:left="0" w:right="0" w:firstLine="440"/>
        <w:jc w:val="both"/>
      </w:pPr>
      <w:r>
        <w:rPr>
          <w:color w:val="000000"/>
          <w:spacing w:val="0"/>
          <w:w w:val="100"/>
          <w:position w:val="0"/>
        </w:rPr>
        <w:t>光大证券股份有限公司作为本期债券受托管理人，已根据相关法律、法规和规则的规定以及《受托管 理协议》的约定制定受托管理业务内部操作规则，明确履行受托管理事务的方式和程序，对发行人履行《募 集说明书》及《受托管理协议》约定义务的情况进行了持续跟踪和监督。</w:t>
      </w:r>
    </w:p>
    <w:p>
      <w:pPr>
        <w:pStyle w:val="Style29"/>
        <w:keepNext/>
        <w:keepLines/>
        <w:widowControl w:val="0"/>
        <w:shd w:val="clear" w:color="auto" w:fill="auto"/>
        <w:tabs>
          <w:tab w:pos="522" w:val="left"/>
        </w:tabs>
        <w:bidi w:val="0"/>
        <w:spacing w:before="0" w:after="340" w:line="240" w:lineRule="auto"/>
        <w:ind w:left="0" w:right="0" w:firstLine="0"/>
        <w:jc w:val="left"/>
      </w:pPr>
      <w:bookmarkStart w:id="597" w:name="bookmark597"/>
      <w:bookmarkStart w:id="598" w:name="bookmark598"/>
      <w:bookmarkStart w:id="599" w:name="bookmark599"/>
      <w:bookmarkStart w:id="600" w:name="bookmark600"/>
      <w:r>
        <w:rPr>
          <w:color w:val="000000"/>
          <w:spacing w:val="0"/>
          <w:w w:val="100"/>
          <w:position w:val="0"/>
          <w:sz w:val="24"/>
          <w:szCs w:val="24"/>
        </w:rPr>
        <w:t>八</w:t>
      </w:r>
      <w:bookmarkEnd w:id="599"/>
      <w:r>
        <w:rPr>
          <w:color w:val="000000"/>
          <w:spacing w:val="0"/>
          <w:w w:val="100"/>
          <w:position w:val="0"/>
          <w:sz w:val="24"/>
          <w:szCs w:val="24"/>
        </w:rPr>
        <w:t>、</w:t>
        <w:tab/>
        <w:t>截至报告期末公司近</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年的主要会计数据和财务指标</w:t>
      </w:r>
      <w:bookmarkEnd w:id="597"/>
      <w:bookmarkEnd w:id="598"/>
      <w:bookmarkEnd w:id="600"/>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同比变动率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息税折旧摊销前利润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26,522.39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98,290.40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-73.02%</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流动比率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135.88%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-8.09%</w:t>
            </w:r>
          </w:p>
        </w:tc>
      </w:tr>
    </w:tbl>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资产负债率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速动比率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127.79%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135.86%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EBITDA</w:t>
            </w:r>
            <w:r>
              <w:rPr>
                <w:color w:val="000000"/>
                <w:spacing w:val="0"/>
                <w:w w:val="100"/>
                <w:position w:val="0"/>
              </w:rPr>
              <w:t>全部债务比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利息保障倍数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0.35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现金利息保障倍数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9.41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4.61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104.12%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EBITDA</w:t>
            </w:r>
            <w:r>
              <w:rPr>
                <w:color w:val="000000"/>
                <w:spacing w:val="0"/>
                <w:w w:val="100"/>
                <w:position w:val="0"/>
              </w:rPr>
              <w:t>利息保障倍数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0.53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-61.03%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贷款偿还率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利息偿付率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pStyle w:val="Style40"/>
        <w:keepNext w:val="0"/>
        <w:keepLines w:val="0"/>
        <w:widowControl w:val="0"/>
        <w:shd w:val="clear" w:color="auto" w:fill="auto"/>
        <w:tabs>
          <w:tab w:pos="7992" w:val="left"/>
        </w:tabs>
        <w:bidi w:val="0"/>
        <w:spacing w:before="0" w:after="0" w:line="240" w:lineRule="auto"/>
        <w:ind w:left="0" w:right="0" w:firstLine="0"/>
        <w:jc w:val="center"/>
      </w:pPr>
      <w:r>
        <w:rPr>
          <w:color w:val="000000"/>
          <w:spacing w:val="0"/>
          <w:w w:val="100"/>
          <w:position w:val="0"/>
        </w:rPr>
        <w:t>上述会计数据和财务指标同比变动超过</w:t>
      </w:r>
      <w:r>
        <w:rPr>
          <w:rFonts w:ascii="Times New Roman" w:eastAsia="Times New Roman" w:hAnsi="Times New Roman" w:cs="Times New Roman"/>
          <w:color w:val="000000"/>
          <w:spacing w:val="0"/>
          <w:w w:val="100"/>
          <w:position w:val="0"/>
        </w:rPr>
        <w:t>30%</w:t>
      </w:r>
      <w:r>
        <w:rPr>
          <w:color w:val="000000"/>
          <w:spacing w:val="0"/>
          <w:w w:val="100"/>
          <w:position w:val="0"/>
        </w:rPr>
        <w:t>的主要原因</w:t>
        <w:tab/>
      </w: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6"/>
        <w:keepNext w:val="0"/>
        <w:keepLines w:val="0"/>
        <w:widowControl w:val="0"/>
        <w:shd w:val="clear" w:color="auto" w:fill="auto"/>
        <w:bidi w:val="0"/>
        <w:spacing w:before="0" w:after="340" w:line="319" w:lineRule="exact"/>
        <w:ind w:left="0" w:right="0" w:firstLine="440"/>
        <w:jc w:val="both"/>
      </w:pPr>
      <w:r>
        <w:rPr>
          <w:color w:val="000000"/>
          <w:spacing w:val="0"/>
          <w:w w:val="100"/>
          <w:position w:val="0"/>
        </w:rPr>
        <w:t>息税折旧摊销前利润同比下降</w:t>
      </w:r>
      <w:r>
        <w:rPr>
          <w:rFonts w:ascii="Times New Roman" w:eastAsia="Times New Roman" w:hAnsi="Times New Roman" w:cs="Times New Roman"/>
          <w:color w:val="000000"/>
          <w:spacing w:val="0"/>
          <w:w w:val="100"/>
          <w:position w:val="0"/>
        </w:rPr>
        <w:t>73.02%</w:t>
      </w:r>
      <w:r>
        <w:rPr>
          <w:color w:val="000000"/>
          <w:spacing w:val="0"/>
          <w:w w:val="100"/>
          <w:position w:val="0"/>
        </w:rPr>
        <w:t>，利息保障倍数和</w:t>
      </w:r>
      <w:r>
        <w:rPr>
          <w:rFonts w:ascii="Times New Roman" w:eastAsia="Times New Roman" w:hAnsi="Times New Roman" w:cs="Times New Roman"/>
          <w:color w:val="000000"/>
          <w:spacing w:val="0"/>
          <w:w w:val="100"/>
          <w:position w:val="0"/>
        </w:rPr>
        <w:t>EBITDA</w:t>
      </w:r>
      <w:r>
        <w:rPr>
          <w:color w:val="000000"/>
          <w:spacing w:val="0"/>
          <w:w w:val="100"/>
          <w:position w:val="0"/>
        </w:rPr>
        <w:t>利息保障倍数分别同比下降</w:t>
      </w:r>
      <w:r>
        <w:rPr>
          <w:rFonts w:ascii="Times New Roman" w:eastAsia="Times New Roman" w:hAnsi="Times New Roman" w:cs="Times New Roman"/>
          <w:color w:val="000000"/>
          <w:spacing w:val="0"/>
          <w:w w:val="100"/>
          <w:position w:val="0"/>
        </w:rPr>
        <w:t xml:space="preserve">72.00% </w:t>
      </w:r>
      <w:r>
        <w:rPr>
          <w:color w:val="000000"/>
          <w:spacing w:val="0"/>
          <w:w w:val="100"/>
          <w:position w:val="0"/>
        </w:rPr>
        <w:t>和</w:t>
      </w:r>
      <w:r>
        <w:rPr>
          <w:rFonts w:ascii="Times New Roman" w:eastAsia="Times New Roman" w:hAnsi="Times New Roman" w:cs="Times New Roman"/>
          <w:color w:val="000000"/>
          <w:spacing w:val="0"/>
          <w:w w:val="100"/>
          <w:position w:val="0"/>
        </w:rPr>
        <w:t>61.03%</w:t>
      </w:r>
      <w:r>
        <w:rPr>
          <w:color w:val="000000"/>
          <w:spacing w:val="0"/>
          <w:w w:val="100"/>
          <w:position w:val="0"/>
        </w:rPr>
        <w:t>，主要由于本期净利润较上年同期下降；受各项债务工具规模下降本期利息费用减少，且同期经 营活动产生的现金流量较上期大幅增加，共同使得现金利息保障倍数上升</w:t>
      </w:r>
      <w:r>
        <w:rPr>
          <w:rFonts w:ascii="Times New Roman" w:eastAsia="Times New Roman" w:hAnsi="Times New Roman" w:cs="Times New Roman"/>
          <w:color w:val="000000"/>
          <w:spacing w:val="0"/>
          <w:w w:val="100"/>
          <w:position w:val="0"/>
        </w:rPr>
        <w:t>104.12%</w:t>
      </w:r>
      <w:r>
        <w:rPr>
          <w:color w:val="000000"/>
          <w:spacing w:val="0"/>
          <w:w w:val="100"/>
          <w:position w:val="0"/>
        </w:rPr>
        <w:t>。</w:t>
      </w:r>
    </w:p>
    <w:p>
      <w:pPr>
        <w:pStyle w:val="Style29"/>
        <w:keepNext/>
        <w:keepLines/>
        <w:widowControl w:val="0"/>
        <w:shd w:val="clear" w:color="auto" w:fill="auto"/>
        <w:bidi w:val="0"/>
        <w:spacing w:before="0" w:after="280" w:line="240" w:lineRule="auto"/>
        <w:ind w:left="0" w:right="0" w:firstLine="0"/>
        <w:jc w:val="left"/>
      </w:pPr>
      <w:bookmarkStart w:id="601" w:name="bookmark601"/>
      <w:bookmarkStart w:id="602" w:name="bookmark602"/>
      <w:bookmarkStart w:id="603" w:name="bookmark603"/>
      <w:bookmarkStart w:id="604" w:name="bookmark604"/>
      <w:r>
        <w:rPr>
          <w:color w:val="000000"/>
          <w:spacing w:val="0"/>
          <w:w w:val="100"/>
          <w:position w:val="0"/>
          <w:sz w:val="24"/>
          <w:szCs w:val="24"/>
        </w:rPr>
        <w:t>九</w:t>
      </w:r>
      <w:bookmarkEnd w:id="603"/>
      <w:r>
        <w:rPr>
          <w:color w:val="000000"/>
          <w:spacing w:val="0"/>
          <w:w w:val="100"/>
          <w:position w:val="0"/>
          <w:sz w:val="24"/>
          <w:szCs w:val="24"/>
        </w:rPr>
        <w:t>、报告期对其他债券和债务融资工具的付息兑付情况</w:t>
      </w:r>
      <w:bookmarkEnd w:id="601"/>
      <w:bookmarkEnd w:id="602"/>
      <w:bookmarkEnd w:id="604"/>
    </w:p>
    <w:p>
      <w:pPr>
        <w:pStyle w:val="Style29"/>
        <w:keepNext/>
        <w:keepLines/>
        <w:widowControl w:val="0"/>
        <w:shd w:val="clear" w:color="auto" w:fill="auto"/>
        <w:bidi w:val="0"/>
        <w:spacing w:before="0" w:after="340" w:line="314" w:lineRule="exact"/>
        <w:ind w:left="0" w:right="0" w:firstLine="440"/>
        <w:jc w:val="both"/>
        <w:rPr>
          <w:sz w:val="20"/>
          <w:szCs w:val="20"/>
        </w:rPr>
      </w:pPr>
      <w:bookmarkStart w:id="605" w:name="bookmark605"/>
      <w:bookmarkStart w:id="606" w:name="bookmark606"/>
      <w:bookmarkStart w:id="607" w:name="bookmark607"/>
      <w:r>
        <w:rPr>
          <w:b w:val="0"/>
          <w:bCs w:val="0"/>
          <w:color w:val="000000"/>
          <w:spacing w:val="0"/>
          <w:w w:val="100"/>
          <w:position w:val="0"/>
          <w:sz w:val="20"/>
          <w:szCs w:val="20"/>
        </w:rPr>
        <w:t>报告期，母公司支付债券利息</w:t>
      </w:r>
      <w:r>
        <w:rPr>
          <w:rFonts w:ascii="Times New Roman" w:eastAsia="Times New Roman" w:hAnsi="Times New Roman" w:cs="Times New Roman"/>
          <w:b w:val="0"/>
          <w:bCs w:val="0"/>
          <w:color w:val="000000"/>
          <w:spacing w:val="0"/>
          <w:w w:val="100"/>
          <w:position w:val="0"/>
          <w:sz w:val="20"/>
          <w:szCs w:val="20"/>
        </w:rPr>
        <w:t>17,973.96</w:t>
      </w:r>
      <w:r>
        <w:rPr>
          <w:b w:val="0"/>
          <w:bCs w:val="0"/>
          <w:color w:val="000000"/>
          <w:spacing w:val="0"/>
          <w:w w:val="100"/>
          <w:position w:val="0"/>
          <w:sz w:val="20"/>
          <w:szCs w:val="20"/>
        </w:rPr>
        <w:t>万元和兑付债券本金</w:t>
      </w:r>
      <w:r>
        <w:rPr>
          <w:rFonts w:ascii="Times New Roman" w:eastAsia="Times New Roman" w:hAnsi="Times New Roman" w:cs="Times New Roman"/>
          <w:b w:val="0"/>
          <w:bCs w:val="0"/>
          <w:color w:val="000000"/>
          <w:spacing w:val="0"/>
          <w:w w:val="100"/>
          <w:position w:val="0"/>
          <w:sz w:val="20"/>
          <w:szCs w:val="20"/>
        </w:rPr>
        <w:t>26,799.33</w:t>
      </w:r>
      <w:r>
        <w:rPr>
          <w:b w:val="0"/>
          <w:bCs w:val="0"/>
          <w:color w:val="000000"/>
          <w:spacing w:val="0"/>
          <w:w w:val="100"/>
          <w:position w:val="0"/>
          <w:sz w:val="20"/>
          <w:szCs w:val="20"/>
        </w:rPr>
        <w:t>万元；子公司国盛证券支付收 益凭证利息</w:t>
      </w:r>
      <w:r>
        <w:rPr>
          <w:rFonts w:ascii="Times New Roman" w:eastAsia="Times New Roman" w:hAnsi="Times New Roman" w:cs="Times New Roman"/>
          <w:b w:val="0"/>
          <w:bCs w:val="0"/>
          <w:color w:val="000000"/>
          <w:spacing w:val="0"/>
          <w:w w:val="100"/>
          <w:position w:val="0"/>
          <w:sz w:val="20"/>
          <w:szCs w:val="20"/>
        </w:rPr>
        <w:t>11,346.48</w:t>
      </w:r>
      <w:r>
        <w:rPr>
          <w:b w:val="0"/>
          <w:bCs w:val="0"/>
          <w:color w:val="000000"/>
          <w:spacing w:val="0"/>
          <w:w w:val="100"/>
          <w:position w:val="0"/>
          <w:sz w:val="20"/>
          <w:szCs w:val="20"/>
        </w:rPr>
        <w:t>万元，公司债利息</w:t>
      </w:r>
      <w:r>
        <w:rPr>
          <w:rFonts w:ascii="Times New Roman" w:eastAsia="Times New Roman" w:hAnsi="Times New Roman" w:cs="Times New Roman"/>
          <w:b w:val="0"/>
          <w:bCs w:val="0"/>
          <w:color w:val="000000"/>
          <w:spacing w:val="0"/>
          <w:w w:val="100"/>
          <w:position w:val="0"/>
          <w:sz w:val="20"/>
          <w:szCs w:val="20"/>
        </w:rPr>
        <w:t>2,777.50</w:t>
      </w:r>
      <w:r>
        <w:rPr>
          <w:b w:val="0"/>
          <w:bCs w:val="0"/>
          <w:color w:val="000000"/>
          <w:spacing w:val="0"/>
          <w:w w:val="100"/>
          <w:position w:val="0"/>
          <w:sz w:val="20"/>
          <w:szCs w:val="20"/>
        </w:rPr>
        <w:t>万元，转融通拆入资金利息</w:t>
      </w:r>
      <w:r>
        <w:rPr>
          <w:rFonts w:ascii="Times New Roman" w:eastAsia="Times New Roman" w:hAnsi="Times New Roman" w:cs="Times New Roman"/>
          <w:b w:val="0"/>
          <w:bCs w:val="0"/>
          <w:color w:val="000000"/>
          <w:spacing w:val="0"/>
          <w:w w:val="100"/>
          <w:position w:val="0"/>
          <w:sz w:val="20"/>
          <w:szCs w:val="20"/>
        </w:rPr>
        <w:t>8,286.64</w:t>
      </w:r>
      <w:r>
        <w:rPr>
          <w:b w:val="0"/>
          <w:bCs w:val="0"/>
          <w:color w:val="000000"/>
          <w:spacing w:val="0"/>
          <w:w w:val="100"/>
          <w:position w:val="0"/>
          <w:sz w:val="20"/>
          <w:szCs w:val="20"/>
        </w:rPr>
        <w:t>万元，银行间市场 拆入资金利息</w:t>
      </w:r>
      <w:r>
        <w:rPr>
          <w:rFonts w:ascii="Times New Roman" w:eastAsia="Times New Roman" w:hAnsi="Times New Roman" w:cs="Times New Roman"/>
          <w:b w:val="0"/>
          <w:bCs w:val="0"/>
          <w:color w:val="000000"/>
          <w:spacing w:val="0"/>
          <w:w w:val="100"/>
          <w:position w:val="0"/>
          <w:sz w:val="20"/>
          <w:szCs w:val="20"/>
        </w:rPr>
        <w:t>90.99</w:t>
      </w:r>
      <w:r>
        <w:rPr>
          <w:b w:val="0"/>
          <w:bCs w:val="0"/>
          <w:color w:val="000000"/>
          <w:spacing w:val="0"/>
          <w:w w:val="100"/>
          <w:position w:val="0"/>
          <w:sz w:val="20"/>
          <w:szCs w:val="20"/>
        </w:rPr>
        <w:t>万元，卖出回购证券利息</w:t>
      </w:r>
      <w:r>
        <w:rPr>
          <w:rFonts w:ascii="Times New Roman" w:eastAsia="Times New Roman" w:hAnsi="Times New Roman" w:cs="Times New Roman"/>
          <w:b w:val="0"/>
          <w:bCs w:val="0"/>
          <w:color w:val="000000"/>
          <w:spacing w:val="0"/>
          <w:w w:val="100"/>
          <w:position w:val="0"/>
          <w:sz w:val="20"/>
          <w:szCs w:val="20"/>
        </w:rPr>
        <w:t>7,890.86</w:t>
      </w:r>
      <w:r>
        <w:rPr>
          <w:b w:val="0"/>
          <w:bCs w:val="0"/>
          <w:color w:val="000000"/>
          <w:spacing w:val="0"/>
          <w:w w:val="100"/>
          <w:position w:val="0"/>
          <w:sz w:val="20"/>
          <w:szCs w:val="20"/>
        </w:rPr>
        <w:t>万元，其他利息</w:t>
      </w:r>
      <w:r>
        <w:rPr>
          <w:rFonts w:ascii="Times New Roman" w:eastAsia="Times New Roman" w:hAnsi="Times New Roman" w:cs="Times New Roman"/>
          <w:b w:val="0"/>
          <w:bCs w:val="0"/>
          <w:color w:val="000000"/>
          <w:spacing w:val="0"/>
          <w:w w:val="100"/>
          <w:position w:val="0"/>
          <w:sz w:val="20"/>
          <w:szCs w:val="20"/>
        </w:rPr>
        <w:t>131.71</w:t>
      </w:r>
      <w:r>
        <w:rPr>
          <w:b w:val="0"/>
          <w:bCs w:val="0"/>
          <w:color w:val="000000"/>
          <w:spacing w:val="0"/>
          <w:w w:val="100"/>
          <w:position w:val="0"/>
          <w:sz w:val="20"/>
          <w:szCs w:val="20"/>
        </w:rPr>
        <w:t>万元。</w:t>
      </w:r>
      <w:bookmarkEnd w:id="605"/>
      <w:bookmarkEnd w:id="606"/>
      <w:bookmarkEnd w:id="607"/>
    </w:p>
    <w:p>
      <w:pPr>
        <w:pStyle w:val="Style29"/>
        <w:keepNext/>
        <w:keepLines/>
        <w:widowControl w:val="0"/>
        <w:shd w:val="clear" w:color="auto" w:fill="auto"/>
        <w:bidi w:val="0"/>
        <w:spacing w:before="0" w:after="280" w:line="240" w:lineRule="auto"/>
        <w:ind w:left="0" w:right="0" w:firstLine="0"/>
        <w:jc w:val="both"/>
      </w:pPr>
      <w:bookmarkStart w:id="608" w:name="bookmark608"/>
      <w:bookmarkStart w:id="609" w:name="bookmark609"/>
      <w:bookmarkStart w:id="610" w:name="bookmark610"/>
      <w:r>
        <w:rPr>
          <w:color w:val="000000"/>
          <w:spacing w:val="0"/>
          <w:w w:val="100"/>
          <w:position w:val="0"/>
          <w:sz w:val="24"/>
          <w:szCs w:val="24"/>
        </w:rPr>
        <w:t>十、报告期内获得的银行授信情况、使用情况以及偿还银行贷款的情况</w:t>
      </w:r>
      <w:bookmarkEnd w:id="608"/>
      <w:bookmarkEnd w:id="609"/>
      <w:bookmarkEnd w:id="610"/>
    </w:p>
    <w:p>
      <w:pPr>
        <w:pStyle w:val="Style29"/>
        <w:keepNext/>
        <w:keepLines/>
        <w:widowControl w:val="0"/>
        <w:shd w:val="clear" w:color="auto" w:fill="auto"/>
        <w:bidi w:val="0"/>
        <w:spacing w:before="0" w:after="340" w:line="307" w:lineRule="exact"/>
        <w:ind w:left="0" w:right="0" w:firstLine="440"/>
        <w:jc w:val="both"/>
        <w:rPr>
          <w:sz w:val="20"/>
          <w:szCs w:val="20"/>
        </w:rPr>
      </w:pPr>
      <w:bookmarkStart w:id="611" w:name="bookmark611"/>
      <w:bookmarkStart w:id="612" w:name="bookmark612"/>
      <w:bookmarkStart w:id="613" w:name="bookmark613"/>
      <w:r>
        <w:rPr>
          <w:b w:val="0"/>
          <w:bCs w:val="0"/>
          <w:color w:val="000000"/>
          <w:spacing w:val="0"/>
          <w:w w:val="100"/>
          <w:position w:val="0"/>
          <w:sz w:val="20"/>
          <w:szCs w:val="20"/>
        </w:rPr>
        <w:t>报告期本集团获得银行授信合计</w:t>
      </w:r>
      <w:r>
        <w:rPr>
          <w:rFonts w:ascii="Times New Roman" w:eastAsia="Times New Roman" w:hAnsi="Times New Roman" w:cs="Times New Roman"/>
          <w:b w:val="0"/>
          <w:bCs w:val="0"/>
          <w:color w:val="000000"/>
          <w:spacing w:val="0"/>
          <w:w w:val="100"/>
          <w:position w:val="0"/>
          <w:sz w:val="20"/>
          <w:szCs w:val="20"/>
        </w:rPr>
        <w:t>266.8</w:t>
      </w:r>
      <w:r>
        <w:rPr>
          <w:b w:val="0"/>
          <w:bCs w:val="0"/>
          <w:color w:val="000000"/>
          <w:spacing w:val="0"/>
          <w:w w:val="100"/>
          <w:position w:val="0"/>
          <w:sz w:val="20"/>
          <w:szCs w:val="20"/>
        </w:rPr>
        <w:t>亿元、到期授信合计</w:t>
      </w:r>
      <w:r>
        <w:rPr>
          <w:rFonts w:ascii="Times New Roman" w:eastAsia="Times New Roman" w:hAnsi="Times New Roman" w:cs="Times New Roman"/>
          <w:b w:val="0"/>
          <w:bCs w:val="0"/>
          <w:color w:val="000000"/>
          <w:spacing w:val="0"/>
          <w:w w:val="100"/>
          <w:position w:val="0"/>
          <w:sz w:val="20"/>
          <w:szCs w:val="20"/>
        </w:rPr>
        <w:t>175</w:t>
      </w:r>
      <w:r>
        <w:rPr>
          <w:b w:val="0"/>
          <w:bCs w:val="0"/>
          <w:color w:val="000000"/>
          <w:spacing w:val="0"/>
          <w:w w:val="100"/>
          <w:position w:val="0"/>
          <w:sz w:val="20"/>
          <w:szCs w:val="20"/>
        </w:rPr>
        <w:t>亿元，银行授信均在额度范围内循环 使用，截至期末使用中的授信合计为</w:t>
      </w:r>
      <w:r>
        <w:rPr>
          <w:rFonts w:ascii="Times New Roman" w:eastAsia="Times New Roman" w:hAnsi="Times New Roman" w:cs="Times New Roman"/>
          <w:b w:val="0"/>
          <w:bCs w:val="0"/>
          <w:color w:val="000000"/>
          <w:spacing w:val="0"/>
          <w:w w:val="100"/>
          <w:position w:val="0"/>
          <w:sz w:val="20"/>
          <w:szCs w:val="20"/>
        </w:rPr>
        <w:t>31.8</w:t>
      </w:r>
      <w:r>
        <w:rPr>
          <w:b w:val="0"/>
          <w:bCs w:val="0"/>
          <w:color w:val="000000"/>
          <w:spacing w:val="0"/>
          <w:w w:val="100"/>
          <w:position w:val="0"/>
          <w:sz w:val="20"/>
          <w:szCs w:val="20"/>
        </w:rPr>
        <w:t>亿元，期内未出现逾期偿还银行贷款情况。</w:t>
      </w:r>
      <w:bookmarkEnd w:id="611"/>
      <w:bookmarkEnd w:id="612"/>
      <w:bookmarkEnd w:id="613"/>
    </w:p>
    <w:p>
      <w:pPr>
        <w:pStyle w:val="Style29"/>
        <w:keepNext/>
        <w:keepLines/>
        <w:widowControl w:val="0"/>
        <w:shd w:val="clear" w:color="auto" w:fill="auto"/>
        <w:bidi w:val="0"/>
        <w:spacing w:before="0" w:after="280" w:line="240" w:lineRule="auto"/>
        <w:ind w:left="0" w:right="0" w:firstLine="0"/>
        <w:jc w:val="both"/>
      </w:pPr>
      <w:bookmarkStart w:id="614" w:name="bookmark614"/>
      <w:bookmarkStart w:id="615" w:name="bookmark615"/>
      <w:bookmarkStart w:id="616" w:name="bookmark616"/>
      <w:r>
        <w:rPr>
          <w:color w:val="000000"/>
          <w:spacing w:val="0"/>
          <w:w w:val="100"/>
          <w:position w:val="0"/>
          <w:sz w:val="24"/>
          <w:szCs w:val="24"/>
        </w:rPr>
        <w:t>十一、报告期内执行公司债券募集说明书相关约定或承诺的情况</w:t>
      </w:r>
      <w:bookmarkEnd w:id="614"/>
      <w:bookmarkEnd w:id="615"/>
      <w:bookmarkEnd w:id="616"/>
    </w:p>
    <w:p>
      <w:pPr>
        <w:pStyle w:val="Style16"/>
        <w:keepNext w:val="0"/>
        <w:keepLines w:val="0"/>
        <w:widowControl w:val="0"/>
        <w:shd w:val="clear" w:color="auto" w:fill="auto"/>
        <w:bidi w:val="0"/>
        <w:spacing w:before="0" w:after="340" w:line="321" w:lineRule="exact"/>
        <w:ind w:left="0" w:right="0" w:firstLine="440"/>
        <w:jc w:val="both"/>
      </w:pPr>
      <w:r>
        <w:rPr>
          <w:color w:val="000000"/>
          <w:spacing w:val="0"/>
          <w:w w:val="100"/>
          <w:position w:val="0"/>
        </w:rPr>
        <w:t>报告期已严格执行募集说明书相关约定和承诺。</w:t>
      </w:r>
    </w:p>
    <w:p>
      <w:pPr>
        <w:pStyle w:val="Style75"/>
        <w:keepNext w:val="0"/>
        <w:keepLines w:val="0"/>
        <w:widowControl w:val="0"/>
        <w:shd w:val="clear" w:color="auto" w:fill="auto"/>
        <w:tabs>
          <w:tab w:pos="7891" w:val="left"/>
        </w:tabs>
        <w:bidi w:val="0"/>
        <w:spacing w:before="0" w:after="280" w:line="240" w:lineRule="auto"/>
        <w:ind w:left="0" w:right="0" w:firstLine="0"/>
        <w:jc w:val="both"/>
        <w:rPr>
          <w:sz w:val="20"/>
          <w:szCs w:val="20"/>
        </w:rPr>
      </w:pPr>
      <w:bookmarkStart w:id="617" w:name="bookmark617"/>
      <w:r>
        <w:rPr>
          <w:color w:val="000000"/>
          <w:spacing w:val="0"/>
          <w:w w:val="100"/>
          <w:position w:val="0"/>
          <w:sz w:val="24"/>
          <w:szCs w:val="24"/>
        </w:rPr>
        <w:t>十二、报告期发生的重大事项</w:t>
        <w:tab/>
      </w:r>
      <w:r>
        <w:rPr>
          <w:b w:val="0"/>
          <w:bCs w:val="0"/>
          <w:color w:val="000000"/>
          <w:spacing w:val="0"/>
          <w:w w:val="100"/>
          <w:position w:val="0"/>
          <w:sz w:val="20"/>
          <w:szCs w:val="20"/>
        </w:rPr>
        <w:t>寸</w:t>
      </w:r>
      <w:r>
        <w:rPr>
          <w:b w:val="0"/>
          <w:bCs w:val="0"/>
          <w:color w:val="000000"/>
          <w:spacing w:val="0"/>
          <w:w w:val="100"/>
          <w:position w:val="0"/>
          <w:sz w:val="20"/>
          <w:szCs w:val="20"/>
        </w:rPr>
        <w:t>适用</w:t>
      </w:r>
      <w:r>
        <w:rPr>
          <w:b w:val="0"/>
          <w:bCs w:val="0"/>
          <w:color w:val="000000"/>
          <w:spacing w:val="0"/>
          <w:w w:val="100"/>
          <w:position w:val="0"/>
          <w:sz w:val="20"/>
          <w:szCs w:val="20"/>
        </w:rPr>
        <w:t>口</w:t>
      </w:r>
      <w:r>
        <w:rPr>
          <w:b w:val="0"/>
          <w:bCs w:val="0"/>
          <w:color w:val="000000"/>
          <w:spacing w:val="0"/>
          <w:w w:val="100"/>
          <w:position w:val="0"/>
          <w:sz w:val="20"/>
          <w:szCs w:val="20"/>
        </w:rPr>
        <w:t>不适用</w:t>
      </w:r>
      <w:bookmarkEnd w:id="617"/>
    </w:p>
    <w:p>
      <w:pPr>
        <w:pStyle w:val="Style16"/>
        <w:keepNext w:val="0"/>
        <w:keepLines w:val="0"/>
        <w:widowControl w:val="0"/>
        <w:shd w:val="clear" w:color="auto" w:fill="auto"/>
        <w:tabs>
          <w:tab w:pos="790" w:val="left"/>
        </w:tabs>
        <w:bidi w:val="0"/>
        <w:spacing w:before="0" w:after="0" w:line="322" w:lineRule="exact"/>
        <w:ind w:left="0" w:right="0" w:firstLine="440"/>
        <w:jc w:val="both"/>
      </w:pPr>
      <w:bookmarkStart w:id="618" w:name="bookmark618"/>
      <w:bookmarkStart w:id="619" w:name="bookmark619"/>
      <w:r>
        <w:rPr>
          <w:rFonts w:ascii="Times New Roman" w:eastAsia="Times New Roman" w:hAnsi="Times New Roman" w:cs="Times New Roman"/>
          <w:color w:val="000000"/>
          <w:spacing w:val="0"/>
          <w:w w:val="100"/>
          <w:position w:val="0"/>
        </w:rPr>
        <w:t>1</w:t>
      </w:r>
      <w:bookmarkEnd w:id="618"/>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日，公司子公司国盛证券、国盛期货被中国证监会实行接管。</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月，公司 控股股东被中国证监会立案调查，详见</w:t>
      </w:r>
      <w:r>
        <w:rPr>
          <w:rFonts w:ascii="Times New Roman" w:eastAsia="Times New Roman" w:hAnsi="Times New Roman" w:cs="Times New Roman"/>
          <w:color w:val="000000"/>
          <w:spacing w:val="0"/>
          <w:w w:val="100"/>
          <w:position w:val="0"/>
        </w:rPr>
        <w:t>“</w:t>
      </w:r>
      <w:r>
        <w:rPr>
          <w:color w:val="000000"/>
          <w:spacing w:val="0"/>
          <w:w w:val="100"/>
          <w:position w:val="0"/>
        </w:rPr>
        <w:t>第五节重要事项</w:t>
      </w:r>
      <w:r>
        <w:rPr>
          <w:color w:val="000000"/>
          <w:spacing w:val="0"/>
          <w:w w:val="100"/>
          <w:position w:val="0"/>
        </w:rPr>
        <w:t>''</w:t>
      </w:r>
      <w:r>
        <w:rPr>
          <w:color w:val="000000"/>
          <w:spacing w:val="0"/>
          <w:w w:val="100"/>
          <w:position w:val="0"/>
        </w:rPr>
        <w:t>之</w:t>
      </w:r>
      <w:r>
        <w:rPr>
          <w:rFonts w:ascii="Times New Roman" w:eastAsia="Times New Roman" w:hAnsi="Times New Roman" w:cs="Times New Roman"/>
          <w:color w:val="000000"/>
          <w:spacing w:val="0"/>
          <w:w w:val="100"/>
          <w:position w:val="0"/>
        </w:rPr>
        <w:t>“</w:t>
      </w:r>
      <w:r>
        <w:rPr>
          <w:color w:val="000000"/>
          <w:spacing w:val="0"/>
          <w:w w:val="100"/>
          <w:position w:val="0"/>
        </w:rPr>
        <w:t>十三、处罚及整改情况。</w:t>
      </w:r>
      <w:bookmarkEnd w:id="619"/>
    </w:p>
    <w:p>
      <w:pPr>
        <w:pStyle w:val="Style16"/>
        <w:keepNext w:val="0"/>
        <w:keepLines w:val="0"/>
        <w:widowControl w:val="0"/>
        <w:shd w:val="clear" w:color="auto" w:fill="auto"/>
        <w:tabs>
          <w:tab w:pos="771" w:val="left"/>
        </w:tabs>
        <w:bidi w:val="0"/>
        <w:spacing w:before="0" w:after="0" w:line="322" w:lineRule="exact"/>
        <w:ind w:left="0" w:right="0" w:firstLine="440"/>
        <w:jc w:val="both"/>
      </w:pPr>
      <w:bookmarkStart w:id="620" w:name="bookmark620"/>
      <w:r>
        <w:rPr>
          <w:rFonts w:ascii="Times New Roman" w:eastAsia="Times New Roman" w:hAnsi="Times New Roman" w:cs="Times New Roman"/>
          <w:color w:val="000000"/>
          <w:spacing w:val="0"/>
          <w:w w:val="100"/>
          <w:position w:val="0"/>
        </w:rPr>
        <w:t>2</w:t>
      </w:r>
      <w:bookmarkEnd w:id="620"/>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日联合信用评级有限公司将国盛金控主体长期信用等级由</w:t>
      </w:r>
      <w:r>
        <w:rPr>
          <w:rFonts w:ascii="Times New Roman" w:eastAsia="Times New Roman" w:hAnsi="Times New Roman" w:cs="Times New Roman"/>
          <w:color w:val="000000"/>
          <w:spacing w:val="0"/>
          <w:w w:val="100"/>
          <w:position w:val="0"/>
        </w:rPr>
        <w:t>AA+</w:t>
      </w:r>
      <w:r>
        <w:rPr>
          <w:color w:val="000000"/>
          <w:spacing w:val="0"/>
          <w:w w:val="100"/>
          <w:position w:val="0"/>
        </w:rPr>
        <w:t>下调至</w:t>
      </w:r>
      <w:r>
        <w:rPr>
          <w:rFonts w:ascii="Times New Roman" w:eastAsia="Times New Roman" w:hAnsi="Times New Roman" w:cs="Times New Roman"/>
          <w:color w:val="000000"/>
          <w:spacing w:val="0"/>
          <w:w w:val="100"/>
          <w:position w:val="0"/>
        </w:rPr>
        <w:t>AA-</w:t>
      </w:r>
      <w:r>
        <w:rPr>
          <w:color w:val="000000"/>
          <w:spacing w:val="0"/>
          <w:w w:val="100"/>
          <w:position w:val="0"/>
        </w:rPr>
        <w:t>,</w:t>
      </w:r>
      <w:r>
        <w:rPr>
          <w:color w:val="000000"/>
          <w:spacing w:val="0"/>
          <w:w w:val="100"/>
          <w:position w:val="0"/>
        </w:rPr>
        <w:t>将“</w:t>
      </w:r>
      <w:r>
        <w:rPr>
          <w:rFonts w:ascii="Times New Roman" w:eastAsia="Times New Roman" w:hAnsi="Times New Roman" w:cs="Times New Roman"/>
          <w:color w:val="000000"/>
          <w:spacing w:val="0"/>
          <w:w w:val="100"/>
          <w:position w:val="0"/>
        </w:rPr>
        <w:t xml:space="preserve">16 </w:t>
      </w:r>
      <w:r>
        <w:rPr>
          <w:color w:val="000000"/>
          <w:spacing w:val="0"/>
          <w:w w:val="100"/>
          <w:position w:val="0"/>
        </w:rPr>
        <w:t>国盛金”（报告期内已全额兑付）债券的信用等级由</w:t>
      </w:r>
      <w:r>
        <w:rPr>
          <w:rFonts w:ascii="Times New Roman" w:eastAsia="Times New Roman" w:hAnsi="Times New Roman" w:cs="Times New Roman"/>
          <w:color w:val="000000"/>
          <w:spacing w:val="0"/>
          <w:w w:val="100"/>
          <w:position w:val="0"/>
        </w:rPr>
        <w:t>AA+</w:t>
      </w:r>
      <w:r>
        <w:rPr>
          <w:color w:val="000000"/>
          <w:spacing w:val="0"/>
          <w:w w:val="100"/>
          <w:position w:val="0"/>
        </w:rPr>
        <w:t>下调至</w:t>
      </w:r>
      <w:r>
        <w:rPr>
          <w:rFonts w:ascii="Times New Roman" w:eastAsia="Times New Roman" w:hAnsi="Times New Roman" w:cs="Times New Roman"/>
          <w:color w:val="000000"/>
          <w:spacing w:val="0"/>
          <w:w w:val="100"/>
          <w:position w:val="0"/>
        </w:rPr>
        <w:t>AA-</w:t>
      </w:r>
      <w:r>
        <w:rPr>
          <w:color w:val="000000"/>
          <w:spacing w:val="0"/>
          <w:w w:val="100"/>
          <w:position w:val="0"/>
        </w:rPr>
        <w:t>。</w:t>
      </w:r>
    </w:p>
    <w:p>
      <w:pPr>
        <w:pStyle w:val="Style16"/>
        <w:keepNext w:val="0"/>
        <w:keepLines w:val="0"/>
        <w:widowControl w:val="0"/>
        <w:shd w:val="clear" w:color="auto" w:fill="auto"/>
        <w:tabs>
          <w:tab w:pos="786" w:val="left"/>
        </w:tabs>
        <w:bidi w:val="0"/>
        <w:spacing w:before="0" w:after="340" w:line="322" w:lineRule="exact"/>
        <w:ind w:left="0" w:right="0" w:firstLine="440"/>
        <w:jc w:val="both"/>
      </w:pPr>
      <w:bookmarkStart w:id="621" w:name="bookmark621"/>
      <w:r>
        <w:rPr>
          <w:rFonts w:ascii="Times New Roman" w:eastAsia="Times New Roman" w:hAnsi="Times New Roman" w:cs="Times New Roman"/>
          <w:color w:val="000000"/>
          <w:spacing w:val="0"/>
          <w:w w:val="100"/>
          <w:position w:val="0"/>
        </w:rPr>
        <w:t>3</w:t>
      </w:r>
      <w:bookmarkEnd w:id="621"/>
      <w:r>
        <w:rPr>
          <w:color w:val="000000"/>
          <w:spacing w:val="0"/>
          <w:w w:val="100"/>
          <w:position w:val="0"/>
        </w:rPr>
        <w:t>、</w:t>
        <w:tab/>
        <w:t>关于公司与雪松国际信托股份有限公司就《业绩承诺补偿协议》诉讼事项，公司于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 xml:space="preserve">25 </w:t>
      </w:r>
      <w:r>
        <w:rPr>
          <w:color w:val="000000"/>
          <w:spacing w:val="0"/>
          <w:w w:val="100"/>
          <w:position w:val="0"/>
        </w:rPr>
        <w:t>日收到最高法院送达的（</w:t>
      </w:r>
      <w:r>
        <w:rPr>
          <w:rFonts w:ascii="Times New Roman" w:eastAsia="Times New Roman" w:hAnsi="Times New Roman" w:cs="Times New Roman"/>
          <w:color w:val="000000"/>
          <w:spacing w:val="0"/>
          <w:w w:val="100"/>
          <w:position w:val="0"/>
        </w:rPr>
        <w:t>2020</w:t>
      </w:r>
      <w:r>
        <w:rPr>
          <w:color w:val="000000"/>
          <w:spacing w:val="0"/>
          <w:w w:val="100"/>
          <w:position w:val="0"/>
        </w:rPr>
        <w:t>）最高法民终</w:t>
      </w:r>
      <w:r>
        <w:rPr>
          <w:rFonts w:ascii="Times New Roman" w:eastAsia="Times New Roman" w:hAnsi="Times New Roman" w:cs="Times New Roman"/>
          <w:color w:val="000000"/>
          <w:spacing w:val="0"/>
          <w:w w:val="100"/>
          <w:position w:val="0"/>
        </w:rPr>
        <w:t>358</w:t>
      </w:r>
      <w:r>
        <w:rPr>
          <w:color w:val="000000"/>
          <w:spacing w:val="0"/>
          <w:w w:val="100"/>
          <w:position w:val="0"/>
        </w:rPr>
        <w:t>号《民事裁定书》（下称本裁定）。最高法院裁定：驳回 上诉，维持原裁定。本裁定为终审裁定。与该案有关的更多信息详见</w:t>
      </w:r>
      <w:r>
        <w:rPr>
          <w:rFonts w:ascii="Times New Roman" w:eastAsia="Times New Roman" w:hAnsi="Times New Roman" w:cs="Times New Roman"/>
          <w:color w:val="000000"/>
          <w:spacing w:val="0"/>
          <w:w w:val="100"/>
          <w:position w:val="0"/>
        </w:rPr>
        <w:t>“</w:t>
      </w:r>
      <w:r>
        <w:rPr>
          <w:color w:val="000000"/>
          <w:spacing w:val="0"/>
          <w:w w:val="100"/>
          <w:position w:val="0"/>
        </w:rPr>
        <w:t>第五节重要事项''之</w:t>
      </w:r>
      <w:r>
        <w:rPr>
          <w:rFonts w:ascii="Times New Roman" w:eastAsia="Times New Roman" w:hAnsi="Times New Roman" w:cs="Times New Roman"/>
          <w:color w:val="000000"/>
          <w:spacing w:val="0"/>
          <w:w w:val="100"/>
          <w:position w:val="0"/>
        </w:rPr>
        <w:t>“</w:t>
      </w:r>
      <w:r>
        <w:rPr>
          <w:color w:val="000000"/>
          <w:spacing w:val="0"/>
          <w:w w:val="100"/>
          <w:position w:val="0"/>
        </w:rPr>
        <w:t>十二、诉讼事 项</w:t>
      </w:r>
    </w:p>
    <w:p>
      <w:pPr>
        <w:pStyle w:val="Style75"/>
        <w:keepNext w:val="0"/>
        <w:keepLines w:val="0"/>
        <w:widowControl w:val="0"/>
        <w:shd w:val="clear" w:color="auto" w:fill="auto"/>
        <w:tabs>
          <w:tab w:pos="8645" w:val="left"/>
        </w:tabs>
        <w:bidi w:val="0"/>
        <w:spacing w:before="0" w:after="280" w:line="240" w:lineRule="auto"/>
        <w:ind w:left="0" w:right="0" w:firstLine="0"/>
        <w:jc w:val="both"/>
        <w:rPr>
          <w:sz w:val="20"/>
          <w:szCs w:val="20"/>
        </w:rPr>
      </w:pPr>
      <w:bookmarkStart w:id="622" w:name="bookmark622"/>
      <w:r>
        <w:rPr>
          <w:color w:val="000000"/>
          <w:spacing w:val="0"/>
          <w:w w:val="100"/>
          <w:position w:val="0"/>
          <w:sz w:val="24"/>
          <w:szCs w:val="24"/>
        </w:rPr>
        <w:t>十三、公司债券是否存在保证人</w:t>
        <w:tab/>
      </w:r>
      <w:r>
        <w:rPr>
          <w:b w:val="0"/>
          <w:bCs w:val="0"/>
          <w:color w:val="000000"/>
          <w:spacing w:val="0"/>
          <w:w w:val="100"/>
          <w:position w:val="0"/>
          <w:sz w:val="20"/>
          <w:szCs w:val="20"/>
        </w:rPr>
        <w:t>口</w:t>
      </w:r>
      <w:r>
        <w:rPr>
          <w:b w:val="0"/>
          <w:bCs w:val="0"/>
          <w:color w:val="000000"/>
          <w:spacing w:val="0"/>
          <w:w w:val="100"/>
          <w:position w:val="0"/>
          <w:sz w:val="20"/>
          <w:szCs w:val="20"/>
        </w:rPr>
        <w:t>是</w:t>
      </w:r>
      <w:r>
        <w:rPr>
          <w:b w:val="0"/>
          <w:bCs w:val="0"/>
          <w:color w:val="000000"/>
          <w:spacing w:val="0"/>
          <w:w w:val="100"/>
          <w:position w:val="0"/>
          <w:sz w:val="20"/>
          <w:szCs w:val="20"/>
        </w:rPr>
        <w:t>寸</w:t>
      </w:r>
      <w:r>
        <w:rPr>
          <w:b w:val="0"/>
          <w:bCs w:val="0"/>
          <w:color w:val="000000"/>
          <w:spacing w:val="0"/>
          <w:w w:val="100"/>
          <w:position w:val="0"/>
          <w:sz w:val="20"/>
          <w:szCs w:val="20"/>
        </w:rPr>
        <w:t>否</w:t>
      </w:r>
      <w:bookmarkEnd w:id="622"/>
    </w:p>
    <w:p>
      <w:pPr>
        <w:pStyle w:val="Style14"/>
        <w:keepNext/>
        <w:keepLines/>
        <w:widowControl w:val="0"/>
        <w:shd w:val="clear" w:color="auto" w:fill="auto"/>
        <w:bidi w:val="0"/>
        <w:spacing w:before="0" w:after="520" w:line="240" w:lineRule="auto"/>
        <w:ind w:left="0" w:right="0" w:firstLine="0"/>
        <w:jc w:val="center"/>
      </w:pPr>
      <w:bookmarkStart w:id="623" w:name="bookmark623"/>
      <w:bookmarkStart w:id="624" w:name="bookmark624"/>
      <w:bookmarkStart w:id="625" w:name="bookmark625"/>
      <w:r>
        <w:rPr>
          <w:color w:val="000000"/>
          <w:spacing w:val="0"/>
          <w:w w:val="100"/>
          <w:position w:val="0"/>
        </w:rPr>
        <w:t>第十二节财务报告</w:t>
      </w:r>
      <w:bookmarkEnd w:id="623"/>
      <w:bookmarkEnd w:id="624"/>
      <w:bookmarkEnd w:id="625"/>
    </w:p>
    <w:p>
      <w:pPr>
        <w:pStyle w:val="Style29"/>
        <w:keepNext/>
        <w:keepLines/>
        <w:widowControl w:val="0"/>
        <w:shd w:val="clear" w:color="auto" w:fill="auto"/>
        <w:bidi w:val="0"/>
        <w:spacing w:before="0" w:after="320" w:line="240" w:lineRule="auto"/>
        <w:ind w:left="0" w:right="0" w:firstLine="240"/>
        <w:jc w:val="both"/>
      </w:pPr>
      <w:bookmarkStart w:id="626" w:name="bookmark626"/>
      <w:bookmarkStart w:id="627" w:name="bookmark627"/>
      <w:bookmarkStart w:id="628" w:name="bookmark628"/>
      <w:bookmarkStart w:id="629" w:name="bookmark629"/>
      <w:r>
        <w:rPr>
          <w:color w:val="000000"/>
          <w:spacing w:val="0"/>
          <w:w w:val="100"/>
          <w:position w:val="0"/>
          <w:sz w:val="24"/>
          <w:szCs w:val="24"/>
        </w:rPr>
        <w:t>、审计报告</w:t>
      </w:r>
      <w:bookmarkEnd w:id="627"/>
      <w:bookmarkEnd w:id="628"/>
      <w:bookmarkEnd w:id="629"/>
      <w:bookmarkEnd w:id="626"/>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大华会计师事务所（特殊普通合伙）</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大华审字</w:t>
            </w:r>
            <w:r>
              <w:rPr>
                <w:rFonts w:ascii="Times New Roman" w:eastAsia="Times New Roman" w:hAnsi="Times New Roman" w:cs="Times New Roman"/>
                <w:color w:val="000000"/>
                <w:spacing w:val="0"/>
                <w:w w:val="100"/>
                <w:position w:val="0"/>
              </w:rPr>
              <w:t xml:space="preserve">[2021] </w:t>
            </w:r>
            <w:r>
              <w:rPr>
                <w:rFonts w:ascii="Times New Roman" w:eastAsia="Times New Roman" w:hAnsi="Times New Roman" w:cs="Times New Roman"/>
                <w:color w:val="000000"/>
                <w:spacing w:val="0"/>
                <w:w w:val="100"/>
                <w:position w:val="0"/>
              </w:rPr>
              <w:t>0010509</w:t>
            </w:r>
            <w:r>
              <w:rPr>
                <w:color w:val="000000"/>
                <w:spacing w:val="0"/>
                <w:w w:val="100"/>
                <w:position w:val="0"/>
              </w:rPr>
              <w:t>号</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朱娟、江山</w:t>
            </w:r>
          </w:p>
        </w:tc>
      </w:tr>
    </w:tbl>
    <w:p>
      <w:pPr>
        <w:widowControl w:val="0"/>
        <w:spacing w:after="699" w:line="1" w:lineRule="exact"/>
      </w:pPr>
    </w:p>
    <w:p>
      <w:pPr>
        <w:pStyle w:val="Style7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审计报告</w:t>
      </w:r>
    </w:p>
    <w:p>
      <w:pPr>
        <w:pStyle w:val="Style16"/>
        <w:keepNext w:val="0"/>
        <w:keepLines w:val="0"/>
        <w:widowControl w:val="0"/>
        <w:shd w:val="clear" w:color="auto" w:fill="auto"/>
        <w:bidi w:val="0"/>
        <w:spacing w:before="0" w:after="0" w:line="984" w:lineRule="exact"/>
        <w:ind w:left="0" w:right="0" w:firstLine="7320"/>
        <w:jc w:val="both"/>
      </w:pPr>
      <w:r>
        <w:rPr>
          <w:color w:val="000000"/>
          <w:spacing w:val="0"/>
          <w:w w:val="100"/>
          <w:position w:val="0"/>
        </w:rPr>
        <w:t>大华审字</w:t>
      </w:r>
      <w:r>
        <w:rPr>
          <w:rFonts w:ascii="Times New Roman" w:eastAsia="Times New Roman" w:hAnsi="Times New Roman" w:cs="Times New Roman"/>
          <w:color w:val="000000"/>
          <w:spacing w:val="0"/>
          <w:w w:val="100"/>
          <w:position w:val="0"/>
        </w:rPr>
        <w:t>[2021]0010509</w:t>
      </w:r>
      <w:r>
        <w:rPr>
          <w:color w:val="000000"/>
          <w:spacing w:val="0"/>
          <w:w w:val="100"/>
          <w:position w:val="0"/>
        </w:rPr>
        <w:t xml:space="preserve">号 </w:t>
      </w:r>
      <w:r>
        <w:rPr>
          <w:b/>
          <w:bCs/>
          <w:color w:val="000000"/>
          <w:spacing w:val="0"/>
          <w:w w:val="100"/>
          <w:position w:val="0"/>
        </w:rPr>
        <w:t>国盛金融控股集团股份有限公司全体股东：</w:t>
      </w:r>
    </w:p>
    <w:p>
      <w:pPr>
        <w:pStyle w:val="Style16"/>
        <w:keepNext w:val="0"/>
        <w:keepLines w:val="0"/>
        <w:widowControl w:val="0"/>
        <w:shd w:val="clear" w:color="auto" w:fill="auto"/>
        <w:tabs>
          <w:tab w:pos="845" w:val="left"/>
        </w:tabs>
        <w:bidi w:val="0"/>
        <w:spacing w:before="0" w:after="0" w:line="408" w:lineRule="exact"/>
        <w:ind w:left="0" w:right="0" w:firstLine="360"/>
        <w:jc w:val="both"/>
      </w:pPr>
      <w:bookmarkStart w:id="630" w:name="bookmark630"/>
      <w:r>
        <w:rPr>
          <w:b/>
          <w:bCs/>
          <w:color w:val="000000"/>
          <w:spacing w:val="0"/>
          <w:w w:val="100"/>
          <w:position w:val="0"/>
        </w:rPr>
        <w:t>一</w:t>
      </w:r>
      <w:bookmarkEnd w:id="630"/>
      <w:r>
        <w:rPr>
          <w:b/>
          <w:bCs/>
          <w:color w:val="000000"/>
          <w:spacing w:val="0"/>
          <w:w w:val="100"/>
          <w:position w:val="0"/>
        </w:rPr>
        <w:t>、</w:t>
        <w:tab/>
        <w:t>审计意见</w:t>
      </w:r>
    </w:p>
    <w:p>
      <w:pPr>
        <w:pStyle w:val="Style16"/>
        <w:keepNext w:val="0"/>
        <w:keepLines w:val="0"/>
        <w:widowControl w:val="0"/>
        <w:shd w:val="clear" w:color="auto" w:fill="auto"/>
        <w:bidi w:val="0"/>
        <w:spacing w:before="0" w:after="0" w:line="408" w:lineRule="exact"/>
        <w:ind w:left="0" w:right="0" w:firstLine="420"/>
        <w:jc w:val="both"/>
      </w:pPr>
      <w:r>
        <w:rPr>
          <w:color w:val="000000"/>
          <w:spacing w:val="0"/>
          <w:w w:val="100"/>
          <w:position w:val="0"/>
        </w:rPr>
        <w:t>我们审计了国盛金融控股集团股份有限公司（以下简称国盛金控）财务报表，包括</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 的合并及母公司资产负债表，</w:t>
      </w:r>
      <w:r>
        <w:rPr>
          <w:rFonts w:ascii="Times New Roman" w:eastAsia="Times New Roman" w:hAnsi="Times New Roman" w:cs="Times New Roman"/>
          <w:color w:val="000000"/>
          <w:spacing w:val="0"/>
          <w:w w:val="100"/>
          <w:position w:val="0"/>
        </w:rPr>
        <w:t>2020</w:t>
      </w:r>
      <w:r>
        <w:rPr>
          <w:color w:val="000000"/>
          <w:spacing w:val="0"/>
          <w:w w:val="100"/>
          <w:position w:val="0"/>
        </w:rPr>
        <w:t>年度的合并及母公司利润表、合并及母公司现金流量表、合并及母公司 股东权益变动表以及相关财务报表附注。</w:t>
      </w:r>
    </w:p>
    <w:p>
      <w:pPr>
        <w:pStyle w:val="Style16"/>
        <w:keepNext w:val="0"/>
        <w:keepLines w:val="0"/>
        <w:widowControl w:val="0"/>
        <w:shd w:val="clear" w:color="auto" w:fill="auto"/>
        <w:bidi w:val="0"/>
        <w:spacing w:before="0" w:after="0" w:line="398" w:lineRule="exact"/>
        <w:ind w:left="0" w:right="0" w:firstLine="420"/>
        <w:jc w:val="both"/>
      </w:pPr>
      <w:r>
        <w:rPr>
          <w:color w:val="000000"/>
          <w:spacing w:val="0"/>
          <w:w w:val="100"/>
          <w:position w:val="0"/>
        </w:rPr>
        <w:t>我们认为，后附的财务报表在所有重大方面按照企业会计准则的规定编制，公允反映了国盛金控</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日的合并及母公司财务状况以及</w:t>
      </w:r>
      <w:r>
        <w:rPr>
          <w:rFonts w:ascii="Times New Roman" w:eastAsia="Times New Roman" w:hAnsi="Times New Roman" w:cs="Times New Roman"/>
          <w:color w:val="000000"/>
          <w:spacing w:val="0"/>
          <w:w w:val="100"/>
          <w:position w:val="0"/>
        </w:rPr>
        <w:t>2020</w:t>
      </w:r>
      <w:r>
        <w:rPr>
          <w:color w:val="000000"/>
          <w:spacing w:val="0"/>
          <w:w w:val="100"/>
          <w:position w:val="0"/>
        </w:rPr>
        <w:t>年度的合并及母公司经营成果和现金流量。</w:t>
      </w:r>
    </w:p>
    <w:p>
      <w:pPr>
        <w:pStyle w:val="Style16"/>
        <w:keepNext w:val="0"/>
        <w:keepLines w:val="0"/>
        <w:widowControl w:val="0"/>
        <w:shd w:val="clear" w:color="auto" w:fill="auto"/>
        <w:tabs>
          <w:tab w:pos="845" w:val="left"/>
        </w:tabs>
        <w:bidi w:val="0"/>
        <w:spacing w:before="0" w:after="0" w:line="408" w:lineRule="exact"/>
        <w:ind w:left="0" w:right="0" w:firstLine="360"/>
        <w:jc w:val="both"/>
      </w:pPr>
      <w:bookmarkStart w:id="631" w:name="bookmark631"/>
      <w:r>
        <w:rPr>
          <w:b/>
          <w:bCs/>
          <w:color w:val="000000"/>
          <w:spacing w:val="0"/>
          <w:w w:val="100"/>
          <w:position w:val="0"/>
        </w:rPr>
        <w:t>二</w:t>
      </w:r>
      <w:bookmarkEnd w:id="631"/>
      <w:r>
        <w:rPr>
          <w:b/>
          <w:bCs/>
          <w:color w:val="000000"/>
          <w:spacing w:val="0"/>
          <w:w w:val="100"/>
          <w:position w:val="0"/>
        </w:rPr>
        <w:t>、</w:t>
        <w:tab/>
        <w:t>形成审计意见的基础</w:t>
      </w:r>
    </w:p>
    <w:p>
      <w:pPr>
        <w:pStyle w:val="Style16"/>
        <w:keepNext w:val="0"/>
        <w:keepLines w:val="0"/>
        <w:widowControl w:val="0"/>
        <w:shd w:val="clear" w:color="auto" w:fill="auto"/>
        <w:bidi w:val="0"/>
        <w:spacing w:before="0" w:after="0" w:line="408" w:lineRule="exact"/>
        <w:ind w:left="0" w:right="0" w:firstLine="420"/>
        <w:jc w:val="both"/>
      </w:pPr>
      <w:r>
        <w:rPr>
          <w:color w:val="000000"/>
          <w:spacing w:val="0"/>
          <w:w w:val="100"/>
          <w:position w:val="0"/>
        </w:rPr>
        <w:t>我们按照中国注册会计师审计准则的规定执行了审计工作。审计报告的“注册会计师对财务报表审计 的责任”部分进一步阐述了我们在这些准则下的责任。按照中国注册会计师职业道德守则，我们独立于国 盛金控，并履行了职业道德方面的其他责任。我们相信，我们获取的审计证据是充分、适当的，为发表审 计意见提供了基础。</w:t>
      </w:r>
    </w:p>
    <w:p>
      <w:pPr>
        <w:pStyle w:val="Style16"/>
        <w:keepNext w:val="0"/>
        <w:keepLines w:val="0"/>
        <w:widowControl w:val="0"/>
        <w:shd w:val="clear" w:color="auto" w:fill="auto"/>
        <w:tabs>
          <w:tab w:pos="845" w:val="left"/>
        </w:tabs>
        <w:bidi w:val="0"/>
        <w:spacing w:before="0" w:after="0" w:line="408" w:lineRule="exact"/>
        <w:ind w:left="0" w:right="0" w:firstLine="360"/>
        <w:jc w:val="both"/>
      </w:pPr>
      <w:bookmarkStart w:id="632" w:name="bookmark632"/>
      <w:r>
        <w:rPr>
          <w:b/>
          <w:bCs/>
          <w:color w:val="000000"/>
          <w:spacing w:val="0"/>
          <w:w w:val="100"/>
          <w:position w:val="0"/>
        </w:rPr>
        <w:t>三</w:t>
      </w:r>
      <w:bookmarkEnd w:id="632"/>
      <w:r>
        <w:rPr>
          <w:b/>
          <w:bCs/>
          <w:color w:val="000000"/>
          <w:spacing w:val="0"/>
          <w:w w:val="100"/>
          <w:position w:val="0"/>
        </w:rPr>
        <w:t>、</w:t>
        <w:tab/>
        <w:t>关键审计事项</w:t>
      </w:r>
    </w:p>
    <w:p>
      <w:pPr>
        <w:pStyle w:val="Style16"/>
        <w:keepNext w:val="0"/>
        <w:keepLines w:val="0"/>
        <w:widowControl w:val="0"/>
        <w:shd w:val="clear" w:color="auto" w:fill="auto"/>
        <w:bidi w:val="0"/>
        <w:spacing w:before="0" w:after="0" w:line="413" w:lineRule="exact"/>
        <w:ind w:left="0" w:right="0" w:firstLine="420"/>
        <w:jc w:val="both"/>
      </w:pPr>
      <w:r>
        <w:rPr>
          <w:color w:val="000000"/>
          <w:spacing w:val="0"/>
          <w:w w:val="100"/>
          <w:position w:val="0"/>
        </w:rPr>
        <w:t>关键审计事项是我们根据职业判断，认为对本期财务报表审计最为重要的事项。这些事项的应对以对 财务报表整体进行审计并形成审计意见为背景，我们不对这些事项单独发表意见。</w:t>
      </w:r>
    </w:p>
    <w:p>
      <w:pPr>
        <w:pStyle w:val="Style16"/>
        <w:keepNext w:val="0"/>
        <w:keepLines w:val="0"/>
        <w:widowControl w:val="0"/>
        <w:shd w:val="clear" w:color="auto" w:fill="auto"/>
        <w:bidi w:val="0"/>
        <w:spacing w:before="0" w:after="0" w:line="408" w:lineRule="exact"/>
        <w:ind w:left="0" w:right="0" w:firstLine="360"/>
        <w:jc w:val="both"/>
      </w:pPr>
      <w:r>
        <w:rPr>
          <w:color w:val="000000"/>
          <w:spacing w:val="0"/>
          <w:w w:val="100"/>
          <w:position w:val="0"/>
        </w:rPr>
        <w:t>我们确定下列事项是需要在审计报告中沟通的关键审计事项。</w:t>
      </w:r>
    </w:p>
    <w:p>
      <w:pPr>
        <w:pStyle w:val="Style16"/>
        <w:keepNext w:val="0"/>
        <w:keepLines w:val="0"/>
        <w:widowControl w:val="0"/>
        <w:numPr>
          <w:ilvl w:val="0"/>
          <w:numId w:val="13"/>
        </w:numPr>
        <w:shd w:val="clear" w:color="auto" w:fill="auto"/>
        <w:tabs>
          <w:tab w:pos="680" w:val="left"/>
        </w:tabs>
        <w:bidi w:val="0"/>
        <w:spacing w:before="0" w:after="0" w:line="408" w:lineRule="exact"/>
        <w:ind w:left="0" w:right="0" w:firstLine="360"/>
        <w:jc w:val="both"/>
      </w:pPr>
      <w:bookmarkStart w:id="633" w:name="bookmark633"/>
      <w:bookmarkEnd w:id="633"/>
      <w:r>
        <w:rPr>
          <w:color w:val="000000"/>
          <w:spacing w:val="0"/>
          <w:w w:val="100"/>
          <w:position w:val="0"/>
        </w:rPr>
        <w:t>商誉减值。</w:t>
      </w:r>
    </w:p>
    <w:p>
      <w:pPr>
        <w:pStyle w:val="Style16"/>
        <w:keepNext w:val="0"/>
        <w:keepLines w:val="0"/>
        <w:widowControl w:val="0"/>
        <w:numPr>
          <w:ilvl w:val="0"/>
          <w:numId w:val="13"/>
        </w:numPr>
        <w:shd w:val="clear" w:color="auto" w:fill="auto"/>
        <w:tabs>
          <w:tab w:pos="699" w:val="left"/>
        </w:tabs>
        <w:bidi w:val="0"/>
        <w:spacing w:before="0" w:after="0" w:line="408" w:lineRule="exact"/>
        <w:ind w:left="0" w:right="0" w:firstLine="360"/>
        <w:jc w:val="both"/>
      </w:pPr>
      <w:bookmarkStart w:id="634" w:name="bookmark634"/>
      <w:bookmarkEnd w:id="634"/>
      <w:r>
        <w:rPr>
          <w:color w:val="000000"/>
          <w:spacing w:val="0"/>
          <w:w w:val="100"/>
          <w:position w:val="0"/>
        </w:rPr>
        <w:t>买入返售金融资产减值准备。</w:t>
      </w:r>
    </w:p>
    <w:p>
      <w:pPr>
        <w:pStyle w:val="Style16"/>
        <w:keepNext w:val="0"/>
        <w:keepLines w:val="0"/>
        <w:widowControl w:val="0"/>
        <w:shd w:val="clear" w:color="auto" w:fill="auto"/>
        <w:bidi w:val="0"/>
        <w:spacing w:before="0" w:after="0" w:line="408" w:lineRule="exact"/>
        <w:ind w:left="0" w:right="0" w:firstLine="580"/>
        <w:jc w:val="both"/>
      </w:pPr>
      <w:bookmarkStart w:id="635" w:name="bookmark635"/>
      <w:r>
        <w:rPr>
          <w:color w:val="000000"/>
          <w:spacing w:val="0"/>
          <w:w w:val="100"/>
          <w:position w:val="0"/>
        </w:rPr>
        <w:t>（</w:t>
      </w:r>
      <w:bookmarkEnd w:id="635"/>
      <w:r>
        <w:rPr>
          <w:color w:val="000000"/>
          <w:spacing w:val="0"/>
          <w:w w:val="100"/>
          <w:position w:val="0"/>
        </w:rPr>
        <w:t>一）商誉减值</w:t>
      </w:r>
    </w:p>
    <w:p>
      <w:pPr>
        <w:pStyle w:val="Style16"/>
        <w:keepNext w:val="0"/>
        <w:keepLines w:val="0"/>
        <w:widowControl w:val="0"/>
        <w:numPr>
          <w:ilvl w:val="0"/>
          <w:numId w:val="15"/>
        </w:numPr>
        <w:shd w:val="clear" w:color="auto" w:fill="auto"/>
        <w:bidi w:val="0"/>
        <w:spacing w:before="0" w:after="0" w:line="411" w:lineRule="exact"/>
        <w:ind w:left="0" w:right="0" w:firstLine="580"/>
        <w:jc w:val="both"/>
      </w:pPr>
      <w:bookmarkStart w:id="636" w:name="bookmark636"/>
      <w:bookmarkEnd w:id="636"/>
      <w:r>
        <w:rPr>
          <w:color w:val="000000"/>
          <w:spacing w:val="0"/>
          <w:w w:val="100"/>
          <w:position w:val="0"/>
        </w:rPr>
        <w:t>事项描述</w:t>
      </w:r>
    </w:p>
    <w:p>
      <w:pPr>
        <w:pStyle w:val="Style16"/>
        <w:keepNext w:val="0"/>
        <w:keepLines w:val="0"/>
        <w:widowControl w:val="0"/>
        <w:shd w:val="clear" w:color="auto" w:fill="auto"/>
        <w:bidi w:val="0"/>
        <w:spacing w:before="0" w:after="0" w:line="413" w:lineRule="exact"/>
        <w:ind w:left="0" w:right="0" w:firstLine="440"/>
        <w:jc w:val="both"/>
      </w:pPr>
      <w:r>
        <w:rPr>
          <w:color w:val="000000"/>
          <w:spacing w:val="0"/>
          <w:w w:val="100"/>
          <w:position w:val="0"/>
        </w:rPr>
        <w:t>公司因收购子公司国盛证券有限责任公司产生的商誉为</w:t>
      </w:r>
      <w:r>
        <w:rPr>
          <w:rFonts w:ascii="Times New Roman" w:eastAsia="Times New Roman" w:hAnsi="Times New Roman" w:cs="Times New Roman"/>
          <w:color w:val="000000"/>
          <w:spacing w:val="0"/>
          <w:w w:val="100"/>
          <w:position w:val="0"/>
        </w:rPr>
        <w:t>3</w:t>
      </w:r>
      <w:r>
        <w:rPr>
          <w:color w:val="000000"/>
          <w:spacing w:val="0"/>
          <w:w w:val="100"/>
          <w:position w:val="0"/>
        </w:rPr>
        <w:t xml:space="preserve">, </w:t>
      </w:r>
      <w:r>
        <w:rPr>
          <w:rFonts w:ascii="Times New Roman" w:eastAsia="Times New Roman" w:hAnsi="Times New Roman" w:cs="Times New Roman"/>
          <w:color w:val="000000"/>
          <w:spacing w:val="0"/>
          <w:w w:val="100"/>
          <w:position w:val="0"/>
        </w:rPr>
        <w:t>162</w:t>
      </w:r>
      <w:r>
        <w:rPr>
          <w:color w:val="000000"/>
          <w:spacing w:val="0"/>
          <w:w w:val="100"/>
          <w:position w:val="0"/>
        </w:rPr>
        <w:t xml:space="preserve">, </w:t>
      </w:r>
      <w:r>
        <w:rPr>
          <w:rFonts w:ascii="Times New Roman" w:eastAsia="Times New Roman" w:hAnsi="Times New Roman" w:cs="Times New Roman"/>
          <w:color w:val="000000"/>
          <w:spacing w:val="0"/>
          <w:w w:val="100"/>
          <w:position w:val="0"/>
        </w:rPr>
        <w:t>030</w:t>
      </w:r>
      <w:r>
        <w:rPr>
          <w:color w:val="000000"/>
          <w:spacing w:val="0"/>
          <w:w w:val="100"/>
          <w:position w:val="0"/>
        </w:rPr>
        <w:t xml:space="preserve">, </w:t>
      </w:r>
      <w:r>
        <w:rPr>
          <w:rFonts w:ascii="Times New Roman" w:eastAsia="Times New Roman" w:hAnsi="Times New Roman" w:cs="Times New Roman"/>
          <w:color w:val="000000"/>
          <w:spacing w:val="0"/>
          <w:w w:val="100"/>
          <w:position w:val="0"/>
        </w:rPr>
        <w:t>950</w:t>
      </w:r>
      <w:r>
        <w:rPr>
          <w:color w:val="000000"/>
          <w:spacing w:val="0"/>
          <w:w w:val="100"/>
          <w:position w:val="0"/>
        </w:rPr>
        <w:t xml:space="preserve">. </w:t>
      </w:r>
      <w:r>
        <w:rPr>
          <w:rFonts w:ascii="Times New Roman" w:eastAsia="Times New Roman" w:hAnsi="Times New Roman" w:cs="Times New Roman"/>
          <w:color w:val="000000"/>
          <w:spacing w:val="0"/>
          <w:w w:val="100"/>
          <w:position w:val="0"/>
        </w:rPr>
        <w:t>83</w:t>
      </w:r>
      <w:r>
        <w:rPr>
          <w:color w:val="000000"/>
          <w:spacing w:val="0"/>
          <w:w w:val="100"/>
          <w:position w:val="0"/>
        </w:rPr>
        <w:t>元，截止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日，合并报表中该商誉的账面价值为</w:t>
      </w:r>
      <w:r>
        <w:rPr>
          <w:rFonts w:ascii="Times New Roman" w:eastAsia="Times New Roman" w:hAnsi="Times New Roman" w:cs="Times New Roman"/>
          <w:color w:val="000000"/>
          <w:spacing w:val="0"/>
          <w:w w:val="100"/>
          <w:position w:val="0"/>
        </w:rPr>
        <w:t>3</w:t>
      </w:r>
      <w:r>
        <w:rPr>
          <w:color w:val="000000"/>
          <w:spacing w:val="0"/>
          <w:w w:val="100"/>
          <w:position w:val="0"/>
        </w:rPr>
        <w:t>,</w:t>
      </w:r>
      <w:r>
        <w:rPr>
          <w:rFonts w:ascii="Times New Roman" w:eastAsia="Times New Roman" w:hAnsi="Times New Roman" w:cs="Times New Roman"/>
          <w:color w:val="000000"/>
          <w:spacing w:val="0"/>
          <w:w w:val="100"/>
          <w:position w:val="0"/>
        </w:rPr>
        <w:t>079</w:t>
      </w:r>
      <w:r>
        <w:rPr>
          <w:color w:val="000000"/>
          <w:spacing w:val="0"/>
          <w:w w:val="100"/>
          <w:position w:val="0"/>
        </w:rPr>
        <w:t>,</w:t>
      </w:r>
      <w:r>
        <w:rPr>
          <w:rFonts w:ascii="Times New Roman" w:eastAsia="Times New Roman" w:hAnsi="Times New Roman" w:cs="Times New Roman"/>
          <w:color w:val="000000"/>
          <w:spacing w:val="0"/>
          <w:w w:val="100"/>
          <w:position w:val="0"/>
        </w:rPr>
        <w:t>912</w:t>
      </w:r>
      <w:r>
        <w:rPr>
          <w:color w:val="000000"/>
          <w:spacing w:val="0"/>
          <w:w w:val="100"/>
          <w:position w:val="0"/>
        </w:rPr>
        <w:t>,</w:t>
      </w:r>
      <w:r>
        <w:rPr>
          <w:rFonts w:ascii="Times New Roman" w:eastAsia="Times New Roman" w:hAnsi="Times New Roman" w:cs="Times New Roman"/>
          <w:color w:val="000000"/>
          <w:spacing w:val="0"/>
          <w:w w:val="100"/>
          <w:position w:val="0"/>
        </w:rPr>
        <w:t>343</w:t>
      </w:r>
      <w:r>
        <w:rPr>
          <w:color w:val="000000"/>
          <w:spacing w:val="0"/>
          <w:w w:val="100"/>
          <w:position w:val="0"/>
        </w:rPr>
        <w:t>.</w:t>
      </w:r>
      <w:r>
        <w:rPr>
          <w:rFonts w:ascii="Times New Roman" w:eastAsia="Times New Roman" w:hAnsi="Times New Roman" w:cs="Times New Roman"/>
          <w:color w:val="000000"/>
          <w:spacing w:val="0"/>
          <w:w w:val="100"/>
          <w:position w:val="0"/>
        </w:rPr>
        <w:t>55</w:t>
      </w:r>
      <w:r>
        <w:rPr>
          <w:color w:val="000000"/>
          <w:spacing w:val="0"/>
          <w:w w:val="100"/>
          <w:position w:val="0"/>
        </w:rPr>
        <w:t>元，占合并报表资产总额的</w:t>
      </w:r>
      <w:r>
        <w:rPr>
          <w:rFonts w:ascii="Times New Roman" w:eastAsia="Times New Roman" w:hAnsi="Times New Roman" w:cs="Times New Roman"/>
          <w:color w:val="000000"/>
          <w:spacing w:val="0"/>
          <w:w w:val="100"/>
          <w:position w:val="0"/>
        </w:rPr>
        <w:t>9</w:t>
      </w:r>
      <w:r>
        <w:rPr>
          <w:color w:val="000000"/>
          <w:spacing w:val="0"/>
          <w:w w:val="100"/>
          <w:position w:val="0"/>
        </w:rPr>
        <w:t>.</w:t>
      </w:r>
      <w:r>
        <w:rPr>
          <w:rFonts w:ascii="Times New Roman" w:eastAsia="Times New Roman" w:hAnsi="Times New Roman" w:cs="Times New Roman"/>
          <w:color w:val="000000"/>
          <w:spacing w:val="0"/>
          <w:w w:val="100"/>
          <w:position w:val="0"/>
        </w:rPr>
        <w:t>83</w:t>
      </w:r>
      <w:r>
        <w:rPr>
          <w:color w:val="000000"/>
          <w:spacing w:val="0"/>
          <w:w w:val="100"/>
          <w:position w:val="0"/>
        </w:rPr>
        <w:t>%。</w:t>
      </w:r>
    </w:p>
    <w:p>
      <w:pPr>
        <w:pStyle w:val="Style16"/>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公司对商誉每个资产负债表日进行减值测试执行一次，减值基于资产组的可回收金额进行测算，经商 誉减值测算，本年未发生商誉减值。管理层采用市场价值（公允价值）减去处置费用后的净额对国盛证券 有限责任公司的可回收金额进行评估，采用市净率估值模型确定国盛证券资产组的市场价值（公允价值）。 选取适当的参数进行资产组的可回收金额评估以及商誉减值准备的计提涉及管理层运用重大会计估计和 综合判断，因此我们将商誉减值准备确定为关键审计事项。</w:t>
      </w:r>
    </w:p>
    <w:p>
      <w:pPr>
        <w:pStyle w:val="Style16"/>
        <w:keepNext w:val="0"/>
        <w:keepLines w:val="0"/>
        <w:widowControl w:val="0"/>
        <w:shd w:val="clear" w:color="auto" w:fill="auto"/>
        <w:bidi w:val="0"/>
        <w:spacing w:before="0" w:after="0" w:line="411" w:lineRule="exact"/>
        <w:ind w:left="0" w:right="0" w:firstLine="440"/>
        <w:jc w:val="both"/>
      </w:pPr>
      <w:r>
        <w:rPr>
          <w:color w:val="000000"/>
          <w:spacing w:val="0"/>
          <w:w w:val="100"/>
          <w:position w:val="0"/>
        </w:rPr>
        <w:t>关于商誉减值准备会计政策详见附注四、（二十）；关于商誉账面余额及减值准备详见附注六、注释</w:t>
      </w:r>
      <w:r>
        <w:rPr>
          <w:rFonts w:ascii="Times New Roman" w:eastAsia="Times New Roman" w:hAnsi="Times New Roman" w:cs="Times New Roman"/>
          <w:color w:val="000000"/>
          <w:spacing w:val="0"/>
          <w:w w:val="100"/>
          <w:position w:val="0"/>
        </w:rPr>
        <w:t>21</w:t>
      </w:r>
      <w:r>
        <w:rPr>
          <w:color w:val="000000"/>
          <w:spacing w:val="0"/>
          <w:w w:val="100"/>
          <w:position w:val="0"/>
        </w:rPr>
        <w:t>。</w:t>
      </w:r>
    </w:p>
    <w:p>
      <w:pPr>
        <w:pStyle w:val="Style16"/>
        <w:keepNext w:val="0"/>
        <w:keepLines w:val="0"/>
        <w:widowControl w:val="0"/>
        <w:numPr>
          <w:ilvl w:val="0"/>
          <w:numId w:val="15"/>
        </w:numPr>
        <w:shd w:val="clear" w:color="auto" w:fill="auto"/>
        <w:bidi w:val="0"/>
        <w:spacing w:before="0" w:after="0" w:line="411" w:lineRule="exact"/>
        <w:ind w:left="0" w:right="0" w:firstLine="440"/>
        <w:jc w:val="both"/>
      </w:pPr>
      <w:bookmarkStart w:id="637" w:name="bookmark637"/>
      <w:bookmarkEnd w:id="637"/>
      <w:r>
        <w:rPr>
          <w:color w:val="000000"/>
          <w:spacing w:val="0"/>
          <w:w w:val="100"/>
          <w:position w:val="0"/>
        </w:rPr>
        <w:t>审计应对</w:t>
      </w:r>
    </w:p>
    <w:p>
      <w:pPr>
        <w:pStyle w:val="Style16"/>
        <w:keepNext w:val="0"/>
        <w:keepLines w:val="0"/>
        <w:widowControl w:val="0"/>
        <w:shd w:val="clear" w:color="auto" w:fill="auto"/>
        <w:bidi w:val="0"/>
        <w:spacing w:before="0" w:after="0" w:line="411" w:lineRule="exact"/>
        <w:ind w:left="0" w:right="0" w:firstLine="580"/>
        <w:jc w:val="both"/>
      </w:pPr>
      <w:r>
        <w:rPr>
          <w:color w:val="000000"/>
          <w:spacing w:val="0"/>
          <w:w w:val="100"/>
          <w:position w:val="0"/>
        </w:rPr>
        <w:t>我们对于商誉减值所实施的重要审计程序包括：</w:t>
      </w:r>
    </w:p>
    <w:p>
      <w:pPr>
        <w:pStyle w:val="Style16"/>
        <w:keepNext w:val="0"/>
        <w:keepLines w:val="0"/>
        <w:widowControl w:val="0"/>
        <w:shd w:val="clear" w:color="auto" w:fill="auto"/>
        <w:tabs>
          <w:tab w:pos="928" w:val="left"/>
        </w:tabs>
        <w:bidi w:val="0"/>
        <w:spacing w:before="0" w:after="0" w:line="411" w:lineRule="exact"/>
        <w:ind w:left="0" w:right="0" w:firstLine="440"/>
        <w:jc w:val="left"/>
      </w:pPr>
      <w:bookmarkStart w:id="638" w:name="bookmark638"/>
      <w:r>
        <w:rPr>
          <w:color w:val="000000"/>
          <w:spacing w:val="0"/>
          <w:w w:val="100"/>
          <w:position w:val="0"/>
        </w:rPr>
        <w:t>（</w:t>
      </w:r>
      <w:bookmarkEnd w:id="638"/>
      <w:r>
        <w:rPr>
          <w:rFonts w:ascii="Times New Roman" w:eastAsia="Times New Roman" w:hAnsi="Times New Roman" w:cs="Times New Roman"/>
          <w:color w:val="000000"/>
          <w:spacing w:val="0"/>
          <w:w w:val="100"/>
          <w:position w:val="0"/>
        </w:rPr>
        <w:t>1</w:t>
      </w:r>
      <w:r>
        <w:rPr>
          <w:color w:val="000000"/>
          <w:spacing w:val="0"/>
          <w:w w:val="100"/>
          <w:position w:val="0"/>
        </w:rPr>
        <w:t>）</w:t>
        <w:tab/>
        <w:t>测试管理层与商誉可回收性相关的关键内部控制；</w:t>
      </w:r>
    </w:p>
    <w:p>
      <w:pPr>
        <w:pStyle w:val="Style16"/>
        <w:keepNext w:val="0"/>
        <w:keepLines w:val="0"/>
        <w:widowControl w:val="0"/>
        <w:shd w:val="clear" w:color="auto" w:fill="auto"/>
        <w:tabs>
          <w:tab w:pos="928" w:val="left"/>
        </w:tabs>
        <w:bidi w:val="0"/>
        <w:spacing w:before="0" w:after="0" w:line="411" w:lineRule="exact"/>
        <w:ind w:left="0" w:right="0" w:firstLine="440"/>
        <w:jc w:val="left"/>
      </w:pPr>
      <w:bookmarkStart w:id="639" w:name="bookmark639"/>
      <w:r>
        <w:rPr>
          <w:color w:val="000000"/>
          <w:spacing w:val="0"/>
          <w:w w:val="100"/>
          <w:position w:val="0"/>
        </w:rPr>
        <w:t>（</w:t>
      </w:r>
      <w:bookmarkEnd w:id="639"/>
      <w:r>
        <w:rPr>
          <w:rFonts w:ascii="Times New Roman" w:eastAsia="Times New Roman" w:hAnsi="Times New Roman" w:cs="Times New Roman"/>
          <w:color w:val="000000"/>
          <w:spacing w:val="0"/>
          <w:w w:val="100"/>
          <w:position w:val="0"/>
        </w:rPr>
        <w:t>2</w:t>
      </w:r>
      <w:r>
        <w:rPr>
          <w:color w:val="000000"/>
          <w:spacing w:val="0"/>
          <w:w w:val="100"/>
          <w:position w:val="0"/>
        </w:rPr>
        <w:t>）</w:t>
        <w:tab/>
        <w:t>检查管理层对商誉可回收金额进行判断的相关文件资料及客观依据；</w:t>
      </w:r>
    </w:p>
    <w:p>
      <w:pPr>
        <w:pStyle w:val="Style16"/>
        <w:keepNext w:val="0"/>
        <w:keepLines w:val="0"/>
        <w:widowControl w:val="0"/>
        <w:shd w:val="clear" w:color="auto" w:fill="auto"/>
        <w:tabs>
          <w:tab w:pos="928" w:val="left"/>
        </w:tabs>
        <w:bidi w:val="0"/>
        <w:spacing w:before="0" w:after="0" w:line="411" w:lineRule="exact"/>
        <w:ind w:left="0" w:right="0" w:firstLine="440"/>
        <w:jc w:val="left"/>
      </w:pPr>
      <w:bookmarkStart w:id="640" w:name="bookmark640"/>
      <w:r>
        <w:rPr>
          <w:color w:val="000000"/>
          <w:spacing w:val="0"/>
          <w:w w:val="100"/>
          <w:position w:val="0"/>
        </w:rPr>
        <w:t>（</w:t>
      </w:r>
      <w:bookmarkEnd w:id="640"/>
      <w:r>
        <w:rPr>
          <w:rFonts w:ascii="Times New Roman" w:eastAsia="Times New Roman" w:hAnsi="Times New Roman" w:cs="Times New Roman"/>
          <w:color w:val="000000"/>
          <w:spacing w:val="0"/>
          <w:w w:val="100"/>
          <w:position w:val="0"/>
        </w:rPr>
        <w:t>3</w:t>
      </w:r>
      <w:r>
        <w:rPr>
          <w:color w:val="000000"/>
          <w:spacing w:val="0"/>
          <w:w w:val="100"/>
          <w:position w:val="0"/>
        </w:rPr>
        <w:t>）</w:t>
        <w:tab/>
        <w:t>检查外部评估机构的评估报告等相关证明文件；</w:t>
      </w:r>
    </w:p>
    <w:p>
      <w:pPr>
        <w:pStyle w:val="Style16"/>
        <w:keepNext w:val="0"/>
        <w:keepLines w:val="0"/>
        <w:widowControl w:val="0"/>
        <w:shd w:val="clear" w:color="auto" w:fill="auto"/>
        <w:tabs>
          <w:tab w:pos="928" w:val="left"/>
        </w:tabs>
        <w:bidi w:val="0"/>
        <w:spacing w:before="0" w:after="0" w:line="411" w:lineRule="exact"/>
        <w:ind w:left="0" w:right="0" w:firstLine="440"/>
        <w:jc w:val="left"/>
      </w:pPr>
      <w:bookmarkStart w:id="641" w:name="bookmark641"/>
      <w:r>
        <w:rPr>
          <w:color w:val="000000"/>
          <w:spacing w:val="0"/>
          <w:w w:val="100"/>
          <w:position w:val="0"/>
        </w:rPr>
        <w:t>（</w:t>
      </w:r>
      <w:bookmarkEnd w:id="641"/>
      <w:r>
        <w:rPr>
          <w:rFonts w:ascii="Times New Roman" w:eastAsia="Times New Roman" w:hAnsi="Times New Roman" w:cs="Times New Roman"/>
          <w:color w:val="000000"/>
          <w:spacing w:val="0"/>
          <w:w w:val="100"/>
          <w:position w:val="0"/>
        </w:rPr>
        <w:t>4</w:t>
      </w:r>
      <w:r>
        <w:rPr>
          <w:color w:val="000000"/>
          <w:spacing w:val="0"/>
          <w:w w:val="100"/>
          <w:position w:val="0"/>
        </w:rPr>
        <w:t>）</w:t>
        <w:tab/>
        <w:t>就估值模型与评估专家进行沟通咨询，并对关键参数设置和选取进行分析性复核。</w:t>
      </w:r>
    </w:p>
    <w:p>
      <w:pPr>
        <w:pStyle w:val="Style16"/>
        <w:keepNext w:val="0"/>
        <w:keepLines w:val="0"/>
        <w:widowControl w:val="0"/>
        <w:shd w:val="clear" w:color="auto" w:fill="auto"/>
        <w:bidi w:val="0"/>
        <w:spacing w:before="0" w:after="0" w:line="418" w:lineRule="exact"/>
        <w:ind w:left="0" w:right="0" w:firstLine="440"/>
        <w:jc w:val="both"/>
      </w:pPr>
      <w:r>
        <w:rPr>
          <w:color w:val="000000"/>
          <w:spacing w:val="0"/>
          <w:w w:val="100"/>
          <w:position w:val="0"/>
        </w:rPr>
        <w:t>基于已执行的审计工作，我们认为，管理层在商誉减值中采用的假设和方法是可接受的、管理层对商 誉减值的总体评估是可以接受的、管理层对商誉减值的相关判断及估计是合理的。</w:t>
      </w:r>
    </w:p>
    <w:p>
      <w:pPr>
        <w:pStyle w:val="Style16"/>
        <w:keepNext w:val="0"/>
        <w:keepLines w:val="0"/>
        <w:widowControl w:val="0"/>
        <w:shd w:val="clear" w:color="auto" w:fill="auto"/>
        <w:bidi w:val="0"/>
        <w:spacing w:before="0" w:after="220" w:line="411" w:lineRule="exact"/>
        <w:ind w:left="0" w:right="0" w:firstLine="580"/>
        <w:jc w:val="both"/>
      </w:pPr>
      <w:bookmarkStart w:id="642" w:name="bookmark642"/>
      <w:r>
        <w:rPr>
          <w:color w:val="000000"/>
          <w:spacing w:val="0"/>
          <w:w w:val="100"/>
          <w:position w:val="0"/>
        </w:rPr>
        <w:t>（</w:t>
      </w:r>
      <w:bookmarkEnd w:id="642"/>
      <w:r>
        <w:rPr>
          <w:color w:val="000000"/>
          <w:spacing w:val="0"/>
          <w:w w:val="100"/>
          <w:position w:val="0"/>
        </w:rPr>
        <w:t>二）买入返售金融资产减值准备</w:t>
      </w:r>
    </w:p>
    <w:p>
      <w:pPr>
        <w:pStyle w:val="Style16"/>
        <w:keepNext w:val="0"/>
        <w:keepLines w:val="0"/>
        <w:widowControl w:val="0"/>
        <w:numPr>
          <w:ilvl w:val="0"/>
          <w:numId w:val="17"/>
        </w:numPr>
        <w:shd w:val="clear" w:color="auto" w:fill="auto"/>
        <w:bidi w:val="0"/>
        <w:spacing w:before="0" w:after="0" w:line="504" w:lineRule="auto"/>
        <w:ind w:left="0" w:right="0" w:firstLine="580"/>
        <w:jc w:val="both"/>
      </w:pPr>
      <w:bookmarkStart w:id="643" w:name="bookmark643"/>
      <w:bookmarkEnd w:id="643"/>
      <w:r>
        <w:rPr>
          <w:color w:val="000000"/>
          <w:spacing w:val="0"/>
          <w:w w:val="100"/>
          <w:position w:val="0"/>
        </w:rPr>
        <w:t>事项描述</w:t>
      </w:r>
    </w:p>
    <w:p>
      <w:pPr>
        <w:pStyle w:val="Style16"/>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日，公司买入返售金融资产余额</w:t>
      </w:r>
      <w:r>
        <w:rPr>
          <w:rFonts w:ascii="Times New Roman" w:eastAsia="Times New Roman" w:hAnsi="Times New Roman" w:cs="Times New Roman"/>
          <w:color w:val="000000"/>
          <w:spacing w:val="0"/>
          <w:w w:val="100"/>
          <w:position w:val="0"/>
        </w:rPr>
        <w:t>1</w:t>
      </w:r>
      <w:r>
        <w:rPr>
          <w:color w:val="000000"/>
          <w:spacing w:val="0"/>
          <w:w w:val="100"/>
          <w:position w:val="0"/>
        </w:rPr>
        <w:t xml:space="preserve">, </w:t>
      </w:r>
      <w:r>
        <w:rPr>
          <w:rFonts w:ascii="Times New Roman" w:eastAsia="Times New Roman" w:hAnsi="Times New Roman" w:cs="Times New Roman"/>
          <w:color w:val="000000"/>
          <w:spacing w:val="0"/>
          <w:w w:val="100"/>
          <w:position w:val="0"/>
        </w:rPr>
        <w:t>857</w:t>
      </w:r>
      <w:r>
        <w:rPr>
          <w:color w:val="000000"/>
          <w:spacing w:val="0"/>
          <w:w w:val="100"/>
          <w:position w:val="0"/>
        </w:rPr>
        <w:t xml:space="preserve">, </w:t>
      </w:r>
      <w:r>
        <w:rPr>
          <w:rFonts w:ascii="Times New Roman" w:eastAsia="Times New Roman" w:hAnsi="Times New Roman" w:cs="Times New Roman"/>
          <w:color w:val="000000"/>
          <w:spacing w:val="0"/>
          <w:w w:val="100"/>
          <w:position w:val="0"/>
        </w:rPr>
        <w:t>212</w:t>
      </w:r>
      <w:r>
        <w:rPr>
          <w:color w:val="000000"/>
          <w:spacing w:val="0"/>
          <w:w w:val="100"/>
          <w:position w:val="0"/>
        </w:rPr>
        <w:t xml:space="preserve">, </w:t>
      </w:r>
      <w:r>
        <w:rPr>
          <w:rFonts w:ascii="Times New Roman" w:eastAsia="Times New Roman" w:hAnsi="Times New Roman" w:cs="Times New Roman"/>
          <w:color w:val="000000"/>
          <w:spacing w:val="0"/>
          <w:w w:val="100"/>
          <w:position w:val="0"/>
        </w:rPr>
        <w:t>429</w:t>
      </w:r>
      <w:r>
        <w:rPr>
          <w:color w:val="000000"/>
          <w:spacing w:val="0"/>
          <w:w w:val="100"/>
          <w:position w:val="0"/>
        </w:rPr>
        <w:t xml:space="preserve">. </w:t>
      </w:r>
      <w:r>
        <w:rPr>
          <w:rFonts w:ascii="Times New Roman" w:eastAsia="Times New Roman" w:hAnsi="Times New Roman" w:cs="Times New Roman"/>
          <w:color w:val="000000"/>
          <w:spacing w:val="0"/>
          <w:w w:val="100"/>
          <w:position w:val="0"/>
        </w:rPr>
        <w:t>51</w:t>
      </w:r>
      <w:r>
        <w:rPr>
          <w:color w:val="000000"/>
          <w:spacing w:val="0"/>
          <w:w w:val="100"/>
          <w:position w:val="0"/>
        </w:rPr>
        <w:t>元，减值准备</w:t>
      </w:r>
      <w:r>
        <w:rPr>
          <w:rFonts w:ascii="Times New Roman" w:eastAsia="Times New Roman" w:hAnsi="Times New Roman" w:cs="Times New Roman"/>
          <w:color w:val="000000"/>
          <w:spacing w:val="0"/>
          <w:w w:val="100"/>
          <w:position w:val="0"/>
        </w:rPr>
        <w:t>172</w:t>
      </w:r>
      <w:r>
        <w:rPr>
          <w:color w:val="000000"/>
          <w:spacing w:val="0"/>
          <w:w w:val="100"/>
          <w:position w:val="0"/>
        </w:rPr>
        <w:t xml:space="preserve">, </w:t>
      </w:r>
      <w:r>
        <w:rPr>
          <w:rFonts w:ascii="Times New Roman" w:eastAsia="Times New Roman" w:hAnsi="Times New Roman" w:cs="Times New Roman"/>
          <w:color w:val="000000"/>
          <w:spacing w:val="0"/>
          <w:w w:val="100"/>
          <w:position w:val="0"/>
        </w:rPr>
        <w:t>266</w:t>
      </w:r>
      <w:r>
        <w:rPr>
          <w:color w:val="000000"/>
          <w:spacing w:val="0"/>
          <w:w w:val="100"/>
          <w:position w:val="0"/>
        </w:rPr>
        <w:t xml:space="preserve">, </w:t>
      </w:r>
      <w:r>
        <w:rPr>
          <w:rFonts w:ascii="Times New Roman" w:eastAsia="Times New Roman" w:hAnsi="Times New Roman" w:cs="Times New Roman"/>
          <w:color w:val="000000"/>
          <w:spacing w:val="0"/>
          <w:w w:val="100"/>
          <w:position w:val="0"/>
        </w:rPr>
        <w:t>054</w:t>
      </w:r>
      <w:r>
        <w:rPr>
          <w:color w:val="000000"/>
          <w:spacing w:val="0"/>
          <w:w w:val="100"/>
          <w:position w:val="0"/>
        </w:rPr>
        <w:t xml:space="preserve">. </w:t>
      </w:r>
      <w:r>
        <w:rPr>
          <w:rFonts w:ascii="Times New Roman" w:eastAsia="Times New Roman" w:hAnsi="Times New Roman" w:cs="Times New Roman"/>
          <w:color w:val="000000"/>
          <w:spacing w:val="0"/>
          <w:w w:val="100"/>
          <w:position w:val="0"/>
        </w:rPr>
        <w:t xml:space="preserve">09 </w:t>
      </w:r>
      <w:r>
        <w:rPr>
          <w:color w:val="000000"/>
          <w:spacing w:val="0"/>
          <w:w w:val="100"/>
          <w:position w:val="0"/>
        </w:rPr>
        <w:t>元。买入返售金融资产净额占到合并资产总额的</w:t>
      </w:r>
      <w:r>
        <w:rPr>
          <w:rFonts w:ascii="Times New Roman" w:eastAsia="Times New Roman" w:hAnsi="Times New Roman" w:cs="Times New Roman"/>
          <w:color w:val="000000"/>
          <w:spacing w:val="0"/>
          <w:w w:val="100"/>
          <w:position w:val="0"/>
        </w:rPr>
        <w:t>5</w:t>
      </w:r>
      <w:r>
        <w:rPr>
          <w:color w:val="000000"/>
          <w:spacing w:val="0"/>
          <w:w w:val="100"/>
          <w:position w:val="0"/>
        </w:rPr>
        <w:t>.</w:t>
      </w:r>
      <w:r>
        <w:rPr>
          <w:rFonts w:ascii="Times New Roman" w:eastAsia="Times New Roman" w:hAnsi="Times New Roman" w:cs="Times New Roman"/>
          <w:color w:val="000000"/>
          <w:spacing w:val="0"/>
          <w:w w:val="100"/>
          <w:position w:val="0"/>
        </w:rPr>
        <w:t>38</w:t>
      </w:r>
      <w:r>
        <w:rPr>
          <w:color w:val="000000"/>
          <w:spacing w:val="0"/>
          <w:w w:val="100"/>
          <w:position w:val="0"/>
        </w:rPr>
        <w:t xml:space="preserve">%，减值准备本期增加减值占到信用资产减值损失的 </w:t>
      </w:r>
      <w:r>
        <w:rPr>
          <w:rFonts w:ascii="Times New Roman" w:eastAsia="Times New Roman" w:hAnsi="Times New Roman" w:cs="Times New Roman"/>
          <w:color w:val="000000"/>
          <w:spacing w:val="0"/>
          <w:w w:val="100"/>
          <w:position w:val="0"/>
        </w:rPr>
        <w:t>61</w:t>
      </w:r>
      <w:r>
        <w:rPr>
          <w:color w:val="000000"/>
          <w:spacing w:val="0"/>
          <w:w w:val="100"/>
          <w:position w:val="0"/>
        </w:rPr>
        <w:t>.</w:t>
      </w:r>
      <w:r>
        <w:rPr>
          <w:rFonts w:ascii="Times New Roman" w:eastAsia="Times New Roman" w:hAnsi="Times New Roman" w:cs="Times New Roman"/>
          <w:color w:val="000000"/>
          <w:spacing w:val="0"/>
          <w:w w:val="100"/>
          <w:position w:val="0"/>
        </w:rPr>
        <w:t>18</w:t>
      </w:r>
      <w:r>
        <w:rPr>
          <w:color w:val="000000"/>
          <w:spacing w:val="0"/>
          <w:w w:val="100"/>
          <w:position w:val="0"/>
        </w:rPr>
        <w:t>%。由于买入返售金融资产金额重大，其减值评估需要管理层作出重大判断，因此我们将买入返售金 融资产减值准备确定为关键审计事项。</w:t>
      </w:r>
    </w:p>
    <w:p>
      <w:pPr>
        <w:pStyle w:val="Style16"/>
        <w:keepNext w:val="0"/>
        <w:keepLines w:val="0"/>
        <w:widowControl w:val="0"/>
        <w:shd w:val="clear" w:color="auto" w:fill="auto"/>
        <w:bidi w:val="0"/>
        <w:spacing w:before="0" w:after="0" w:line="422" w:lineRule="exact"/>
        <w:ind w:left="0" w:right="0" w:firstLine="440"/>
        <w:jc w:val="both"/>
      </w:pPr>
      <w:r>
        <w:rPr>
          <w:color w:val="000000"/>
          <w:spacing w:val="0"/>
          <w:w w:val="100"/>
          <w:position w:val="0"/>
        </w:rPr>
        <w:t>关于买入返售金融资产减值准备会计政策详见附注四、（十）；关于买入返售金融资产账面余额及减值 准备详见附注六、注释</w:t>
      </w:r>
      <w:r>
        <w:rPr>
          <w:rFonts w:ascii="Times New Roman" w:eastAsia="Times New Roman" w:hAnsi="Times New Roman" w:cs="Times New Roman"/>
          <w:color w:val="000000"/>
          <w:spacing w:val="0"/>
          <w:w w:val="100"/>
          <w:position w:val="0"/>
        </w:rPr>
        <w:t>11</w:t>
      </w:r>
      <w:r>
        <w:rPr>
          <w:color w:val="000000"/>
          <w:spacing w:val="0"/>
          <w:w w:val="100"/>
          <w:position w:val="0"/>
        </w:rPr>
        <w:t>。</w:t>
      </w:r>
    </w:p>
    <w:p>
      <w:pPr>
        <w:pStyle w:val="Style16"/>
        <w:keepNext w:val="0"/>
        <w:keepLines w:val="0"/>
        <w:widowControl w:val="0"/>
        <w:numPr>
          <w:ilvl w:val="0"/>
          <w:numId w:val="17"/>
        </w:numPr>
        <w:shd w:val="clear" w:color="auto" w:fill="auto"/>
        <w:bidi w:val="0"/>
        <w:spacing w:before="0" w:after="0" w:line="411" w:lineRule="exact"/>
        <w:ind w:left="0" w:right="0" w:firstLine="440"/>
        <w:jc w:val="both"/>
      </w:pPr>
      <w:bookmarkStart w:id="644" w:name="bookmark644"/>
      <w:bookmarkEnd w:id="644"/>
      <w:r>
        <w:rPr>
          <w:color w:val="000000"/>
          <w:spacing w:val="0"/>
          <w:w w:val="100"/>
          <w:position w:val="0"/>
        </w:rPr>
        <w:t>审计应对</w:t>
      </w:r>
    </w:p>
    <w:p>
      <w:pPr>
        <w:pStyle w:val="Style16"/>
        <w:keepNext w:val="0"/>
        <w:keepLines w:val="0"/>
        <w:widowControl w:val="0"/>
        <w:shd w:val="clear" w:color="auto" w:fill="auto"/>
        <w:bidi w:val="0"/>
        <w:spacing w:before="0" w:after="0" w:line="411" w:lineRule="exact"/>
        <w:ind w:left="0" w:right="0" w:firstLine="580"/>
        <w:jc w:val="both"/>
      </w:pPr>
      <w:r>
        <w:rPr>
          <w:color w:val="000000"/>
          <w:spacing w:val="0"/>
          <w:w w:val="100"/>
          <w:position w:val="0"/>
        </w:rPr>
        <w:t>我们对于买入返售金融资产减值准备所实施的重要审计程序包括：</w:t>
      </w:r>
    </w:p>
    <w:p>
      <w:pPr>
        <w:pStyle w:val="Style16"/>
        <w:keepNext w:val="0"/>
        <w:keepLines w:val="0"/>
        <w:widowControl w:val="0"/>
        <w:shd w:val="clear" w:color="auto" w:fill="auto"/>
        <w:tabs>
          <w:tab w:pos="928" w:val="left"/>
        </w:tabs>
        <w:bidi w:val="0"/>
        <w:spacing w:before="0" w:after="0" w:line="411" w:lineRule="exact"/>
        <w:ind w:left="0" w:right="0" w:firstLine="440"/>
        <w:jc w:val="both"/>
      </w:pPr>
      <w:bookmarkStart w:id="645" w:name="bookmark645"/>
      <w:r>
        <w:rPr>
          <w:color w:val="000000"/>
          <w:spacing w:val="0"/>
          <w:w w:val="100"/>
          <w:position w:val="0"/>
        </w:rPr>
        <w:t>（</w:t>
      </w:r>
      <w:bookmarkEnd w:id="645"/>
      <w:r>
        <w:rPr>
          <w:rFonts w:ascii="Times New Roman" w:eastAsia="Times New Roman" w:hAnsi="Times New Roman" w:cs="Times New Roman"/>
          <w:color w:val="000000"/>
          <w:spacing w:val="0"/>
          <w:w w:val="100"/>
          <w:position w:val="0"/>
        </w:rPr>
        <w:t>1</w:t>
      </w:r>
      <w:r>
        <w:rPr>
          <w:color w:val="000000"/>
          <w:spacing w:val="0"/>
          <w:w w:val="100"/>
          <w:position w:val="0"/>
        </w:rPr>
        <w:t>）</w:t>
        <w:tab/>
        <w:t>测试管理层与买入返售金融资产日常管理及预计未来现金流量评估相关的关键内部控制；</w:t>
      </w:r>
    </w:p>
    <w:p>
      <w:pPr>
        <w:pStyle w:val="Style16"/>
        <w:keepNext w:val="0"/>
        <w:keepLines w:val="0"/>
        <w:widowControl w:val="0"/>
        <w:shd w:val="clear" w:color="auto" w:fill="auto"/>
        <w:tabs>
          <w:tab w:pos="928" w:val="left"/>
        </w:tabs>
        <w:bidi w:val="0"/>
        <w:spacing w:before="0" w:after="0" w:line="411" w:lineRule="exact"/>
        <w:ind w:left="0" w:right="0" w:firstLine="440"/>
        <w:jc w:val="both"/>
      </w:pPr>
      <w:bookmarkStart w:id="646" w:name="bookmark646"/>
      <w:r>
        <w:rPr>
          <w:color w:val="000000"/>
          <w:spacing w:val="0"/>
          <w:w w:val="100"/>
          <w:position w:val="0"/>
        </w:rPr>
        <w:t>（</w:t>
      </w:r>
      <w:bookmarkEnd w:id="646"/>
      <w:r>
        <w:rPr>
          <w:rFonts w:ascii="Times New Roman" w:eastAsia="Times New Roman" w:hAnsi="Times New Roman" w:cs="Times New Roman"/>
          <w:color w:val="000000"/>
          <w:spacing w:val="0"/>
          <w:w w:val="100"/>
          <w:position w:val="0"/>
        </w:rPr>
        <w:t>2</w:t>
      </w:r>
      <w:r>
        <w:rPr>
          <w:color w:val="000000"/>
          <w:spacing w:val="0"/>
          <w:w w:val="100"/>
          <w:position w:val="0"/>
        </w:rPr>
        <w:t>）</w:t>
        <w:tab/>
        <w:t>检查管理层对买入返售金融资产预计未来现金流量进行判断的相关文件资料及客观依据；</w:t>
      </w:r>
    </w:p>
    <w:p>
      <w:pPr>
        <w:pStyle w:val="Style16"/>
        <w:keepNext w:val="0"/>
        <w:keepLines w:val="0"/>
        <w:widowControl w:val="0"/>
        <w:shd w:val="clear" w:color="auto" w:fill="auto"/>
        <w:tabs>
          <w:tab w:pos="1021" w:val="left"/>
        </w:tabs>
        <w:bidi w:val="0"/>
        <w:spacing w:before="0" w:after="0" w:line="418" w:lineRule="exact"/>
        <w:ind w:left="0" w:right="0" w:firstLine="440"/>
        <w:jc w:val="both"/>
      </w:pPr>
      <w:bookmarkStart w:id="647" w:name="bookmark647"/>
      <w:r>
        <w:rPr>
          <w:color w:val="000000"/>
          <w:spacing w:val="0"/>
          <w:w w:val="100"/>
          <w:position w:val="0"/>
        </w:rPr>
        <w:t>（</w:t>
      </w:r>
      <w:bookmarkEnd w:id="647"/>
      <w:r>
        <w:rPr>
          <w:rFonts w:ascii="Times New Roman" w:eastAsia="Times New Roman" w:hAnsi="Times New Roman" w:cs="Times New Roman"/>
          <w:color w:val="000000"/>
          <w:spacing w:val="0"/>
          <w:w w:val="100"/>
          <w:position w:val="0"/>
        </w:rPr>
        <w:t>3</w:t>
      </w:r>
      <w:r>
        <w:rPr>
          <w:color w:val="000000"/>
          <w:spacing w:val="0"/>
          <w:w w:val="100"/>
          <w:position w:val="0"/>
        </w:rPr>
        <w:t>）</w:t>
        <w:tab/>
        <w:t>分析复核报告期末买入返售金融资产的组成结构和内容，检查报告期买入返售金融资产的相关 合同文件资料，重点关注质押期限较长资产和展期资产，检查标的资产市值、质押率和融资人信用情况， 综合评价买入返售金融资产减值准备计提的合理性和充分性；</w:t>
      </w:r>
    </w:p>
    <w:p>
      <w:pPr>
        <w:pStyle w:val="Style16"/>
        <w:keepNext w:val="0"/>
        <w:keepLines w:val="0"/>
        <w:widowControl w:val="0"/>
        <w:numPr>
          <w:ilvl w:val="0"/>
          <w:numId w:val="11"/>
        </w:numPr>
        <w:shd w:val="clear" w:color="auto" w:fill="auto"/>
        <w:bidi w:val="0"/>
        <w:spacing w:before="0" w:after="0" w:line="413" w:lineRule="exact"/>
        <w:ind w:left="0" w:right="0" w:firstLine="580"/>
        <w:jc w:val="both"/>
      </w:pPr>
      <w:bookmarkStart w:id="648" w:name="bookmark648"/>
      <w:bookmarkEnd w:id="648"/>
      <w:r>
        <w:rPr>
          <w:color w:val="000000"/>
          <w:spacing w:val="0"/>
          <w:w w:val="100"/>
          <w:position w:val="0"/>
        </w:rPr>
        <w:t>对买入返售金融资产实施函证程序，确认买入返售金融资产内容和金额。</w:t>
      </w:r>
    </w:p>
    <w:p>
      <w:pPr>
        <w:pStyle w:val="Style16"/>
        <w:keepNext w:val="0"/>
        <w:keepLines w:val="0"/>
        <w:widowControl w:val="0"/>
        <w:shd w:val="clear" w:color="auto" w:fill="auto"/>
        <w:bidi w:val="0"/>
        <w:spacing w:before="0" w:after="0" w:line="413" w:lineRule="exact"/>
        <w:ind w:left="0" w:right="0" w:firstLine="580"/>
        <w:jc w:val="both"/>
      </w:pPr>
      <w:r>
        <w:rPr>
          <w:color w:val="000000"/>
          <w:spacing w:val="0"/>
          <w:w w:val="100"/>
          <w:position w:val="0"/>
        </w:rPr>
        <w:t>基于已执行的审计工作，我们认为，管理层在买入返售金融资产减值准备中采用的假设和方法是可 接受的、管理层对买入返售金融资产减值准备的总体评估是可以接受的、管理层对买入返售金融资产减值 准备的相关判断及估计是合理的。</w:t>
      </w:r>
    </w:p>
    <w:p>
      <w:pPr>
        <w:pStyle w:val="Style16"/>
        <w:keepNext w:val="0"/>
        <w:keepLines w:val="0"/>
        <w:widowControl w:val="0"/>
        <w:shd w:val="clear" w:color="auto" w:fill="auto"/>
        <w:tabs>
          <w:tab w:pos="824" w:val="left"/>
        </w:tabs>
        <w:bidi w:val="0"/>
        <w:spacing w:before="0" w:after="0" w:line="422" w:lineRule="exact"/>
        <w:ind w:left="0" w:right="0" w:firstLine="360"/>
        <w:jc w:val="both"/>
      </w:pPr>
      <w:bookmarkStart w:id="649" w:name="bookmark649"/>
      <w:r>
        <w:rPr>
          <w:b/>
          <w:bCs/>
          <w:color w:val="000000"/>
          <w:spacing w:val="0"/>
          <w:w w:val="100"/>
          <w:position w:val="0"/>
        </w:rPr>
        <w:t>四</w:t>
      </w:r>
      <w:bookmarkEnd w:id="649"/>
      <w:r>
        <w:rPr>
          <w:b/>
          <w:bCs/>
          <w:color w:val="000000"/>
          <w:spacing w:val="0"/>
          <w:w w:val="100"/>
          <w:position w:val="0"/>
        </w:rPr>
        <w:t>、</w:t>
        <w:tab/>
        <w:t>其他信息</w:t>
      </w:r>
    </w:p>
    <w:p>
      <w:pPr>
        <w:pStyle w:val="Style16"/>
        <w:keepNext w:val="0"/>
        <w:keepLines w:val="0"/>
        <w:widowControl w:val="0"/>
        <w:shd w:val="clear" w:color="auto" w:fill="auto"/>
        <w:bidi w:val="0"/>
        <w:spacing w:before="0" w:after="0" w:line="422" w:lineRule="exact"/>
        <w:ind w:left="0" w:right="0" w:firstLine="420"/>
        <w:jc w:val="both"/>
      </w:pPr>
      <w:r>
        <w:rPr>
          <w:color w:val="000000"/>
          <w:spacing w:val="0"/>
          <w:w w:val="100"/>
          <w:position w:val="0"/>
        </w:rPr>
        <w:t>国盛金控管理层对其他信息负责。其他信息包括国盛金控</w:t>
      </w:r>
      <w:r>
        <w:rPr>
          <w:rFonts w:ascii="Times New Roman" w:eastAsia="Times New Roman" w:hAnsi="Times New Roman" w:cs="Times New Roman"/>
          <w:color w:val="000000"/>
          <w:spacing w:val="0"/>
          <w:w w:val="100"/>
          <w:position w:val="0"/>
        </w:rPr>
        <w:t>2020</w:t>
      </w:r>
      <w:r>
        <w:rPr>
          <w:color w:val="000000"/>
          <w:spacing w:val="0"/>
          <w:w w:val="100"/>
          <w:position w:val="0"/>
        </w:rPr>
        <w:t>年年度报告中涵盖的信息，但不包括 财务报表和我们的审计报告。</w:t>
      </w:r>
    </w:p>
    <w:p>
      <w:pPr>
        <w:pStyle w:val="Style16"/>
        <w:keepNext w:val="0"/>
        <w:keepLines w:val="0"/>
        <w:widowControl w:val="0"/>
        <w:shd w:val="clear" w:color="auto" w:fill="auto"/>
        <w:bidi w:val="0"/>
        <w:spacing w:before="0" w:after="0" w:line="413" w:lineRule="exact"/>
        <w:ind w:left="0" w:right="0" w:firstLine="360"/>
        <w:jc w:val="left"/>
      </w:pPr>
      <w:r>
        <w:rPr>
          <w:color w:val="000000"/>
          <w:spacing w:val="0"/>
          <w:w w:val="100"/>
          <w:position w:val="0"/>
        </w:rPr>
        <w:t>我们对财务报表发表的审计意见不涵盖其他信息，我们也不对其他信息发表任何形式的鉴证结论。</w:t>
      </w:r>
    </w:p>
    <w:p>
      <w:pPr>
        <w:pStyle w:val="Style16"/>
        <w:keepNext w:val="0"/>
        <w:keepLines w:val="0"/>
        <w:widowControl w:val="0"/>
        <w:shd w:val="clear" w:color="auto" w:fill="auto"/>
        <w:bidi w:val="0"/>
        <w:spacing w:before="0" w:after="0" w:line="418" w:lineRule="exact"/>
        <w:ind w:left="0" w:right="0" w:firstLine="420"/>
        <w:jc w:val="both"/>
      </w:pPr>
      <w:r>
        <w:rPr>
          <w:color w:val="000000"/>
          <w:spacing w:val="0"/>
          <w:w w:val="100"/>
          <w:position w:val="0"/>
        </w:rPr>
        <w:t>结合我们对财务报表的审计，我们的责任是阅读其他信息，在此过程中，考虑其他信息是否与财务报 表或我们在审计过程中了解的情况存在重大不一致或者似乎存在重大错报。</w:t>
      </w:r>
    </w:p>
    <w:p>
      <w:pPr>
        <w:pStyle w:val="Style16"/>
        <w:keepNext w:val="0"/>
        <w:keepLines w:val="0"/>
        <w:widowControl w:val="0"/>
        <w:shd w:val="clear" w:color="auto" w:fill="auto"/>
        <w:bidi w:val="0"/>
        <w:spacing w:before="0" w:after="0" w:line="413" w:lineRule="exact"/>
        <w:ind w:left="0" w:right="0" w:firstLine="420"/>
        <w:jc w:val="both"/>
      </w:pPr>
      <w:r>
        <w:rPr>
          <w:color w:val="000000"/>
          <w:spacing w:val="0"/>
          <w:w w:val="100"/>
          <w:position w:val="0"/>
        </w:rPr>
        <w:t>基于我们已执行的工作，如果我们确定其他信息存在重大错报，我们应当报告该事实。在这方面，我 们无任何事项需要报告。</w:t>
      </w:r>
    </w:p>
    <w:p>
      <w:pPr>
        <w:pStyle w:val="Style16"/>
        <w:keepNext w:val="0"/>
        <w:keepLines w:val="0"/>
        <w:widowControl w:val="0"/>
        <w:shd w:val="clear" w:color="auto" w:fill="auto"/>
        <w:tabs>
          <w:tab w:pos="838" w:val="left"/>
        </w:tabs>
        <w:bidi w:val="0"/>
        <w:spacing w:before="0" w:after="0" w:line="413" w:lineRule="exact"/>
        <w:ind w:left="0" w:right="0" w:firstLine="360"/>
        <w:jc w:val="both"/>
      </w:pPr>
      <w:bookmarkStart w:id="650" w:name="bookmark650"/>
      <w:r>
        <w:rPr>
          <w:b/>
          <w:bCs/>
          <w:color w:val="000000"/>
          <w:spacing w:val="0"/>
          <w:w w:val="100"/>
          <w:position w:val="0"/>
        </w:rPr>
        <w:t>五</w:t>
      </w:r>
      <w:bookmarkEnd w:id="650"/>
      <w:r>
        <w:rPr>
          <w:b/>
          <w:bCs/>
          <w:color w:val="000000"/>
          <w:spacing w:val="0"/>
          <w:w w:val="100"/>
          <w:position w:val="0"/>
        </w:rPr>
        <w:t>、</w:t>
        <w:tab/>
        <w:t>管理层和治理层对财务报表的责任</w:t>
      </w:r>
    </w:p>
    <w:p>
      <w:pPr>
        <w:pStyle w:val="Style16"/>
        <w:keepNext w:val="0"/>
        <w:keepLines w:val="0"/>
        <w:widowControl w:val="0"/>
        <w:shd w:val="clear" w:color="auto" w:fill="auto"/>
        <w:bidi w:val="0"/>
        <w:spacing w:before="0" w:after="0" w:line="418" w:lineRule="exact"/>
        <w:ind w:left="0" w:right="0" w:firstLine="420"/>
        <w:jc w:val="both"/>
      </w:pPr>
      <w:r>
        <w:rPr>
          <w:color w:val="000000"/>
          <w:spacing w:val="0"/>
          <w:w w:val="100"/>
          <w:position w:val="0"/>
        </w:rPr>
        <w:t>国盛金控管理层负责按照企业会计准则的规定编制财务报表，使其实现公允反映，并设计、执行和维 护必要的内部控制，以使财务报表不存在由于舞弊或错误导致的重大错报。</w:t>
      </w:r>
    </w:p>
    <w:p>
      <w:pPr>
        <w:pStyle w:val="Style16"/>
        <w:keepNext w:val="0"/>
        <w:keepLines w:val="0"/>
        <w:widowControl w:val="0"/>
        <w:shd w:val="clear" w:color="auto" w:fill="auto"/>
        <w:bidi w:val="0"/>
        <w:spacing w:before="0" w:after="0" w:line="408" w:lineRule="exact"/>
        <w:ind w:left="0" w:right="0" w:firstLine="420"/>
        <w:jc w:val="both"/>
      </w:pPr>
      <w:r>
        <w:rPr>
          <w:color w:val="000000"/>
          <w:spacing w:val="0"/>
          <w:w w:val="100"/>
          <w:position w:val="0"/>
        </w:rPr>
        <w:t>在编制财务报表时，国盛金控管理层负责评估国盛金控的持续经营能力，披露与持续经营相关的事项 (如适用)，并运用持续经营假设，除非管理层计划清算国盛金控、终止运营或别无其他现实的选择。</w:t>
      </w:r>
    </w:p>
    <w:p>
      <w:pPr>
        <w:pStyle w:val="Style16"/>
        <w:keepNext w:val="0"/>
        <w:keepLines w:val="0"/>
        <w:widowControl w:val="0"/>
        <w:shd w:val="clear" w:color="auto" w:fill="auto"/>
        <w:bidi w:val="0"/>
        <w:spacing w:before="0" w:after="0" w:line="413" w:lineRule="exact"/>
        <w:ind w:left="0" w:right="0" w:firstLine="360"/>
        <w:jc w:val="left"/>
      </w:pPr>
      <w:r>
        <w:rPr>
          <w:color w:val="000000"/>
          <w:spacing w:val="0"/>
          <w:w w:val="100"/>
          <w:position w:val="0"/>
        </w:rPr>
        <w:t>治理层负责监督国盛金控的财务报告过程。</w:t>
      </w:r>
    </w:p>
    <w:p>
      <w:pPr>
        <w:pStyle w:val="Style16"/>
        <w:keepNext w:val="0"/>
        <w:keepLines w:val="0"/>
        <w:widowControl w:val="0"/>
        <w:shd w:val="clear" w:color="auto" w:fill="auto"/>
        <w:tabs>
          <w:tab w:pos="838" w:val="left"/>
        </w:tabs>
        <w:bidi w:val="0"/>
        <w:spacing w:before="0" w:after="0" w:line="413" w:lineRule="exact"/>
        <w:ind w:left="0" w:right="0" w:firstLine="360"/>
        <w:jc w:val="both"/>
      </w:pPr>
      <w:bookmarkStart w:id="651" w:name="bookmark651"/>
      <w:r>
        <w:rPr>
          <w:b/>
          <w:bCs/>
          <w:color w:val="000000"/>
          <w:spacing w:val="0"/>
          <w:w w:val="100"/>
          <w:position w:val="0"/>
        </w:rPr>
        <w:t>六</w:t>
      </w:r>
      <w:bookmarkEnd w:id="651"/>
      <w:r>
        <w:rPr>
          <w:b/>
          <w:bCs/>
          <w:color w:val="000000"/>
          <w:spacing w:val="0"/>
          <w:w w:val="100"/>
          <w:position w:val="0"/>
        </w:rPr>
        <w:t>、</w:t>
        <w:tab/>
        <w:t>注册会计师对财务报表审计的责任</w:t>
      </w:r>
    </w:p>
    <w:p>
      <w:pPr>
        <w:pStyle w:val="Style16"/>
        <w:keepNext w:val="0"/>
        <w:keepLines w:val="0"/>
        <w:widowControl w:val="0"/>
        <w:shd w:val="clear" w:color="auto" w:fill="auto"/>
        <w:bidi w:val="0"/>
        <w:spacing w:before="0" w:after="0" w:line="406" w:lineRule="exact"/>
        <w:ind w:left="0" w:right="0" w:firstLine="420"/>
        <w:jc w:val="both"/>
      </w:pPr>
      <w:r>
        <w:rPr>
          <w:color w:val="000000"/>
          <w:spacing w:val="0"/>
          <w:w w:val="100"/>
          <w:position w:val="0"/>
        </w:rPr>
        <w:t>我们的目标是对财务报表整体是否不存在由于舞弊或错误导致的重大错报获取合理保证，并出具包含 审计意见的审计报告。合理保证是高水平的保证，但并不能保证按照审计准则执行的审计在某一重大错报 存在时总能发现。错报可能由于舞弊或错误导致，如果合理预期错报单独或汇总起来可能影响财务报表使 用者依据财务报表作出的经济决策，则通常认为错报是重大的。</w:t>
      </w:r>
    </w:p>
    <w:p>
      <w:pPr>
        <w:pStyle w:val="Style16"/>
        <w:keepNext w:val="0"/>
        <w:keepLines w:val="0"/>
        <w:widowControl w:val="0"/>
        <w:shd w:val="clear" w:color="auto" w:fill="auto"/>
        <w:bidi w:val="0"/>
        <w:spacing w:before="0" w:after="0" w:line="413" w:lineRule="exact"/>
        <w:ind w:left="0" w:right="0" w:firstLine="420"/>
        <w:jc w:val="both"/>
      </w:pPr>
      <w:r>
        <w:rPr>
          <w:color w:val="000000"/>
          <w:spacing w:val="0"/>
          <w:w w:val="100"/>
          <w:position w:val="0"/>
        </w:rPr>
        <w:t>在按照审计准则执行审计工作的过程中，我们运用职业判断，并保持职业怀疑。同时，我们也执行以 下工作：</w:t>
      </w:r>
    </w:p>
    <w:p>
      <w:pPr>
        <w:pStyle w:val="Style16"/>
        <w:keepNext w:val="0"/>
        <w:keepLines w:val="0"/>
        <w:widowControl w:val="0"/>
        <w:numPr>
          <w:ilvl w:val="0"/>
          <w:numId w:val="19"/>
        </w:numPr>
        <w:shd w:val="clear" w:color="auto" w:fill="auto"/>
        <w:tabs>
          <w:tab w:pos="776" w:val="left"/>
        </w:tabs>
        <w:bidi w:val="0"/>
        <w:spacing w:before="0" w:after="160" w:line="413" w:lineRule="exact"/>
        <w:ind w:left="0" w:right="0" w:firstLine="420"/>
        <w:jc w:val="both"/>
      </w:pPr>
      <w:bookmarkStart w:id="652" w:name="bookmark652"/>
      <w:bookmarkEnd w:id="652"/>
      <w:r>
        <w:rPr>
          <w:color w:val="000000"/>
          <w:spacing w:val="0"/>
          <w:w w:val="100"/>
          <w:position w:val="0"/>
        </w:rPr>
        <w:t>识别和评估由于舞弊或错误导致的财务报表重大错报风险，设计和实施审计程序以应对这些风险， 并获取充分、适当的审计证据，作为发表审计意见的基础。由于舞弊可能涉及串通、伪造、故意遗漏、虚 假陈述或凌驾于内部控制之上，未能发现由于舞弊导致的重大错报的风险高于未能发现由于错误导致的重 大错报的风险。</w:t>
      </w:r>
    </w:p>
    <w:p>
      <w:pPr>
        <w:pStyle w:val="Style16"/>
        <w:keepNext w:val="0"/>
        <w:keepLines w:val="0"/>
        <w:widowControl w:val="0"/>
        <w:numPr>
          <w:ilvl w:val="0"/>
          <w:numId w:val="19"/>
        </w:numPr>
        <w:shd w:val="clear" w:color="auto" w:fill="auto"/>
        <w:tabs>
          <w:tab w:pos="763" w:val="left"/>
        </w:tabs>
        <w:bidi w:val="0"/>
        <w:spacing w:before="0" w:after="0" w:line="506" w:lineRule="auto"/>
        <w:ind w:left="0" w:right="0" w:firstLine="360"/>
        <w:jc w:val="left"/>
      </w:pPr>
      <w:bookmarkStart w:id="653" w:name="bookmark653"/>
      <w:bookmarkEnd w:id="653"/>
      <w:r>
        <w:rPr>
          <w:color w:val="000000"/>
          <w:spacing w:val="0"/>
          <w:w w:val="100"/>
          <w:position w:val="0"/>
        </w:rPr>
        <w:t>了解与审计相关的内部控制，以设计恰当的审计程序。</w:t>
      </w:r>
    </w:p>
    <w:p>
      <w:pPr>
        <w:pStyle w:val="Style16"/>
        <w:keepNext w:val="0"/>
        <w:keepLines w:val="0"/>
        <w:widowControl w:val="0"/>
        <w:numPr>
          <w:ilvl w:val="0"/>
          <w:numId w:val="19"/>
        </w:numPr>
        <w:shd w:val="clear" w:color="auto" w:fill="auto"/>
        <w:tabs>
          <w:tab w:pos="763" w:val="left"/>
        </w:tabs>
        <w:bidi w:val="0"/>
        <w:spacing w:before="0" w:after="0" w:line="506" w:lineRule="auto"/>
        <w:ind w:left="0" w:right="0" w:firstLine="360"/>
        <w:jc w:val="left"/>
      </w:pPr>
      <w:bookmarkStart w:id="654" w:name="bookmark654"/>
      <w:bookmarkEnd w:id="654"/>
      <w:r>
        <w:rPr>
          <w:color w:val="000000"/>
          <w:spacing w:val="0"/>
          <w:w w:val="100"/>
          <w:position w:val="0"/>
        </w:rPr>
        <w:t>评价管理层选用会计政策的恰当性和作出会计估计及相关披露的合理性。</w:t>
      </w:r>
    </w:p>
    <w:p>
      <w:pPr>
        <w:pStyle w:val="Style16"/>
        <w:keepNext w:val="0"/>
        <w:keepLines w:val="0"/>
        <w:widowControl w:val="0"/>
        <w:numPr>
          <w:ilvl w:val="0"/>
          <w:numId w:val="19"/>
        </w:numPr>
        <w:shd w:val="clear" w:color="auto" w:fill="auto"/>
        <w:tabs>
          <w:tab w:pos="776" w:val="left"/>
        </w:tabs>
        <w:bidi w:val="0"/>
        <w:spacing w:before="0" w:after="160" w:line="413" w:lineRule="exact"/>
        <w:ind w:left="0" w:right="0" w:firstLine="420"/>
        <w:jc w:val="both"/>
      </w:pPr>
      <w:bookmarkStart w:id="655" w:name="bookmark655"/>
      <w:bookmarkEnd w:id="655"/>
      <w:r>
        <w:rPr>
          <w:color w:val="000000"/>
          <w:spacing w:val="0"/>
          <w:w w:val="100"/>
          <w:position w:val="0"/>
        </w:rPr>
        <w:t xml:space="preserve">对管理层使用持续经营假设的恰当性得出结论。同时，根据获取的审计证据，就可能导致对国盛 金控持续经营能力产生重大疑虑的事项或情况是否存在重大不确定性得出结论。如果我们得出结论认为存 </w:t>
      </w:r>
      <w:r>
        <w:rPr>
          <w:color w:val="000000"/>
          <w:spacing w:val="0"/>
          <w:w w:val="100"/>
          <w:position w:val="0"/>
        </w:rPr>
        <w:t>在重大不确定性，审计准则要求我们在审计报告中提请报告使用者注意财务报表中的相关披露；如果披露 不充分，我们应当发表非无保留意见。我们的结论基于截至审计报告日可获得的信息。然而，未来的事项 或情况可能导致国盛金控不能持续经营。</w:t>
      </w:r>
    </w:p>
    <w:p>
      <w:pPr>
        <w:pStyle w:val="Style16"/>
        <w:keepNext w:val="0"/>
        <w:keepLines w:val="0"/>
        <w:widowControl w:val="0"/>
        <w:numPr>
          <w:ilvl w:val="0"/>
          <w:numId w:val="19"/>
        </w:numPr>
        <w:shd w:val="clear" w:color="auto" w:fill="auto"/>
        <w:tabs>
          <w:tab w:pos="789" w:val="left"/>
        </w:tabs>
        <w:bidi w:val="0"/>
        <w:spacing w:before="0" w:after="0" w:line="514" w:lineRule="auto"/>
        <w:ind w:left="0" w:right="0" w:firstLine="440"/>
        <w:jc w:val="both"/>
      </w:pPr>
      <w:bookmarkStart w:id="656" w:name="bookmark656"/>
      <w:bookmarkEnd w:id="656"/>
      <w:r>
        <w:rPr>
          <w:color w:val="000000"/>
          <w:spacing w:val="0"/>
          <w:w w:val="100"/>
          <w:position w:val="0"/>
        </w:rPr>
        <w:t>评价财务报表的总体列报、结构和内容，并评价财务报表是否公允反映相关交易和事项。</w:t>
      </w:r>
    </w:p>
    <w:p>
      <w:pPr>
        <w:pStyle w:val="Style16"/>
        <w:keepNext w:val="0"/>
        <w:keepLines w:val="0"/>
        <w:widowControl w:val="0"/>
        <w:numPr>
          <w:ilvl w:val="0"/>
          <w:numId w:val="19"/>
        </w:numPr>
        <w:shd w:val="clear" w:color="auto" w:fill="auto"/>
        <w:tabs>
          <w:tab w:pos="771" w:val="left"/>
        </w:tabs>
        <w:bidi w:val="0"/>
        <w:spacing w:before="0" w:after="0" w:line="418" w:lineRule="exact"/>
        <w:ind w:left="0" w:right="0" w:firstLine="440"/>
        <w:jc w:val="both"/>
      </w:pPr>
      <w:bookmarkStart w:id="657" w:name="bookmark657"/>
      <w:bookmarkEnd w:id="657"/>
      <w:r>
        <w:rPr>
          <w:color w:val="000000"/>
          <w:spacing w:val="0"/>
          <w:w w:val="100"/>
          <w:position w:val="0"/>
        </w:rPr>
        <w:t>就国盛金控中实体或业务活动的财务信息获取充分、适当的审计证据，以对财务报表发表意见。我 们负责指导、监督和执行集团审计。我们对审计意见承担全部责任。</w:t>
      </w:r>
    </w:p>
    <w:p>
      <w:pPr>
        <w:pStyle w:val="Style16"/>
        <w:keepNext w:val="0"/>
        <w:keepLines w:val="0"/>
        <w:widowControl w:val="0"/>
        <w:shd w:val="clear" w:color="auto" w:fill="auto"/>
        <w:bidi w:val="0"/>
        <w:spacing w:before="0" w:after="0" w:line="413" w:lineRule="exact"/>
        <w:ind w:left="0" w:right="0" w:firstLine="440"/>
        <w:jc w:val="both"/>
      </w:pPr>
      <w:r>
        <w:rPr>
          <w:color w:val="000000"/>
          <w:spacing w:val="0"/>
          <w:w w:val="100"/>
          <w:position w:val="0"/>
        </w:rPr>
        <w:t>我们与治理层就计划的审计范围、时间安排和重大审计发现等事项进行沟通，包括沟通我们在审计中 识别出的值得关注的内部控制缺陷。</w:t>
      </w:r>
    </w:p>
    <w:p>
      <w:pPr>
        <w:pStyle w:val="Style16"/>
        <w:keepNext w:val="0"/>
        <w:keepLines w:val="0"/>
        <w:widowControl w:val="0"/>
        <w:shd w:val="clear" w:color="auto" w:fill="auto"/>
        <w:bidi w:val="0"/>
        <w:spacing w:before="0" w:after="0" w:line="413" w:lineRule="exact"/>
        <w:ind w:left="0" w:right="0" w:firstLine="440"/>
        <w:jc w:val="both"/>
      </w:pPr>
      <w:r>
        <w:rPr>
          <w:color w:val="000000"/>
          <w:spacing w:val="0"/>
          <w:w w:val="100"/>
          <w:position w:val="0"/>
        </w:rPr>
        <w:t>我们还就已遵守与独立性相关的职业道德要求向治理层提供声明，并与治理层沟通可能被合理认为影 响我们独立性的所有关系和其他事项，以及相关的防范措施。</w:t>
      </w:r>
    </w:p>
    <w:p>
      <w:pPr>
        <w:pStyle w:val="Style16"/>
        <w:keepNext w:val="0"/>
        <w:keepLines w:val="0"/>
        <w:widowControl w:val="0"/>
        <w:shd w:val="clear" w:color="auto" w:fill="auto"/>
        <w:bidi w:val="0"/>
        <w:spacing w:before="0" w:after="1440" w:line="406" w:lineRule="exact"/>
        <w:ind w:left="0" w:right="0" w:firstLine="440"/>
        <w:jc w:val="both"/>
      </w:pPr>
      <w:r>
        <w:rPr>
          <w:color w:val="000000"/>
          <w:spacing w:val="0"/>
          <w:w w:val="100"/>
          <w:position w:val="0"/>
        </w:rPr>
        <w:t>从与治理层沟通过的事项中，我们确定哪些事项对本期财务报表审计最为重要，因而构成关键审计事 项。我们在审计报告中描述这些事项，除非法律法规禁止公开披露这些事项，或在极少数情形下，如果合 理预期在审计报告中沟通某事项造成的负面后果超过在公众利益方面产生的益处，我们确定不应在审计报 告中沟通该事项。</w:t>
      </w:r>
    </w:p>
    <w:p>
      <w:pPr>
        <w:pStyle w:val="Style16"/>
        <w:keepNext w:val="0"/>
        <w:keepLines w:val="0"/>
        <w:widowControl w:val="0"/>
        <w:shd w:val="clear" w:color="auto" w:fill="auto"/>
        <w:tabs>
          <w:tab w:pos="4560" w:val="left"/>
          <w:tab w:leader="underscore" w:pos="7190" w:val="left"/>
        </w:tabs>
        <w:bidi w:val="0"/>
        <w:spacing w:before="0" w:after="320" w:line="240" w:lineRule="auto"/>
        <w:ind w:left="0" w:right="0" w:firstLine="0"/>
        <w:jc w:val="center"/>
      </w:pPr>
      <w:r>
        <w:rPr>
          <w:color w:val="000000"/>
          <w:spacing w:val="0"/>
          <w:w w:val="100"/>
          <w:position w:val="0"/>
        </w:rPr>
        <w:t>大华会计师事务所（特殊普通合伙）</w:t>
        <w:tab/>
        <w:t>中国注册会计师：</w:t>
        <w:tab/>
      </w:r>
    </w:p>
    <w:p>
      <w:pPr>
        <w:pStyle w:val="Style16"/>
        <w:keepNext w:val="0"/>
        <w:keepLines w:val="0"/>
        <w:widowControl w:val="0"/>
        <w:shd w:val="clear" w:color="auto" w:fill="auto"/>
        <w:tabs>
          <w:tab w:pos="1752" w:val="left"/>
        </w:tabs>
        <w:bidi w:val="0"/>
        <w:spacing w:before="0" w:after="600" w:line="240" w:lineRule="auto"/>
        <w:ind w:left="0" w:right="1740" w:firstLine="0"/>
        <w:jc w:val="right"/>
      </w:pPr>
      <w:r>
        <w:rPr>
          <w:color w:val="000000"/>
          <w:spacing w:val="0"/>
          <w:w w:val="100"/>
          <w:position w:val="0"/>
        </w:rPr>
        <w:t>（项目合伙人）</w:t>
        <w:tab/>
        <w:t>朱娟</w:t>
      </w:r>
    </w:p>
    <w:p>
      <w:pPr>
        <w:pStyle w:val="Style16"/>
        <w:keepNext w:val="0"/>
        <w:keepLines w:val="0"/>
        <w:widowControl w:val="0"/>
        <w:shd w:val="clear" w:color="auto" w:fill="auto"/>
        <w:bidi w:val="0"/>
        <w:spacing w:before="0" w:after="0" w:line="240" w:lineRule="auto"/>
        <w:ind w:left="2180" w:right="0" w:firstLine="0"/>
        <w:jc w:val="both"/>
      </w:pPr>
      <w:r>
        <w:rPr>
          <w:color w:val="000000"/>
          <w:spacing w:val="0"/>
          <w:w w:val="100"/>
          <w:position w:val="0"/>
        </w:rPr>
        <w:t>中国</w:t>
      </w:r>
      <w:r>
        <w:rPr>
          <w:b/>
          <w:bCs/>
          <w:color w:val="000000"/>
          <w:spacing w:val="0"/>
          <w:w w:val="100"/>
          <w:position w:val="0"/>
        </w:rPr>
        <w:t>•</w:t>
      </w:r>
      <w:r>
        <w:rPr>
          <w:color w:val="000000"/>
          <w:spacing w:val="0"/>
          <w:w w:val="100"/>
          <w:position w:val="0"/>
        </w:rPr>
        <w:t>北京</w:t>
      </w:r>
    </w:p>
    <w:p>
      <w:pPr>
        <w:pStyle w:val="Style16"/>
        <w:keepNext w:val="0"/>
        <w:keepLines w:val="0"/>
        <w:widowControl w:val="0"/>
        <w:shd w:val="clear" w:color="auto" w:fill="auto"/>
        <w:tabs>
          <w:tab w:leader="underscore" w:pos="2606" w:val="left"/>
        </w:tabs>
        <w:bidi w:val="0"/>
        <w:spacing w:before="0" w:after="320" w:line="240" w:lineRule="auto"/>
        <w:ind w:left="0" w:right="1200" w:firstLine="0"/>
        <w:jc w:val="right"/>
      </w:pPr>
      <w:r>
        <w:rPr>
          <w:color w:val="000000"/>
          <w:spacing w:val="0"/>
          <w:w w:val="100"/>
          <w:position w:val="0"/>
        </w:rPr>
        <w:t>中国注册会计师：</w:t>
        <w:tab/>
      </w:r>
    </w:p>
    <w:p>
      <w:pPr>
        <w:pStyle w:val="Style16"/>
        <w:keepNext w:val="0"/>
        <w:keepLines w:val="0"/>
        <w:widowControl w:val="0"/>
        <w:shd w:val="clear" w:color="auto" w:fill="auto"/>
        <w:bidi w:val="0"/>
        <w:spacing w:before="0" w:after="320" w:line="240" w:lineRule="auto"/>
        <w:ind w:left="0" w:right="1200" w:firstLine="0"/>
        <w:jc w:val="right"/>
      </w:pPr>
      <w:r>
        <w:rPr>
          <w:color w:val="000000"/>
          <w:spacing w:val="0"/>
          <w:w w:val="100"/>
          <w:position w:val="0"/>
        </w:rPr>
        <w:t>江山</w:t>
      </w:r>
    </w:p>
    <w:p>
      <w:pPr>
        <w:pStyle w:val="Style16"/>
        <w:keepNext w:val="0"/>
        <w:keepLines w:val="0"/>
        <w:widowControl w:val="0"/>
        <w:shd w:val="clear" w:color="auto" w:fill="auto"/>
        <w:bidi w:val="0"/>
        <w:spacing w:before="0" w:after="240" w:line="240" w:lineRule="auto"/>
        <w:ind w:left="0" w:right="1200" w:firstLine="0"/>
        <w:jc w:val="right"/>
        <w:sectPr>
          <w:footnotePr>
            <w:pos w:val="pageBottom"/>
            <w:numFmt w:val="decimal"/>
            <w:numRestart w:val="continuous"/>
          </w:footnotePr>
          <w:pgSz w:w="11900" w:h="16840"/>
          <w:pgMar w:top="1277" w:right="1031" w:bottom="1490" w:left="1086" w:header="0" w:footer="3" w:gutter="0"/>
          <w:cols w:space="720"/>
          <w:noEndnote/>
          <w:rtlGutter w:val="0"/>
          <w:docGrid w:linePitch="360"/>
        </w:sectPr>
      </w:pPr>
      <w:r>
        <w:rPr>
          <w:color w:val="000000"/>
          <w:spacing w:val="0"/>
          <w:w w:val="100"/>
          <w:position w:val="0"/>
        </w:rPr>
        <w:t>二。二一年四月二十三日</w:t>
      </w:r>
    </w:p>
    <w:p>
      <w:pPr>
        <w:pStyle w:val="Style29"/>
        <w:keepNext/>
        <w:keepLines/>
        <w:widowControl w:val="0"/>
        <w:shd w:val="clear" w:color="auto" w:fill="auto"/>
        <w:bidi w:val="0"/>
        <w:spacing w:before="0" w:after="260" w:line="240" w:lineRule="auto"/>
        <w:ind w:left="0" w:right="0" w:firstLine="840"/>
        <w:jc w:val="left"/>
      </w:pPr>
      <w:bookmarkStart w:id="658" w:name="bookmark658"/>
      <w:bookmarkStart w:id="659" w:name="bookmark659"/>
      <w:bookmarkStart w:id="660" w:name="bookmark660"/>
      <w:bookmarkStart w:id="661" w:name="bookmark661"/>
      <w:r>
        <w:rPr>
          <w:color w:val="000000"/>
          <w:spacing w:val="0"/>
          <w:w w:val="100"/>
          <w:position w:val="0"/>
          <w:sz w:val="24"/>
          <w:szCs w:val="24"/>
        </w:rPr>
        <w:t>二</w:t>
      </w:r>
      <w:bookmarkEnd w:id="660"/>
      <w:r>
        <w:rPr>
          <w:color w:val="000000"/>
          <w:spacing w:val="0"/>
          <w:w w:val="100"/>
          <w:position w:val="0"/>
          <w:sz w:val="24"/>
          <w:szCs w:val="24"/>
        </w:rPr>
        <w:t>、财务报表</w:t>
      </w:r>
      <w:bookmarkEnd w:id="658"/>
      <w:bookmarkEnd w:id="659"/>
      <w:bookmarkEnd w:id="661"/>
    </w:p>
    <w:p>
      <w:pPr>
        <w:pStyle w:val="Style16"/>
        <w:keepNext w:val="0"/>
        <w:keepLines w:val="0"/>
        <w:widowControl w:val="0"/>
        <w:shd w:val="clear" w:color="auto" w:fill="auto"/>
        <w:bidi w:val="0"/>
        <w:spacing w:before="0" w:after="40" w:line="317" w:lineRule="exact"/>
        <w:ind w:left="0" w:right="0" w:firstLine="0"/>
        <w:jc w:val="center"/>
      </w:pPr>
      <w:r>
        <w:rPr>
          <w:b/>
          <w:bCs/>
          <w:color w:val="000000"/>
          <w:spacing w:val="0"/>
          <w:w w:val="100"/>
          <w:position w:val="0"/>
        </w:rPr>
        <w:t>国盛金融控股集团股份有限公司</w:t>
        <w:br/>
        <w:t>合并资产负债表</w:t>
      </w:r>
    </w:p>
    <w:p>
      <w:pPr>
        <w:pStyle w:val="Style97"/>
        <w:keepNext w:val="0"/>
        <w:keepLines w:val="0"/>
        <w:widowControl w:val="0"/>
        <w:shd w:val="clear" w:color="auto" w:fill="auto"/>
        <w:bidi w:val="0"/>
        <w:spacing w:before="0" w:after="0" w:line="240" w:lineRule="auto"/>
        <w:ind w:left="0" w:right="0" w:firstLine="0"/>
        <w:jc w:val="center"/>
      </w:pPr>
      <w:bookmarkStart w:id="662" w:name="bookmark662"/>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bookmarkEnd w:id="662"/>
    </w:p>
    <w:p>
      <w:pPr>
        <w:pStyle w:val="Style16"/>
        <w:keepNext w:val="0"/>
        <w:keepLines w:val="0"/>
        <w:widowControl w:val="0"/>
        <w:shd w:val="clear" w:color="auto" w:fill="auto"/>
        <w:bidi w:val="0"/>
        <w:spacing w:before="0" w:after="160" w:line="317" w:lineRule="exact"/>
        <w:ind w:left="0" w:right="0" w:firstLine="0"/>
        <w:jc w:val="center"/>
      </w:pPr>
      <w:r>
        <w:rPr>
          <w:b/>
          <w:bCs/>
          <w:color w:val="000000"/>
          <w:spacing w:val="0"/>
          <w:w w:val="100"/>
          <w:position w:val="0"/>
        </w:rPr>
        <w:t>（除特别注明外，金额单位均为人民币元）</w:t>
      </w:r>
    </w:p>
    <w:tbl>
      <w:tblPr>
        <w:tblOverlap w:val="never"/>
        <w:jc w:val="center"/>
        <w:tblLayout w:type="fixed"/>
      </w:tblPr>
      <w:tblGrid>
        <w:gridCol w:w="2899"/>
        <w:gridCol w:w="1094"/>
        <w:gridCol w:w="2174"/>
        <w:gridCol w:w="2222"/>
      </w:tblGrid>
      <w:tr>
        <w:trPr>
          <w:trHeight w:val="59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附注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上年年末余额</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六、注释</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10,126,762,188.50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7,330,388,192.41</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其中：客户资金存款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7,500,957,506.39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6,234,037,530.05</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结算备付金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六、注释</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1,210,485,046.27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824,458,019.67</w:t>
            </w:r>
          </w:p>
        </w:tc>
      </w:tr>
      <w:tr>
        <w:trPr>
          <w:trHeight w:val="41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其中：客户备付金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1,034,992,890.67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631,587,421.48</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融出资金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六、注释</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5,142,775,852.89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4,038,944,177.49</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六、注释</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5,606,262,095.72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both"/>
              <w:rPr>
                <w:sz w:val="18"/>
                <w:szCs w:val="18"/>
              </w:rPr>
            </w:pPr>
            <w:r>
              <w:rPr>
                <w:rFonts w:ascii="Times New Roman" w:eastAsia="Times New Roman" w:hAnsi="Times New Roman" w:cs="Times New Roman"/>
                <w:color w:val="000000"/>
                <w:spacing w:val="0"/>
                <w:w w:val="100"/>
                <w:position w:val="0"/>
                <w:sz w:val="18"/>
                <w:szCs w:val="18"/>
              </w:rPr>
              <w:t>10,150,540,636.33</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衍生金融资产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六、注释</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1,809,616.27</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存出保证金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六、注释</w:t>
            </w: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1,404,970,638.22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654,237,237.85</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六、注释</w:t>
            </w: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268,793,631.61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205,879,718.79</w:t>
            </w:r>
          </w:p>
        </w:tc>
      </w:tr>
      <w:tr>
        <w:trPr>
          <w:trHeight w:val="41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六、注释</w:t>
            </w: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39,057,280.31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40,499,725.65</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应收利息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六、注释</w:t>
            </w: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12,001,760.12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1,661,148.46</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六、注释</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49,999,039.95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117,041,447.86</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买入返售金融资产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六、注释</w:t>
            </w: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1,684,946,375.42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5,046,428,956.40</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六、注释</w:t>
            </w: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2,983,276.17</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六、注释</w:t>
            </w: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21,243,387.14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70,135,265.10</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25,567,306,736.15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both"/>
              <w:rPr>
                <w:sz w:val="18"/>
                <w:szCs w:val="18"/>
              </w:rPr>
            </w:pPr>
            <w:r>
              <w:rPr>
                <w:rFonts w:ascii="Times New Roman" w:eastAsia="Times New Roman" w:hAnsi="Times New Roman" w:cs="Times New Roman"/>
                <w:color w:val="000000"/>
                <w:spacing w:val="0"/>
                <w:w w:val="100"/>
                <w:position w:val="0"/>
                <w:sz w:val="18"/>
                <w:szCs w:val="18"/>
              </w:rPr>
              <w:t>28,485,007,418.45</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其他债权投资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六、注释</w:t>
            </w:r>
            <w:r>
              <w:rPr>
                <w:rFonts w:ascii="Times New Roman" w:eastAsia="Times New Roman" w:hAnsi="Times New Roman" w:cs="Times New Roman"/>
                <w:color w:val="000000"/>
                <w:spacing w:val="0"/>
                <w:w w:val="100"/>
                <w:position w:val="0"/>
                <w:sz w:val="18"/>
                <w:szCs w:val="18"/>
              </w:rPr>
              <w:t>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884,288,400.00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360,350,271.32</w:t>
            </w:r>
          </w:p>
        </w:tc>
      </w:tr>
    </w:tbl>
    <w:p>
      <w:pPr>
        <w:spacing w:lineRule="exact" w:line="1"/>
        <w:rPr>
          <w:sz w:val="2"/>
          <w:szCs w:val="2"/>
        </w:rPr>
      </w:pPr>
      <w:r>
        <w:br w:type="page"/>
      </w:r>
    </w:p>
    <w:tbl>
      <w:tblPr>
        <w:tblOverlap w:val="never"/>
        <w:jc w:val="center"/>
        <w:tblLayout w:type="fixed"/>
      </w:tblPr>
      <w:tblGrid>
        <w:gridCol w:w="2899"/>
        <w:gridCol w:w="1094"/>
        <w:gridCol w:w="2174"/>
        <w:gridCol w:w="2222"/>
      </w:tblGrid>
      <w:tr>
        <w:trPr>
          <w:trHeight w:val="59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附注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上年年末余额</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六、注释</w:t>
            </w: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891,406,851.45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1,004,368,724.37</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六、注释</w:t>
            </w: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100,000,000.00</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其他非流动金融资产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六、注释</w:t>
            </w: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247,627,854.35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368,244,351.66</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六、注释</w:t>
            </w: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121,530,538.79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112,967,809.22</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六、注释</w:t>
            </w: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86,134,896.40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66,216,918.45</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六、注释</w:t>
            </w: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5,050,795.40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9,275,558.74</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六、注释</w:t>
            </w: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3,079,912,345.55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3,079,912,344.55</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六、注释</w:t>
            </w:r>
            <w:r>
              <w:rPr>
                <w:rFonts w:ascii="Times New Roman" w:eastAsia="Times New Roman" w:hAnsi="Times New Roman" w:cs="Times New Roman"/>
                <w:color w:val="000000"/>
                <w:spacing w:val="0"/>
                <w:w w:val="100"/>
                <w:position w:val="0"/>
                <w:sz w:val="18"/>
                <w:szCs w:val="18"/>
              </w:rPr>
              <w:t>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48,131,071.61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66,182,198.63</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六、注释</w:t>
            </w:r>
            <w:r>
              <w:rPr>
                <w:rFonts w:ascii="Times New Roman" w:eastAsia="Times New Roman" w:hAnsi="Times New Roman" w:cs="Times New Roman"/>
                <w:color w:val="000000"/>
                <w:spacing w:val="0"/>
                <w:w w:val="100"/>
                <w:position w:val="0"/>
                <w:sz w:val="18"/>
                <w:szCs w:val="18"/>
              </w:rPr>
              <w:t>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113,416,052.60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40,728,159.07</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六、注释</w:t>
            </w: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174,313,991.46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185,182,864.29</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5,751,812,797.61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5,393,429,200.30</w:t>
            </w:r>
          </w:p>
        </w:tc>
      </w:tr>
      <w:tr>
        <w:trPr>
          <w:trHeight w:val="44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资产总计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31,319,119,533.76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33,878,436,618.75</w:t>
            </w:r>
          </w:p>
        </w:tc>
      </w:tr>
    </w:tbl>
    <w:p>
      <w:pPr>
        <w:pStyle w:val="Style40"/>
        <w:keepNext w:val="0"/>
        <w:keepLines w:val="0"/>
        <w:widowControl w:val="0"/>
        <w:shd w:val="clear" w:color="auto" w:fill="auto"/>
        <w:bidi w:val="0"/>
        <w:spacing w:before="0" w:after="0" w:line="240" w:lineRule="auto"/>
        <w:ind w:left="38" w:right="0" w:firstLine="0"/>
        <w:jc w:val="left"/>
        <w:rPr>
          <w:sz w:val="18"/>
          <w:szCs w:val="18"/>
        </w:rPr>
        <w:sectPr>
          <w:headerReference w:type="default" r:id="rId29"/>
          <w:footerReference w:type="default" r:id="rId30"/>
          <w:footnotePr>
            <w:pos w:val="pageBottom"/>
            <w:numFmt w:val="decimal"/>
            <w:numRestart w:val="continuous"/>
          </w:footnotePr>
          <w:pgSz w:w="11900" w:h="16840"/>
          <w:pgMar w:top="1277" w:right="1031" w:bottom="1490" w:left="1086" w:header="0" w:footer="3" w:gutter="0"/>
          <w:cols w:space="720"/>
          <w:noEndnote/>
          <w:rtlGutter w:val="0"/>
          <w:docGrid w:linePitch="360"/>
        </w:sectPr>
      </w:pPr>
      <w:r>
        <w:rPr>
          <w:color w:val="000000"/>
          <w:spacing w:val="0"/>
          <w:w w:val="100"/>
          <w:position w:val="0"/>
          <w:sz w:val="18"/>
          <w:szCs w:val="18"/>
        </w:rPr>
        <w:t>后附财务报表附注为财务报表的组成部分。</w:t>
      </w:r>
    </w:p>
    <w:p>
      <w:pPr>
        <w:widowControl w:val="0"/>
        <w:spacing w:before="39" w:after="3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147" w:right="0" w:bottom="1393" w:left="0" w:header="0" w:footer="3" w:gutter="0"/>
          <w:cols w:space="720"/>
          <w:noEndnote/>
          <w:rtlGutter w:val="0"/>
          <w:docGrid w:linePitch="360"/>
        </w:sectPr>
      </w:pPr>
    </w:p>
    <w:p>
      <w:pPr>
        <w:pStyle w:val="Style100"/>
        <w:keepNext w:val="0"/>
        <w:keepLines w:val="0"/>
        <w:framePr w:w="1483" w:h="230" w:wrap="none" w:vAnchor="text" w:hAnchor="page" w:x="1971" w:y="21"/>
        <w:widowControl w:val="0"/>
        <w:shd w:val="clear" w:color="auto" w:fill="auto"/>
        <w:bidi w:val="0"/>
        <w:spacing w:before="0" w:after="0" w:line="240" w:lineRule="auto"/>
        <w:ind w:left="0" w:right="0" w:firstLine="0"/>
        <w:jc w:val="left"/>
      </w:pPr>
      <w:r>
        <w:rPr>
          <w:color w:val="000000"/>
          <w:spacing w:val="0"/>
          <w:w w:val="100"/>
          <w:position w:val="0"/>
        </w:rPr>
        <w:t>企业法定代表人:</w:t>
      </w:r>
    </w:p>
    <w:p>
      <w:pPr>
        <w:pStyle w:val="Style100"/>
        <w:keepNext w:val="0"/>
        <w:keepLines w:val="0"/>
        <w:framePr w:w="1838" w:h="226" w:wrap="none" w:vAnchor="text" w:hAnchor="page" w:x="4855" w:y="21"/>
        <w:widowControl w:val="0"/>
        <w:shd w:val="clear" w:color="auto" w:fill="auto"/>
        <w:bidi w:val="0"/>
        <w:spacing w:before="0" w:after="0" w:line="240" w:lineRule="auto"/>
        <w:ind w:left="0" w:right="0" w:firstLine="0"/>
        <w:jc w:val="left"/>
      </w:pPr>
      <w:r>
        <w:rPr>
          <w:color w:val="000000"/>
          <w:spacing w:val="0"/>
          <w:w w:val="100"/>
          <w:position w:val="0"/>
        </w:rPr>
        <w:t>主管会计工作负责人:</w:t>
      </w:r>
    </w:p>
    <w:p>
      <w:pPr>
        <w:pStyle w:val="Style100"/>
        <w:keepNext w:val="0"/>
        <w:keepLines w:val="0"/>
        <w:framePr w:w="1488" w:h="235" w:wrap="none" w:vAnchor="text" w:hAnchor="page" w:x="8268" w:y="21"/>
        <w:widowControl w:val="0"/>
        <w:shd w:val="clear" w:color="auto" w:fill="auto"/>
        <w:bidi w:val="0"/>
        <w:spacing w:before="0" w:after="0" w:line="240" w:lineRule="auto"/>
        <w:ind w:left="0" w:right="0" w:firstLine="0"/>
        <w:jc w:val="center"/>
      </w:pPr>
      <w:r>
        <w:rPr>
          <w:color w:val="000000"/>
          <w:spacing w:val="0"/>
          <w:w w:val="100"/>
          <w:position w:val="0"/>
        </w:rPr>
        <w:t>会计机构负责人:</w:t>
      </w:r>
    </w:p>
    <w:p>
      <w:pPr>
        <w:widowControl w:val="0"/>
        <w:spacing w:after="234" w:line="1" w:lineRule="exact"/>
      </w:pPr>
    </w:p>
    <w:p>
      <w:pPr>
        <w:widowControl w:val="0"/>
        <w:spacing w:line="1" w:lineRule="exact"/>
        <w:sectPr>
          <w:footnotePr>
            <w:pos w:val="pageBottom"/>
            <w:numFmt w:val="decimal"/>
            <w:numRestart w:val="continuous"/>
          </w:footnotePr>
          <w:type w:val="continuous"/>
          <w:pgSz w:w="11900" w:h="16840"/>
          <w:pgMar w:top="1147" w:right="1016" w:bottom="1393" w:left="1102" w:header="0" w:footer="3" w:gutter="0"/>
          <w:cols w:space="720"/>
          <w:noEndnote/>
          <w:rtlGutter w:val="0"/>
          <w:docGrid w:linePitch="360"/>
        </w:sectPr>
      </w:pPr>
    </w:p>
    <w:p>
      <w:pPr>
        <w:pStyle w:val="Style16"/>
        <w:keepNext w:val="0"/>
        <w:keepLines w:val="0"/>
        <w:widowControl w:val="0"/>
        <w:shd w:val="clear" w:color="auto" w:fill="auto"/>
        <w:bidi w:val="0"/>
        <w:spacing w:before="0" w:after="60" w:line="322" w:lineRule="exact"/>
        <w:ind w:left="0" w:right="0" w:firstLine="0"/>
        <w:jc w:val="center"/>
      </w:pPr>
      <w:r>
        <w:rPr>
          <w:b/>
          <w:bCs/>
          <w:color w:val="000000"/>
          <w:spacing w:val="0"/>
          <w:w w:val="100"/>
          <w:position w:val="0"/>
        </w:rPr>
        <w:t>国盛金融控股集团股份有限公司</w:t>
        <w:br/>
        <w:t>合并资产负债表（续）</w:t>
      </w:r>
    </w:p>
    <w:p>
      <w:pPr>
        <w:pStyle w:val="Style9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p>
      <w:pPr>
        <w:pStyle w:val="Style16"/>
        <w:keepNext w:val="0"/>
        <w:keepLines w:val="0"/>
        <w:widowControl w:val="0"/>
        <w:shd w:val="clear" w:color="auto" w:fill="auto"/>
        <w:bidi w:val="0"/>
        <w:spacing w:before="0" w:after="160" w:line="322" w:lineRule="exact"/>
        <w:ind w:left="0" w:right="0" w:firstLine="0"/>
        <w:jc w:val="center"/>
      </w:pPr>
      <w:r>
        <w:rPr>
          <w:b/>
          <w:bCs/>
          <w:color w:val="000000"/>
          <w:spacing w:val="0"/>
          <w:w w:val="100"/>
          <w:position w:val="0"/>
        </w:rPr>
        <w:t>（除特别注明外，金额单位均为人民币元）</w:t>
      </w:r>
    </w:p>
    <w:tbl>
      <w:tblPr>
        <w:tblOverlap w:val="never"/>
        <w:jc w:val="center"/>
        <w:tblLayout w:type="fixed"/>
      </w:tblPr>
      <w:tblGrid>
        <w:gridCol w:w="2914"/>
        <w:gridCol w:w="1066"/>
        <w:gridCol w:w="2179"/>
        <w:gridCol w:w="2232"/>
      </w:tblGrid>
      <w:tr>
        <w:trPr>
          <w:trHeight w:val="44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负债和所有者权益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附注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上年年末余额</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应付短期融资款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六、注释</w:t>
            </w: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1,398,424,893.12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1,854,971,761.64</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拆入资金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六、注释</w:t>
            </w:r>
            <w:r>
              <w:rPr>
                <w:rFonts w:ascii="Times New Roman" w:eastAsia="Times New Roman" w:hAnsi="Times New Roman" w:cs="Times New Roman"/>
                <w:color w:val="000000"/>
                <w:spacing w:val="0"/>
                <w:w w:val="100"/>
                <w:position w:val="0"/>
                <w:sz w:val="18"/>
                <w:szCs w:val="18"/>
              </w:rPr>
              <w:t>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2,358,753,888.89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2,767,911,874.95</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交易性金融负债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六、注释</w:t>
            </w:r>
            <w:r>
              <w:rPr>
                <w:rFonts w:ascii="Times New Roman" w:eastAsia="Times New Roman" w:hAnsi="Times New Roman" w:cs="Times New Roman"/>
                <w:color w:val="000000"/>
                <w:spacing w:val="0"/>
                <w:w w:val="100"/>
                <w:position w:val="0"/>
                <w:sz w:val="18"/>
                <w:szCs w:val="18"/>
              </w:rPr>
              <w:t>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872,205,750.00</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衍生金融负债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六、注释</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168,119,842.33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109,252,358.02</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六、注释</w:t>
            </w: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227,168,850.57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217,135,303.43</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六、注释</w:t>
            </w:r>
            <w:r>
              <w:rPr>
                <w:rFonts w:ascii="Times New Roman" w:eastAsia="Times New Roman" w:hAnsi="Times New Roman" w:cs="Times New Roman"/>
                <w:color w:val="000000"/>
                <w:spacing w:val="0"/>
                <w:w w:val="100"/>
                <w:position w:val="0"/>
                <w:sz w:val="18"/>
                <w:szCs w:val="18"/>
              </w:rPr>
              <w:t>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7,619,588.55</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卖出回购金融资产款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六、注释</w:t>
            </w: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2,609,954,650.18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5,358,959,138.99</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代理买卖证券款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六、注释</w:t>
            </w: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9,403,805,298.87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6,791,858,244.05</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六、注释</w:t>
            </w: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347,404,932.99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197,914,581.82</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六、注释</w:t>
            </w: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69,077,843.17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18,744,175.68</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六、注释</w:t>
            </w: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232,643,552.60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486,728,922.83</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六、注释</w:t>
            </w: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6,740,139.29</w:t>
            </w: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六、注释</w:t>
            </w: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3,178,995,915.10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2,274,584,221.65</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六、注释</w:t>
            </w: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6,441,928.54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6,114,083.88</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20,007,531,735.65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20,964,000,005.49</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应付债券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六、注释</w:t>
            </w: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1,171,409,759.67</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长期应付职工薪酬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14"/>
        <w:gridCol w:w="1066"/>
        <w:gridCol w:w="2179"/>
        <w:gridCol w:w="2232"/>
      </w:tblGrid>
      <w:tr>
        <w:trPr>
          <w:trHeight w:val="44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负债和所有者权益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附注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上年年末余额</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预计负债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六、注释</w:t>
            </w: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118,681.32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170,139.64</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六、注释</w:t>
            </w: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13,380,503.42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13,139,306.20</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六、注释</w:t>
            </w:r>
            <w:r>
              <w:rPr>
                <w:rFonts w:ascii="Times New Roman" w:eastAsia="Times New Roman" w:hAnsi="Times New Roman" w:cs="Times New Roman"/>
                <w:color w:val="000000"/>
                <w:spacing w:val="0"/>
                <w:w w:val="100"/>
                <w:position w:val="0"/>
                <w:sz w:val="18"/>
                <w:szCs w:val="18"/>
              </w:rPr>
              <w:t>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957,649.21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2,773,704.78</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14,456,833.95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1,187,492,910.29</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20,021,988,569.60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both"/>
              <w:rPr>
                <w:sz w:val="18"/>
                <w:szCs w:val="18"/>
              </w:rPr>
            </w:pPr>
            <w:r>
              <w:rPr>
                <w:rFonts w:ascii="Times New Roman" w:eastAsia="Times New Roman" w:hAnsi="Times New Roman" w:cs="Times New Roman"/>
                <w:color w:val="000000"/>
                <w:spacing w:val="0"/>
                <w:w w:val="100"/>
                <w:position w:val="0"/>
                <w:sz w:val="18"/>
                <w:szCs w:val="18"/>
              </w:rPr>
              <w:t>22,151,492,915.78</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所有者权益：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六、注释</w:t>
            </w: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1,935,084,653.00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1,935,084,653.00</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六、注释</w:t>
            </w: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8,884,407,758.99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8,931,169,248.62</w:t>
            </w:r>
          </w:p>
        </w:tc>
      </w:tr>
      <w:tr>
        <w:trPr>
          <w:trHeight w:val="41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六、注释</w:t>
            </w: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-4,467,725.55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9,273,564.08</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六、注释</w:t>
            </w: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44,253,651.01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44,253,651.01</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一般风险准备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六、注释</w:t>
            </w: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339,636,639.87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308,695,568.82</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六、注释</w:t>
            </w: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95,839,568.26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495,976,967.34</w:t>
            </w:r>
          </w:p>
        </w:tc>
      </w:tr>
      <w:tr>
        <w:trPr>
          <w:trHeight w:val="73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240"/>
              <w:jc w:val="left"/>
              <w:rPr>
                <w:sz w:val="18"/>
                <w:szCs w:val="18"/>
              </w:rPr>
            </w:pPr>
            <w:r>
              <w:rPr>
                <w:color w:val="000000"/>
                <w:spacing w:val="0"/>
                <w:w w:val="100"/>
                <w:position w:val="0"/>
                <w:sz w:val="18"/>
                <w:szCs w:val="18"/>
              </w:rPr>
              <w:t>归属于母公司所有者权益（或股东 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11,294,754,545.58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both"/>
              <w:rPr>
                <w:sz w:val="18"/>
                <w:szCs w:val="18"/>
              </w:rPr>
            </w:pPr>
            <w:r>
              <w:rPr>
                <w:rFonts w:ascii="Times New Roman" w:eastAsia="Times New Roman" w:hAnsi="Times New Roman" w:cs="Times New Roman"/>
                <w:color w:val="000000"/>
                <w:spacing w:val="0"/>
                <w:w w:val="100"/>
                <w:position w:val="0"/>
                <w:sz w:val="18"/>
                <w:szCs w:val="18"/>
              </w:rPr>
              <w:t>11,724,453,652.87</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2,376,418.58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2,490,050.10</w:t>
            </w:r>
          </w:p>
        </w:tc>
      </w:tr>
      <w:tr>
        <w:trPr>
          <w:trHeight w:val="41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所有者权益合计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11,297,130,964.16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both"/>
              <w:rPr>
                <w:sz w:val="18"/>
                <w:szCs w:val="18"/>
              </w:rPr>
            </w:pPr>
            <w:r>
              <w:rPr>
                <w:rFonts w:ascii="Times New Roman" w:eastAsia="Times New Roman" w:hAnsi="Times New Roman" w:cs="Times New Roman"/>
                <w:color w:val="000000"/>
                <w:spacing w:val="0"/>
                <w:w w:val="100"/>
                <w:position w:val="0"/>
                <w:sz w:val="18"/>
                <w:szCs w:val="18"/>
              </w:rPr>
              <w:t>11,726,943,702.97</w:t>
            </w:r>
          </w:p>
        </w:tc>
      </w:tr>
      <w:tr>
        <w:trPr>
          <w:trHeight w:val="451"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负债和所有者权益总计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31,319,119,533.76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both"/>
              <w:rPr>
                <w:sz w:val="18"/>
                <w:szCs w:val="18"/>
              </w:rPr>
            </w:pPr>
            <w:r>
              <w:rPr>
                <w:rFonts w:ascii="Times New Roman" w:eastAsia="Times New Roman" w:hAnsi="Times New Roman" w:cs="Times New Roman"/>
                <w:color w:val="000000"/>
                <w:spacing w:val="0"/>
                <w:w w:val="100"/>
                <w:position w:val="0"/>
                <w:sz w:val="18"/>
                <w:szCs w:val="18"/>
              </w:rPr>
              <w:t>33,878,436,618.75</w:t>
            </w:r>
          </w:p>
        </w:tc>
      </w:tr>
    </w:tbl>
    <w:p>
      <w:pPr>
        <w:pStyle w:val="Style40"/>
        <w:keepNext w:val="0"/>
        <w:keepLines w:val="0"/>
        <w:widowControl w:val="0"/>
        <w:shd w:val="clear" w:color="auto" w:fill="auto"/>
        <w:bidi w:val="0"/>
        <w:spacing w:before="0" w:after="0" w:line="240" w:lineRule="auto"/>
        <w:ind w:left="38" w:right="0" w:firstLine="0"/>
        <w:jc w:val="left"/>
        <w:rPr>
          <w:sz w:val="18"/>
          <w:szCs w:val="18"/>
        </w:rPr>
      </w:pPr>
      <w:r>
        <mc:AlternateContent>
          <mc:Choice Requires="wps">
            <w:drawing>
              <wp:anchor distT="165100" distB="3175" distL="114300" distR="4116705" simplePos="0" relativeHeight="125829410" behindDoc="0" locked="0" layoutInCell="1" allowOverlap="1">
                <wp:simplePos x="0" y="0"/>
                <wp:positionH relativeFrom="page">
                  <wp:posOffset>1250950</wp:posOffset>
                </wp:positionH>
                <wp:positionV relativeFrom="margin">
                  <wp:posOffset>6833235</wp:posOffset>
                </wp:positionV>
                <wp:extent cx="941705" cy="146050"/>
                <wp:wrapTopAndBottom/>
                <wp:docPr id="88" name="Shape 88"/>
                <a:graphic xmlns:a="http://schemas.openxmlformats.org/drawingml/2006/main">
                  <a:graphicData uri="http://schemas.microsoft.com/office/word/2010/wordprocessingShape">
                    <wps:wsp>
                      <wps:cNvSpPr txBox="1"/>
                      <wps:spPr>
                        <a:xfrm>
                          <a:ext cx="941705" cy="146050"/>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企业法定代表人:</w:t>
                            </w:r>
                          </w:p>
                        </w:txbxContent>
                      </wps:txbx>
                      <wps:bodyPr wrap="none" lIns="0" tIns="0" rIns="0" bIns="0">
                        <a:noAutoFit/>
                      </wps:bodyPr>
                    </wps:wsp>
                  </a:graphicData>
                </a:graphic>
              </wp:anchor>
            </w:drawing>
          </mc:Choice>
          <mc:Fallback>
            <w:pict>
              <v:shape id="_x0000_s1114" type="#_x0000_t202" style="position:absolute;margin-left:98.5pt;margin-top:538.04999999999995pt;width:74.150000000000006pt;height:11.5pt;z-index:-125829343;mso-wrap-distance-left:9.pt;mso-wrap-distance-top:13.pt;mso-wrap-distance-right:324.15000000000003pt;mso-wrap-distance-bottom:0.25pt;mso-position-horizontal-relative:page;mso-position-vertical-relative:margin" filled="f" stroked="f">
                <v:textbox inset="0,0,0,0">
                  <w:txbxContent>
                    <w:p>
                      <w:pPr>
                        <w:pStyle w:val="Style100"/>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企业法定代表人:</w:t>
                      </w:r>
                    </w:p>
                  </w:txbxContent>
                </v:textbox>
                <w10:wrap type="topAndBottom" anchorx="page" anchory="margin"/>
              </v:shape>
            </w:pict>
          </mc:Fallback>
        </mc:AlternateContent>
      </w:r>
      <w:r>
        <mc:AlternateContent>
          <mc:Choice Requires="wps">
            <w:drawing>
              <wp:anchor distT="165100" distB="5715" distL="1946275" distR="2059305" simplePos="0" relativeHeight="125829412" behindDoc="0" locked="0" layoutInCell="1" allowOverlap="1">
                <wp:simplePos x="0" y="0"/>
                <wp:positionH relativeFrom="page">
                  <wp:posOffset>3082925</wp:posOffset>
                </wp:positionH>
                <wp:positionV relativeFrom="margin">
                  <wp:posOffset>6833235</wp:posOffset>
                </wp:positionV>
                <wp:extent cx="1167130" cy="143510"/>
                <wp:wrapTopAndBottom/>
                <wp:docPr id="90" name="Shape 90"/>
                <a:graphic xmlns:a="http://schemas.openxmlformats.org/drawingml/2006/main">
                  <a:graphicData uri="http://schemas.microsoft.com/office/word/2010/wordprocessingShape">
                    <wps:wsp>
                      <wps:cNvSpPr txBox="1"/>
                      <wps:spPr>
                        <a:xfrm>
                          <a:ext cx="1167130" cy="143510"/>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w:t>
                            </w:r>
                          </w:p>
                        </w:txbxContent>
                      </wps:txbx>
                      <wps:bodyPr wrap="none" lIns="0" tIns="0" rIns="0" bIns="0">
                        <a:noAutoFit/>
                      </wps:bodyPr>
                    </wps:wsp>
                  </a:graphicData>
                </a:graphic>
              </wp:anchor>
            </w:drawing>
          </mc:Choice>
          <mc:Fallback>
            <w:pict>
              <v:shape id="_x0000_s1116" type="#_x0000_t202" style="position:absolute;margin-left:242.75pt;margin-top:538.04999999999995pt;width:91.900000000000006pt;height:11.300000000000001pt;z-index:-125829341;mso-wrap-distance-left:153.25pt;mso-wrap-distance-top:13.pt;mso-wrap-distance-right:162.15000000000001pt;mso-wrap-distance-bottom:0.45000000000000001pt;mso-position-horizontal-relative:page;mso-position-vertical-relative:margin" filled="f" stroked="f">
                <v:textbox inset="0,0,0,0">
                  <w:txbxContent>
                    <w:p>
                      <w:pPr>
                        <w:pStyle w:val="Style10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w:t>
                      </w:r>
                    </w:p>
                  </w:txbxContent>
                </v:textbox>
                <w10:wrap type="topAndBottom" anchorx="page" anchory="margin"/>
              </v:shape>
            </w:pict>
          </mc:Fallback>
        </mc:AlternateContent>
      </w:r>
      <w:r>
        <mc:AlternateContent>
          <mc:Choice Requires="wps">
            <w:drawing>
              <wp:anchor distT="165100" distB="0" distL="4113530" distR="114300" simplePos="0" relativeHeight="125829414" behindDoc="0" locked="0" layoutInCell="1" allowOverlap="1">
                <wp:simplePos x="0" y="0"/>
                <wp:positionH relativeFrom="page">
                  <wp:posOffset>5250180</wp:posOffset>
                </wp:positionH>
                <wp:positionV relativeFrom="margin">
                  <wp:posOffset>6833235</wp:posOffset>
                </wp:positionV>
                <wp:extent cx="944880" cy="149225"/>
                <wp:wrapTopAndBottom/>
                <wp:docPr id="92" name="Shape 92"/>
                <a:graphic xmlns:a="http://schemas.openxmlformats.org/drawingml/2006/main">
                  <a:graphicData uri="http://schemas.microsoft.com/office/word/2010/wordprocessingShape">
                    <wps:wsp>
                      <wps:cNvSpPr txBox="1"/>
                      <wps:spPr>
                        <a:xfrm>
                          <a:ext cx="944880" cy="149225"/>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会计机构负责人:</w:t>
                            </w:r>
                          </w:p>
                        </w:txbxContent>
                      </wps:txbx>
                      <wps:bodyPr wrap="none" lIns="0" tIns="0" rIns="0" bIns="0">
                        <a:noAutoFit/>
                      </wps:bodyPr>
                    </wps:wsp>
                  </a:graphicData>
                </a:graphic>
              </wp:anchor>
            </w:drawing>
          </mc:Choice>
          <mc:Fallback>
            <w:pict>
              <v:shape id="_x0000_s1118" type="#_x0000_t202" style="position:absolute;margin-left:413.40000000000003pt;margin-top:538.04999999999995pt;width:74.400000000000006pt;height:11.75pt;z-index:-125829339;mso-wrap-distance-left:323.90000000000003pt;mso-wrap-distance-top:13.pt;mso-wrap-distance-right:9.pt;mso-position-horizontal-relative:page;mso-position-vertical-relative:margin" filled="f" stroked="f">
                <v:textbox inset="0,0,0,0">
                  <w:txbxContent>
                    <w:p>
                      <w:pPr>
                        <w:pStyle w:val="Style10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会计机构负责人:</w:t>
                      </w:r>
                    </w:p>
                  </w:txbxContent>
                </v:textbox>
                <w10:wrap type="topAndBottom" anchorx="page" anchory="margin"/>
              </v:shape>
            </w:pict>
          </mc:Fallback>
        </mc:AlternateContent>
      </w:r>
      <w:r>
        <w:rPr>
          <w:color w:val="000000"/>
          <w:spacing w:val="0"/>
          <w:w w:val="100"/>
          <w:position w:val="0"/>
          <w:sz w:val="18"/>
          <w:szCs w:val="18"/>
        </w:rPr>
        <w:t>后附财务报表附注为财务报表的组成部分。</w:t>
      </w:r>
      <w:r>
        <w:br w:type="page"/>
      </w:r>
    </w:p>
    <w:p>
      <w:pPr>
        <w:pStyle w:val="Style16"/>
        <w:keepNext w:val="0"/>
        <w:keepLines w:val="0"/>
        <w:widowControl w:val="0"/>
        <w:shd w:val="clear" w:color="auto" w:fill="auto"/>
        <w:bidi w:val="0"/>
        <w:spacing w:before="0" w:after="60" w:line="317" w:lineRule="exact"/>
        <w:ind w:left="0" w:right="0" w:firstLine="0"/>
        <w:jc w:val="center"/>
      </w:pPr>
      <w:r>
        <w:rPr>
          <w:b/>
          <w:bCs/>
          <w:color w:val="000000"/>
          <w:spacing w:val="0"/>
          <w:w w:val="100"/>
          <w:position w:val="0"/>
        </w:rPr>
        <w:t>国盛金融控股集团股份有限公司</w:t>
        <w:br/>
        <w:t>母公司资产负债表</w:t>
      </w:r>
    </w:p>
    <w:p>
      <w:pPr>
        <w:pStyle w:val="Style97"/>
        <w:keepNext w:val="0"/>
        <w:keepLines w:val="0"/>
        <w:widowControl w:val="0"/>
        <w:shd w:val="clear" w:color="auto" w:fill="auto"/>
        <w:bidi w:val="0"/>
        <w:spacing w:before="0" w:after="0" w:line="240" w:lineRule="auto"/>
        <w:ind w:left="0" w:right="0" w:firstLine="0"/>
        <w:jc w:val="center"/>
      </w:pPr>
      <w:bookmarkStart w:id="663" w:name="bookmark663"/>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bookmarkEnd w:id="663"/>
    </w:p>
    <w:p>
      <w:pPr>
        <w:pStyle w:val="Style16"/>
        <w:keepNext w:val="0"/>
        <w:keepLines w:val="0"/>
        <w:widowControl w:val="0"/>
        <w:shd w:val="clear" w:color="auto" w:fill="auto"/>
        <w:bidi w:val="0"/>
        <w:spacing w:before="0" w:after="160" w:line="317" w:lineRule="exact"/>
        <w:ind w:left="0" w:right="0" w:firstLine="0"/>
        <w:jc w:val="center"/>
      </w:pPr>
      <w:r>
        <w:rPr>
          <w:b/>
          <w:bCs/>
          <w:color w:val="000000"/>
          <w:spacing w:val="0"/>
          <w:w w:val="100"/>
          <w:position w:val="0"/>
        </w:rPr>
        <w:t>（除特别注明外，金额单位均为人民币元）</w:t>
      </w:r>
    </w:p>
    <w:tbl>
      <w:tblPr>
        <w:tblOverlap w:val="never"/>
        <w:jc w:val="center"/>
        <w:tblLayout w:type="fixed"/>
      </w:tblPr>
      <w:tblGrid>
        <w:gridCol w:w="2880"/>
        <w:gridCol w:w="1075"/>
        <w:gridCol w:w="2189"/>
        <w:gridCol w:w="2208"/>
      </w:tblGrid>
      <w:tr>
        <w:trPr>
          <w:trHeight w:val="44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附注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上年年末余额</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10,796,279.43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146,467,344.18</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108,385,218.00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84,076,671.71</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1,010,276.45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923,055.72</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十六、注释</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846,973,076.40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1,149,919,464.33</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8,710,169.32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9,063,823.90</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975,875,019.60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1,390,450,359.84</w:t>
            </w:r>
          </w:p>
        </w:tc>
      </w:tr>
      <w:tr>
        <w:trPr>
          <w:trHeight w:val="41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十六、注释</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12,533,001,187.89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12,527,545,035.66</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20,511,225.35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86,857,743.66</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807,955.10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1,086,597.62</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835,192.71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1,215,118.95</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商誉</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80"/>
        <w:gridCol w:w="1075"/>
        <w:gridCol w:w="2189"/>
        <w:gridCol w:w="2208"/>
      </w:tblGrid>
      <w:tr>
        <w:trPr>
          <w:trHeight w:val="44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附注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上年年末余额</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2,004,297.88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3,962,553.95</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12,557,159,858.93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12,620,667,049.84</w:t>
            </w:r>
          </w:p>
        </w:tc>
      </w:tr>
      <w:tr>
        <w:trPr>
          <w:trHeight w:val="44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资产总计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13,533,034,878.53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14,011,117,409.68</w:t>
            </w:r>
          </w:p>
        </w:tc>
      </w:tr>
    </w:tbl>
    <w:p>
      <w:pPr>
        <w:widowControl w:val="0"/>
        <w:spacing w:after="79" w:line="1" w:lineRule="exact"/>
      </w:pPr>
    </w:p>
    <w:p>
      <w:pPr>
        <w:pStyle w:val="Style100"/>
        <w:keepNext w:val="0"/>
        <w:keepLines w:val="0"/>
        <w:widowControl w:val="0"/>
        <w:shd w:val="clear" w:color="auto" w:fill="auto"/>
        <w:bidi w:val="0"/>
        <w:spacing w:before="0" w:after="380" w:line="240" w:lineRule="auto"/>
        <w:ind w:left="0" w:right="0" w:firstLine="0"/>
        <w:jc w:val="both"/>
      </w:pPr>
      <w:r>
        <w:rPr>
          <w:color w:val="000000"/>
          <w:spacing w:val="0"/>
          <w:w w:val="100"/>
          <w:position w:val="0"/>
        </w:rPr>
        <w:t>后附财务报表附注为财务报表的组成部分。</w:t>
      </w:r>
    </w:p>
    <w:p>
      <w:pPr>
        <w:pStyle w:val="Style100"/>
        <w:keepNext w:val="0"/>
        <w:keepLines w:val="0"/>
        <w:widowControl w:val="0"/>
        <w:shd w:val="clear" w:color="auto" w:fill="auto"/>
        <w:tabs>
          <w:tab w:pos="2880" w:val="left"/>
          <w:tab w:pos="6288" w:val="left"/>
        </w:tabs>
        <w:bidi w:val="0"/>
        <w:spacing w:before="0" w:after="240" w:line="240" w:lineRule="auto"/>
        <w:ind w:left="0" w:right="0" w:firstLine="0"/>
        <w:jc w:val="both"/>
      </w:pPr>
      <w:r>
        <w:rPr>
          <w:color w:val="000000"/>
          <w:spacing w:val="0"/>
          <w:w w:val="100"/>
          <w:position w:val="0"/>
        </w:rPr>
        <w:t>企业法定代表人：</w:t>
        <w:tab/>
        <w:t>主管会计工作负责人：</w:t>
        <w:tab/>
        <w:t>会计机构负责人:</w:t>
      </w:r>
      <w:r>
        <w:br w:type="page"/>
      </w:r>
    </w:p>
    <w:p>
      <w:pPr>
        <w:pStyle w:val="Style16"/>
        <w:keepNext w:val="0"/>
        <w:keepLines w:val="0"/>
        <w:widowControl w:val="0"/>
        <w:shd w:val="clear" w:color="auto" w:fill="auto"/>
        <w:bidi w:val="0"/>
        <w:spacing w:before="0" w:after="60" w:line="317" w:lineRule="exact"/>
        <w:ind w:left="0" w:right="0" w:firstLine="0"/>
        <w:jc w:val="center"/>
      </w:pPr>
      <w:r>
        <w:rPr>
          <w:b/>
          <w:bCs/>
          <w:color w:val="000000"/>
          <w:spacing w:val="0"/>
          <w:w w:val="100"/>
          <w:position w:val="0"/>
        </w:rPr>
        <w:t>国盛金融控股集团股份有限公司</w:t>
        <w:br/>
        <w:t>母公司资产负债表（续）</w:t>
      </w:r>
    </w:p>
    <w:p>
      <w:pPr>
        <w:pStyle w:val="Style9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p>
      <w:pPr>
        <w:pStyle w:val="Style16"/>
        <w:keepNext w:val="0"/>
        <w:keepLines w:val="0"/>
        <w:widowControl w:val="0"/>
        <w:shd w:val="clear" w:color="auto" w:fill="auto"/>
        <w:bidi w:val="0"/>
        <w:spacing w:before="0" w:after="160" w:line="317" w:lineRule="exact"/>
        <w:ind w:left="0" w:right="0" w:firstLine="0"/>
        <w:jc w:val="center"/>
      </w:pPr>
      <w:r>
        <w:rPr>
          <w:b/>
          <w:bCs/>
          <w:color w:val="000000"/>
          <w:spacing w:val="0"/>
          <w:w w:val="100"/>
          <w:position w:val="0"/>
        </w:rPr>
        <w:t>（除特别注明外，金额单位均为人民币元）</w:t>
      </w:r>
    </w:p>
    <w:tbl>
      <w:tblPr>
        <w:tblOverlap w:val="never"/>
        <w:jc w:val="center"/>
        <w:tblLayout w:type="fixed"/>
      </w:tblPr>
      <w:tblGrid>
        <w:gridCol w:w="2880"/>
        <w:gridCol w:w="1075"/>
        <w:gridCol w:w="2189"/>
        <w:gridCol w:w="2208"/>
      </w:tblGrid>
      <w:tr>
        <w:trPr>
          <w:trHeight w:val="44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负债和股东权益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附注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上年年末余额</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33,386.80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33,386.80</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3,308,162.27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2,860,659.82</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应交税费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267,651.70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181,153.79</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265,375,143.16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264,522,101.17</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2,603,037,885.77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2,236,719,593.20</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952,178.82</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2,872,022,229.70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2,505,269,073.60</w:t>
            </w:r>
          </w:p>
        </w:tc>
      </w:tr>
      <w:tr>
        <w:trPr>
          <w:trHeight w:val="41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591,797,497.82</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591,797,497.82</w:t>
            </w:r>
          </w:p>
        </w:tc>
      </w:tr>
      <w:tr>
        <w:trPr>
          <w:trHeight w:val="44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负债合计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2,872,022,229.70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3,097,066,571.42</w:t>
            </w:r>
          </w:p>
        </w:tc>
      </w:tr>
    </w:tbl>
    <w:p>
      <w:pPr>
        <w:widowControl w:val="0"/>
        <w:spacing w:line="1" w:lineRule="exact"/>
      </w:pPr>
      <w:r>
        <w:br w:type="page"/>
      </w:r>
    </w:p>
    <w:tbl>
      <w:tblPr>
        <w:tblOverlap w:val="never"/>
        <w:jc w:val="center"/>
        <w:tblLayout w:type="fixed"/>
      </w:tblPr>
      <w:tblGrid>
        <w:gridCol w:w="2880"/>
        <w:gridCol w:w="1075"/>
        <w:gridCol w:w="2189"/>
        <w:gridCol w:w="2208"/>
      </w:tblGrid>
      <w:tr>
        <w:trPr>
          <w:trHeight w:val="44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负债和股东权益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附注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上年年末余额</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1,935,084,653.00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1,935,084,653.00</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资本公积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8,861,452,546.01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8,861,452,546.01</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44,253,651.01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44,253,651.01</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未分配利润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-179,778,201.19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73,259,988.24</w:t>
            </w:r>
          </w:p>
        </w:tc>
      </w:tr>
      <w:tr>
        <w:trPr>
          <w:trHeight w:val="41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股东权益合计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10,661,012,648.83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10,914,050,838.26</w:t>
            </w:r>
          </w:p>
        </w:tc>
      </w:tr>
      <w:tr>
        <w:trPr>
          <w:trHeight w:val="451"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负债和股东权益总计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13,533,034,878.53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14,011,117,409.68</w:t>
            </w:r>
          </w:p>
        </w:tc>
      </w:tr>
    </w:tbl>
    <w:p>
      <w:pPr>
        <w:pStyle w:val="Style40"/>
        <w:keepNext w:val="0"/>
        <w:keepLines w:val="0"/>
        <w:widowControl w:val="0"/>
        <w:shd w:val="clear" w:color="auto" w:fill="auto"/>
        <w:bidi w:val="0"/>
        <w:spacing w:before="0" w:after="0" w:line="240" w:lineRule="auto"/>
        <w:ind w:left="38" w:right="0" w:firstLine="0"/>
        <w:jc w:val="left"/>
        <w:rPr>
          <w:sz w:val="18"/>
          <w:szCs w:val="18"/>
        </w:rPr>
      </w:pPr>
      <w:r>
        <mc:AlternateContent>
          <mc:Choice Requires="wps">
            <w:drawing>
              <wp:anchor distT="266700" distB="3175" distL="114300" distR="4116705" simplePos="0" relativeHeight="125829416" behindDoc="0" locked="0" layoutInCell="1" allowOverlap="1">
                <wp:simplePos x="0" y="0"/>
                <wp:positionH relativeFrom="page">
                  <wp:posOffset>1263015</wp:posOffset>
                </wp:positionH>
                <wp:positionV relativeFrom="margin">
                  <wp:posOffset>4589780</wp:posOffset>
                </wp:positionV>
                <wp:extent cx="941705" cy="146050"/>
                <wp:wrapTopAndBottom/>
                <wp:docPr id="94" name="Shape 94"/>
                <a:graphic xmlns:a="http://schemas.openxmlformats.org/drawingml/2006/main">
                  <a:graphicData uri="http://schemas.microsoft.com/office/word/2010/wordprocessingShape">
                    <wps:wsp>
                      <wps:cNvSpPr txBox="1"/>
                      <wps:spPr>
                        <a:xfrm>
                          <a:ext cx="941705" cy="146050"/>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企业法定代表人:</w:t>
                            </w:r>
                          </w:p>
                        </w:txbxContent>
                      </wps:txbx>
                      <wps:bodyPr wrap="none" lIns="0" tIns="0" rIns="0" bIns="0">
                        <a:noAutoFit/>
                      </wps:bodyPr>
                    </wps:wsp>
                  </a:graphicData>
                </a:graphic>
              </wp:anchor>
            </w:drawing>
          </mc:Choice>
          <mc:Fallback>
            <w:pict>
              <v:shape id="_x0000_s1120" type="#_x0000_t202" style="position:absolute;margin-left:99.450000000000003pt;margin-top:361.40000000000003pt;width:74.150000000000006pt;height:11.5pt;z-index:-125829337;mso-wrap-distance-left:9.pt;mso-wrap-distance-top:21.pt;mso-wrap-distance-right:324.15000000000003pt;mso-wrap-distance-bottom:0.25pt;mso-position-horizontal-relative:page;mso-position-vertical-relative:margin" filled="f" stroked="f">
                <v:textbox inset="0,0,0,0">
                  <w:txbxContent>
                    <w:p>
                      <w:pPr>
                        <w:pStyle w:val="Style100"/>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企业法定代表人:</w:t>
                      </w:r>
                    </w:p>
                  </w:txbxContent>
                </v:textbox>
                <w10:wrap type="topAndBottom" anchorx="page" anchory="margin"/>
              </v:shape>
            </w:pict>
          </mc:Fallback>
        </mc:AlternateContent>
      </w:r>
      <w:r>
        <mc:AlternateContent>
          <mc:Choice Requires="wps">
            <w:drawing>
              <wp:anchor distT="266700" distB="5715" distL="1946275" distR="2059305" simplePos="0" relativeHeight="125829418" behindDoc="0" locked="0" layoutInCell="1" allowOverlap="1">
                <wp:simplePos x="0" y="0"/>
                <wp:positionH relativeFrom="page">
                  <wp:posOffset>3094990</wp:posOffset>
                </wp:positionH>
                <wp:positionV relativeFrom="margin">
                  <wp:posOffset>4589780</wp:posOffset>
                </wp:positionV>
                <wp:extent cx="1167130" cy="143510"/>
                <wp:wrapTopAndBottom/>
                <wp:docPr id="96" name="Shape 96"/>
                <a:graphic xmlns:a="http://schemas.openxmlformats.org/drawingml/2006/main">
                  <a:graphicData uri="http://schemas.microsoft.com/office/word/2010/wordprocessingShape">
                    <wps:wsp>
                      <wps:cNvSpPr txBox="1"/>
                      <wps:spPr>
                        <a:xfrm>
                          <a:ext cx="1167130" cy="143510"/>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w:t>
                            </w:r>
                          </w:p>
                        </w:txbxContent>
                      </wps:txbx>
                      <wps:bodyPr wrap="none" lIns="0" tIns="0" rIns="0" bIns="0">
                        <a:noAutoFit/>
                      </wps:bodyPr>
                    </wps:wsp>
                  </a:graphicData>
                </a:graphic>
              </wp:anchor>
            </w:drawing>
          </mc:Choice>
          <mc:Fallback>
            <w:pict>
              <v:shape id="_x0000_s1122" type="#_x0000_t202" style="position:absolute;margin-left:243.70000000000002pt;margin-top:361.40000000000003pt;width:91.900000000000006pt;height:11.300000000000001pt;z-index:-125829335;mso-wrap-distance-left:153.25pt;mso-wrap-distance-top:21.pt;mso-wrap-distance-right:162.15000000000001pt;mso-wrap-distance-bottom:0.45000000000000001pt;mso-position-horizontal-relative:page;mso-position-vertical-relative:margin" filled="f" stroked="f">
                <v:textbox inset="0,0,0,0">
                  <w:txbxContent>
                    <w:p>
                      <w:pPr>
                        <w:pStyle w:val="Style10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w:t>
                      </w:r>
                    </w:p>
                  </w:txbxContent>
                </v:textbox>
                <w10:wrap type="topAndBottom" anchorx="page" anchory="margin"/>
              </v:shape>
            </w:pict>
          </mc:Fallback>
        </mc:AlternateContent>
      </w:r>
      <w:r>
        <mc:AlternateContent>
          <mc:Choice Requires="wps">
            <w:drawing>
              <wp:anchor distT="266700" distB="0" distL="4113530" distR="114300" simplePos="0" relativeHeight="125829420" behindDoc="0" locked="0" layoutInCell="1" allowOverlap="1">
                <wp:simplePos x="0" y="0"/>
                <wp:positionH relativeFrom="page">
                  <wp:posOffset>5262245</wp:posOffset>
                </wp:positionH>
                <wp:positionV relativeFrom="margin">
                  <wp:posOffset>4589780</wp:posOffset>
                </wp:positionV>
                <wp:extent cx="944880" cy="149225"/>
                <wp:wrapTopAndBottom/>
                <wp:docPr id="98" name="Shape 98"/>
                <a:graphic xmlns:a="http://schemas.openxmlformats.org/drawingml/2006/main">
                  <a:graphicData uri="http://schemas.microsoft.com/office/word/2010/wordprocessingShape">
                    <wps:wsp>
                      <wps:cNvSpPr txBox="1"/>
                      <wps:spPr>
                        <a:xfrm>
                          <a:ext cx="944880" cy="149225"/>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会计机构负责人:</w:t>
                            </w:r>
                          </w:p>
                        </w:txbxContent>
                      </wps:txbx>
                      <wps:bodyPr wrap="none" lIns="0" tIns="0" rIns="0" bIns="0">
                        <a:noAutoFit/>
                      </wps:bodyPr>
                    </wps:wsp>
                  </a:graphicData>
                </a:graphic>
              </wp:anchor>
            </w:drawing>
          </mc:Choice>
          <mc:Fallback>
            <w:pict>
              <v:shape id="_x0000_s1124" type="#_x0000_t202" style="position:absolute;margin-left:414.35000000000002pt;margin-top:361.40000000000003pt;width:74.400000000000006pt;height:11.75pt;z-index:-125829333;mso-wrap-distance-left:323.90000000000003pt;mso-wrap-distance-top:21.pt;mso-wrap-distance-right:9.pt;mso-position-horizontal-relative:page;mso-position-vertical-relative:margin" filled="f" stroked="f">
                <v:textbox inset="0,0,0,0">
                  <w:txbxContent>
                    <w:p>
                      <w:pPr>
                        <w:pStyle w:val="Style10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会计机构负责人:</w:t>
                      </w:r>
                    </w:p>
                  </w:txbxContent>
                </v:textbox>
                <w10:wrap type="topAndBottom" anchorx="page" anchory="margin"/>
              </v:shape>
            </w:pict>
          </mc:Fallback>
        </mc:AlternateContent>
      </w:r>
      <w:r>
        <w:rPr>
          <w:color w:val="000000"/>
          <w:spacing w:val="0"/>
          <w:w w:val="100"/>
          <w:position w:val="0"/>
          <w:sz w:val="18"/>
          <w:szCs w:val="18"/>
        </w:rPr>
        <w:t>后附财务报表附注为财务报表的组成部分。</w:t>
      </w:r>
      <w:r>
        <w:br w:type="page"/>
      </w:r>
    </w:p>
    <w:p>
      <w:pPr>
        <w:pStyle w:val="Style16"/>
        <w:keepNext w:val="0"/>
        <w:keepLines w:val="0"/>
        <w:widowControl w:val="0"/>
        <w:shd w:val="clear" w:color="auto" w:fill="auto"/>
        <w:bidi w:val="0"/>
        <w:spacing w:before="0" w:after="60" w:line="322" w:lineRule="exact"/>
        <w:ind w:left="0" w:right="0" w:firstLine="0"/>
        <w:jc w:val="center"/>
      </w:pPr>
      <w:r>
        <w:rPr>
          <w:b/>
          <w:bCs/>
          <w:color w:val="000000"/>
          <w:spacing w:val="0"/>
          <w:w w:val="100"/>
          <w:position w:val="0"/>
        </w:rPr>
        <w:t>国盛金融控股集团股份有限公司</w:t>
        <w:br/>
        <w:t>合并利润表</w:t>
      </w:r>
    </w:p>
    <w:p>
      <w:pPr>
        <w:pStyle w:val="Style97"/>
        <w:keepNext w:val="0"/>
        <w:keepLines w:val="0"/>
        <w:widowControl w:val="0"/>
        <w:shd w:val="clear" w:color="auto" w:fill="auto"/>
        <w:bidi w:val="0"/>
        <w:spacing w:before="0" w:after="0" w:line="240" w:lineRule="auto"/>
        <w:ind w:left="0" w:right="0" w:firstLine="0"/>
        <w:jc w:val="center"/>
      </w:pPr>
      <w:bookmarkStart w:id="664" w:name="bookmark664"/>
      <w:r>
        <w:rPr>
          <w:color w:val="000000"/>
          <w:spacing w:val="0"/>
          <w:w w:val="100"/>
          <w:position w:val="0"/>
        </w:rPr>
        <w:t>2020</w:t>
      </w:r>
      <w:r>
        <w:rPr>
          <w:rFonts w:ascii="SimSun" w:eastAsia="SimSun" w:hAnsi="SimSun" w:cs="SimSun"/>
          <w:color w:val="000000"/>
          <w:spacing w:val="0"/>
          <w:w w:val="100"/>
          <w:position w:val="0"/>
        </w:rPr>
        <w:t>年度</w:t>
      </w:r>
      <w:bookmarkEnd w:id="664"/>
    </w:p>
    <w:p>
      <w:pPr>
        <w:pStyle w:val="Style16"/>
        <w:keepNext w:val="0"/>
        <w:keepLines w:val="0"/>
        <w:widowControl w:val="0"/>
        <w:shd w:val="clear" w:color="auto" w:fill="auto"/>
        <w:bidi w:val="0"/>
        <w:spacing w:before="0" w:after="160" w:line="322" w:lineRule="exact"/>
        <w:ind w:left="0" w:right="0" w:firstLine="0"/>
        <w:jc w:val="center"/>
      </w:pPr>
      <w:r>
        <w:rPr>
          <w:b/>
          <w:bCs/>
          <w:color w:val="000000"/>
          <w:spacing w:val="0"/>
          <w:w w:val="100"/>
          <w:position w:val="0"/>
        </w:rPr>
        <w:t>（除特别注明外，金额单位均为人民币元）</w:t>
      </w:r>
    </w:p>
    <w:tbl>
      <w:tblPr>
        <w:tblOverlap w:val="never"/>
        <w:jc w:val="center"/>
        <w:tblLayout w:type="fixed"/>
      </w:tblPr>
      <w:tblGrid>
        <w:gridCol w:w="3744"/>
        <w:gridCol w:w="1421"/>
        <w:gridCol w:w="1579"/>
        <w:gridCol w:w="1618"/>
      </w:tblGrid>
      <w:tr>
        <w:trPr>
          <w:trHeight w:val="54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附注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本期金额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上期金额</w:t>
            </w:r>
          </w:p>
        </w:tc>
      </w:tr>
      <w:tr>
        <w:trPr>
          <w:trHeight w:val="41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一、营业总收入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六、注释</w:t>
            </w: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2,205,985,257.07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1,669,714,290.97</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六、注释</w:t>
            </w: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4,497,054.81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1,350,575.65</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六、注释</w:t>
            </w: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789,137,506.62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716,099,061.09</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手续费及佣金收入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六、注释</w:t>
            </w: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1,412,350,695.64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952,264,654.23</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二、营业总成本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2,427,653,700.80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2,286,639,466.08</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减：营业成本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六、注释</w:t>
            </w: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4,680,296.28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177,922.13</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利息支出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六、注释</w:t>
            </w: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318,370,827.59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408,150,839.66</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手续费及佣金支出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六、注释</w:t>
            </w: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232,678,053.76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158,163,973.40</w:t>
            </w:r>
          </w:p>
        </w:tc>
      </w:tr>
      <w:tr>
        <w:trPr>
          <w:trHeight w:val="41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六、注释</w:t>
            </w: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11,500,794.12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9,808,122.53</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销售费用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六、注释</w:t>
            </w: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1,663,630,810.40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1,440,102,274.63</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六、注释</w:t>
            </w: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15,718,736.91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20,129,678.10</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六、注释</w:t>
            </w: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181,074,181.74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250,106,655.63</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其中：利息费用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183,637,347.68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264,951,992.25</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2,631,275.33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15,114,196.57</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六、注释</w:t>
            </w: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17,698,113.56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20,440,359.15</w:t>
            </w:r>
          </w:p>
        </w:tc>
      </w:tr>
      <w:tr>
        <w:trPr>
          <w:trHeight w:val="41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投资收益（损失以号填列）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六、注释</w:t>
            </w: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446,302,665.47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609,793,448.75</w:t>
            </w:r>
          </w:p>
        </w:tc>
      </w:tr>
      <w:tr>
        <w:trPr>
          <w:trHeight w:val="73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760"/>
              <w:jc w:val="left"/>
              <w:rPr>
                <w:sz w:val="18"/>
                <w:szCs w:val="18"/>
              </w:rPr>
            </w:pPr>
            <w:r>
              <w:rPr>
                <w:color w:val="000000"/>
                <w:spacing w:val="0"/>
                <w:w w:val="100"/>
                <w:position w:val="0"/>
                <w:sz w:val="18"/>
                <w:szCs w:val="18"/>
              </w:rPr>
              <w:t>其中：对联营企业和合营企业的投资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46,486,937.93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186,107,407.76</w:t>
            </w:r>
          </w:p>
        </w:tc>
      </w:tr>
      <w:tr>
        <w:trPr>
          <w:trHeight w:val="73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1320" w:right="0" w:firstLine="0"/>
              <w:jc w:val="left"/>
              <w:rPr>
                <w:sz w:val="18"/>
                <w:szCs w:val="18"/>
              </w:rPr>
            </w:pPr>
            <w:r>
              <w:rPr>
                <w:color w:val="000000"/>
                <w:spacing w:val="0"/>
                <w:w w:val="100"/>
                <w:position w:val="0"/>
                <w:sz w:val="18"/>
                <w:szCs w:val="18"/>
              </w:rPr>
              <w:t>以摊余成本计量的金融资产终</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汇兑损益（损失以号填列）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-1,171,676.74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317,869.61</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净敞口套期收益（损失以号填列）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3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760"/>
              <w:jc w:val="left"/>
              <w:rPr>
                <w:sz w:val="18"/>
                <w:szCs w:val="18"/>
              </w:rPr>
            </w:pPr>
            <w:r>
              <w:rPr>
                <w:color w:val="000000"/>
                <w:spacing w:val="0"/>
                <w:w w:val="100"/>
                <w:position w:val="0"/>
                <w:sz w:val="18"/>
                <w:szCs w:val="18"/>
              </w:rPr>
              <w:t>公允价值变动收益（损失以号填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六、注释</w:t>
            </w: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-254,697,694.16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267,020,505.84</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信用减值损失（损失以号填列）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六、注释</w:t>
            </w: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-192,534,116.88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-88,590,272.60</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资产减值损失（损失以号填列）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六、注释</w:t>
            </w: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-103,709,412.22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-20,300.00</w:t>
            </w:r>
          </w:p>
        </w:tc>
      </w:tr>
      <w:tr>
        <w:trPr>
          <w:trHeight w:val="41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资产处置收益（损失以号填列）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六、注释</w:t>
            </w: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31,971.39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3,152.36</w:t>
            </w:r>
          </w:p>
        </w:tc>
      </w:tr>
      <w:tr>
        <w:trPr>
          <w:trHeight w:val="427"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三、营业利润（亏损以号填列）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-309,748,593.31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192,039,588.00</w:t>
            </w:r>
          </w:p>
        </w:tc>
      </w:tr>
    </w:tbl>
    <w:p>
      <w:pPr>
        <w:widowControl w:val="0"/>
        <w:spacing w:line="1" w:lineRule="exact"/>
      </w:pPr>
      <w:r>
        <w:br w:type="page"/>
      </w:r>
    </w:p>
    <w:tbl>
      <w:tblPr>
        <w:tblOverlap w:val="never"/>
        <w:jc w:val="center"/>
        <w:tblLayout w:type="fixed"/>
      </w:tblPr>
      <w:tblGrid>
        <w:gridCol w:w="3744"/>
        <w:gridCol w:w="1421"/>
        <w:gridCol w:w="1579"/>
        <w:gridCol w:w="1618"/>
      </w:tblGrid>
      <w:tr>
        <w:trPr>
          <w:trHeight w:val="54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附注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420" w:firstLine="0"/>
              <w:jc w:val="right"/>
              <w:rPr>
                <w:sz w:val="18"/>
                <w:szCs w:val="18"/>
              </w:rPr>
            </w:pPr>
            <w:r>
              <w:rPr>
                <w:color w:val="000000"/>
                <w:spacing w:val="0"/>
                <w:w w:val="100"/>
                <w:position w:val="0"/>
                <w:sz w:val="18"/>
                <w:szCs w:val="18"/>
              </w:rPr>
              <w:t>本期金额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上期金额</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六、注释</w:t>
            </w: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1,312,021.09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1,995,576.57</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六、注释</w:t>
            </w: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17,848,277.54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9,513,296.65</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四、利润总额（亏损总额以号填列）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-326,284,849.76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184,521,867.92</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六、注释</w:t>
            </w:r>
            <w:r>
              <w:rPr>
                <w:rFonts w:ascii="Times New Roman" w:eastAsia="Times New Roman" w:hAnsi="Times New Roman" w:cs="Times New Roman"/>
                <w:color w:val="000000"/>
                <w:spacing w:val="0"/>
                <w:w w:val="100"/>
                <w:position w:val="0"/>
                <w:sz w:val="18"/>
                <w:szCs w:val="18"/>
              </w:rPr>
              <w:t>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40,154,307.51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107,588,522.60</w:t>
            </w:r>
          </w:p>
        </w:tc>
      </w:tr>
      <w:tr>
        <w:trPr>
          <w:trHeight w:val="41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五、净利润（净亏损以号填列）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-366,439,157.27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76,933,345.32</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（一）按经营持续性分类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3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.持续经营净利润（净亏损以“-”号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-366,439,157.27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76,933,345.32</w:t>
            </w:r>
          </w:p>
        </w:tc>
      </w:tr>
      <w:tr>
        <w:trPr>
          <w:trHeight w:val="73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终止经营净利润（净亏损以号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（二）按所有权归属分类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3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color w:val="000000"/>
                <w:spacing w:val="0"/>
                <w:w w:val="100"/>
                <w:position w:val="0"/>
                <w:sz w:val="18"/>
                <w:szCs w:val="18"/>
              </w:rPr>
              <w:t>归属于母公司股东的净利润（净亏 损以号填列）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-365,875,868.24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77,329,597.60</w:t>
            </w:r>
          </w:p>
        </w:tc>
      </w:tr>
      <w:tr>
        <w:trPr>
          <w:trHeight w:val="73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少数股东损益（净亏损以号填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-563,289.03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-396,252.28</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-17,061,749.42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21,987,102.45</w:t>
            </w:r>
          </w:p>
        </w:tc>
      </w:tr>
      <w:tr>
        <w:trPr>
          <w:trHeight w:val="72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jc w:val="both"/>
              <w:rPr>
                <w:sz w:val="18"/>
                <w:szCs w:val="18"/>
              </w:rPr>
            </w:pPr>
            <w:r>
              <w:rPr>
                <w:color w:val="000000"/>
                <w:spacing w:val="0"/>
                <w:w w:val="100"/>
                <w:position w:val="0"/>
                <w:sz w:val="18"/>
                <w:szCs w:val="18"/>
              </w:rPr>
              <w:t>归属于母公司所有者的其他综合收益的税 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-17,061,749.42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21,987,102.45</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（一）不能重分类进损益的其他综合收益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3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权益法下不能转损益的其他综合收</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.其他权益工具投资公允价值变动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.企业自身信用风险公允价值变动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（二）将重分类进损益的其他综合收益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-17,061,749.42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21,987,102.45</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color w:val="000000"/>
                <w:spacing w:val="0"/>
                <w:w w:val="100"/>
                <w:position w:val="0"/>
                <w:sz w:val="18"/>
                <w:szCs w:val="18"/>
              </w:rPr>
              <w:t>权益法下可转损益的其他综合收益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-1,920,949.45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6,927,223.63</w:t>
            </w:r>
          </w:p>
        </w:tc>
      </w:tr>
      <w:tr>
        <w:trPr>
          <w:trHeight w:val="41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2,299,056.50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7,248,788.22</w:t>
            </w:r>
          </w:p>
        </w:tc>
      </w:tr>
      <w:tr>
        <w:trPr>
          <w:trHeight w:val="73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r>
            <w:r>
              <w:rPr>
                <w:color w:val="000000"/>
                <w:spacing w:val="0"/>
                <w:w w:val="100"/>
                <w:position w:val="0"/>
                <w:sz w:val="18"/>
                <w:szCs w:val="18"/>
              </w:rPr>
              <w:t>金融资产重分类计入其他综合收益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.其他债权投资信用损失准备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-247,601.32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-296,891.38</w:t>
            </w:r>
          </w:p>
        </w:tc>
      </w:tr>
      <w:tr>
        <w:trPr>
          <w:trHeight w:val="73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w:t>
            </w:r>
            <w:r>
              <w:rPr>
                <w:color w:val="000000"/>
                <w:spacing w:val="0"/>
                <w:w w:val="100"/>
                <w:position w:val="0"/>
                <w:sz w:val="18"/>
                <w:szCs w:val="18"/>
              </w:rPr>
              <w:t>现金流量套期储备（现金流量套期 损益的有效部分）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-17,192,255.15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8,107,981.98</w:t>
            </w:r>
          </w:p>
        </w:tc>
      </w:tr>
      <w:tr>
        <w:trPr>
          <w:trHeight w:val="427"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744"/>
        <w:gridCol w:w="1421"/>
        <w:gridCol w:w="1579"/>
        <w:gridCol w:w="1618"/>
      </w:tblGrid>
      <w:tr>
        <w:trPr>
          <w:trHeight w:val="54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附注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本期金额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上期金额</w:t>
            </w:r>
          </w:p>
        </w:tc>
      </w:tr>
      <w:tr>
        <w:trPr>
          <w:trHeight w:val="73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jc w:val="left"/>
              <w:rPr>
                <w:sz w:val="18"/>
                <w:szCs w:val="18"/>
              </w:rPr>
            </w:pPr>
            <w:r>
              <w:rPr>
                <w:color w:val="000000"/>
                <w:spacing w:val="0"/>
                <w:w w:val="100"/>
                <w:position w:val="0"/>
                <w:sz w:val="18"/>
                <w:szCs w:val="18"/>
              </w:rPr>
              <w:t>归属于少数股东的其他综合收益的税后净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七、综合收益总额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-383,500,906.69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98,920,447.77</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归属于母公司所有者的综合收益总额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-382,937,617.66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99,316,700.05</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归属于少数股东的综合收益总额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-563,289.03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-396,252.28</w:t>
            </w:r>
          </w:p>
        </w:tc>
      </w:tr>
      <w:tr>
        <w:trPr>
          <w:trHeight w:val="41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八、每股收益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（一）基本每股收益（元/股）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0.0400</w:t>
            </w:r>
          </w:p>
        </w:tc>
      </w:tr>
      <w:tr>
        <w:trPr>
          <w:trHeight w:val="44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（二）稀释每股收益（元/股）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0.0400</w:t>
            </w:r>
          </w:p>
        </w:tc>
      </w:tr>
    </w:tbl>
    <w:p>
      <w:pPr>
        <w:widowControl w:val="0"/>
        <w:spacing w:after="79" w:line="1" w:lineRule="exact"/>
      </w:pPr>
    </w:p>
    <w:p>
      <w:pPr>
        <w:pStyle w:val="Style100"/>
        <w:keepNext w:val="0"/>
        <w:keepLines w:val="0"/>
        <w:widowControl w:val="0"/>
        <w:shd w:val="clear" w:color="auto" w:fill="auto"/>
        <w:bidi w:val="0"/>
        <w:spacing w:before="0" w:after="380" w:line="240" w:lineRule="auto"/>
        <w:ind w:left="0" w:right="0" w:firstLine="0"/>
        <w:jc w:val="both"/>
      </w:pPr>
      <w:r>
        <w:rPr>
          <w:color w:val="000000"/>
          <w:spacing w:val="0"/>
          <w:w w:val="100"/>
          <w:position w:val="0"/>
        </w:rPr>
        <w:t>后附财务报表附注为财务报表的组成部分。</w:t>
      </w:r>
    </w:p>
    <w:p>
      <w:pPr>
        <w:pStyle w:val="Style100"/>
        <w:keepNext w:val="0"/>
        <w:keepLines w:val="0"/>
        <w:widowControl w:val="0"/>
        <w:shd w:val="clear" w:color="auto" w:fill="auto"/>
        <w:tabs>
          <w:tab w:pos="2880" w:val="left"/>
          <w:tab w:pos="6288" w:val="left"/>
        </w:tabs>
        <w:bidi w:val="0"/>
        <w:spacing w:before="0" w:after="240" w:line="240" w:lineRule="auto"/>
        <w:ind w:left="0" w:right="0" w:firstLine="0"/>
        <w:jc w:val="both"/>
      </w:pPr>
      <w:r>
        <w:rPr>
          <w:color w:val="000000"/>
          <w:spacing w:val="0"/>
          <w:w w:val="100"/>
          <w:position w:val="0"/>
        </w:rPr>
        <w:t>企业法定代表人：</w:t>
        <w:tab/>
        <w:t>主管会计工作负责人：</w:t>
        <w:tab/>
        <w:t>会计机构负责人:</w:t>
      </w:r>
      <w:r>
        <w:br w:type="page"/>
      </w:r>
    </w:p>
    <w:p>
      <w:pPr>
        <w:pStyle w:val="Style16"/>
        <w:keepNext w:val="0"/>
        <w:keepLines w:val="0"/>
        <w:widowControl w:val="0"/>
        <w:shd w:val="clear" w:color="auto" w:fill="auto"/>
        <w:bidi w:val="0"/>
        <w:spacing w:before="0" w:after="60" w:line="317" w:lineRule="exact"/>
        <w:ind w:left="0" w:right="0" w:firstLine="0"/>
        <w:jc w:val="center"/>
      </w:pPr>
      <w:r>
        <w:rPr>
          <w:b/>
          <w:bCs/>
          <w:color w:val="000000"/>
          <w:spacing w:val="0"/>
          <w:w w:val="100"/>
          <w:position w:val="0"/>
        </w:rPr>
        <w:t>国盛金融控股集团股份有限公司</w:t>
        <w:br/>
        <w:t>母公司利润表</w:t>
      </w:r>
    </w:p>
    <w:p>
      <w:pPr>
        <w:pStyle w:val="Style97"/>
        <w:keepNext w:val="0"/>
        <w:keepLines w:val="0"/>
        <w:widowControl w:val="0"/>
        <w:shd w:val="clear" w:color="auto" w:fill="auto"/>
        <w:bidi w:val="0"/>
        <w:spacing w:before="0" w:after="0" w:line="331" w:lineRule="auto"/>
        <w:ind w:left="0" w:right="0" w:firstLine="0"/>
        <w:jc w:val="center"/>
      </w:pPr>
      <w:bookmarkStart w:id="665" w:name="bookmark665"/>
      <w:r>
        <w:rPr>
          <w:color w:val="000000"/>
          <w:spacing w:val="0"/>
          <w:w w:val="100"/>
          <w:position w:val="0"/>
        </w:rPr>
        <w:t>2020</w:t>
      </w:r>
      <w:r>
        <w:rPr>
          <w:rFonts w:ascii="SimSun" w:eastAsia="SimSun" w:hAnsi="SimSun" w:cs="SimSun"/>
          <w:color w:val="000000"/>
          <w:spacing w:val="0"/>
          <w:w w:val="100"/>
          <w:position w:val="0"/>
        </w:rPr>
        <w:t>年度</w:t>
      </w:r>
      <w:bookmarkEnd w:id="665"/>
    </w:p>
    <w:p>
      <w:pPr>
        <w:pStyle w:val="Style16"/>
        <w:keepNext w:val="0"/>
        <w:keepLines w:val="0"/>
        <w:widowControl w:val="0"/>
        <w:shd w:val="clear" w:color="auto" w:fill="auto"/>
        <w:bidi w:val="0"/>
        <w:spacing w:before="0" w:after="160" w:line="317" w:lineRule="exact"/>
        <w:ind w:left="0" w:right="0" w:firstLine="0"/>
        <w:jc w:val="center"/>
      </w:pPr>
      <w:r>
        <w:rPr>
          <w:b/>
          <w:bCs/>
          <w:color w:val="000000"/>
          <w:spacing w:val="0"/>
          <w:w w:val="100"/>
          <w:position w:val="0"/>
        </w:rPr>
        <w:t>（除特别注明外，金额单位均为人民币元）</w:t>
      </w:r>
    </w:p>
    <w:tbl>
      <w:tblPr>
        <w:tblOverlap w:val="never"/>
        <w:jc w:val="center"/>
        <w:tblLayout w:type="fixed"/>
      </w:tblPr>
      <w:tblGrid>
        <w:gridCol w:w="3744"/>
        <w:gridCol w:w="1277"/>
        <w:gridCol w:w="1651"/>
        <w:gridCol w:w="1680"/>
      </w:tblGrid>
      <w:tr>
        <w:trPr>
          <w:trHeight w:val="44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附注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本期金额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上期金额</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一、营业收入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十六、注释</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30,428,544.75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65,863,102.35</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减：营业成本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十六、注释</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816,444.56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9,782,003.22</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税金及附加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2,345.50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-9,633.95</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销售费用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管理费用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36,657,359.96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54,061,724.29</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研发费用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223,806,690.22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303,180,841.97</w:t>
            </w:r>
          </w:p>
        </w:tc>
      </w:tr>
      <w:tr>
        <w:trPr>
          <w:trHeight w:val="41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其中：利息费用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226,251,004.27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318,025,379.35</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2,472,296.74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14,969,436.21</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加：其他收益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42,474.30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108,514.35</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十六、注释</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189,415,896.36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382,884,830.08</w:t>
            </w:r>
          </w:p>
        </w:tc>
      </w:tr>
      <w:tr>
        <w:trPr>
          <w:trHeight w:val="73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960"/>
              <w:jc w:val="left"/>
              <w:rPr>
                <w:sz w:val="18"/>
                <w:szCs w:val="18"/>
              </w:rPr>
            </w:pPr>
            <w:r>
              <w:rPr>
                <w:color w:val="000000"/>
                <w:spacing w:val="0"/>
                <w:w w:val="100"/>
                <w:position w:val="0"/>
                <w:sz w:val="18"/>
                <w:szCs w:val="18"/>
              </w:rPr>
              <w:t>其中：对联营企业和合营企业的投</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1,956,152.23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321,679.43</w:t>
            </w:r>
          </w:p>
        </w:tc>
      </w:tr>
      <w:tr>
        <w:trPr>
          <w:trHeight w:val="73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1140"/>
              <w:jc w:val="left"/>
              <w:rPr>
                <w:sz w:val="18"/>
                <w:szCs w:val="18"/>
              </w:rPr>
            </w:pPr>
            <w:r>
              <w:rPr>
                <w:color w:val="000000"/>
                <w:spacing w:val="0"/>
                <w:w w:val="100"/>
                <w:position w:val="0"/>
                <w:sz w:val="18"/>
                <w:szCs w:val="18"/>
              </w:rPr>
              <w:t>以摊余成本计量的金融资产终止 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净敞口套期收益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公允价值变动收益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-63,537,973.02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-118,308,664.63</w:t>
            </w:r>
          </w:p>
        </w:tc>
      </w:tr>
      <w:tr>
        <w:trPr>
          <w:trHeight w:val="41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信用减值损失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-147,953,166.94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4,332,879.27</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资产处置收益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37,443.54</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二、营业利润（亏损以号填列）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-252,887,064.79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-32,096,830.57</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加：营业外收入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151,500.07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241,227.14</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减：营业外支出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302,624.71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2,763,930.00</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三、利润总额（亏损以号填列）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-253,038,189.43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-34,619,533.43</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减：所得税费用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2,223,973.79</w:t>
            </w:r>
          </w:p>
        </w:tc>
      </w:tr>
      <w:tr>
        <w:trPr>
          <w:trHeight w:val="41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四、净利润（净亏以号填列）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-253,038,189.43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-36,843,507.22</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持续经营净利润（净亏以“</w:t>
            </w:r>
            <w:r>
              <w:rPr>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-253,038,189.43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-36,843,507.22</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终止经营净利润（净亏以“」'号填列）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五、其他综合收益的税后净额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744"/>
        <w:gridCol w:w="1282"/>
        <w:gridCol w:w="1651"/>
        <w:gridCol w:w="1675"/>
      </w:tblGrid>
      <w:tr>
        <w:trPr>
          <w:trHeight w:val="44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附注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上期金额</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（一）不能重分类进损益的其他综合收益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color w:val="000000"/>
                <w:spacing w:val="0"/>
                <w:w w:val="100"/>
                <w:position w:val="0"/>
                <w:sz w:val="18"/>
                <w:szCs w:val="18"/>
              </w:rPr>
              <w:t>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权益法下不能转损益的其他综合收益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r>
            <w:r>
              <w:rPr>
                <w:color w:val="000000"/>
                <w:spacing w:val="0"/>
                <w:w w:val="100"/>
                <w:position w:val="0"/>
                <w:sz w:val="18"/>
                <w:szCs w:val="18"/>
              </w:rPr>
              <w:t>其他权益工具投资公允价值变动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w:t>
            </w:r>
            <w:r>
              <w:rPr>
                <w:color w:val="000000"/>
                <w:spacing w:val="0"/>
                <w:w w:val="100"/>
                <w:position w:val="0"/>
                <w:sz w:val="18"/>
                <w:szCs w:val="18"/>
              </w:rPr>
              <w:t>企业自身信用风险公允价值变动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（二）将重分类进损益的其他综合收益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color w:val="000000"/>
                <w:spacing w:val="0"/>
                <w:w w:val="100"/>
                <w:position w:val="0"/>
                <w:sz w:val="18"/>
                <w:szCs w:val="18"/>
              </w:rPr>
              <w:t>权益法下可转损益的其他综合收益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3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r>
            <w:r>
              <w:rPr>
                <w:color w:val="000000"/>
                <w:spacing w:val="0"/>
                <w:w w:val="100"/>
                <w:position w:val="0"/>
                <w:sz w:val="18"/>
                <w:szCs w:val="18"/>
              </w:rPr>
              <w:t>金融资产重分类计入其他综合收益的金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w:t>
            </w:r>
            <w:r>
              <w:rPr>
                <w:color w:val="000000"/>
                <w:spacing w:val="0"/>
                <w:w w:val="100"/>
                <w:position w:val="0"/>
                <w:sz w:val="18"/>
                <w:szCs w:val="18"/>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w:t>
            </w:r>
            <w:r>
              <w:rPr>
                <w:color w:val="000000"/>
                <w:spacing w:val="0"/>
                <w:w w:val="100"/>
                <w:position w:val="0"/>
                <w:sz w:val="18"/>
                <w:szCs w:val="18"/>
              </w:rPr>
              <w:t>现金流量套期准备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w:t>
            </w:r>
            <w:r>
              <w:rPr>
                <w:color w:val="000000"/>
                <w:spacing w:val="0"/>
                <w:w w:val="100"/>
                <w:position w:val="0"/>
                <w:sz w:val="18"/>
                <w:szCs w:val="18"/>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3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 xml:space="preserve">. </w:t>
            </w:r>
            <w:r>
              <w:rPr>
                <w:color w:val="000000"/>
                <w:spacing w:val="0"/>
                <w:w w:val="100"/>
                <w:position w:val="0"/>
                <w:sz w:val="18"/>
                <w:szCs w:val="18"/>
              </w:rPr>
              <w:t>一揽子处置子公司在丧失控制权之前产 生的处置收益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3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8"/>
                <w:szCs w:val="18"/>
              </w:rPr>
              <w:t>.</w:t>
            </w:r>
            <w:r>
              <w:rPr>
                <w:color w:val="000000"/>
                <w:spacing w:val="0"/>
                <w:w w:val="100"/>
                <w:position w:val="0"/>
                <w:sz w:val="18"/>
                <w:szCs w:val="18"/>
              </w:rPr>
              <w:t>其他资产转换为公允价值模式计量的投 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8"/>
                <w:szCs w:val="18"/>
              </w:rPr>
              <w:t>.</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六、综合收益总额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-253,038,189.43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-36,843,507.22</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七、每股收益：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pStyle w:val="Style40"/>
        <w:keepNext w:val="0"/>
        <w:keepLines w:val="0"/>
        <w:widowControl w:val="0"/>
        <w:shd w:val="clear" w:color="auto" w:fill="auto"/>
        <w:bidi w:val="0"/>
        <w:spacing w:before="0" w:after="0" w:line="240" w:lineRule="auto"/>
        <w:ind w:left="38" w:right="0" w:firstLine="0"/>
        <w:jc w:val="left"/>
        <w:rPr>
          <w:sz w:val="18"/>
          <w:szCs w:val="18"/>
        </w:rPr>
      </w:pPr>
      <w:r>
        <mc:AlternateContent>
          <mc:Choice Requires="wps">
            <w:drawing>
              <wp:anchor distT="165100" distB="3175" distL="114300" distR="4116705" simplePos="0" relativeHeight="125829422" behindDoc="0" locked="0" layoutInCell="1" allowOverlap="1">
                <wp:simplePos x="0" y="0"/>
                <wp:positionH relativeFrom="page">
                  <wp:posOffset>1263015</wp:posOffset>
                </wp:positionH>
                <wp:positionV relativeFrom="margin">
                  <wp:posOffset>6699250</wp:posOffset>
                </wp:positionV>
                <wp:extent cx="941705" cy="146050"/>
                <wp:wrapTopAndBottom/>
                <wp:docPr id="100" name="Shape 100"/>
                <a:graphic xmlns:a="http://schemas.openxmlformats.org/drawingml/2006/main">
                  <a:graphicData uri="http://schemas.microsoft.com/office/word/2010/wordprocessingShape">
                    <wps:wsp>
                      <wps:cNvSpPr txBox="1"/>
                      <wps:spPr>
                        <a:xfrm>
                          <a:ext cx="941705" cy="146050"/>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企业法定代表人:</w:t>
                            </w:r>
                          </w:p>
                        </w:txbxContent>
                      </wps:txbx>
                      <wps:bodyPr wrap="none" lIns="0" tIns="0" rIns="0" bIns="0">
                        <a:noAutoFit/>
                      </wps:bodyPr>
                    </wps:wsp>
                  </a:graphicData>
                </a:graphic>
              </wp:anchor>
            </w:drawing>
          </mc:Choice>
          <mc:Fallback>
            <w:pict>
              <v:shape id="_x0000_s1126" type="#_x0000_t202" style="position:absolute;margin-left:99.450000000000003pt;margin-top:527.5pt;width:74.150000000000006pt;height:11.5pt;z-index:-125829331;mso-wrap-distance-left:9.pt;mso-wrap-distance-top:13.pt;mso-wrap-distance-right:324.15000000000003pt;mso-wrap-distance-bottom:0.25pt;mso-position-horizontal-relative:page;mso-position-vertical-relative:margin" filled="f" stroked="f">
                <v:textbox inset="0,0,0,0">
                  <w:txbxContent>
                    <w:p>
                      <w:pPr>
                        <w:pStyle w:val="Style100"/>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企业法定代表人:</w:t>
                      </w:r>
                    </w:p>
                  </w:txbxContent>
                </v:textbox>
                <w10:wrap type="topAndBottom" anchorx="page" anchory="margin"/>
              </v:shape>
            </w:pict>
          </mc:Fallback>
        </mc:AlternateContent>
      </w:r>
      <w:r>
        <mc:AlternateContent>
          <mc:Choice Requires="wps">
            <w:drawing>
              <wp:anchor distT="165100" distB="5715" distL="1946275" distR="2059305" simplePos="0" relativeHeight="125829424" behindDoc="0" locked="0" layoutInCell="1" allowOverlap="1">
                <wp:simplePos x="0" y="0"/>
                <wp:positionH relativeFrom="page">
                  <wp:posOffset>3094990</wp:posOffset>
                </wp:positionH>
                <wp:positionV relativeFrom="margin">
                  <wp:posOffset>6699250</wp:posOffset>
                </wp:positionV>
                <wp:extent cx="1167130" cy="143510"/>
                <wp:wrapTopAndBottom/>
                <wp:docPr id="102" name="Shape 102"/>
                <a:graphic xmlns:a="http://schemas.openxmlformats.org/drawingml/2006/main">
                  <a:graphicData uri="http://schemas.microsoft.com/office/word/2010/wordprocessingShape">
                    <wps:wsp>
                      <wps:cNvSpPr txBox="1"/>
                      <wps:spPr>
                        <a:xfrm>
                          <a:ext cx="1167130" cy="143510"/>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w:t>
                            </w:r>
                          </w:p>
                        </w:txbxContent>
                      </wps:txbx>
                      <wps:bodyPr wrap="none" lIns="0" tIns="0" rIns="0" bIns="0">
                        <a:noAutoFit/>
                      </wps:bodyPr>
                    </wps:wsp>
                  </a:graphicData>
                </a:graphic>
              </wp:anchor>
            </w:drawing>
          </mc:Choice>
          <mc:Fallback>
            <w:pict>
              <v:shape id="_x0000_s1128" type="#_x0000_t202" style="position:absolute;margin-left:243.70000000000002pt;margin-top:527.5pt;width:91.900000000000006pt;height:11.300000000000001pt;z-index:-125829329;mso-wrap-distance-left:153.25pt;mso-wrap-distance-top:13.pt;mso-wrap-distance-right:162.15000000000001pt;mso-wrap-distance-bottom:0.45000000000000001pt;mso-position-horizontal-relative:page;mso-position-vertical-relative:margin" filled="f" stroked="f">
                <v:textbox inset="0,0,0,0">
                  <w:txbxContent>
                    <w:p>
                      <w:pPr>
                        <w:pStyle w:val="Style10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w:t>
                      </w:r>
                    </w:p>
                  </w:txbxContent>
                </v:textbox>
                <w10:wrap type="topAndBottom" anchorx="page" anchory="margin"/>
              </v:shape>
            </w:pict>
          </mc:Fallback>
        </mc:AlternateContent>
      </w:r>
      <w:r>
        <mc:AlternateContent>
          <mc:Choice Requires="wps">
            <w:drawing>
              <wp:anchor distT="165100" distB="0" distL="4113530" distR="114300" simplePos="0" relativeHeight="125829426" behindDoc="0" locked="0" layoutInCell="1" allowOverlap="1">
                <wp:simplePos x="0" y="0"/>
                <wp:positionH relativeFrom="page">
                  <wp:posOffset>5262245</wp:posOffset>
                </wp:positionH>
                <wp:positionV relativeFrom="margin">
                  <wp:posOffset>6699250</wp:posOffset>
                </wp:positionV>
                <wp:extent cx="944880" cy="149225"/>
                <wp:wrapTopAndBottom/>
                <wp:docPr id="104" name="Shape 104"/>
                <a:graphic xmlns:a="http://schemas.openxmlformats.org/drawingml/2006/main">
                  <a:graphicData uri="http://schemas.microsoft.com/office/word/2010/wordprocessingShape">
                    <wps:wsp>
                      <wps:cNvSpPr txBox="1"/>
                      <wps:spPr>
                        <a:xfrm>
                          <a:ext cx="944880" cy="149225"/>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会计机构负责人:</w:t>
                            </w:r>
                          </w:p>
                        </w:txbxContent>
                      </wps:txbx>
                      <wps:bodyPr wrap="none" lIns="0" tIns="0" rIns="0" bIns="0">
                        <a:noAutoFit/>
                      </wps:bodyPr>
                    </wps:wsp>
                  </a:graphicData>
                </a:graphic>
              </wp:anchor>
            </w:drawing>
          </mc:Choice>
          <mc:Fallback>
            <w:pict>
              <v:shape id="_x0000_s1130" type="#_x0000_t202" style="position:absolute;margin-left:414.35000000000002pt;margin-top:527.5pt;width:74.400000000000006pt;height:11.75pt;z-index:-125829327;mso-wrap-distance-left:323.90000000000003pt;mso-wrap-distance-top:13.pt;mso-wrap-distance-right:9.pt;mso-position-horizontal-relative:page;mso-position-vertical-relative:margin" filled="f" stroked="f">
                <v:textbox inset="0,0,0,0">
                  <w:txbxContent>
                    <w:p>
                      <w:pPr>
                        <w:pStyle w:val="Style10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会计机构负责人:</w:t>
                      </w:r>
                    </w:p>
                  </w:txbxContent>
                </v:textbox>
                <w10:wrap type="topAndBottom" anchorx="page" anchory="margin"/>
              </v:shape>
            </w:pict>
          </mc:Fallback>
        </mc:AlternateContent>
      </w:r>
      <w:r>
        <w:rPr>
          <w:color w:val="000000"/>
          <w:spacing w:val="0"/>
          <w:w w:val="100"/>
          <w:position w:val="0"/>
          <w:sz w:val="18"/>
          <w:szCs w:val="18"/>
        </w:rPr>
        <w:t>后附财务报表附注为财务报表的组成部分。</w:t>
      </w:r>
      <w:r>
        <w:br w:type="page"/>
      </w:r>
    </w:p>
    <w:p>
      <w:pPr>
        <w:pStyle w:val="Style16"/>
        <w:keepNext w:val="0"/>
        <w:keepLines w:val="0"/>
        <w:widowControl w:val="0"/>
        <w:shd w:val="clear" w:color="auto" w:fill="auto"/>
        <w:bidi w:val="0"/>
        <w:spacing w:before="0" w:after="60" w:line="317" w:lineRule="exact"/>
        <w:ind w:left="0" w:right="0" w:firstLine="0"/>
        <w:jc w:val="center"/>
      </w:pPr>
      <w:r>
        <w:rPr>
          <w:b/>
          <w:bCs/>
          <w:color w:val="000000"/>
          <w:spacing w:val="0"/>
          <w:w w:val="100"/>
          <w:position w:val="0"/>
        </w:rPr>
        <w:t>国盛金融控股集团股份有限公司</w:t>
        <w:br/>
        <w:t>合并现金流量表</w:t>
      </w:r>
    </w:p>
    <w:p>
      <w:pPr>
        <w:pStyle w:val="Style97"/>
        <w:keepNext w:val="0"/>
        <w:keepLines w:val="0"/>
        <w:widowControl w:val="0"/>
        <w:shd w:val="clear" w:color="auto" w:fill="auto"/>
        <w:bidi w:val="0"/>
        <w:spacing w:before="0" w:after="0" w:line="331" w:lineRule="auto"/>
        <w:ind w:left="0" w:right="0" w:firstLine="0"/>
        <w:jc w:val="center"/>
      </w:pPr>
      <w:bookmarkStart w:id="666" w:name="bookmark666"/>
      <w:r>
        <w:rPr>
          <w:color w:val="000000"/>
          <w:spacing w:val="0"/>
          <w:w w:val="100"/>
          <w:position w:val="0"/>
        </w:rPr>
        <w:t>2020</w:t>
      </w:r>
      <w:r>
        <w:rPr>
          <w:rFonts w:ascii="SimSun" w:eastAsia="SimSun" w:hAnsi="SimSun" w:cs="SimSun"/>
          <w:color w:val="000000"/>
          <w:spacing w:val="0"/>
          <w:w w:val="100"/>
          <w:position w:val="0"/>
        </w:rPr>
        <w:t>年度</w:t>
      </w:r>
      <w:bookmarkEnd w:id="666"/>
    </w:p>
    <w:p>
      <w:pPr>
        <w:pStyle w:val="Style16"/>
        <w:keepNext w:val="0"/>
        <w:keepLines w:val="0"/>
        <w:widowControl w:val="0"/>
        <w:shd w:val="clear" w:color="auto" w:fill="auto"/>
        <w:bidi w:val="0"/>
        <w:spacing w:before="0" w:after="160" w:line="317" w:lineRule="exact"/>
        <w:ind w:left="0" w:right="0" w:firstLine="0"/>
        <w:jc w:val="center"/>
      </w:pPr>
      <w:r>
        <w:rPr>
          <w:b/>
          <w:bCs/>
          <w:color w:val="000000"/>
          <w:spacing w:val="0"/>
          <w:w w:val="100"/>
          <w:position w:val="0"/>
        </w:rPr>
        <w:t>（除特别注明外，金额单位均为人民币元）</w:t>
      </w:r>
    </w:p>
    <w:tbl>
      <w:tblPr>
        <w:tblOverlap w:val="never"/>
        <w:jc w:val="center"/>
        <w:tblLayout w:type="fixed"/>
      </w:tblPr>
      <w:tblGrid>
        <w:gridCol w:w="3744"/>
        <w:gridCol w:w="1133"/>
        <w:gridCol w:w="1728"/>
        <w:gridCol w:w="1757"/>
      </w:tblGrid>
      <w:tr>
        <w:trPr>
          <w:trHeight w:val="49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附注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本期金额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上期金额</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一、经营活动产生的现金流量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销售商品、提供劳务收到的现金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4,275,000.00</w:t>
            </w: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处置交易目的而持有的金融资产净增加额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3,124,252,245.36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4,539,827,122.39</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2,716,446,097.52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2,257,562,525.03</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返售业务资金净减少额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3,225,544,294.29</w:t>
            </w: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融出资金净减少额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2,609,302,485.51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2,260,472,275.87</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1,134,919.99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461,475.66</w:t>
            </w:r>
          </w:p>
        </w:tc>
      </w:tr>
      <w:tr>
        <w:trPr>
          <w:trHeight w:val="41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六、注释</w:t>
            </w:r>
            <w:r>
              <w:rPr>
                <w:rFonts w:ascii="Times New Roman" w:eastAsia="Times New Roman" w:hAnsi="Times New Roman" w:cs="Times New Roman"/>
                <w:color w:val="000000"/>
                <w:spacing w:val="0"/>
                <w:w w:val="100"/>
                <w:position w:val="0"/>
                <w:sz w:val="18"/>
                <w:szCs w:val="18"/>
              </w:rPr>
              <w:t>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92,265,910.16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376,529,884.19</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11,773,220,952.83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9,439,853,283.14</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购买商品、接受劳务支付的现金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4,409,301.48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3,763,958.20</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取得交易目的而持有的金融资产净增加额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拆入资金净减少额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400,000,000.00</w:t>
            </w: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回购业务资金净减少额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2,748,438,642.08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1,137,653,202.11</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返售业务资金净增加额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682,865,897.05</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融出资金净增加额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1,100,527,412.68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2,294,313,549.66</w:t>
            </w:r>
          </w:p>
        </w:tc>
      </w:tr>
      <w:tr>
        <w:trPr>
          <w:trHeight w:val="41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代理买卖证券支付的现金净额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435,280,838.11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462,026,803.69</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支付给职工以及为职工支付的现金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1,026,122,831.18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897,983,312.71</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192,695,918.08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220,790,776.06</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六、注释</w:t>
            </w:r>
            <w:r>
              <w:rPr>
                <w:rFonts w:ascii="Times New Roman" w:eastAsia="Times New Roman" w:hAnsi="Times New Roman" w:cs="Times New Roman"/>
                <w:color w:val="000000"/>
                <w:spacing w:val="0"/>
                <w:w w:val="100"/>
                <w:position w:val="0"/>
                <w:sz w:val="18"/>
                <w:szCs w:val="18"/>
              </w:rPr>
              <w:t>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1,575,363,521.55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1,318,657,286.29</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7,482,838,465.16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7,018,054,785.77</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经营活动产生的现金流量净额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4,290,382,487.67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2,421,798,497.37</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二、投资活动产生的现金流量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197,548,367.89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2,108,109,296.83</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130,586,350.68</w:t>
            </w:r>
          </w:p>
        </w:tc>
      </w:tr>
      <w:tr>
        <w:trPr>
          <w:trHeight w:val="427"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处置固定资产、无形资产和其他长期资产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512,589.70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173,338.72</w:t>
            </w:r>
          </w:p>
        </w:tc>
      </w:tr>
    </w:tbl>
    <w:p>
      <w:pPr>
        <w:widowControl w:val="0"/>
        <w:spacing w:line="1" w:lineRule="exact"/>
      </w:pPr>
      <w:r>
        <w:br w:type="page"/>
      </w:r>
    </w:p>
    <w:tbl>
      <w:tblPr>
        <w:tblOverlap w:val="never"/>
        <w:jc w:val="center"/>
        <w:tblLayout w:type="fixed"/>
      </w:tblPr>
      <w:tblGrid>
        <w:gridCol w:w="3744"/>
        <w:gridCol w:w="1133"/>
        <w:gridCol w:w="1728"/>
        <w:gridCol w:w="1757"/>
      </w:tblGrid>
      <w:tr>
        <w:trPr>
          <w:trHeight w:val="48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附注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本期金额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上期金额</w:t>
            </w:r>
          </w:p>
        </w:tc>
      </w:tr>
      <w:tr>
        <w:trPr>
          <w:trHeight w:val="37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3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jc w:val="both"/>
              <w:rPr>
                <w:sz w:val="18"/>
                <w:szCs w:val="18"/>
              </w:rPr>
            </w:pPr>
            <w:r>
              <w:rPr>
                <w:color w:val="000000"/>
                <w:spacing w:val="0"/>
                <w:w w:val="100"/>
                <w:position w:val="0"/>
                <w:sz w:val="18"/>
                <w:szCs w:val="18"/>
              </w:rPr>
              <w:t>处置子公司及其他营业单位收到的现金净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收到其他与投资活动有关的现金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六、注释</w:t>
            </w:r>
            <w:r>
              <w:rPr>
                <w:rFonts w:ascii="Times New Roman" w:eastAsia="Times New Roman" w:hAnsi="Times New Roman" w:cs="Times New Roman"/>
                <w:color w:val="000000"/>
                <w:spacing w:val="0"/>
                <w:w w:val="100"/>
                <w:position w:val="0"/>
                <w:sz w:val="18"/>
                <w:szCs w:val="18"/>
              </w:rPr>
              <w:t>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203,060,957.59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2,238,868,986.23</w:t>
            </w:r>
          </w:p>
        </w:tc>
      </w:tr>
      <w:tr>
        <w:trPr>
          <w:trHeight w:val="72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jc w:val="both"/>
              <w:rPr>
                <w:sz w:val="18"/>
                <w:szCs w:val="18"/>
              </w:rPr>
            </w:pPr>
            <w:r>
              <w:rPr>
                <w:color w:val="000000"/>
                <w:spacing w:val="0"/>
                <w:w w:val="100"/>
                <w:position w:val="0"/>
                <w:sz w:val="18"/>
                <w:szCs w:val="18"/>
              </w:rPr>
              <w:t>购建固定资产、无形资产和其他长期资产 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93,400,397.17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224,222,621.92</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175,834,695.80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795,776,631.39</w:t>
            </w:r>
          </w:p>
        </w:tc>
      </w:tr>
      <w:tr>
        <w:trPr>
          <w:trHeight w:val="73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jc w:val="both"/>
              <w:rPr>
                <w:sz w:val="18"/>
                <w:szCs w:val="18"/>
              </w:rPr>
            </w:pPr>
            <w:r>
              <w:rPr>
                <w:color w:val="000000"/>
                <w:spacing w:val="0"/>
                <w:w w:val="100"/>
                <w:position w:val="0"/>
                <w:sz w:val="18"/>
                <w:szCs w:val="18"/>
              </w:rPr>
              <w:t>取得子公司及其他营业单位支付的现金净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支付其他与投资活动有关的现金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六、注释</w:t>
            </w:r>
            <w:r>
              <w:rPr>
                <w:rFonts w:ascii="Times New Roman" w:eastAsia="Times New Roman" w:hAnsi="Times New Roman" w:cs="Times New Roman"/>
                <w:color w:val="000000"/>
                <w:spacing w:val="0"/>
                <w:w w:val="100"/>
                <w:position w:val="0"/>
                <w:sz w:val="18"/>
                <w:szCs w:val="18"/>
              </w:rPr>
              <w:t>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274,235,092.97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1,020,019,253.31</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投资活动产生的现金流量净额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-71,174,135.38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1,218,849,732.92</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三、筹资活动产生的现金流量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4,030,660,000.00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5,307,724,596.00</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收到其他与筹资活动有关的现金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六、注释</w:t>
            </w:r>
            <w:r>
              <w:rPr>
                <w:rFonts w:ascii="Times New Roman" w:eastAsia="Times New Roman" w:hAnsi="Times New Roman" w:cs="Times New Roman"/>
                <w:color w:val="000000"/>
                <w:spacing w:val="0"/>
                <w:w w:val="100"/>
                <w:position w:val="0"/>
                <w:sz w:val="18"/>
                <w:szCs w:val="18"/>
              </w:rPr>
              <w:t>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60,000,000.00</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4,030,660,000.00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5,367,724,596.00</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4,743,873,300.00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6,706,668,419.80</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分配股利、利润或偿付利息支付的现金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320,979,399.29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366,376,941.42</w:t>
            </w:r>
          </w:p>
        </w:tc>
      </w:tr>
      <w:tr>
        <w:trPr>
          <w:trHeight w:val="73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jc w:val="both"/>
              <w:rPr>
                <w:sz w:val="18"/>
                <w:szCs w:val="18"/>
              </w:rPr>
            </w:pPr>
            <w:r>
              <w:rPr>
                <w:color w:val="000000"/>
                <w:spacing w:val="0"/>
                <w:w w:val="100"/>
                <w:position w:val="0"/>
                <w:sz w:val="18"/>
                <w:szCs w:val="18"/>
              </w:rPr>
              <w:t>其中：子公司支付给少数股东的股利、利 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5,064,852,699.29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7,073,045,361.22</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筹资活动产生的现金流量净额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-1,034,192,699.29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-1,705,320,765.22</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四、汇率变动对现金及现金等价物的影响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-2,411,713.77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352,836.26</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五、现金及现金等价物净增加额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3,182,603,939.23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1,935,680,301.33</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加：期初现金及现金等价物余额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8,154,348,020.42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6,218,667,719.09</w:t>
            </w:r>
          </w:p>
        </w:tc>
      </w:tr>
      <w:tr>
        <w:trPr>
          <w:trHeight w:val="44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六、期末现金及现金等价物余额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11,336,951,959.65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8,154,348,020.42</w:t>
            </w:r>
          </w:p>
        </w:tc>
      </w:tr>
    </w:tbl>
    <w:p>
      <w:pPr>
        <w:widowControl w:val="0"/>
        <w:spacing w:after="99" w:line="1" w:lineRule="exact"/>
      </w:pPr>
    </w:p>
    <w:p>
      <w:pPr>
        <w:pStyle w:val="Style10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后附财务报表附注为财务报表的组成部分。</w:t>
      </w:r>
    </w:p>
    <w:p>
      <w:pPr>
        <w:pStyle w:val="Style100"/>
        <w:keepNext w:val="0"/>
        <w:keepLines w:val="0"/>
        <w:widowControl w:val="0"/>
        <w:shd w:val="clear" w:color="auto" w:fill="auto"/>
        <w:tabs>
          <w:tab w:pos="2880" w:val="left"/>
          <w:tab w:pos="6288" w:val="left"/>
        </w:tabs>
        <w:bidi w:val="0"/>
        <w:spacing w:before="0" w:after="240" w:line="240" w:lineRule="auto"/>
        <w:ind w:left="0" w:right="0" w:firstLine="0"/>
        <w:jc w:val="left"/>
      </w:pPr>
      <w:r>
        <w:rPr>
          <w:color w:val="000000"/>
          <w:spacing w:val="0"/>
          <w:w w:val="100"/>
          <w:position w:val="0"/>
        </w:rPr>
        <w:t>企业法定代表人：</w:t>
        <w:tab/>
        <w:t>主管会计工作负责人：</w:t>
        <w:tab/>
        <w:t>会计机构负责人:</w:t>
      </w:r>
      <w:r>
        <w:br w:type="page"/>
      </w:r>
    </w:p>
    <w:p>
      <w:pPr>
        <w:pStyle w:val="Style16"/>
        <w:keepNext w:val="0"/>
        <w:keepLines w:val="0"/>
        <w:widowControl w:val="0"/>
        <w:shd w:val="clear" w:color="auto" w:fill="auto"/>
        <w:bidi w:val="0"/>
        <w:spacing w:before="0" w:after="60" w:line="317" w:lineRule="exact"/>
        <w:ind w:left="0" w:right="0" w:firstLine="0"/>
        <w:jc w:val="center"/>
      </w:pPr>
      <w:r>
        <w:rPr>
          <w:b/>
          <w:bCs/>
          <w:color w:val="000000"/>
          <w:spacing w:val="0"/>
          <w:w w:val="100"/>
          <w:position w:val="0"/>
        </w:rPr>
        <w:t>国盛金融控股集团股份有限公司</w:t>
        <w:br/>
        <w:t>母公司现金流量表</w:t>
      </w:r>
    </w:p>
    <w:p>
      <w:pPr>
        <w:pStyle w:val="Style97"/>
        <w:keepNext w:val="0"/>
        <w:keepLines w:val="0"/>
        <w:widowControl w:val="0"/>
        <w:shd w:val="clear" w:color="auto" w:fill="auto"/>
        <w:bidi w:val="0"/>
        <w:spacing w:before="0" w:after="0" w:line="331" w:lineRule="auto"/>
        <w:ind w:left="0" w:right="0" w:firstLine="0"/>
        <w:jc w:val="center"/>
      </w:pPr>
      <w:bookmarkStart w:id="667" w:name="bookmark667"/>
      <w:r>
        <w:rPr>
          <w:color w:val="000000"/>
          <w:spacing w:val="0"/>
          <w:w w:val="100"/>
          <w:position w:val="0"/>
        </w:rPr>
        <w:t>2020</w:t>
      </w:r>
      <w:r>
        <w:rPr>
          <w:rFonts w:ascii="SimSun" w:eastAsia="SimSun" w:hAnsi="SimSun" w:cs="SimSun"/>
          <w:color w:val="000000"/>
          <w:spacing w:val="0"/>
          <w:w w:val="100"/>
          <w:position w:val="0"/>
        </w:rPr>
        <w:t>年度</w:t>
      </w:r>
      <w:bookmarkEnd w:id="667"/>
    </w:p>
    <w:p>
      <w:pPr>
        <w:pStyle w:val="Style16"/>
        <w:keepNext w:val="0"/>
        <w:keepLines w:val="0"/>
        <w:widowControl w:val="0"/>
        <w:shd w:val="clear" w:color="auto" w:fill="auto"/>
        <w:bidi w:val="0"/>
        <w:spacing w:before="0" w:after="160" w:line="317" w:lineRule="exact"/>
        <w:ind w:left="0" w:right="0" w:firstLine="0"/>
        <w:jc w:val="center"/>
      </w:pPr>
      <w:r>
        <w:rPr>
          <w:b/>
          <w:bCs/>
          <w:color w:val="000000"/>
          <w:spacing w:val="0"/>
          <w:w w:val="100"/>
          <w:position w:val="0"/>
        </w:rPr>
        <w:t>（除特别注明外，金额单位均为人民币元）</w:t>
      </w:r>
    </w:p>
    <w:tbl>
      <w:tblPr>
        <w:tblOverlap w:val="never"/>
        <w:jc w:val="center"/>
        <w:tblLayout w:type="fixed"/>
      </w:tblPr>
      <w:tblGrid>
        <w:gridCol w:w="4166"/>
        <w:gridCol w:w="854"/>
        <w:gridCol w:w="1651"/>
        <w:gridCol w:w="1680"/>
      </w:tblGrid>
      <w:tr>
        <w:trPr>
          <w:trHeight w:val="44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附注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440" w:firstLine="0"/>
              <w:jc w:val="right"/>
              <w:rPr>
                <w:sz w:val="18"/>
                <w:szCs w:val="18"/>
              </w:rPr>
            </w:pPr>
            <w:r>
              <w:rPr>
                <w:color w:val="000000"/>
                <w:spacing w:val="0"/>
                <w:w w:val="100"/>
                <w:position w:val="0"/>
                <w:sz w:val="18"/>
                <w:szCs w:val="18"/>
              </w:rPr>
              <w:t>本期金额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上期金额</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一、经营活动产生的现金流量：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销售商品、提供劳务收到的现金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12,570,140.22</w:t>
            </w: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461,475.66</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收到其他与经营活动有关的现金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9,035,456.05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23,470,981.26</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21,605,596.27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23,932,456.92</w:t>
            </w:r>
          </w:p>
        </w:tc>
      </w:tr>
      <w:tr>
        <w:trPr>
          <w:trHeight w:val="41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购买商品、接受劳务支付的现金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支付给职工以及为职工支付的现金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16,629,746.93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13,682,980.74</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379,681.02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7,362.68</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支付其他与经营活动有关的现金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26,142,669.41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47,384,947.17</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43,152,097.36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61,075,290.59</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b/>
                <w:bCs/>
                <w:color w:val="000000"/>
                <w:spacing w:val="0"/>
                <w:w w:val="100"/>
                <w:position w:val="0"/>
                <w:sz w:val="18"/>
                <w:szCs w:val="18"/>
              </w:rPr>
              <w:t>经营活动产生的现金流量净额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-21,546,501.09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-37,142,833.67</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二、投资活动产生的现金流量：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收回投资所收到的现金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160,487,328.77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2,075,000,000.00</w:t>
            </w:r>
          </w:p>
        </w:tc>
      </w:tr>
      <w:tr>
        <w:trPr>
          <w:trHeight w:val="41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377,000,000.00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510,586,350.68</w:t>
            </w:r>
          </w:p>
        </w:tc>
      </w:tr>
      <w:tr>
        <w:trPr>
          <w:trHeight w:val="73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500"/>
              <w:jc w:val="left"/>
              <w:rPr>
                <w:sz w:val="18"/>
                <w:szCs w:val="18"/>
              </w:rPr>
            </w:pPr>
            <w:r>
              <w:rPr>
                <w:color w:val="000000"/>
                <w:spacing w:val="0"/>
                <w:w w:val="100"/>
                <w:position w:val="0"/>
                <w:sz w:val="18"/>
                <w:szCs w:val="18"/>
              </w:rPr>
              <w:t>处置固定资产、无形资产和其他长期资产收回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2,012,528.42</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处置子公司及其他营业单位收到的现金净额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6,693,178.27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434,732,753.38</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544,180,507.04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3,022,331,632.48</w:t>
            </w:r>
          </w:p>
        </w:tc>
      </w:tr>
      <w:tr>
        <w:trPr>
          <w:trHeight w:val="73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500"/>
              <w:jc w:val="left"/>
              <w:rPr>
                <w:sz w:val="18"/>
                <w:szCs w:val="18"/>
              </w:rPr>
            </w:pPr>
            <w:r>
              <w:rPr>
                <w:color w:val="000000"/>
                <w:spacing w:val="0"/>
                <w:w w:val="100"/>
                <w:position w:val="0"/>
                <w:sz w:val="18"/>
                <w:szCs w:val="18"/>
              </w:rPr>
              <w:t>购建固定资产、无形资产和其他长期资产支付 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305,298.00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41,722.00</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185,000,001.00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634,910,000.00</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取得子公司及其他营业单位支付的现金净额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21,437,875.00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228,947,585.67</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206,743,174.00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863,899,307.67</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b/>
                <w:bCs/>
                <w:color w:val="000000"/>
                <w:spacing w:val="0"/>
                <w:w w:val="100"/>
                <w:position w:val="0"/>
                <w:sz w:val="18"/>
                <w:szCs w:val="18"/>
              </w:rPr>
              <w:t>投资活动产生的现金流量净额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337,437,333.04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2,158,432,324.81</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三、筹资活动产生的现金流量：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吸收投资收到的现金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166"/>
        <w:gridCol w:w="854"/>
        <w:gridCol w:w="1651"/>
        <w:gridCol w:w="1680"/>
      </w:tblGrid>
      <w:tr>
        <w:trPr>
          <w:trHeight w:val="44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附注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本期金额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上期金额</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258,807,400.00</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258,807,400.00</w:t>
            </w:r>
          </w:p>
        </w:tc>
      </w:tr>
      <w:tr>
        <w:trPr>
          <w:trHeight w:val="41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267,993,300.00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2,183,482,309.80</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分配股利、利润或偿付利息支付的现金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179,739,631.50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268,947,073.74</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3,828,965.20</w:t>
            </w: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451,561,896.70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2,452,429,383.54</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b/>
                <w:bCs/>
                <w:color w:val="000000"/>
                <w:spacing w:val="0"/>
                <w:w w:val="100"/>
                <w:position w:val="0"/>
                <w:sz w:val="18"/>
                <w:szCs w:val="18"/>
              </w:rPr>
              <w:t>筹资活动产生的现金流量净额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-451,561,896.70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-2,193,621,983.54</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四、汇率变动对现金及现金等价物的影响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0.45</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五、现金及现金等价物净增加额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-135,671,064.75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-72,332,491.95</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加：期初现金及现金等价物余额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146,467,344.18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218,799,836.13</w:t>
            </w:r>
          </w:p>
        </w:tc>
      </w:tr>
      <w:tr>
        <w:trPr>
          <w:trHeight w:val="44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六、期末现金及现金等价物余额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10,796,279.43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146,467,344.18</w:t>
            </w:r>
          </w:p>
        </w:tc>
      </w:tr>
    </w:tbl>
    <w:p>
      <w:pPr>
        <w:pStyle w:val="Style40"/>
        <w:keepNext w:val="0"/>
        <w:keepLines w:val="0"/>
        <w:widowControl w:val="0"/>
        <w:shd w:val="clear" w:color="auto" w:fill="auto"/>
        <w:bidi w:val="0"/>
        <w:spacing w:before="0" w:after="0" w:line="240" w:lineRule="auto"/>
        <w:ind w:left="38" w:right="0" w:firstLine="0"/>
        <w:jc w:val="left"/>
        <w:rPr>
          <w:sz w:val="18"/>
          <w:szCs w:val="18"/>
        </w:rPr>
        <w:sectPr>
          <w:footnotePr>
            <w:pos w:val="pageBottom"/>
            <w:numFmt w:val="decimal"/>
            <w:numRestart w:val="continuous"/>
          </w:footnotePr>
          <w:pgSz w:w="11900" w:h="16840"/>
          <w:pgMar w:top="1330" w:right="1578" w:bottom="1490" w:left="1932" w:header="0" w:footer="3" w:gutter="0"/>
          <w:cols w:space="720"/>
          <w:noEndnote/>
          <w:rtlGutter w:val="0"/>
          <w:docGrid w:linePitch="360"/>
        </w:sectPr>
      </w:pPr>
      <w:r>
        <w:rPr>
          <w:color w:val="000000"/>
          <w:spacing w:val="0"/>
          <w:w w:val="100"/>
          <w:position w:val="0"/>
          <w:sz w:val="18"/>
          <w:szCs w:val="18"/>
        </w:rPr>
        <w:t>后附财务报表附注为财务报表的组成部分。</w:t>
      </w:r>
    </w:p>
    <w:p>
      <w:pPr>
        <w:widowControl w:val="0"/>
        <w:spacing w:before="29" w:after="2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147" w:right="0" w:bottom="1393" w:left="0" w:header="0" w:footer="3" w:gutter="0"/>
          <w:cols w:space="720"/>
          <w:noEndnote/>
          <w:rtlGutter w:val="0"/>
          <w:docGrid w:linePitch="360"/>
        </w:sectPr>
      </w:pPr>
    </w:p>
    <w:p>
      <w:pPr>
        <w:pStyle w:val="Style100"/>
        <w:keepNext w:val="0"/>
        <w:keepLines w:val="0"/>
        <w:framePr w:w="1483" w:h="230" w:wrap="none" w:vAnchor="text" w:hAnchor="page" w:x="1990" w:y="21"/>
        <w:widowControl w:val="0"/>
        <w:shd w:val="clear" w:color="auto" w:fill="auto"/>
        <w:bidi w:val="0"/>
        <w:spacing w:before="0" w:after="0" w:line="240" w:lineRule="auto"/>
        <w:ind w:left="0" w:right="0" w:firstLine="0"/>
        <w:jc w:val="left"/>
      </w:pPr>
      <w:r>
        <w:rPr>
          <w:color w:val="000000"/>
          <w:spacing w:val="0"/>
          <w:w w:val="100"/>
          <w:position w:val="0"/>
        </w:rPr>
        <w:t>企业法定代表人:</w:t>
      </w:r>
    </w:p>
    <w:p>
      <w:pPr>
        <w:pStyle w:val="Style100"/>
        <w:keepNext w:val="0"/>
        <w:keepLines w:val="0"/>
        <w:framePr w:w="1838" w:h="226" w:wrap="none" w:vAnchor="text" w:hAnchor="page" w:x="4875" w:y="21"/>
        <w:widowControl w:val="0"/>
        <w:shd w:val="clear" w:color="auto" w:fill="auto"/>
        <w:bidi w:val="0"/>
        <w:spacing w:before="0" w:after="0" w:line="240" w:lineRule="auto"/>
        <w:ind w:left="0" w:right="0" w:firstLine="0"/>
        <w:jc w:val="left"/>
      </w:pPr>
      <w:r>
        <w:rPr>
          <w:color w:val="000000"/>
          <w:spacing w:val="0"/>
          <w:w w:val="100"/>
          <w:position w:val="0"/>
        </w:rPr>
        <w:t>主管会计工作负责人:</w:t>
      </w:r>
    </w:p>
    <w:p>
      <w:pPr>
        <w:pStyle w:val="Style100"/>
        <w:keepNext w:val="0"/>
        <w:keepLines w:val="0"/>
        <w:framePr w:w="1488" w:h="235" w:wrap="none" w:vAnchor="text" w:hAnchor="page" w:x="8288" w:y="21"/>
        <w:widowControl w:val="0"/>
        <w:shd w:val="clear" w:color="auto" w:fill="auto"/>
        <w:bidi w:val="0"/>
        <w:spacing w:before="0" w:after="0" w:line="240" w:lineRule="auto"/>
        <w:ind w:left="0" w:right="0" w:firstLine="0"/>
        <w:jc w:val="center"/>
      </w:pPr>
      <w:r>
        <w:rPr>
          <w:color w:val="000000"/>
          <w:spacing w:val="0"/>
          <w:w w:val="100"/>
          <w:position w:val="0"/>
        </w:rPr>
        <w:t>会计机构负责人:</w:t>
      </w:r>
    </w:p>
    <w:p>
      <w:pPr>
        <w:widowControl w:val="0"/>
        <w:spacing w:after="234" w:line="1" w:lineRule="exact"/>
      </w:pPr>
    </w:p>
    <w:p>
      <w:pPr>
        <w:widowControl w:val="0"/>
        <w:spacing w:line="1" w:lineRule="exact"/>
        <w:sectPr>
          <w:footnotePr>
            <w:pos w:val="pageBottom"/>
            <w:numFmt w:val="decimal"/>
            <w:numRestart w:val="continuous"/>
          </w:footnotePr>
          <w:type w:val="continuous"/>
          <w:pgSz w:w="11900" w:h="16840"/>
          <w:pgMar w:top="1147" w:right="1433" w:bottom="1393" w:left="1946" w:header="0" w:footer="3" w:gutter="0"/>
          <w:cols w:space="720"/>
          <w:noEndnote/>
          <w:rtlGutter w:val="0"/>
          <w:docGrid w:linePitch="360"/>
        </w:sectPr>
      </w:pPr>
    </w:p>
    <w:p>
      <w:pPr>
        <w:pStyle w:val="Style16"/>
        <w:keepNext w:val="0"/>
        <w:keepLines w:val="0"/>
        <w:widowControl w:val="0"/>
        <w:shd w:val="clear" w:color="auto" w:fill="auto"/>
        <w:bidi w:val="0"/>
        <w:spacing w:before="0" w:after="60" w:line="317" w:lineRule="exact"/>
        <w:ind w:left="0" w:right="0" w:firstLine="0"/>
        <w:jc w:val="center"/>
      </w:pPr>
      <w:r>
        <w:rPr>
          <w:b/>
          <w:bCs/>
          <w:color w:val="000000"/>
          <w:spacing w:val="0"/>
          <w:w w:val="100"/>
          <w:position w:val="0"/>
        </w:rPr>
        <w:t>国盛金融控股集团股份有限公司</w:t>
        <w:br/>
        <w:t>合并所有者权益变动表</w:t>
      </w:r>
    </w:p>
    <w:p>
      <w:pPr>
        <w:pStyle w:val="Style97"/>
        <w:keepNext w:val="0"/>
        <w:keepLines w:val="0"/>
        <w:widowControl w:val="0"/>
        <w:shd w:val="clear" w:color="auto" w:fill="auto"/>
        <w:bidi w:val="0"/>
        <w:spacing w:before="0" w:after="0" w:line="331" w:lineRule="auto"/>
        <w:ind w:left="0" w:right="0" w:firstLine="0"/>
        <w:jc w:val="center"/>
      </w:pPr>
      <w:bookmarkStart w:id="668" w:name="bookmark668"/>
      <w:r>
        <w:rPr>
          <w:color w:val="000000"/>
          <w:spacing w:val="0"/>
          <w:w w:val="100"/>
          <w:position w:val="0"/>
        </w:rPr>
        <w:t>2020</w:t>
      </w:r>
      <w:r>
        <w:rPr>
          <w:rFonts w:ascii="SimSun" w:eastAsia="SimSun" w:hAnsi="SimSun" w:cs="SimSun"/>
          <w:color w:val="000000"/>
          <w:spacing w:val="0"/>
          <w:w w:val="100"/>
          <w:position w:val="0"/>
        </w:rPr>
        <w:t>年度</w:t>
      </w:r>
      <w:bookmarkEnd w:id="668"/>
    </w:p>
    <w:p>
      <w:pPr>
        <w:pStyle w:val="Style16"/>
        <w:keepNext w:val="0"/>
        <w:keepLines w:val="0"/>
        <w:widowControl w:val="0"/>
        <w:shd w:val="clear" w:color="auto" w:fill="auto"/>
        <w:bidi w:val="0"/>
        <w:spacing w:before="0" w:after="340" w:line="317" w:lineRule="exact"/>
        <w:ind w:left="0" w:right="0" w:firstLine="0"/>
        <w:jc w:val="center"/>
      </w:pPr>
      <w:r>
        <w:rPr>
          <w:b/>
          <w:bCs/>
          <w:color w:val="000000"/>
          <w:spacing w:val="0"/>
          <w:w w:val="100"/>
          <w:position w:val="0"/>
        </w:rPr>
        <w:t>（除特别注明外，金额单位均为人民币元）</w:t>
      </w:r>
    </w:p>
    <w:p>
      <w:pPr>
        <w:pStyle w:val="Style103"/>
        <w:keepNext w:val="0"/>
        <w:keepLines w:val="0"/>
        <w:widowControl w:val="0"/>
        <w:shd w:val="clear" w:color="auto" w:fill="auto"/>
        <w:bidi w:val="0"/>
        <w:spacing w:before="0" w:line="240" w:lineRule="auto"/>
        <w:ind w:left="0" w:right="0" w:firstLine="0"/>
        <w:jc w:val="center"/>
      </w:pPr>
      <w:r>
        <w:rPr>
          <w:color w:val="000000"/>
          <w:spacing w:val="0"/>
          <w:w w:val="100"/>
          <w:position w:val="0"/>
        </w:rPr>
        <w:t>本期金额</w:t>
      </w:r>
    </w:p>
    <w:tbl>
      <w:tblPr>
        <w:tblOverlap w:val="never"/>
        <w:jc w:val="center"/>
        <w:tblLayout w:type="fixed"/>
      </w:tblPr>
      <w:tblGrid>
        <w:gridCol w:w="2208"/>
        <w:gridCol w:w="1046"/>
        <w:gridCol w:w="557"/>
        <w:gridCol w:w="581"/>
        <w:gridCol w:w="571"/>
        <w:gridCol w:w="1162"/>
        <w:gridCol w:w="581"/>
        <w:gridCol w:w="1090"/>
        <w:gridCol w:w="542"/>
        <w:gridCol w:w="955"/>
        <w:gridCol w:w="1248"/>
        <w:gridCol w:w="1272"/>
        <w:gridCol w:w="994"/>
        <w:gridCol w:w="1258"/>
      </w:tblGrid>
      <w:tr>
        <w:trPr>
          <w:trHeight w:val="442" w:hRule="exact"/>
        </w:trPr>
        <w:tc>
          <w:tcPr>
            <w:vMerge w:val="restart"/>
            <w:tcBorders/>
            <w:shd w:val="clear" w:color="auto" w:fill="FFFFFF"/>
            <w:vAlign w:val="top"/>
          </w:tcPr>
          <w:p>
            <w:pPr>
              <w:pStyle w:val="Style2"/>
              <w:keepNext w:val="0"/>
              <w:keepLines w:val="0"/>
              <w:widowControl w:val="0"/>
              <w:shd w:val="clear" w:color="auto" w:fill="auto"/>
              <w:bidi w:val="0"/>
              <w:spacing w:before="320" w:after="0" w:line="240" w:lineRule="auto"/>
              <w:ind w:left="0" w:right="0" w:firstLine="0"/>
              <w:jc w:val="center"/>
              <w:rPr>
                <w:sz w:val="13"/>
                <w:szCs w:val="13"/>
              </w:rPr>
            </w:pPr>
            <w:r>
              <w:rPr>
                <w:color w:val="000000"/>
                <w:spacing w:val="0"/>
                <w:w w:val="100"/>
                <w:position w:val="0"/>
                <w:sz w:val="13"/>
                <w:szCs w:val="13"/>
              </w:rPr>
              <w:t>项目</w:t>
            </w:r>
          </w:p>
        </w:tc>
        <w:tc>
          <w:tcPr>
            <w:gridSpan w:val="11"/>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归属于母公司股东权益</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少数股东权益</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3"/>
                <w:szCs w:val="13"/>
              </w:rPr>
            </w:pPr>
            <w:r>
              <w:rPr>
                <w:color w:val="000000"/>
                <w:spacing w:val="0"/>
                <w:w w:val="100"/>
                <w:position w:val="0"/>
                <w:sz w:val="13"/>
                <w:szCs w:val="13"/>
              </w:rPr>
              <w:t>股东权益合计</w:t>
            </w:r>
          </w:p>
        </w:tc>
      </w:tr>
      <w:tr>
        <w:trPr>
          <w:trHeight w:val="346" w:hRule="exact"/>
        </w:trPr>
        <w:tc>
          <w:tcPr>
            <w:vMerge/>
            <w:tcBorders/>
            <w:shd w:val="clear" w:color="auto" w:fill="FFFFFF"/>
            <w:vAlign w:val="top"/>
          </w:tcPr>
          <w:p>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股本</w:t>
            </w:r>
          </w:p>
        </w:tc>
        <w:tc>
          <w:tcPr>
            <w:gridSpan w:val="3"/>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其他权益工具</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3"/>
                <w:szCs w:val="13"/>
              </w:rPr>
            </w:pPr>
            <w:r>
              <w:rPr>
                <w:color w:val="000000"/>
                <w:spacing w:val="0"/>
                <w:w w:val="100"/>
                <w:position w:val="0"/>
                <w:sz w:val="13"/>
                <w:szCs w:val="13"/>
              </w:rPr>
              <w:t>资本公积</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center"/>
              <w:rPr>
                <w:sz w:val="13"/>
                <w:szCs w:val="13"/>
              </w:rPr>
            </w:pPr>
            <w:r>
              <w:rPr>
                <w:color w:val="000000"/>
                <w:spacing w:val="0"/>
                <w:w w:val="100"/>
                <w:position w:val="0"/>
                <w:sz w:val="13"/>
                <w:szCs w:val="13"/>
              </w:rPr>
              <w:t>减：库存</w:t>
            </w:r>
          </w:p>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股</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其他综合收益</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left"/>
              <w:rPr>
                <w:sz w:val="13"/>
                <w:szCs w:val="13"/>
              </w:rPr>
            </w:pPr>
            <w:r>
              <w:rPr>
                <w:color w:val="000000"/>
                <w:spacing w:val="0"/>
                <w:w w:val="100"/>
                <w:position w:val="0"/>
                <w:sz w:val="13"/>
                <w:szCs w:val="13"/>
              </w:rPr>
              <w:t>专项储</w:t>
            </w:r>
          </w:p>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备</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盈余公积</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3"/>
                <w:szCs w:val="13"/>
              </w:rPr>
            </w:pPr>
            <w:r>
              <w:rPr>
                <w:color w:val="000000"/>
                <w:spacing w:val="0"/>
                <w:w w:val="100"/>
                <w:position w:val="0"/>
                <w:sz w:val="13"/>
                <w:szCs w:val="13"/>
              </w:rPr>
              <w:t>一般风险准备</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300" w:firstLine="0"/>
              <w:jc w:val="right"/>
              <w:rPr>
                <w:sz w:val="13"/>
                <w:szCs w:val="13"/>
              </w:rPr>
            </w:pPr>
            <w:r>
              <w:rPr>
                <w:color w:val="000000"/>
                <w:spacing w:val="0"/>
                <w:w w:val="100"/>
                <w:position w:val="0"/>
                <w:sz w:val="13"/>
                <w:szCs w:val="13"/>
              </w:rPr>
              <w:t>未分配利润</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403" w:hRule="exact"/>
        </w:trPr>
        <w:tc>
          <w:tcPr>
            <w:vMerge/>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优先股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永续债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一、上年年末余额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1,935,084,653.00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8,861,826,994.03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19,923,054.68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44,253,651.01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3"/>
                <w:szCs w:val="13"/>
              </w:rPr>
            </w:pPr>
            <w:r>
              <w:rPr>
                <w:rFonts w:ascii="Times New Roman" w:eastAsia="Times New Roman" w:hAnsi="Times New Roman" w:cs="Times New Roman"/>
                <w:color w:val="000000"/>
                <w:spacing w:val="0"/>
                <w:w w:val="100"/>
                <w:position w:val="0"/>
                <w:sz w:val="13"/>
                <w:szCs w:val="13"/>
              </w:rPr>
              <w:t>308,695,568.82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3"/>
                <w:szCs w:val="13"/>
              </w:rPr>
            </w:pPr>
            <w:r>
              <w:rPr>
                <w:rFonts w:ascii="Times New Roman" w:eastAsia="Times New Roman" w:hAnsi="Times New Roman" w:cs="Times New Roman"/>
                <w:color w:val="000000"/>
                <w:spacing w:val="0"/>
                <w:w w:val="100"/>
                <w:position w:val="0"/>
                <w:sz w:val="13"/>
                <w:szCs w:val="13"/>
              </w:rPr>
              <w:t>406,834,197.71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2,490,050.10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11,579,108,169.35</w:t>
            </w:r>
          </w:p>
        </w:tc>
      </w:tr>
      <w:tr>
        <w:trPr>
          <w:trHeight w:val="41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3"/>
                <w:szCs w:val="13"/>
              </w:rPr>
            </w:pPr>
            <w:r>
              <w:rPr>
                <w:color w:val="000000"/>
                <w:spacing w:val="0"/>
                <w:w w:val="100"/>
                <w:position w:val="0"/>
                <w:sz w:val="13"/>
                <w:szCs w:val="13"/>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3"/>
                <w:szCs w:val="13"/>
              </w:rPr>
            </w:pPr>
            <w:r>
              <w:rPr>
                <w:rFonts w:ascii="Times New Roman" w:eastAsia="Times New Roman" w:hAnsi="Times New Roman" w:cs="Times New Roman"/>
                <w:color w:val="000000"/>
                <w:spacing w:val="0"/>
                <w:w w:val="100"/>
                <w:position w:val="0"/>
                <w:sz w:val="13"/>
                <w:szCs w:val="13"/>
              </w:rPr>
              <w:t>69,342,254.59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-10,649,490.60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89,142,769.63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147,835,533.62</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3"/>
                <w:szCs w:val="13"/>
              </w:rPr>
            </w:pPr>
            <w:r>
              <w:rPr>
                <w:color w:val="000000"/>
                <w:spacing w:val="0"/>
                <w:w w:val="100"/>
                <w:position w:val="0"/>
                <w:sz w:val="13"/>
                <w:szCs w:val="13"/>
              </w:rPr>
              <w:t>同一控制下企业合并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3"/>
                <w:szCs w:val="13"/>
              </w:rPr>
            </w:pPr>
            <w:r>
              <w:rPr>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二、本年期初余额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1,935,084,653.00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8,931,169,248.62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9,273,564.08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44,253,651.01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3"/>
                <w:szCs w:val="13"/>
              </w:rPr>
            </w:pPr>
            <w:r>
              <w:rPr>
                <w:rFonts w:ascii="Times New Roman" w:eastAsia="Times New Roman" w:hAnsi="Times New Roman" w:cs="Times New Roman"/>
                <w:color w:val="000000"/>
                <w:spacing w:val="0"/>
                <w:w w:val="100"/>
                <w:position w:val="0"/>
                <w:sz w:val="13"/>
                <w:szCs w:val="13"/>
              </w:rPr>
              <w:t>308,695,568.82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3"/>
                <w:szCs w:val="13"/>
              </w:rPr>
            </w:pPr>
            <w:r>
              <w:rPr>
                <w:rFonts w:ascii="Times New Roman" w:eastAsia="Times New Roman" w:hAnsi="Times New Roman" w:cs="Times New Roman"/>
                <w:color w:val="000000"/>
                <w:spacing w:val="0"/>
                <w:w w:val="100"/>
                <w:position w:val="0"/>
                <w:sz w:val="13"/>
                <w:szCs w:val="13"/>
              </w:rPr>
              <w:t>495,976,967.34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2,490,050.10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11,726,943,702.97</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三、本年增减变动金额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3"/>
                <w:szCs w:val="13"/>
              </w:rPr>
              <w:t>-46,761,489.63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-13,741,289.63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30,941,071.05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3"/>
                <w:szCs w:val="13"/>
              </w:rPr>
            </w:pPr>
            <w:r>
              <w:rPr>
                <w:rFonts w:ascii="Times New Roman" w:eastAsia="Times New Roman" w:hAnsi="Times New Roman" w:cs="Times New Roman"/>
                <w:color w:val="000000"/>
                <w:spacing w:val="0"/>
                <w:w w:val="100"/>
                <w:position w:val="0"/>
                <w:sz w:val="13"/>
                <w:szCs w:val="13"/>
              </w:rPr>
              <w:t>-400,137,399.08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-113,631.52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3"/>
                <w:szCs w:val="13"/>
              </w:rPr>
              <w:t>-429,812,738.81</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-17,061,749.42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3"/>
                <w:szCs w:val="13"/>
              </w:rPr>
            </w:pPr>
            <w:r>
              <w:rPr>
                <w:rFonts w:ascii="Times New Roman" w:eastAsia="Times New Roman" w:hAnsi="Times New Roman" w:cs="Times New Roman"/>
                <w:color w:val="000000"/>
                <w:spacing w:val="0"/>
                <w:w w:val="100"/>
                <w:position w:val="0"/>
                <w:sz w:val="13"/>
                <w:szCs w:val="13"/>
              </w:rPr>
              <w:t>-365,875,868.24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-563,289.03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3"/>
                <w:szCs w:val="13"/>
              </w:rPr>
              <w:t>-383,500,906.69</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（二）股东投入和减少资本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3"/>
                <w:szCs w:val="13"/>
              </w:rPr>
            </w:pPr>
            <w:r>
              <w:rPr>
                <w:rFonts w:ascii="Times New Roman" w:eastAsia="Times New Roman" w:hAnsi="Times New Roman" w:cs="Times New Roman"/>
                <w:color w:val="000000"/>
                <w:spacing w:val="0"/>
                <w:w w:val="100"/>
                <w:position w:val="0"/>
                <w:sz w:val="13"/>
                <w:szCs w:val="13"/>
              </w:rPr>
              <w:t>-449,657.51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449,657.51</w:t>
            </w: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 xml:space="preserve">1 </w:t>
            </w:r>
            <w:r>
              <w:rPr>
                <w:color w:val="000000"/>
                <w:spacing w:val="0"/>
                <w:w w:val="100"/>
                <w:position w:val="0"/>
                <w:sz w:val="13"/>
                <w:szCs w:val="13"/>
              </w:rPr>
              <w:t>,股东投入的普通股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2</w:t>
            </w:r>
            <w:r>
              <w:rPr>
                <w:color w:val="000000"/>
                <w:spacing w:val="0"/>
                <w:w w:val="100"/>
                <w:position w:val="0"/>
                <w:sz w:val="13"/>
                <w:szCs w:val="13"/>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3</w:t>
            </w:r>
            <w:r>
              <w:rPr>
                <w:color w:val="000000"/>
                <w:spacing w:val="0"/>
                <w:w w:val="100"/>
                <w:position w:val="0"/>
                <w:sz w:val="13"/>
                <w:szCs w:val="13"/>
              </w:rPr>
              <w:t>,股份支付计入股东权益的金额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3"/>
                <w:szCs w:val="13"/>
              </w:rPr>
            </w:pPr>
            <w:r>
              <w:rPr>
                <w:rFonts w:ascii="Times New Roman" w:eastAsia="Times New Roman" w:hAnsi="Times New Roman" w:cs="Times New Roman"/>
                <w:color w:val="000000"/>
                <w:spacing w:val="0"/>
                <w:w w:val="100"/>
                <w:position w:val="0"/>
                <w:sz w:val="13"/>
                <w:szCs w:val="13"/>
              </w:rPr>
              <w:t>4</w:t>
            </w:r>
            <w:r>
              <w:rPr>
                <w:color w:val="000000"/>
                <w:spacing w:val="0"/>
                <w:w w:val="100"/>
                <w:position w:val="0"/>
                <w:sz w:val="13"/>
                <w:szCs w:val="13"/>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3"/>
                <w:szCs w:val="13"/>
              </w:rPr>
            </w:pPr>
            <w:r>
              <w:rPr>
                <w:rFonts w:ascii="Times New Roman" w:eastAsia="Times New Roman" w:hAnsi="Times New Roman" w:cs="Times New Roman"/>
                <w:color w:val="000000"/>
                <w:spacing w:val="0"/>
                <w:w w:val="100"/>
                <w:position w:val="0"/>
                <w:sz w:val="13"/>
                <w:szCs w:val="13"/>
              </w:rPr>
              <w:t>-449,657.51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449,657.51</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p>
      <w:pPr>
        <w:pStyle w:val="Style40"/>
        <w:keepNext w:val="0"/>
        <w:keepLines w:val="0"/>
        <w:widowControl w:val="0"/>
        <w:shd w:val="clear" w:color="auto" w:fill="auto"/>
        <w:bidi w:val="0"/>
        <w:spacing w:before="0" w:after="0" w:line="240" w:lineRule="auto"/>
        <w:ind w:left="7834" w:right="0" w:firstLine="0"/>
        <w:jc w:val="left"/>
        <w:rPr>
          <w:sz w:val="13"/>
          <w:szCs w:val="13"/>
        </w:rPr>
      </w:pPr>
      <w:r>
        <w:rPr>
          <w:color w:val="000000"/>
          <w:spacing w:val="0"/>
          <w:w w:val="100"/>
          <w:position w:val="0"/>
          <w:sz w:val="13"/>
          <w:szCs w:val="13"/>
        </w:rPr>
        <w:t>本期金额</w:t>
      </w:r>
    </w:p>
    <w:tbl>
      <w:tblPr>
        <w:tblOverlap w:val="never"/>
        <w:jc w:val="center"/>
        <w:tblLayout w:type="fixed"/>
      </w:tblPr>
      <w:tblGrid>
        <w:gridCol w:w="2208"/>
        <w:gridCol w:w="1046"/>
        <w:gridCol w:w="557"/>
        <w:gridCol w:w="581"/>
        <w:gridCol w:w="571"/>
        <w:gridCol w:w="1162"/>
        <w:gridCol w:w="581"/>
        <w:gridCol w:w="1090"/>
        <w:gridCol w:w="542"/>
        <w:gridCol w:w="955"/>
        <w:gridCol w:w="1248"/>
        <w:gridCol w:w="1272"/>
        <w:gridCol w:w="994"/>
        <w:gridCol w:w="1258"/>
      </w:tblGrid>
      <w:tr>
        <w:trPr>
          <w:trHeight w:val="442" w:hRule="exact"/>
        </w:trPr>
        <w:tc>
          <w:tcPr>
            <w:vMerge w:val="restart"/>
            <w:tcBorders/>
            <w:shd w:val="clear" w:color="auto" w:fill="FFFFFF"/>
            <w:vAlign w:val="top"/>
          </w:tcPr>
          <w:p>
            <w:pPr>
              <w:pStyle w:val="Style2"/>
              <w:keepNext w:val="0"/>
              <w:keepLines w:val="0"/>
              <w:widowControl w:val="0"/>
              <w:shd w:val="clear" w:color="auto" w:fill="auto"/>
              <w:bidi w:val="0"/>
              <w:spacing w:before="320" w:after="0" w:line="240" w:lineRule="auto"/>
              <w:ind w:left="0" w:right="0" w:firstLine="0"/>
              <w:jc w:val="center"/>
              <w:rPr>
                <w:sz w:val="13"/>
                <w:szCs w:val="13"/>
              </w:rPr>
            </w:pPr>
            <w:r>
              <w:rPr>
                <w:color w:val="000000"/>
                <w:spacing w:val="0"/>
                <w:w w:val="100"/>
                <w:position w:val="0"/>
                <w:sz w:val="13"/>
                <w:szCs w:val="13"/>
              </w:rPr>
              <w:t>项目</w:t>
            </w:r>
          </w:p>
        </w:tc>
        <w:tc>
          <w:tcPr>
            <w:gridSpan w:val="11"/>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归属于母公司股东权益</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少数股东权益</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股东权益合计</w:t>
            </w:r>
          </w:p>
        </w:tc>
      </w:tr>
      <w:tr>
        <w:trPr>
          <w:trHeight w:val="346" w:hRule="exact"/>
        </w:trPr>
        <w:tc>
          <w:tcPr>
            <w:vMerge/>
            <w:tcBorders/>
            <w:shd w:val="clear" w:color="auto" w:fill="FFFFFF"/>
            <w:vAlign w:val="top"/>
          </w:tcPr>
          <w:p>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股本</w:t>
            </w:r>
          </w:p>
        </w:tc>
        <w:tc>
          <w:tcPr>
            <w:gridSpan w:val="3"/>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其他权益工具</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资本公积</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center"/>
              <w:rPr>
                <w:sz w:val="13"/>
                <w:szCs w:val="13"/>
              </w:rPr>
            </w:pPr>
            <w:r>
              <w:rPr>
                <w:color w:val="000000"/>
                <w:spacing w:val="0"/>
                <w:w w:val="100"/>
                <w:position w:val="0"/>
                <w:sz w:val="13"/>
                <w:szCs w:val="13"/>
              </w:rPr>
              <w:t>减：库存</w:t>
            </w:r>
          </w:p>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股</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其他综合收益</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left"/>
              <w:rPr>
                <w:sz w:val="13"/>
                <w:szCs w:val="13"/>
              </w:rPr>
            </w:pPr>
            <w:r>
              <w:rPr>
                <w:color w:val="000000"/>
                <w:spacing w:val="0"/>
                <w:w w:val="100"/>
                <w:position w:val="0"/>
                <w:sz w:val="13"/>
                <w:szCs w:val="13"/>
              </w:rPr>
              <w:t>专项储</w:t>
            </w:r>
          </w:p>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备</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盈余公积</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3"/>
                <w:szCs w:val="13"/>
              </w:rPr>
            </w:pPr>
            <w:r>
              <w:rPr>
                <w:color w:val="000000"/>
                <w:spacing w:val="0"/>
                <w:w w:val="100"/>
                <w:position w:val="0"/>
                <w:sz w:val="13"/>
                <w:szCs w:val="13"/>
              </w:rPr>
              <w:t>一般风险准备</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300" w:firstLine="0"/>
              <w:jc w:val="right"/>
              <w:rPr>
                <w:sz w:val="13"/>
                <w:szCs w:val="13"/>
              </w:rPr>
            </w:pPr>
            <w:r>
              <w:rPr>
                <w:color w:val="000000"/>
                <w:spacing w:val="0"/>
                <w:w w:val="100"/>
                <w:position w:val="0"/>
                <w:sz w:val="13"/>
                <w:szCs w:val="13"/>
              </w:rPr>
              <w:t>未分配利润</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403" w:hRule="exact"/>
        </w:trPr>
        <w:tc>
          <w:tcPr>
            <w:vMerge/>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优先股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永续债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30,941,071.05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-30,941,071.05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1</w:t>
            </w:r>
            <w:r>
              <w:rPr>
                <w:color w:val="000000"/>
                <w:spacing w:val="0"/>
                <w:w w:val="100"/>
                <w:position w:val="0"/>
                <w:sz w:val="13"/>
                <w:szCs w:val="13"/>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2</w:t>
            </w:r>
            <w:r>
              <w:rPr>
                <w:color w:val="000000"/>
                <w:spacing w:val="0"/>
                <w:w w:val="100"/>
                <w:position w:val="0"/>
                <w:sz w:val="13"/>
                <w:szCs w:val="13"/>
              </w:rPr>
              <w:t>,对股东的分配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3</w:t>
            </w:r>
            <w:r>
              <w:rPr>
                <w:color w:val="000000"/>
                <w:spacing w:val="0"/>
                <w:w w:val="100"/>
                <w:position w:val="0"/>
                <w:sz w:val="13"/>
                <w:szCs w:val="13"/>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30,941,071.05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-30,941,071.05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3"/>
                <w:szCs w:val="13"/>
              </w:rPr>
            </w:pPr>
            <w:r>
              <w:rPr>
                <w:rFonts w:ascii="Times New Roman" w:eastAsia="Times New Roman" w:hAnsi="Times New Roman" w:cs="Times New Roman"/>
                <w:color w:val="000000"/>
                <w:spacing w:val="0"/>
                <w:w w:val="100"/>
                <w:position w:val="0"/>
                <w:sz w:val="13"/>
                <w:szCs w:val="13"/>
              </w:rPr>
              <w:t>4</w:t>
            </w:r>
            <w:r>
              <w:rPr>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（四）股东权益内部结转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3"/>
                <w:szCs w:val="13"/>
              </w:rPr>
            </w:pPr>
            <w:r>
              <w:rPr>
                <w:rFonts w:ascii="Times New Roman" w:eastAsia="Times New Roman" w:hAnsi="Times New Roman" w:cs="Times New Roman"/>
                <w:color w:val="000000"/>
                <w:spacing w:val="0"/>
                <w:w w:val="100"/>
                <w:position w:val="0"/>
                <w:sz w:val="13"/>
                <w:szCs w:val="13"/>
              </w:rPr>
              <w:t>3,320,459.79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-3,320,459.79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1</w:t>
            </w:r>
            <w:r>
              <w:rPr>
                <w:color w:val="000000"/>
                <w:spacing w:val="0"/>
                <w:w w:val="100"/>
                <w:position w:val="0"/>
                <w:sz w:val="13"/>
                <w:szCs w:val="13"/>
              </w:rPr>
              <w:t>资本公积转增股本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2</w:t>
            </w:r>
            <w:r>
              <w:rPr>
                <w:color w:val="000000"/>
                <w:spacing w:val="0"/>
                <w:w w:val="100"/>
                <w:position w:val="0"/>
                <w:sz w:val="13"/>
                <w:szCs w:val="13"/>
              </w:rPr>
              <w:t>,盈余公积转增股本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3</w:t>
            </w:r>
            <w:r>
              <w:rPr>
                <w:color w:val="000000"/>
                <w:spacing w:val="0"/>
                <w:w w:val="100"/>
                <w:position w:val="0"/>
                <w:sz w:val="13"/>
                <w:szCs w:val="13"/>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3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4</w:t>
            </w:r>
            <w:r>
              <w:rPr>
                <w:color w:val="000000"/>
                <w:spacing w:val="0"/>
                <w:w w:val="100"/>
                <w:position w:val="0"/>
                <w:sz w:val="13"/>
                <w:szCs w:val="13"/>
              </w:rPr>
              <w:t>,设定受益计划变动额结转留存</w:t>
            </w:r>
          </w:p>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5</w:t>
            </w:r>
            <w:r>
              <w:rPr>
                <w:color w:val="000000"/>
                <w:spacing w:val="0"/>
                <w:w w:val="100"/>
                <w:position w:val="0"/>
                <w:sz w:val="13"/>
                <w:szCs w:val="13"/>
              </w:rPr>
              <w:t>,其他综合收益结转留存收益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3"/>
                <w:szCs w:val="13"/>
              </w:rPr>
            </w:pPr>
            <w:r>
              <w:rPr>
                <w:rFonts w:ascii="Times New Roman" w:eastAsia="Times New Roman" w:hAnsi="Times New Roman" w:cs="Times New Roman"/>
                <w:color w:val="000000"/>
                <w:spacing w:val="0"/>
                <w:w w:val="100"/>
                <w:position w:val="0"/>
                <w:sz w:val="13"/>
                <w:szCs w:val="13"/>
              </w:rPr>
              <w:t>3,320,459.79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-3,320,459.79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3"/>
                <w:szCs w:val="13"/>
              </w:rPr>
            </w:pPr>
            <w:r>
              <w:rPr>
                <w:rFonts w:ascii="Times New Roman" w:eastAsia="Times New Roman" w:hAnsi="Times New Roman" w:cs="Times New Roman"/>
                <w:color w:val="000000"/>
                <w:spacing w:val="0"/>
                <w:w w:val="100"/>
                <w:position w:val="0"/>
                <w:sz w:val="13"/>
                <w:szCs w:val="13"/>
              </w:rPr>
              <w:t>6</w:t>
            </w:r>
            <w:r>
              <w:rPr>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1</w:t>
            </w:r>
            <w:r>
              <w:rPr>
                <w:color w:val="000000"/>
                <w:spacing w:val="0"/>
                <w:w w:val="100"/>
                <w:position w:val="0"/>
                <w:sz w:val="13"/>
                <w:szCs w:val="13"/>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2</w:t>
            </w:r>
            <w:r>
              <w:rPr>
                <w:color w:val="000000"/>
                <w:spacing w:val="0"/>
                <w:w w:val="100"/>
                <w:position w:val="0"/>
                <w:sz w:val="13"/>
                <w:szCs w:val="13"/>
              </w:rPr>
              <w:t>,本期使用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p>
      <w:pPr>
        <w:pStyle w:val="Style40"/>
        <w:keepNext w:val="0"/>
        <w:keepLines w:val="0"/>
        <w:widowControl w:val="0"/>
        <w:shd w:val="clear" w:color="auto" w:fill="auto"/>
        <w:bidi w:val="0"/>
        <w:spacing w:before="0" w:after="0" w:line="240" w:lineRule="auto"/>
        <w:ind w:left="7843" w:right="0" w:firstLine="0"/>
        <w:jc w:val="left"/>
        <w:rPr>
          <w:sz w:val="13"/>
          <w:szCs w:val="13"/>
        </w:rPr>
      </w:pPr>
      <w:r>
        <w:rPr>
          <w:color w:val="000000"/>
          <w:spacing w:val="0"/>
          <w:w w:val="100"/>
          <w:position w:val="0"/>
          <w:sz w:val="13"/>
          <w:szCs w:val="13"/>
        </w:rPr>
        <w:t>本期金额</w:t>
      </w:r>
    </w:p>
    <w:tbl>
      <w:tblPr>
        <w:tblOverlap w:val="never"/>
        <w:jc w:val="center"/>
        <w:tblLayout w:type="fixed"/>
      </w:tblPr>
      <w:tblGrid>
        <w:gridCol w:w="2218"/>
        <w:gridCol w:w="1046"/>
        <w:gridCol w:w="557"/>
        <w:gridCol w:w="581"/>
        <w:gridCol w:w="571"/>
        <w:gridCol w:w="1162"/>
        <w:gridCol w:w="581"/>
        <w:gridCol w:w="1090"/>
        <w:gridCol w:w="547"/>
        <w:gridCol w:w="955"/>
        <w:gridCol w:w="1243"/>
        <w:gridCol w:w="1277"/>
        <w:gridCol w:w="994"/>
        <w:gridCol w:w="1253"/>
      </w:tblGrid>
      <w:tr>
        <w:trPr>
          <w:trHeight w:val="442" w:hRule="exact"/>
        </w:trPr>
        <w:tc>
          <w:tcPr>
            <w:vMerge w:val="restart"/>
            <w:tcBorders/>
            <w:shd w:val="clear" w:color="auto" w:fill="FFFFFF"/>
            <w:vAlign w:val="top"/>
          </w:tcPr>
          <w:p>
            <w:pPr>
              <w:pStyle w:val="Style2"/>
              <w:keepNext w:val="0"/>
              <w:keepLines w:val="0"/>
              <w:widowControl w:val="0"/>
              <w:shd w:val="clear" w:color="auto" w:fill="auto"/>
              <w:bidi w:val="0"/>
              <w:spacing w:before="320" w:after="0" w:line="240" w:lineRule="auto"/>
              <w:ind w:left="0" w:right="0" w:firstLine="0"/>
              <w:jc w:val="center"/>
              <w:rPr>
                <w:sz w:val="13"/>
                <w:szCs w:val="13"/>
              </w:rPr>
            </w:pPr>
            <w:r>
              <w:rPr>
                <w:color w:val="000000"/>
                <w:spacing w:val="0"/>
                <w:w w:val="100"/>
                <w:position w:val="0"/>
                <w:sz w:val="13"/>
                <w:szCs w:val="13"/>
              </w:rPr>
              <w:t>项目</w:t>
            </w:r>
          </w:p>
        </w:tc>
        <w:tc>
          <w:tcPr>
            <w:gridSpan w:val="11"/>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归属于母公司股东权益</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少数股东权益</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股东权益合计</w:t>
            </w:r>
          </w:p>
        </w:tc>
      </w:tr>
      <w:tr>
        <w:trPr>
          <w:trHeight w:val="346" w:hRule="exact"/>
        </w:trPr>
        <w:tc>
          <w:tcPr>
            <w:vMerge/>
            <w:tcBorders/>
            <w:shd w:val="clear" w:color="auto" w:fill="FFFFFF"/>
            <w:vAlign w:val="top"/>
          </w:tcPr>
          <w:p>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股本</w:t>
            </w:r>
          </w:p>
        </w:tc>
        <w:tc>
          <w:tcPr>
            <w:gridSpan w:val="3"/>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其他权益工具</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资本公积</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center"/>
              <w:rPr>
                <w:sz w:val="13"/>
                <w:szCs w:val="13"/>
              </w:rPr>
            </w:pPr>
            <w:r>
              <w:rPr>
                <w:color w:val="000000"/>
                <w:spacing w:val="0"/>
                <w:w w:val="100"/>
                <w:position w:val="0"/>
                <w:sz w:val="13"/>
                <w:szCs w:val="13"/>
              </w:rPr>
              <w:t>减：库存</w:t>
            </w:r>
          </w:p>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股</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其他综合收益</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center"/>
              <w:rPr>
                <w:sz w:val="13"/>
                <w:szCs w:val="13"/>
              </w:rPr>
            </w:pPr>
            <w:r>
              <w:rPr>
                <w:color w:val="000000"/>
                <w:spacing w:val="0"/>
                <w:w w:val="100"/>
                <w:position w:val="0"/>
                <w:sz w:val="13"/>
                <w:szCs w:val="13"/>
              </w:rPr>
              <w:t>专项储</w:t>
            </w:r>
          </w:p>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备</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盈余公积</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3"/>
                <w:szCs w:val="13"/>
              </w:rPr>
            </w:pPr>
            <w:r>
              <w:rPr>
                <w:color w:val="000000"/>
                <w:spacing w:val="0"/>
                <w:w w:val="100"/>
                <w:position w:val="0"/>
                <w:sz w:val="13"/>
                <w:szCs w:val="13"/>
              </w:rPr>
              <w:t>一般风险准备</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未分配利润</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403" w:hRule="exact"/>
        </w:trPr>
        <w:tc>
          <w:tcPr>
            <w:vMerge/>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优先股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永续债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rPr>
              <w:t>-46,311,832.12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-46,311,832.12</w:t>
            </w:r>
          </w:p>
        </w:tc>
      </w:tr>
      <w:tr>
        <w:trPr>
          <w:trHeight w:val="44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四、本年期末余额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1,935,084,653.00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8,884,407,758.99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3"/>
                <w:szCs w:val="13"/>
              </w:rPr>
              <w:t>-4,467,725.55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44,253,651.01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339,636,639.87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95,839,568.26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2,376,418.58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11,297,130,964.16</w:t>
            </w:r>
          </w:p>
        </w:tc>
      </w:tr>
    </w:tbl>
    <w:p>
      <w:pPr>
        <w:widowControl w:val="0"/>
        <w:spacing w:after="79" w:line="1" w:lineRule="exact"/>
      </w:pPr>
    </w:p>
    <w:p>
      <w:pPr>
        <w:pStyle w:val="Style100"/>
        <w:keepNext w:val="0"/>
        <w:keepLines w:val="0"/>
        <w:widowControl w:val="0"/>
        <w:shd w:val="clear" w:color="auto" w:fill="auto"/>
        <w:bidi w:val="0"/>
        <w:spacing w:before="0" w:after="0" w:line="240" w:lineRule="auto"/>
        <w:ind w:left="0" w:right="0" w:firstLine="0"/>
        <w:jc w:val="left"/>
      </w:pPr>
      <w:r>
        <w:rPr>
          <w:color w:val="000000"/>
          <w:spacing w:val="0"/>
          <w:w w:val="100"/>
          <w:position w:val="0"/>
        </w:rPr>
        <w:t>后附财务报表附注为财务报表的组成部分。</w:t>
      </w:r>
    </w:p>
    <w:p>
      <w:pPr>
        <w:widowControl w:val="0"/>
        <w:spacing w:line="1" w:lineRule="exact"/>
      </w:pPr>
      <w:r>
        <mc:AlternateContent>
          <mc:Choice Requires="wps">
            <w:drawing>
              <wp:anchor distT="165100" distB="3175" distL="0" distR="0" simplePos="0" relativeHeight="125829428" behindDoc="0" locked="0" layoutInCell="1" allowOverlap="1">
                <wp:simplePos x="0" y="0"/>
                <wp:positionH relativeFrom="page">
                  <wp:posOffset>839470</wp:posOffset>
                </wp:positionH>
                <wp:positionV relativeFrom="paragraph">
                  <wp:posOffset>165100</wp:posOffset>
                </wp:positionV>
                <wp:extent cx="941705" cy="146050"/>
                <wp:wrapTopAndBottom/>
                <wp:docPr id="106" name="Shape 106"/>
                <a:graphic xmlns:a="http://schemas.openxmlformats.org/drawingml/2006/main">
                  <a:graphicData uri="http://schemas.microsoft.com/office/word/2010/wordprocessingShape">
                    <wps:wsp>
                      <wps:cNvSpPr txBox="1"/>
                      <wps:spPr>
                        <a:xfrm>
                          <a:ext cx="941705" cy="146050"/>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企业法定代表人:</w:t>
                            </w:r>
                          </w:p>
                        </w:txbxContent>
                      </wps:txbx>
                      <wps:bodyPr wrap="none" lIns="0" tIns="0" rIns="0" bIns="0">
                        <a:noAutoFit/>
                      </wps:bodyPr>
                    </wps:wsp>
                  </a:graphicData>
                </a:graphic>
              </wp:anchor>
            </w:drawing>
          </mc:Choice>
          <mc:Fallback>
            <w:pict>
              <v:shape id="_x0000_s1132" type="#_x0000_t202" style="position:absolute;margin-left:66.099999999999994pt;margin-top:13.pt;width:74.150000000000006pt;height:11.5pt;z-index:-125829325;mso-wrap-distance-left:0;mso-wrap-distance-top:13.pt;mso-wrap-distance-right:0;mso-wrap-distance-bottom:0.25pt;mso-position-horizontal-relative:page" filled="f" stroked="f">
                <v:textbox inset="0,0,0,0">
                  <w:txbxContent>
                    <w:p>
                      <w:pPr>
                        <w:pStyle w:val="Style100"/>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企业法定代表人:</w:t>
                      </w:r>
                    </w:p>
                  </w:txbxContent>
                </v:textbox>
                <w10:wrap type="topAndBottom" anchorx="page"/>
              </v:shape>
            </w:pict>
          </mc:Fallback>
        </mc:AlternateContent>
      </w:r>
      <w:r>
        <mc:AlternateContent>
          <mc:Choice Requires="wps">
            <w:drawing>
              <wp:anchor distT="165100" distB="5715" distL="0" distR="0" simplePos="0" relativeHeight="125829430" behindDoc="0" locked="0" layoutInCell="1" allowOverlap="1">
                <wp:simplePos x="0" y="0"/>
                <wp:positionH relativeFrom="page">
                  <wp:posOffset>3926840</wp:posOffset>
                </wp:positionH>
                <wp:positionV relativeFrom="paragraph">
                  <wp:posOffset>165100</wp:posOffset>
                </wp:positionV>
                <wp:extent cx="1167130" cy="143510"/>
                <wp:wrapTopAndBottom/>
                <wp:docPr id="108" name="Shape 108"/>
                <a:graphic xmlns:a="http://schemas.openxmlformats.org/drawingml/2006/main">
                  <a:graphicData uri="http://schemas.microsoft.com/office/word/2010/wordprocessingShape">
                    <wps:wsp>
                      <wps:cNvSpPr txBox="1"/>
                      <wps:spPr>
                        <a:xfrm>
                          <a:ext cx="1167130" cy="143510"/>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w:t>
                            </w:r>
                          </w:p>
                        </w:txbxContent>
                      </wps:txbx>
                      <wps:bodyPr wrap="none" lIns="0" tIns="0" rIns="0" bIns="0">
                        <a:noAutoFit/>
                      </wps:bodyPr>
                    </wps:wsp>
                  </a:graphicData>
                </a:graphic>
              </wp:anchor>
            </w:drawing>
          </mc:Choice>
          <mc:Fallback>
            <w:pict>
              <v:shape id="_x0000_s1134" type="#_x0000_t202" style="position:absolute;margin-left:309.19999999999999pt;margin-top:13.pt;width:91.900000000000006pt;height:11.300000000000001pt;z-index:-125829323;mso-wrap-distance-left:0;mso-wrap-distance-top:13.pt;mso-wrap-distance-right:0;mso-wrap-distance-bottom:0.45000000000000001pt;mso-position-horizontal-relative:page" filled="f" stroked="f">
                <v:textbox inset="0,0,0,0">
                  <w:txbxContent>
                    <w:p>
                      <w:pPr>
                        <w:pStyle w:val="Style10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w:t>
                      </w:r>
                    </w:p>
                  </w:txbxContent>
                </v:textbox>
                <w10:wrap type="topAndBottom" anchorx="page"/>
              </v:shape>
            </w:pict>
          </mc:Fallback>
        </mc:AlternateContent>
      </w:r>
      <w:r>
        <mc:AlternateContent>
          <mc:Choice Requires="wps">
            <w:drawing>
              <wp:anchor distT="165100" distB="0" distL="0" distR="0" simplePos="0" relativeHeight="125829432" behindDoc="0" locked="0" layoutInCell="1" allowOverlap="1">
                <wp:simplePos x="0" y="0"/>
                <wp:positionH relativeFrom="page">
                  <wp:posOffset>7124700</wp:posOffset>
                </wp:positionH>
                <wp:positionV relativeFrom="paragraph">
                  <wp:posOffset>165100</wp:posOffset>
                </wp:positionV>
                <wp:extent cx="941705" cy="149225"/>
                <wp:wrapTopAndBottom/>
                <wp:docPr id="110" name="Shape 110"/>
                <a:graphic xmlns:a="http://schemas.openxmlformats.org/drawingml/2006/main">
                  <a:graphicData uri="http://schemas.microsoft.com/office/word/2010/wordprocessingShape">
                    <wps:wsp>
                      <wps:cNvSpPr txBox="1"/>
                      <wps:spPr>
                        <a:xfrm>
                          <a:ext cx="941705" cy="149225"/>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w:t>
                            </w:r>
                          </w:p>
                        </w:txbxContent>
                      </wps:txbx>
                      <wps:bodyPr wrap="none" lIns="0" tIns="0" rIns="0" bIns="0">
                        <a:noAutoFit/>
                      </wps:bodyPr>
                    </wps:wsp>
                  </a:graphicData>
                </a:graphic>
              </wp:anchor>
            </w:drawing>
          </mc:Choice>
          <mc:Fallback>
            <w:pict>
              <v:shape id="_x0000_s1136" type="#_x0000_t202" style="position:absolute;margin-left:561.pt;margin-top:13.pt;width:74.150000000000006pt;height:11.75pt;z-index:-125829321;mso-wrap-distance-left:0;mso-wrap-distance-top:13.pt;mso-wrap-distance-right:0;mso-position-horizontal-relative:page" filled="f" stroked="f">
                <v:textbox inset="0,0,0,0">
                  <w:txbxContent>
                    <w:p>
                      <w:pPr>
                        <w:pStyle w:val="Style10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w:t>
                      </w:r>
                    </w:p>
                  </w:txbxContent>
                </v:textbox>
                <w10:wrap type="topAndBottom" anchorx="page"/>
              </v:shape>
            </w:pict>
          </mc:Fallback>
        </mc:AlternateContent>
      </w:r>
      <w:r>
        <w:br w:type="page"/>
      </w:r>
    </w:p>
    <w:p>
      <w:pPr>
        <w:pStyle w:val="Style16"/>
        <w:keepNext w:val="0"/>
        <w:keepLines w:val="0"/>
        <w:widowControl w:val="0"/>
        <w:shd w:val="clear" w:color="auto" w:fill="auto"/>
        <w:bidi w:val="0"/>
        <w:spacing w:before="0" w:after="60" w:line="317" w:lineRule="exact"/>
        <w:ind w:left="0" w:right="0" w:firstLine="0"/>
        <w:jc w:val="center"/>
      </w:pPr>
      <w:r>
        <w:rPr>
          <w:b/>
          <w:bCs/>
          <w:color w:val="000000"/>
          <w:spacing w:val="0"/>
          <w:w w:val="100"/>
          <w:position w:val="0"/>
        </w:rPr>
        <w:t>国盛金融控股集团股份有限公司</w:t>
        <w:br/>
        <w:t>合并所有者权益变动表（续）</w:t>
      </w:r>
    </w:p>
    <w:p>
      <w:pPr>
        <w:pStyle w:val="Style97"/>
        <w:keepNext w:val="0"/>
        <w:keepLines w:val="0"/>
        <w:widowControl w:val="0"/>
        <w:shd w:val="clear" w:color="auto" w:fill="auto"/>
        <w:bidi w:val="0"/>
        <w:spacing w:before="0" w:after="0" w:line="331"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年度</w:t>
      </w:r>
    </w:p>
    <w:p>
      <w:pPr>
        <w:pStyle w:val="Style16"/>
        <w:keepNext w:val="0"/>
        <w:keepLines w:val="0"/>
        <w:widowControl w:val="0"/>
        <w:shd w:val="clear" w:color="auto" w:fill="auto"/>
        <w:bidi w:val="0"/>
        <w:spacing w:before="0" w:after="340" w:line="317" w:lineRule="exact"/>
        <w:ind w:left="0" w:right="0" w:firstLine="0"/>
        <w:jc w:val="center"/>
      </w:pPr>
      <w:r>
        <w:rPr>
          <w:b/>
          <w:bCs/>
          <w:color w:val="000000"/>
          <w:spacing w:val="0"/>
          <w:w w:val="100"/>
          <w:position w:val="0"/>
        </w:rPr>
        <w:t>（除特别注明外，金额单位均为人民币元）</w:t>
      </w:r>
    </w:p>
    <w:p>
      <w:pPr>
        <w:pStyle w:val="Style103"/>
        <w:keepNext w:val="0"/>
        <w:keepLines w:val="0"/>
        <w:widowControl w:val="0"/>
        <w:shd w:val="clear" w:color="auto" w:fill="auto"/>
        <w:bidi w:val="0"/>
        <w:spacing w:before="0" w:line="240" w:lineRule="auto"/>
        <w:ind w:left="7860" w:right="0" w:firstLine="0"/>
        <w:jc w:val="left"/>
      </w:pPr>
      <w:r>
        <w:rPr>
          <w:color w:val="000000"/>
          <w:spacing w:val="0"/>
          <w:w w:val="100"/>
          <w:position w:val="0"/>
        </w:rPr>
        <w:t>上期金额</w:t>
      </w:r>
    </w:p>
    <w:tbl>
      <w:tblPr>
        <w:tblOverlap w:val="never"/>
        <w:jc w:val="center"/>
        <w:tblLayout w:type="fixed"/>
      </w:tblPr>
      <w:tblGrid>
        <w:gridCol w:w="2208"/>
        <w:gridCol w:w="1046"/>
        <w:gridCol w:w="557"/>
        <w:gridCol w:w="581"/>
        <w:gridCol w:w="571"/>
        <w:gridCol w:w="1162"/>
        <w:gridCol w:w="581"/>
        <w:gridCol w:w="1090"/>
        <w:gridCol w:w="542"/>
        <w:gridCol w:w="955"/>
        <w:gridCol w:w="1483"/>
        <w:gridCol w:w="1320"/>
        <w:gridCol w:w="802"/>
        <w:gridCol w:w="1166"/>
      </w:tblGrid>
      <w:tr>
        <w:trPr>
          <w:trHeight w:val="442" w:hRule="exact"/>
        </w:trPr>
        <w:tc>
          <w:tcPr>
            <w:vMerge w:val="restart"/>
            <w:tcBorders/>
            <w:shd w:val="clear" w:color="auto" w:fill="FFFFFF"/>
            <w:vAlign w:val="top"/>
          </w:tcPr>
          <w:p>
            <w:pPr>
              <w:pStyle w:val="Style2"/>
              <w:keepNext w:val="0"/>
              <w:keepLines w:val="0"/>
              <w:widowControl w:val="0"/>
              <w:shd w:val="clear" w:color="auto" w:fill="auto"/>
              <w:bidi w:val="0"/>
              <w:spacing w:before="320" w:after="0" w:line="240" w:lineRule="auto"/>
              <w:ind w:left="0" w:right="0" w:firstLine="0"/>
              <w:jc w:val="center"/>
              <w:rPr>
                <w:sz w:val="13"/>
                <w:szCs w:val="13"/>
              </w:rPr>
            </w:pPr>
            <w:r>
              <w:rPr>
                <w:color w:val="000000"/>
                <w:spacing w:val="0"/>
                <w:w w:val="100"/>
                <w:position w:val="0"/>
                <w:sz w:val="13"/>
                <w:szCs w:val="13"/>
              </w:rPr>
              <w:t>项目</w:t>
            </w:r>
          </w:p>
        </w:tc>
        <w:tc>
          <w:tcPr>
            <w:gridSpan w:val="11"/>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归属于母公司股东权益</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right"/>
              <w:rPr>
                <w:sz w:val="13"/>
                <w:szCs w:val="13"/>
              </w:rPr>
            </w:pPr>
            <w:r>
              <w:rPr>
                <w:color w:val="000000"/>
                <w:spacing w:val="0"/>
                <w:w w:val="100"/>
                <w:position w:val="0"/>
                <w:sz w:val="13"/>
                <w:szCs w:val="13"/>
              </w:rPr>
              <w:t>少数股东权</w:t>
            </w:r>
          </w:p>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益</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200" w:firstLine="0"/>
              <w:jc w:val="right"/>
              <w:rPr>
                <w:sz w:val="13"/>
                <w:szCs w:val="13"/>
              </w:rPr>
            </w:pPr>
            <w:r>
              <w:rPr>
                <w:color w:val="000000"/>
                <w:spacing w:val="0"/>
                <w:w w:val="100"/>
                <w:position w:val="0"/>
                <w:sz w:val="13"/>
                <w:szCs w:val="13"/>
              </w:rPr>
              <w:t>股东权益合计</w:t>
            </w:r>
          </w:p>
        </w:tc>
      </w:tr>
      <w:tr>
        <w:trPr>
          <w:trHeight w:val="346" w:hRule="exact"/>
        </w:trPr>
        <w:tc>
          <w:tcPr>
            <w:vMerge/>
            <w:tcBorders/>
            <w:shd w:val="clear" w:color="auto" w:fill="FFFFFF"/>
            <w:vAlign w:val="top"/>
          </w:tcPr>
          <w:p>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股本</w:t>
            </w:r>
          </w:p>
        </w:tc>
        <w:tc>
          <w:tcPr>
            <w:gridSpan w:val="3"/>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其他权益工具</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3"/>
                <w:szCs w:val="13"/>
              </w:rPr>
            </w:pPr>
            <w:r>
              <w:rPr>
                <w:color w:val="000000"/>
                <w:spacing w:val="0"/>
                <w:w w:val="100"/>
                <w:position w:val="0"/>
                <w:sz w:val="13"/>
                <w:szCs w:val="13"/>
              </w:rPr>
              <w:t>资本公积</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center"/>
              <w:rPr>
                <w:sz w:val="13"/>
                <w:szCs w:val="13"/>
              </w:rPr>
            </w:pPr>
            <w:r>
              <w:rPr>
                <w:color w:val="000000"/>
                <w:spacing w:val="0"/>
                <w:w w:val="100"/>
                <w:position w:val="0"/>
                <w:sz w:val="13"/>
                <w:szCs w:val="13"/>
              </w:rPr>
              <w:t>减：库存</w:t>
            </w:r>
          </w:p>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股</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其他综合收益</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left"/>
              <w:rPr>
                <w:sz w:val="13"/>
                <w:szCs w:val="13"/>
              </w:rPr>
            </w:pPr>
            <w:r>
              <w:rPr>
                <w:color w:val="000000"/>
                <w:spacing w:val="0"/>
                <w:w w:val="100"/>
                <w:position w:val="0"/>
                <w:sz w:val="13"/>
                <w:szCs w:val="13"/>
              </w:rPr>
              <w:t>专项储</w:t>
            </w:r>
          </w:p>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备</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盈余公积</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3"/>
                <w:szCs w:val="13"/>
              </w:rPr>
            </w:pPr>
            <w:r>
              <w:rPr>
                <w:color w:val="000000"/>
                <w:spacing w:val="0"/>
                <w:w w:val="100"/>
                <w:position w:val="0"/>
                <w:sz w:val="13"/>
                <w:szCs w:val="13"/>
              </w:rPr>
              <w:t>一般风险准备</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320" w:firstLine="0"/>
              <w:jc w:val="right"/>
              <w:rPr>
                <w:sz w:val="13"/>
                <w:szCs w:val="13"/>
              </w:rPr>
            </w:pPr>
            <w:r>
              <w:rPr>
                <w:color w:val="000000"/>
                <w:spacing w:val="0"/>
                <w:w w:val="100"/>
                <w:position w:val="0"/>
                <w:sz w:val="13"/>
                <w:szCs w:val="13"/>
              </w:rPr>
              <w:t>未分配利润</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403" w:hRule="exact"/>
        </w:trPr>
        <w:tc>
          <w:tcPr>
            <w:vMerge/>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优先股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永续债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一、上年年末余额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1,935,084,653.00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8,861,090,306.42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-38,172,787.92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44,253,651.01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600,115,330.16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2,886,302.38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11,405,257,455.05</w:t>
            </w:r>
          </w:p>
        </w:tc>
      </w:tr>
      <w:tr>
        <w:trPr>
          <w:trHeight w:val="41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83,934,756.06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-36,254,673.73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rPr>
              <w:t>47,680,082.33</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3"/>
                <w:szCs w:val="13"/>
              </w:rPr>
            </w:pPr>
            <w:r>
              <w:rPr>
                <w:color w:val="000000"/>
                <w:spacing w:val="0"/>
                <w:w w:val="100"/>
                <w:position w:val="0"/>
                <w:sz w:val="13"/>
                <w:szCs w:val="13"/>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148,007,906.90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-58,475,506.51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3"/>
                <w:szCs w:val="13"/>
              </w:rPr>
            </w:pPr>
            <w:r>
              <w:rPr>
                <w:rFonts w:ascii="Times New Roman" w:eastAsia="Times New Roman" w:hAnsi="Times New Roman" w:cs="Times New Roman"/>
                <w:color w:val="000000"/>
                <w:spacing w:val="0"/>
                <w:w w:val="100"/>
                <w:position w:val="0"/>
                <w:sz w:val="13"/>
                <w:szCs w:val="13"/>
              </w:rPr>
              <w:t>163,482,282.13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253,014,682.52</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3"/>
                <w:szCs w:val="13"/>
              </w:rPr>
            </w:pPr>
            <w:r>
              <w:rPr>
                <w:color w:val="000000"/>
                <w:spacing w:val="0"/>
                <w:w w:val="100"/>
                <w:position w:val="0"/>
                <w:sz w:val="13"/>
                <w:szCs w:val="13"/>
              </w:rPr>
              <w:t>同一控制下企业合并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3"/>
                <w:szCs w:val="13"/>
              </w:rPr>
            </w:pPr>
            <w:r>
              <w:rPr>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二、本年期初余额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1,935,084,653.00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9,009,098,213.32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-12,713,538.37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44,253,651.01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3"/>
                <w:szCs w:val="13"/>
              </w:rPr>
            </w:pPr>
            <w:r>
              <w:rPr>
                <w:rFonts w:ascii="Times New Roman" w:eastAsia="Times New Roman" w:hAnsi="Times New Roman" w:cs="Times New Roman"/>
                <w:color w:val="000000"/>
                <w:spacing w:val="0"/>
                <w:w w:val="100"/>
                <w:position w:val="0"/>
                <w:sz w:val="13"/>
                <w:szCs w:val="13"/>
              </w:rPr>
              <w:t>727,342,938.56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2,886,302.38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11,705,952,219.90</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三、本年增减变动金额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-77,928,964.70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21,987,102.45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308,695,568.82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-231,365,971.22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-396,252.28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rPr>
              <w:t>20,991,483.07</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21,987,102.45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77,329,597.60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-396,252.28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rPr>
              <w:t>98,920,447.77</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（二）股东投入和减少资本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 xml:space="preserve">1 </w:t>
            </w:r>
            <w:r>
              <w:rPr>
                <w:color w:val="000000"/>
                <w:spacing w:val="0"/>
                <w:w w:val="100"/>
                <w:position w:val="0"/>
                <w:sz w:val="13"/>
                <w:szCs w:val="13"/>
              </w:rPr>
              <w:t>,股东投入的普通股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2</w:t>
            </w:r>
            <w:r>
              <w:rPr>
                <w:color w:val="000000"/>
                <w:spacing w:val="0"/>
                <w:w w:val="100"/>
                <w:position w:val="0"/>
                <w:sz w:val="13"/>
                <w:szCs w:val="13"/>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3</w:t>
            </w:r>
            <w:r>
              <w:rPr>
                <w:color w:val="000000"/>
                <w:spacing w:val="0"/>
                <w:w w:val="100"/>
                <w:position w:val="0"/>
                <w:sz w:val="13"/>
                <w:szCs w:val="13"/>
              </w:rPr>
              <w:t>,股份支付计入股东权益的金额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3"/>
                <w:szCs w:val="13"/>
              </w:rPr>
            </w:pPr>
            <w:r>
              <w:rPr>
                <w:rFonts w:ascii="Times New Roman" w:eastAsia="Times New Roman" w:hAnsi="Times New Roman" w:cs="Times New Roman"/>
                <w:color w:val="000000"/>
                <w:spacing w:val="0"/>
                <w:w w:val="100"/>
                <w:position w:val="0"/>
                <w:sz w:val="13"/>
                <w:szCs w:val="13"/>
              </w:rPr>
              <w:t>4</w:t>
            </w:r>
            <w:r>
              <w:rPr>
                <w:color w:val="000000"/>
                <w:spacing w:val="0"/>
                <w:w w:val="100"/>
                <w:position w:val="0"/>
                <w:sz w:val="13"/>
                <w:szCs w:val="13"/>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p>
      <w:pPr>
        <w:pStyle w:val="Style40"/>
        <w:keepNext w:val="0"/>
        <w:keepLines w:val="0"/>
        <w:widowControl w:val="0"/>
        <w:shd w:val="clear" w:color="auto" w:fill="auto"/>
        <w:bidi w:val="0"/>
        <w:spacing w:before="0" w:after="0" w:line="240" w:lineRule="auto"/>
        <w:ind w:left="7838" w:right="0" w:firstLine="0"/>
        <w:jc w:val="left"/>
        <w:rPr>
          <w:sz w:val="13"/>
          <w:szCs w:val="13"/>
        </w:rPr>
      </w:pPr>
      <w:r>
        <w:rPr>
          <w:color w:val="000000"/>
          <w:spacing w:val="0"/>
          <w:w w:val="100"/>
          <w:position w:val="0"/>
          <w:sz w:val="13"/>
          <w:szCs w:val="13"/>
        </w:rPr>
        <w:t>上期金额</w:t>
      </w:r>
    </w:p>
    <w:tbl>
      <w:tblPr>
        <w:tblOverlap w:val="never"/>
        <w:jc w:val="center"/>
        <w:tblLayout w:type="fixed"/>
      </w:tblPr>
      <w:tblGrid>
        <w:gridCol w:w="2208"/>
        <w:gridCol w:w="1046"/>
        <w:gridCol w:w="557"/>
        <w:gridCol w:w="581"/>
        <w:gridCol w:w="571"/>
        <w:gridCol w:w="1162"/>
        <w:gridCol w:w="581"/>
        <w:gridCol w:w="1090"/>
        <w:gridCol w:w="542"/>
        <w:gridCol w:w="955"/>
        <w:gridCol w:w="1483"/>
        <w:gridCol w:w="1320"/>
        <w:gridCol w:w="802"/>
        <w:gridCol w:w="1166"/>
      </w:tblGrid>
      <w:tr>
        <w:trPr>
          <w:trHeight w:val="442" w:hRule="exact"/>
        </w:trPr>
        <w:tc>
          <w:tcPr>
            <w:vMerge w:val="restart"/>
            <w:tcBorders/>
            <w:shd w:val="clear" w:color="auto" w:fill="FFFFFF"/>
            <w:vAlign w:val="top"/>
          </w:tcPr>
          <w:p>
            <w:pPr>
              <w:pStyle w:val="Style2"/>
              <w:keepNext w:val="0"/>
              <w:keepLines w:val="0"/>
              <w:widowControl w:val="0"/>
              <w:shd w:val="clear" w:color="auto" w:fill="auto"/>
              <w:bidi w:val="0"/>
              <w:spacing w:before="320" w:after="0" w:line="240" w:lineRule="auto"/>
              <w:ind w:left="0" w:right="0" w:firstLine="0"/>
              <w:jc w:val="center"/>
              <w:rPr>
                <w:sz w:val="13"/>
                <w:szCs w:val="13"/>
              </w:rPr>
            </w:pPr>
            <w:r>
              <w:rPr>
                <w:color w:val="000000"/>
                <w:spacing w:val="0"/>
                <w:w w:val="100"/>
                <w:position w:val="0"/>
                <w:sz w:val="13"/>
                <w:szCs w:val="13"/>
              </w:rPr>
              <w:t>项目</w:t>
            </w:r>
          </w:p>
        </w:tc>
        <w:tc>
          <w:tcPr>
            <w:gridSpan w:val="11"/>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归属于母公司股东权益</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right"/>
              <w:rPr>
                <w:sz w:val="13"/>
                <w:szCs w:val="13"/>
              </w:rPr>
            </w:pPr>
            <w:r>
              <w:rPr>
                <w:color w:val="000000"/>
                <w:spacing w:val="0"/>
                <w:w w:val="100"/>
                <w:position w:val="0"/>
                <w:sz w:val="13"/>
                <w:szCs w:val="13"/>
              </w:rPr>
              <w:t>少数股东权</w:t>
            </w:r>
          </w:p>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益</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200" w:firstLine="0"/>
              <w:jc w:val="right"/>
              <w:rPr>
                <w:sz w:val="13"/>
                <w:szCs w:val="13"/>
              </w:rPr>
            </w:pPr>
            <w:r>
              <w:rPr>
                <w:color w:val="000000"/>
                <w:spacing w:val="0"/>
                <w:w w:val="100"/>
                <w:position w:val="0"/>
                <w:sz w:val="13"/>
                <w:szCs w:val="13"/>
              </w:rPr>
              <w:t>股东权益合计</w:t>
            </w:r>
          </w:p>
        </w:tc>
      </w:tr>
      <w:tr>
        <w:trPr>
          <w:trHeight w:val="346" w:hRule="exact"/>
        </w:trPr>
        <w:tc>
          <w:tcPr>
            <w:vMerge/>
            <w:tcBorders/>
            <w:shd w:val="clear" w:color="auto" w:fill="FFFFFF"/>
            <w:vAlign w:val="top"/>
          </w:tcPr>
          <w:p>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股本</w:t>
            </w:r>
          </w:p>
        </w:tc>
        <w:tc>
          <w:tcPr>
            <w:gridSpan w:val="3"/>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其他权益工具</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资本公积</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center"/>
              <w:rPr>
                <w:sz w:val="13"/>
                <w:szCs w:val="13"/>
              </w:rPr>
            </w:pPr>
            <w:r>
              <w:rPr>
                <w:color w:val="000000"/>
                <w:spacing w:val="0"/>
                <w:w w:val="100"/>
                <w:position w:val="0"/>
                <w:sz w:val="13"/>
                <w:szCs w:val="13"/>
              </w:rPr>
              <w:t>减：库存</w:t>
            </w:r>
          </w:p>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股</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其他综合收益</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left"/>
              <w:rPr>
                <w:sz w:val="13"/>
                <w:szCs w:val="13"/>
              </w:rPr>
            </w:pPr>
            <w:r>
              <w:rPr>
                <w:color w:val="000000"/>
                <w:spacing w:val="0"/>
                <w:w w:val="100"/>
                <w:position w:val="0"/>
                <w:sz w:val="13"/>
                <w:szCs w:val="13"/>
              </w:rPr>
              <w:t>专项储</w:t>
            </w:r>
          </w:p>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备</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盈余公积</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3"/>
                <w:szCs w:val="13"/>
              </w:rPr>
            </w:pPr>
            <w:r>
              <w:rPr>
                <w:color w:val="000000"/>
                <w:spacing w:val="0"/>
                <w:w w:val="100"/>
                <w:position w:val="0"/>
                <w:sz w:val="13"/>
                <w:szCs w:val="13"/>
              </w:rPr>
              <w:t>一般风险准备</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320" w:firstLine="0"/>
              <w:jc w:val="right"/>
              <w:rPr>
                <w:sz w:val="13"/>
                <w:szCs w:val="13"/>
              </w:rPr>
            </w:pPr>
            <w:r>
              <w:rPr>
                <w:color w:val="000000"/>
                <w:spacing w:val="0"/>
                <w:w w:val="100"/>
                <w:position w:val="0"/>
                <w:sz w:val="13"/>
                <w:szCs w:val="13"/>
              </w:rPr>
              <w:t>未分配利润</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403" w:hRule="exact"/>
        </w:trPr>
        <w:tc>
          <w:tcPr>
            <w:vMerge/>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优先股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永续债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3"/>
                <w:szCs w:val="13"/>
              </w:rPr>
            </w:pPr>
            <w:r>
              <w:rPr>
                <w:rFonts w:ascii="Times New Roman" w:eastAsia="Times New Roman" w:hAnsi="Times New Roman" w:cs="Times New Roman"/>
                <w:color w:val="000000"/>
                <w:spacing w:val="0"/>
                <w:w w:val="100"/>
                <w:position w:val="0"/>
                <w:sz w:val="13"/>
                <w:szCs w:val="13"/>
              </w:rPr>
              <w:t>308,695,568.82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-308,695,568.82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 xml:space="preserve">1 </w:t>
            </w:r>
            <w:r>
              <w:rPr>
                <w:color w:val="000000"/>
                <w:spacing w:val="0"/>
                <w:w w:val="100"/>
                <w:position w:val="0"/>
                <w:sz w:val="13"/>
                <w:szCs w:val="13"/>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2</w:t>
            </w:r>
            <w:r>
              <w:rPr>
                <w:color w:val="000000"/>
                <w:spacing w:val="0"/>
                <w:w w:val="100"/>
                <w:position w:val="0"/>
                <w:sz w:val="13"/>
                <w:szCs w:val="13"/>
              </w:rPr>
              <w:t>,对股东的分配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3</w:t>
            </w:r>
            <w:r>
              <w:rPr>
                <w:color w:val="000000"/>
                <w:spacing w:val="0"/>
                <w:w w:val="100"/>
                <w:position w:val="0"/>
                <w:sz w:val="13"/>
                <w:szCs w:val="13"/>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3"/>
                <w:szCs w:val="13"/>
              </w:rPr>
            </w:pPr>
            <w:r>
              <w:rPr>
                <w:rFonts w:ascii="Times New Roman" w:eastAsia="Times New Roman" w:hAnsi="Times New Roman" w:cs="Times New Roman"/>
                <w:color w:val="000000"/>
                <w:spacing w:val="0"/>
                <w:w w:val="100"/>
                <w:position w:val="0"/>
                <w:sz w:val="13"/>
                <w:szCs w:val="13"/>
              </w:rPr>
              <w:t>308,695,568.82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-308,695,568.82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3"/>
                <w:szCs w:val="13"/>
              </w:rPr>
            </w:pPr>
            <w:r>
              <w:rPr>
                <w:rFonts w:ascii="Times New Roman" w:eastAsia="Times New Roman" w:hAnsi="Times New Roman" w:cs="Times New Roman"/>
                <w:color w:val="000000"/>
                <w:spacing w:val="0"/>
                <w:w w:val="100"/>
                <w:position w:val="0"/>
                <w:sz w:val="13"/>
                <w:szCs w:val="13"/>
              </w:rPr>
              <w:t>4</w:t>
            </w:r>
            <w:r>
              <w:rPr>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（四）股东权益内部结转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 xml:space="preserve">1 </w:t>
            </w:r>
            <w:r>
              <w:rPr>
                <w:color w:val="000000"/>
                <w:spacing w:val="0"/>
                <w:w w:val="100"/>
                <w:position w:val="0"/>
                <w:sz w:val="13"/>
                <w:szCs w:val="13"/>
              </w:rPr>
              <w:t>,资本公积转增股本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2</w:t>
            </w:r>
            <w:r>
              <w:rPr>
                <w:color w:val="000000"/>
                <w:spacing w:val="0"/>
                <w:w w:val="100"/>
                <w:position w:val="0"/>
                <w:sz w:val="13"/>
                <w:szCs w:val="13"/>
              </w:rPr>
              <w:t>,盈余公积转增股本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3</w:t>
            </w:r>
            <w:r>
              <w:rPr>
                <w:color w:val="000000"/>
                <w:spacing w:val="0"/>
                <w:w w:val="100"/>
                <w:position w:val="0"/>
                <w:sz w:val="13"/>
                <w:szCs w:val="13"/>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3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4</w:t>
            </w:r>
            <w:r>
              <w:rPr>
                <w:color w:val="000000"/>
                <w:spacing w:val="0"/>
                <w:w w:val="100"/>
                <w:position w:val="0"/>
                <w:sz w:val="13"/>
                <w:szCs w:val="13"/>
              </w:rPr>
              <w:t>,设定受益计划变动额结转留存</w:t>
            </w:r>
          </w:p>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2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5</w:t>
            </w:r>
            <w:r>
              <w:rPr>
                <w:color w:val="000000"/>
                <w:spacing w:val="0"/>
                <w:w w:val="100"/>
                <w:position w:val="0"/>
                <w:sz w:val="13"/>
                <w:szCs w:val="13"/>
              </w:rPr>
              <w:t>,其他综合收益结转留存收益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3"/>
                <w:szCs w:val="13"/>
              </w:rPr>
            </w:pPr>
            <w:r>
              <w:rPr>
                <w:rFonts w:ascii="Times New Roman" w:eastAsia="Times New Roman" w:hAnsi="Times New Roman" w:cs="Times New Roman"/>
                <w:color w:val="000000"/>
                <w:spacing w:val="0"/>
                <w:w w:val="100"/>
                <w:position w:val="0"/>
                <w:sz w:val="13"/>
                <w:szCs w:val="13"/>
              </w:rPr>
              <w:t>6</w:t>
            </w:r>
            <w:r>
              <w:rPr>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 xml:space="preserve">1 </w:t>
            </w:r>
            <w:r>
              <w:rPr>
                <w:color w:val="000000"/>
                <w:spacing w:val="0"/>
                <w:w w:val="100"/>
                <w:position w:val="0"/>
                <w:sz w:val="13"/>
                <w:szCs w:val="13"/>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2</w:t>
            </w:r>
            <w:r>
              <w:rPr>
                <w:color w:val="000000"/>
                <w:spacing w:val="0"/>
                <w:w w:val="100"/>
                <w:position w:val="0"/>
                <w:sz w:val="13"/>
                <w:szCs w:val="13"/>
              </w:rPr>
              <w:t>,本期使用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p>
      <w:pPr>
        <w:pStyle w:val="Style40"/>
        <w:keepNext w:val="0"/>
        <w:keepLines w:val="0"/>
        <w:widowControl w:val="0"/>
        <w:shd w:val="clear" w:color="auto" w:fill="auto"/>
        <w:bidi w:val="0"/>
        <w:spacing w:before="0" w:after="0" w:line="240" w:lineRule="auto"/>
        <w:ind w:left="7848" w:right="0" w:firstLine="0"/>
        <w:jc w:val="left"/>
        <w:rPr>
          <w:sz w:val="13"/>
          <w:szCs w:val="13"/>
        </w:rPr>
      </w:pPr>
      <w:r>
        <w:rPr>
          <w:color w:val="000000"/>
          <w:spacing w:val="0"/>
          <w:w w:val="100"/>
          <w:position w:val="0"/>
          <w:sz w:val="13"/>
          <w:szCs w:val="13"/>
        </w:rPr>
        <w:t>上期金额</w:t>
      </w:r>
    </w:p>
    <w:tbl>
      <w:tblPr>
        <w:tblOverlap w:val="never"/>
        <w:jc w:val="center"/>
        <w:tblLayout w:type="fixed"/>
      </w:tblPr>
      <w:tblGrid>
        <w:gridCol w:w="2218"/>
        <w:gridCol w:w="1046"/>
        <w:gridCol w:w="557"/>
        <w:gridCol w:w="581"/>
        <w:gridCol w:w="571"/>
        <w:gridCol w:w="1162"/>
        <w:gridCol w:w="187"/>
        <w:gridCol w:w="394"/>
        <w:gridCol w:w="1090"/>
        <w:gridCol w:w="547"/>
        <w:gridCol w:w="955"/>
        <w:gridCol w:w="1483"/>
        <w:gridCol w:w="1315"/>
        <w:gridCol w:w="802"/>
        <w:gridCol w:w="1166"/>
      </w:tblGrid>
      <w:tr>
        <w:trPr>
          <w:trHeight w:val="442" w:hRule="exact"/>
        </w:trPr>
        <w:tc>
          <w:tcPr>
            <w:vMerge w:val="restart"/>
            <w:tcBorders/>
            <w:shd w:val="clear" w:color="auto" w:fill="FFFFFF"/>
            <w:vAlign w:val="top"/>
          </w:tcPr>
          <w:p>
            <w:pPr>
              <w:pStyle w:val="Style2"/>
              <w:keepNext w:val="0"/>
              <w:keepLines w:val="0"/>
              <w:widowControl w:val="0"/>
              <w:shd w:val="clear" w:color="auto" w:fill="auto"/>
              <w:bidi w:val="0"/>
              <w:spacing w:before="320" w:after="0" w:line="240" w:lineRule="auto"/>
              <w:ind w:left="0" w:right="0" w:firstLine="0"/>
              <w:jc w:val="center"/>
              <w:rPr>
                <w:sz w:val="13"/>
                <w:szCs w:val="13"/>
              </w:rPr>
            </w:pPr>
            <w:r>
              <w:rPr>
                <w:color w:val="000000"/>
                <w:spacing w:val="0"/>
                <w:w w:val="100"/>
                <w:position w:val="0"/>
                <w:sz w:val="13"/>
                <w:szCs w:val="13"/>
              </w:rPr>
              <w:t>项目</w:t>
            </w:r>
          </w:p>
        </w:tc>
        <w:tc>
          <w:tcPr>
            <w:gridSpan w:val="1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归属于母公司股东权益</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right"/>
              <w:rPr>
                <w:sz w:val="13"/>
                <w:szCs w:val="13"/>
              </w:rPr>
            </w:pPr>
            <w:r>
              <w:rPr>
                <w:color w:val="000000"/>
                <w:spacing w:val="0"/>
                <w:w w:val="100"/>
                <w:position w:val="0"/>
                <w:sz w:val="13"/>
                <w:szCs w:val="13"/>
              </w:rPr>
              <w:t>少数股东权</w:t>
            </w:r>
          </w:p>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益</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200" w:firstLine="0"/>
              <w:jc w:val="right"/>
              <w:rPr>
                <w:sz w:val="13"/>
                <w:szCs w:val="13"/>
              </w:rPr>
            </w:pPr>
            <w:r>
              <w:rPr>
                <w:color w:val="000000"/>
                <w:spacing w:val="0"/>
                <w:w w:val="100"/>
                <w:position w:val="0"/>
                <w:sz w:val="13"/>
                <w:szCs w:val="13"/>
              </w:rPr>
              <w:t>股东权益合计</w:t>
            </w:r>
          </w:p>
        </w:tc>
      </w:tr>
      <w:tr>
        <w:trPr>
          <w:trHeight w:val="346" w:hRule="exact"/>
        </w:trPr>
        <w:tc>
          <w:tcPr>
            <w:vMerge/>
            <w:tcBorders/>
            <w:shd w:val="clear" w:color="auto" w:fill="FFFFFF"/>
            <w:vAlign w:val="top"/>
          </w:tcPr>
          <w:p>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股本</w:t>
            </w:r>
          </w:p>
        </w:tc>
        <w:tc>
          <w:tcPr>
            <w:gridSpan w:val="3"/>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其他权益工具</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资本公积</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160" w:after="0" w:line="240" w:lineRule="auto"/>
              <w:ind w:left="0" w:right="0" w:firstLine="0"/>
              <w:jc w:val="left"/>
              <w:rPr>
                <w:sz w:val="13"/>
                <w:szCs w:val="13"/>
              </w:rPr>
            </w:pPr>
            <w:r>
              <w:rPr>
                <w:color w:val="000000"/>
                <w:spacing w:val="0"/>
                <w:w w:val="100"/>
                <w:position w:val="0"/>
                <w:sz w:val="13"/>
                <w:szCs w:val="13"/>
              </w:rPr>
              <w:t>减</w:t>
            </w:r>
          </w:p>
        </w:tc>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left"/>
              <w:rPr>
                <w:sz w:val="13"/>
                <w:szCs w:val="13"/>
              </w:rPr>
            </w:pPr>
            <w:r>
              <w:rPr>
                <w:color w:val="000000"/>
                <w:spacing w:val="0"/>
                <w:w w:val="100"/>
                <w:position w:val="0"/>
                <w:sz w:val="13"/>
                <w:szCs w:val="13"/>
              </w:rPr>
              <w:t>库存</w:t>
            </w:r>
          </w:p>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股</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其他综合收益</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center"/>
              <w:rPr>
                <w:sz w:val="13"/>
                <w:szCs w:val="13"/>
              </w:rPr>
            </w:pPr>
            <w:r>
              <w:rPr>
                <w:color w:val="000000"/>
                <w:spacing w:val="0"/>
                <w:w w:val="100"/>
                <w:position w:val="0"/>
                <w:sz w:val="13"/>
                <w:szCs w:val="13"/>
              </w:rPr>
              <w:t>专项储</w:t>
            </w:r>
          </w:p>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备</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盈余公积</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3"/>
                <w:szCs w:val="13"/>
              </w:rPr>
            </w:pPr>
            <w:r>
              <w:rPr>
                <w:color w:val="000000"/>
                <w:spacing w:val="0"/>
                <w:w w:val="100"/>
                <w:position w:val="0"/>
                <w:sz w:val="13"/>
                <w:szCs w:val="13"/>
              </w:rPr>
              <w:t>一般风险准备</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未分配利润</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403" w:hRule="exact"/>
        </w:trPr>
        <w:tc>
          <w:tcPr>
            <w:vMerge/>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优先股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永续债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其他</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3"/>
                <w:szCs w:val="13"/>
              </w:rPr>
              <w:t>-77,928,964.70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-77,928,964.70</w:t>
            </w:r>
          </w:p>
        </w:tc>
      </w:tr>
      <w:tr>
        <w:trPr>
          <w:trHeight w:val="44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四、本年期末余额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1,935,084,653.00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8,931,169,248.62</w:t>
            </w:r>
          </w:p>
        </w:tc>
        <w:tc>
          <w:tcPr>
            <w:gridSpan w:val="2"/>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9,273,564.08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44,253,651.01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308,695,568.82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495,976,967.34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2,490,050.10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11,726,943,702.97</w:t>
            </w:r>
          </w:p>
        </w:tc>
      </w:tr>
    </w:tbl>
    <w:p>
      <w:pPr>
        <w:widowControl w:val="0"/>
        <w:spacing w:after="79" w:line="1" w:lineRule="exact"/>
      </w:pPr>
    </w:p>
    <w:p>
      <w:pPr>
        <w:pStyle w:val="Style100"/>
        <w:keepNext w:val="0"/>
        <w:keepLines w:val="0"/>
        <w:widowControl w:val="0"/>
        <w:shd w:val="clear" w:color="auto" w:fill="auto"/>
        <w:bidi w:val="0"/>
        <w:spacing w:before="0" w:after="0" w:line="240" w:lineRule="auto"/>
        <w:ind w:left="0" w:right="0" w:firstLine="0"/>
        <w:jc w:val="left"/>
      </w:pPr>
      <w:r>
        <w:rPr>
          <w:color w:val="000000"/>
          <w:spacing w:val="0"/>
          <w:w w:val="100"/>
          <w:position w:val="0"/>
        </w:rPr>
        <w:t>后附财务报表附注为财务报表的组成部分。</w:t>
      </w:r>
    </w:p>
    <w:p>
      <w:pPr>
        <w:widowControl w:val="0"/>
        <w:spacing w:line="1" w:lineRule="exact"/>
      </w:pPr>
      <w:r>
        <mc:AlternateContent>
          <mc:Choice Requires="wps">
            <w:drawing>
              <wp:anchor distT="165100" distB="3175" distL="0" distR="0" simplePos="0" relativeHeight="125829434" behindDoc="0" locked="0" layoutInCell="1" allowOverlap="1">
                <wp:simplePos x="0" y="0"/>
                <wp:positionH relativeFrom="page">
                  <wp:posOffset>839470</wp:posOffset>
                </wp:positionH>
                <wp:positionV relativeFrom="paragraph">
                  <wp:posOffset>165100</wp:posOffset>
                </wp:positionV>
                <wp:extent cx="941705" cy="146050"/>
                <wp:wrapTopAndBottom/>
                <wp:docPr id="112" name="Shape 112"/>
                <a:graphic xmlns:a="http://schemas.openxmlformats.org/drawingml/2006/main">
                  <a:graphicData uri="http://schemas.microsoft.com/office/word/2010/wordprocessingShape">
                    <wps:wsp>
                      <wps:cNvSpPr txBox="1"/>
                      <wps:spPr>
                        <a:xfrm>
                          <a:ext cx="941705" cy="146050"/>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企业法定代表人:</w:t>
                            </w:r>
                          </w:p>
                        </w:txbxContent>
                      </wps:txbx>
                      <wps:bodyPr wrap="none" lIns="0" tIns="0" rIns="0" bIns="0">
                        <a:noAutoFit/>
                      </wps:bodyPr>
                    </wps:wsp>
                  </a:graphicData>
                </a:graphic>
              </wp:anchor>
            </w:drawing>
          </mc:Choice>
          <mc:Fallback>
            <w:pict>
              <v:shape id="_x0000_s1138" type="#_x0000_t202" style="position:absolute;margin-left:66.099999999999994pt;margin-top:13.pt;width:74.150000000000006pt;height:11.5pt;z-index:-125829319;mso-wrap-distance-left:0;mso-wrap-distance-top:13.pt;mso-wrap-distance-right:0;mso-wrap-distance-bottom:0.25pt;mso-position-horizontal-relative:page" filled="f" stroked="f">
                <v:textbox inset="0,0,0,0">
                  <w:txbxContent>
                    <w:p>
                      <w:pPr>
                        <w:pStyle w:val="Style100"/>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企业法定代表人:</w:t>
                      </w:r>
                    </w:p>
                  </w:txbxContent>
                </v:textbox>
                <w10:wrap type="topAndBottom" anchorx="page"/>
              </v:shape>
            </w:pict>
          </mc:Fallback>
        </mc:AlternateContent>
      </w:r>
      <w:r>
        <mc:AlternateContent>
          <mc:Choice Requires="wps">
            <w:drawing>
              <wp:anchor distT="165100" distB="5715" distL="0" distR="0" simplePos="0" relativeHeight="125829436" behindDoc="0" locked="0" layoutInCell="1" allowOverlap="1">
                <wp:simplePos x="0" y="0"/>
                <wp:positionH relativeFrom="page">
                  <wp:posOffset>3926840</wp:posOffset>
                </wp:positionH>
                <wp:positionV relativeFrom="paragraph">
                  <wp:posOffset>165100</wp:posOffset>
                </wp:positionV>
                <wp:extent cx="1167130" cy="143510"/>
                <wp:wrapTopAndBottom/>
                <wp:docPr id="114" name="Shape 114"/>
                <a:graphic xmlns:a="http://schemas.openxmlformats.org/drawingml/2006/main">
                  <a:graphicData uri="http://schemas.microsoft.com/office/word/2010/wordprocessingShape">
                    <wps:wsp>
                      <wps:cNvSpPr txBox="1"/>
                      <wps:spPr>
                        <a:xfrm>
                          <a:ext cx="1167130" cy="143510"/>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w:t>
                            </w:r>
                          </w:p>
                        </w:txbxContent>
                      </wps:txbx>
                      <wps:bodyPr wrap="none" lIns="0" tIns="0" rIns="0" bIns="0">
                        <a:noAutoFit/>
                      </wps:bodyPr>
                    </wps:wsp>
                  </a:graphicData>
                </a:graphic>
              </wp:anchor>
            </w:drawing>
          </mc:Choice>
          <mc:Fallback>
            <w:pict>
              <v:shape id="_x0000_s1140" type="#_x0000_t202" style="position:absolute;margin-left:309.19999999999999pt;margin-top:13.pt;width:91.900000000000006pt;height:11.300000000000001pt;z-index:-125829317;mso-wrap-distance-left:0;mso-wrap-distance-top:13.pt;mso-wrap-distance-right:0;mso-wrap-distance-bottom:0.45000000000000001pt;mso-position-horizontal-relative:page" filled="f" stroked="f">
                <v:textbox inset="0,0,0,0">
                  <w:txbxContent>
                    <w:p>
                      <w:pPr>
                        <w:pStyle w:val="Style10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w:t>
                      </w:r>
                    </w:p>
                  </w:txbxContent>
                </v:textbox>
                <w10:wrap type="topAndBottom" anchorx="page"/>
              </v:shape>
            </w:pict>
          </mc:Fallback>
        </mc:AlternateContent>
      </w:r>
      <w:r>
        <mc:AlternateContent>
          <mc:Choice Requires="wps">
            <w:drawing>
              <wp:anchor distT="165100" distB="0" distL="0" distR="0" simplePos="0" relativeHeight="125829438" behindDoc="0" locked="0" layoutInCell="1" allowOverlap="1">
                <wp:simplePos x="0" y="0"/>
                <wp:positionH relativeFrom="page">
                  <wp:posOffset>7124700</wp:posOffset>
                </wp:positionH>
                <wp:positionV relativeFrom="paragraph">
                  <wp:posOffset>165100</wp:posOffset>
                </wp:positionV>
                <wp:extent cx="941705" cy="149225"/>
                <wp:wrapTopAndBottom/>
                <wp:docPr id="116" name="Shape 116"/>
                <a:graphic xmlns:a="http://schemas.openxmlformats.org/drawingml/2006/main">
                  <a:graphicData uri="http://schemas.microsoft.com/office/word/2010/wordprocessingShape">
                    <wps:wsp>
                      <wps:cNvSpPr txBox="1"/>
                      <wps:spPr>
                        <a:xfrm>
                          <a:ext cx="941705" cy="149225"/>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w:t>
                            </w:r>
                          </w:p>
                        </w:txbxContent>
                      </wps:txbx>
                      <wps:bodyPr wrap="none" lIns="0" tIns="0" rIns="0" bIns="0">
                        <a:noAutoFit/>
                      </wps:bodyPr>
                    </wps:wsp>
                  </a:graphicData>
                </a:graphic>
              </wp:anchor>
            </w:drawing>
          </mc:Choice>
          <mc:Fallback>
            <w:pict>
              <v:shape id="_x0000_s1142" type="#_x0000_t202" style="position:absolute;margin-left:561.pt;margin-top:13.pt;width:74.150000000000006pt;height:11.75pt;z-index:-125829315;mso-wrap-distance-left:0;mso-wrap-distance-top:13.pt;mso-wrap-distance-right:0;mso-position-horizontal-relative:page" filled="f" stroked="f">
                <v:textbox inset="0,0,0,0">
                  <w:txbxContent>
                    <w:p>
                      <w:pPr>
                        <w:pStyle w:val="Style10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w:t>
                      </w:r>
                    </w:p>
                  </w:txbxContent>
                </v:textbox>
                <w10:wrap type="topAndBottom" anchorx="page"/>
              </v:shape>
            </w:pict>
          </mc:Fallback>
        </mc:AlternateContent>
      </w:r>
      <w:r>
        <w:br w:type="page"/>
      </w:r>
    </w:p>
    <w:p>
      <w:pPr>
        <w:pStyle w:val="Style16"/>
        <w:keepNext w:val="0"/>
        <w:keepLines w:val="0"/>
        <w:widowControl w:val="0"/>
        <w:shd w:val="clear" w:color="auto" w:fill="auto"/>
        <w:bidi w:val="0"/>
        <w:spacing w:before="0" w:after="0" w:line="302" w:lineRule="exact"/>
        <w:ind w:left="0" w:right="0" w:firstLine="0"/>
        <w:jc w:val="center"/>
      </w:pPr>
      <w:bookmarkStart w:id="669" w:name="bookmark669"/>
      <w:r>
        <w:rPr>
          <w:b/>
          <w:bCs/>
          <w:color w:val="000000"/>
          <w:spacing w:val="0"/>
          <w:w w:val="100"/>
          <w:position w:val="0"/>
        </w:rPr>
        <w:t>国盛金融控股集团股份有限公司</w:t>
        <w:br/>
        <w:t>母公司所有者权益变动表</w:t>
        <w:br/>
      </w:r>
      <w:r>
        <w:rPr>
          <w:rFonts w:ascii="Times New Roman" w:eastAsia="Times New Roman" w:hAnsi="Times New Roman" w:cs="Times New Roman"/>
          <w:b/>
          <w:bCs/>
          <w:color w:val="000000"/>
          <w:spacing w:val="0"/>
          <w:w w:val="100"/>
          <w:position w:val="0"/>
        </w:rPr>
        <w:t>2020</w:t>
      </w:r>
      <w:r>
        <w:rPr>
          <w:b/>
          <w:bCs/>
          <w:color w:val="000000"/>
          <w:spacing w:val="0"/>
          <w:w w:val="100"/>
          <w:position w:val="0"/>
        </w:rPr>
        <w:t>年度</w:t>
      </w:r>
      <w:bookmarkEnd w:id="669"/>
    </w:p>
    <w:p>
      <w:pPr>
        <w:pStyle w:val="Style16"/>
        <w:keepNext w:val="0"/>
        <w:keepLines w:val="0"/>
        <w:widowControl w:val="0"/>
        <w:shd w:val="clear" w:color="auto" w:fill="auto"/>
        <w:bidi w:val="0"/>
        <w:spacing w:before="0" w:after="280" w:line="302" w:lineRule="exact"/>
        <w:ind w:left="0" w:right="0" w:firstLine="0"/>
        <w:jc w:val="center"/>
      </w:pPr>
      <w:r>
        <w:rPr>
          <w:b/>
          <w:bCs/>
          <w:color w:val="000000"/>
          <w:spacing w:val="0"/>
          <w:w w:val="100"/>
          <w:position w:val="0"/>
        </w:rPr>
        <w:t>（除特别注明外，金额单位均为人民币元）</w:t>
      </w:r>
    </w:p>
    <w:p>
      <w:pPr>
        <w:pStyle w:val="Style40"/>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本期金额</w:t>
      </w:r>
    </w:p>
    <w:tbl>
      <w:tblPr>
        <w:tblOverlap w:val="never"/>
        <w:jc w:val="center"/>
        <w:tblLayout w:type="fixed"/>
      </w:tblPr>
      <w:tblGrid>
        <w:gridCol w:w="1973"/>
        <w:gridCol w:w="1459"/>
        <w:gridCol w:w="653"/>
        <w:gridCol w:w="706"/>
        <w:gridCol w:w="600"/>
        <w:gridCol w:w="1152"/>
        <w:gridCol w:w="701"/>
        <w:gridCol w:w="706"/>
        <w:gridCol w:w="571"/>
        <w:gridCol w:w="1094"/>
        <w:gridCol w:w="1018"/>
        <w:gridCol w:w="1070"/>
        <w:gridCol w:w="2054"/>
      </w:tblGrid>
      <w:tr>
        <w:trPr>
          <w:trHeight w:val="317" w:hRule="exact"/>
        </w:trPr>
        <w:tc>
          <w:tcPr>
            <w:vMerge w:val="restart"/>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3"/>
                <w:szCs w:val="13"/>
              </w:rPr>
            </w:pPr>
            <w:r>
              <w:rPr>
                <w:color w:val="000000"/>
                <w:spacing w:val="0"/>
                <w:w w:val="100"/>
                <w:position w:val="0"/>
                <w:sz w:val="13"/>
                <w:szCs w:val="13"/>
              </w:rPr>
              <w:t>项目</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实收资本（或股本）</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其他权益工具</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资本公积</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center"/>
              <w:rPr>
                <w:sz w:val="13"/>
                <w:szCs w:val="13"/>
              </w:rPr>
            </w:pPr>
            <w:r>
              <w:rPr>
                <w:color w:val="000000"/>
                <w:spacing w:val="0"/>
                <w:w w:val="100"/>
                <w:position w:val="0"/>
                <w:sz w:val="13"/>
                <w:szCs w:val="13"/>
              </w:rPr>
              <w:t>减：库存</w:t>
            </w:r>
          </w:p>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股</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center"/>
              <w:rPr>
                <w:sz w:val="13"/>
                <w:szCs w:val="13"/>
              </w:rPr>
            </w:pPr>
            <w:r>
              <w:rPr>
                <w:color w:val="000000"/>
                <w:spacing w:val="0"/>
                <w:w w:val="100"/>
                <w:position w:val="0"/>
                <w:sz w:val="13"/>
                <w:szCs w:val="13"/>
              </w:rPr>
              <w:t>其他综</w:t>
            </w:r>
          </w:p>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合收益</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16" w:lineRule="exact"/>
              <w:ind w:left="0" w:right="0" w:firstLine="0"/>
              <w:jc w:val="center"/>
              <w:rPr>
                <w:sz w:val="13"/>
                <w:szCs w:val="13"/>
              </w:rPr>
            </w:pPr>
            <w:r>
              <w:rPr>
                <w:color w:val="000000"/>
                <w:spacing w:val="0"/>
                <w:w w:val="100"/>
                <w:position w:val="0"/>
                <w:sz w:val="13"/>
                <w:szCs w:val="13"/>
              </w:rPr>
              <w:t>专项 储备</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盈余公积</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一般风险准备</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3"/>
                <w:szCs w:val="13"/>
              </w:rPr>
            </w:pPr>
            <w:r>
              <w:rPr>
                <w:color w:val="000000"/>
                <w:spacing w:val="0"/>
                <w:w w:val="100"/>
                <w:position w:val="0"/>
                <w:sz w:val="13"/>
                <w:szCs w:val="13"/>
              </w:rPr>
              <w:t>未分配利润</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所有者权益（或股东权益）合计</w:t>
            </w:r>
          </w:p>
        </w:tc>
      </w:tr>
      <w:tr>
        <w:trPr>
          <w:trHeight w:val="307" w:hRule="exact"/>
        </w:trPr>
        <w:tc>
          <w:tcPr>
            <w:vMerge/>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优先股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永续债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312"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一、上年年末余额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13"/>
                <w:szCs w:val="13"/>
              </w:rPr>
            </w:pPr>
            <w:r>
              <w:rPr>
                <w:rFonts w:ascii="Times New Roman" w:eastAsia="Times New Roman" w:hAnsi="Times New Roman" w:cs="Times New Roman"/>
                <w:color w:val="000000"/>
                <w:spacing w:val="0"/>
                <w:w w:val="100"/>
                <w:position w:val="0"/>
                <w:sz w:val="13"/>
                <w:szCs w:val="13"/>
              </w:rPr>
              <w:t>1,935,084,653.00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8,861,452,546.01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44,253,651.01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73,259,988.24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40"/>
              <w:jc w:val="left"/>
              <w:rPr>
                <w:sz w:val="13"/>
                <w:szCs w:val="13"/>
              </w:rPr>
            </w:pPr>
            <w:r>
              <w:rPr>
                <w:rFonts w:ascii="Times New Roman" w:eastAsia="Times New Roman" w:hAnsi="Times New Roman" w:cs="Times New Roman"/>
                <w:color w:val="000000"/>
                <w:spacing w:val="0"/>
                <w:w w:val="100"/>
                <w:position w:val="0"/>
                <w:sz w:val="13"/>
                <w:szCs w:val="13"/>
              </w:rPr>
              <w:t>10,914,050,838.26</w:t>
            </w:r>
          </w:p>
        </w:tc>
      </w:tr>
      <w:tr>
        <w:trPr>
          <w:trHeight w:val="31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3"/>
                <w:szCs w:val="13"/>
              </w:rPr>
            </w:pPr>
            <w:r>
              <w:rPr>
                <w:color w:val="000000"/>
                <w:spacing w:val="0"/>
                <w:w w:val="100"/>
                <w:position w:val="0"/>
                <w:sz w:val="13"/>
                <w:szCs w:val="13"/>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0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3"/>
                <w:szCs w:val="13"/>
              </w:rPr>
            </w:pPr>
            <w:r>
              <w:rPr>
                <w:color w:val="000000"/>
                <w:spacing w:val="0"/>
                <w:w w:val="100"/>
                <w:position w:val="0"/>
                <w:sz w:val="13"/>
                <w:szCs w:val="13"/>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3"/>
                <w:szCs w:val="13"/>
              </w:rPr>
            </w:pPr>
            <w:r>
              <w:rPr>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07"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二、本年年初余额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13"/>
                <w:szCs w:val="13"/>
              </w:rPr>
            </w:pPr>
            <w:r>
              <w:rPr>
                <w:rFonts w:ascii="Times New Roman" w:eastAsia="Times New Roman" w:hAnsi="Times New Roman" w:cs="Times New Roman"/>
                <w:color w:val="000000"/>
                <w:spacing w:val="0"/>
                <w:w w:val="100"/>
                <w:position w:val="0"/>
                <w:sz w:val="13"/>
                <w:szCs w:val="13"/>
              </w:rPr>
              <w:t>1,935,084,653.00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8,861,452,546.01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44,253,651.01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73,259,988.24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40"/>
              <w:jc w:val="left"/>
              <w:rPr>
                <w:sz w:val="13"/>
                <w:szCs w:val="13"/>
              </w:rPr>
            </w:pPr>
            <w:r>
              <w:rPr>
                <w:rFonts w:ascii="Times New Roman" w:eastAsia="Times New Roman" w:hAnsi="Times New Roman" w:cs="Times New Roman"/>
                <w:color w:val="000000"/>
                <w:spacing w:val="0"/>
                <w:w w:val="100"/>
                <w:position w:val="0"/>
                <w:sz w:val="13"/>
                <w:szCs w:val="13"/>
              </w:rPr>
              <w:t>10,914,050,838.26</w:t>
            </w:r>
          </w:p>
        </w:tc>
      </w:tr>
      <w:tr>
        <w:trPr>
          <w:trHeight w:val="53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26" w:lineRule="exact"/>
              <w:ind w:left="140" w:right="0" w:firstLine="0"/>
              <w:jc w:val="left"/>
              <w:rPr>
                <w:sz w:val="13"/>
                <w:szCs w:val="13"/>
              </w:rPr>
            </w:pPr>
            <w:r>
              <w:rPr>
                <w:color w:val="000000"/>
                <w:spacing w:val="0"/>
                <w:w w:val="100"/>
                <w:position w:val="0"/>
                <w:sz w:val="13"/>
                <w:szCs w:val="13"/>
              </w:rPr>
              <w:t>三、本年增减变动金额（减少 以</w:t>
            </w:r>
            <w:r>
              <w:rPr>
                <w:rFonts w:ascii="Times New Roman" w:eastAsia="Times New Roman" w:hAnsi="Times New Roman" w:cs="Times New Roman"/>
                <w:color w:val="000000"/>
                <w:spacing w:val="0"/>
                <w:w w:val="100"/>
                <w:position w:val="0"/>
                <w:sz w:val="13"/>
                <w:szCs w:val="13"/>
              </w:rPr>
              <w:t>“</w:t>
            </w:r>
            <w:r>
              <w:rPr>
                <w:color w:val="000000"/>
                <w:spacing w:val="0"/>
                <w:w w:val="100"/>
                <w:position w:val="0"/>
                <w:sz w:val="13"/>
                <w:szCs w:val="13"/>
              </w:rPr>
              <w:t>一</w:t>
            </w:r>
            <w:r>
              <w:rPr>
                <w:rFonts w:ascii="Times New Roman" w:eastAsia="Times New Roman" w:hAnsi="Times New Roman" w:cs="Times New Roman"/>
                <w:color w:val="000000"/>
                <w:spacing w:val="0"/>
                <w:w w:val="100"/>
                <w:position w:val="0"/>
                <w:sz w:val="13"/>
                <w:szCs w:val="13"/>
              </w:rPr>
              <w:t>”</w:t>
            </w:r>
            <w:r>
              <w:rPr>
                <w:color w:val="000000"/>
                <w:spacing w:val="0"/>
                <w:w w:val="100"/>
                <w:position w:val="0"/>
                <w:sz w:val="13"/>
                <w:szCs w:val="13"/>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-253,038,189.43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rPr>
                <w:sz w:val="13"/>
                <w:szCs w:val="13"/>
              </w:rPr>
            </w:pPr>
            <w:r>
              <w:rPr>
                <w:rFonts w:ascii="Times New Roman" w:eastAsia="Times New Roman" w:hAnsi="Times New Roman" w:cs="Times New Roman"/>
                <w:color w:val="000000"/>
                <w:spacing w:val="0"/>
                <w:w w:val="100"/>
                <w:position w:val="0"/>
                <w:sz w:val="13"/>
                <w:szCs w:val="13"/>
              </w:rPr>
              <w:t>-253,038,189.43</w:t>
            </w:r>
          </w:p>
        </w:tc>
      </w:tr>
      <w:tr>
        <w:trPr>
          <w:trHeight w:val="307"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-253,038,189.43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60" w:right="0" w:firstLine="0"/>
              <w:jc w:val="left"/>
              <w:rPr>
                <w:sz w:val="13"/>
                <w:szCs w:val="13"/>
              </w:rPr>
            </w:pPr>
            <w:r>
              <w:rPr>
                <w:rFonts w:ascii="Times New Roman" w:eastAsia="Times New Roman" w:hAnsi="Times New Roman" w:cs="Times New Roman"/>
                <w:color w:val="000000"/>
                <w:spacing w:val="0"/>
                <w:w w:val="100"/>
                <w:position w:val="0"/>
                <w:sz w:val="13"/>
                <w:szCs w:val="13"/>
              </w:rPr>
              <w:t>-253,038,189.43</w:t>
            </w:r>
          </w:p>
        </w:tc>
      </w:tr>
      <w:tr>
        <w:trPr>
          <w:trHeight w:val="31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（二）所有者投入和减少资本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3"/>
                <w:szCs w:val="13"/>
              </w:rPr>
              <w:t xml:space="preserve">1 </w:t>
            </w:r>
            <w:r>
              <w:rPr>
                <w:color w:val="000000"/>
                <w:spacing w:val="0"/>
                <w:w w:val="100"/>
                <w:position w:val="0"/>
                <w:sz w:val="13"/>
                <w:szCs w:val="13"/>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2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30" w:lineRule="exact"/>
              <w:ind w:left="140" w:right="0" w:firstLine="200"/>
              <w:jc w:val="left"/>
              <w:rPr>
                <w:sz w:val="13"/>
                <w:szCs w:val="13"/>
              </w:rPr>
            </w:pPr>
            <w:r>
              <w:rPr>
                <w:rFonts w:ascii="Times New Roman" w:eastAsia="Times New Roman" w:hAnsi="Times New Roman" w:cs="Times New Roman"/>
                <w:color w:val="000000"/>
                <w:spacing w:val="0"/>
                <w:w w:val="100"/>
                <w:position w:val="0"/>
                <w:sz w:val="13"/>
                <w:szCs w:val="13"/>
              </w:rPr>
              <w:t>2</w:t>
            </w:r>
            <w:r>
              <w:rPr>
                <w:color w:val="000000"/>
                <w:spacing w:val="0"/>
                <w:w w:val="100"/>
                <w:position w:val="0"/>
                <w:sz w:val="13"/>
                <w:szCs w:val="13"/>
              </w:rPr>
              <w:t>,其他权益工具持有者投 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2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30" w:lineRule="exact"/>
              <w:ind w:left="140" w:right="0" w:firstLine="200"/>
              <w:jc w:val="left"/>
              <w:rPr>
                <w:sz w:val="13"/>
                <w:szCs w:val="13"/>
              </w:rPr>
            </w:pPr>
            <w:r>
              <w:rPr>
                <w:rFonts w:ascii="Times New Roman" w:eastAsia="Times New Roman" w:hAnsi="Times New Roman" w:cs="Times New Roman"/>
                <w:color w:val="000000"/>
                <w:spacing w:val="0"/>
                <w:w w:val="100"/>
                <w:position w:val="0"/>
                <w:sz w:val="13"/>
                <w:szCs w:val="13"/>
              </w:rPr>
              <w:t>3</w:t>
            </w:r>
            <w:r>
              <w:rPr>
                <w:color w:val="000000"/>
                <w:spacing w:val="0"/>
                <w:w w:val="100"/>
                <w:position w:val="0"/>
                <w:sz w:val="13"/>
                <w:szCs w:val="13"/>
              </w:rPr>
              <w:t>,股份支付计入所有者权 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3"/>
                <w:szCs w:val="13"/>
              </w:rPr>
              <w:t>4</w:t>
            </w:r>
            <w:r>
              <w:rPr>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1488"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60" w:line="240" w:lineRule="exact"/>
              <w:ind w:left="0" w:right="0" w:firstLine="140"/>
              <w:jc w:val="left"/>
              <w:rPr>
                <w:sz w:val="13"/>
                <w:szCs w:val="13"/>
              </w:rPr>
            </w:pPr>
            <w:r>
              <w:rPr>
                <w:color w:val="000000"/>
                <w:spacing w:val="0"/>
                <w:w w:val="100"/>
                <w:position w:val="0"/>
                <w:sz w:val="13"/>
                <w:szCs w:val="13"/>
              </w:rPr>
              <w:t>（三）利润分配</w:t>
            </w:r>
          </w:p>
          <w:p>
            <w:pPr>
              <w:pStyle w:val="Style2"/>
              <w:keepNext w:val="0"/>
              <w:keepLines w:val="0"/>
              <w:widowControl w:val="0"/>
              <w:shd w:val="clear" w:color="auto" w:fill="auto"/>
              <w:bidi w:val="0"/>
              <w:spacing w:before="0" w:after="60" w:line="240" w:lineRule="exact"/>
              <w:ind w:left="0" w:right="0" w:firstLine="340"/>
              <w:jc w:val="left"/>
              <w:rPr>
                <w:sz w:val="13"/>
                <w:szCs w:val="13"/>
              </w:rPr>
            </w:pPr>
            <w:r>
              <w:rPr>
                <w:rFonts w:ascii="Times New Roman" w:eastAsia="Times New Roman" w:hAnsi="Times New Roman" w:cs="Times New Roman"/>
                <w:color w:val="000000"/>
                <w:spacing w:val="0"/>
                <w:w w:val="100"/>
                <w:position w:val="0"/>
                <w:sz w:val="13"/>
                <w:szCs w:val="13"/>
              </w:rPr>
              <w:t xml:space="preserve">1 </w:t>
            </w:r>
            <w:r>
              <w:rPr>
                <w:color w:val="000000"/>
                <w:spacing w:val="0"/>
                <w:w w:val="100"/>
                <w:position w:val="0"/>
                <w:sz w:val="13"/>
                <w:szCs w:val="13"/>
              </w:rPr>
              <w:t>,提取盈余公积</w:t>
            </w:r>
          </w:p>
          <w:p>
            <w:pPr>
              <w:pStyle w:val="Style2"/>
              <w:keepNext w:val="0"/>
              <w:keepLines w:val="0"/>
              <w:widowControl w:val="0"/>
              <w:shd w:val="clear" w:color="auto" w:fill="auto"/>
              <w:bidi w:val="0"/>
              <w:spacing w:before="0" w:after="60" w:line="240" w:lineRule="exact"/>
              <w:ind w:left="0" w:right="0" w:firstLine="340"/>
              <w:jc w:val="left"/>
              <w:rPr>
                <w:sz w:val="13"/>
                <w:szCs w:val="13"/>
              </w:rPr>
            </w:pPr>
            <w:r>
              <w:rPr>
                <w:rFonts w:ascii="Times New Roman" w:eastAsia="Times New Roman" w:hAnsi="Times New Roman" w:cs="Times New Roman"/>
                <w:color w:val="000000"/>
                <w:spacing w:val="0"/>
                <w:w w:val="100"/>
                <w:position w:val="0"/>
                <w:sz w:val="13"/>
                <w:szCs w:val="13"/>
              </w:rPr>
              <w:t>2</w:t>
            </w:r>
            <w:r>
              <w:rPr>
                <w:color w:val="000000"/>
                <w:spacing w:val="0"/>
                <w:w w:val="100"/>
                <w:position w:val="0"/>
                <w:sz w:val="13"/>
                <w:szCs w:val="13"/>
              </w:rPr>
              <w:t>,提取一般风险准备</w:t>
            </w:r>
          </w:p>
          <w:p>
            <w:pPr>
              <w:pStyle w:val="Style2"/>
              <w:keepNext w:val="0"/>
              <w:keepLines w:val="0"/>
              <w:widowControl w:val="0"/>
              <w:shd w:val="clear" w:color="auto" w:fill="auto"/>
              <w:bidi w:val="0"/>
              <w:spacing w:before="0" w:after="60" w:line="240" w:lineRule="exact"/>
              <w:ind w:left="140" w:right="0" w:firstLine="200"/>
              <w:jc w:val="left"/>
              <w:rPr>
                <w:sz w:val="13"/>
                <w:szCs w:val="13"/>
              </w:rPr>
            </w:pPr>
            <w:r>
              <w:rPr>
                <w:rFonts w:ascii="Times New Roman" w:eastAsia="Times New Roman" w:hAnsi="Times New Roman" w:cs="Times New Roman"/>
                <w:color w:val="000000"/>
                <w:spacing w:val="0"/>
                <w:w w:val="100"/>
                <w:position w:val="0"/>
                <w:sz w:val="13"/>
                <w:szCs w:val="13"/>
              </w:rPr>
              <w:t xml:space="preserve">3 </w:t>
            </w:r>
            <w:r>
              <w:rPr>
                <w:color w:val="000000"/>
                <w:spacing w:val="0"/>
                <w:w w:val="100"/>
                <w:position w:val="0"/>
                <w:sz w:val="13"/>
                <w:szCs w:val="13"/>
              </w:rPr>
              <w:t>,对所有者（或股东）的 分配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300" w:after="0" w:line="240" w:lineRule="auto"/>
              <w:ind w:left="0" w:right="0" w:firstLine="0"/>
              <w:jc w:val="left"/>
              <w:rPr>
                <w:sz w:val="13"/>
                <w:szCs w:val="13"/>
              </w:rPr>
            </w:pPr>
            <w:r>
              <w:rPr>
                <w:color w:val="000000"/>
                <w:spacing w:val="0"/>
                <w:w w:val="100"/>
                <w:position w:val="0"/>
                <w:sz w:val="13"/>
                <w:szCs w:val="13"/>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tabs>
                <w:tab w:leader="dot" w:pos="658" w:val="left"/>
              </w:tabs>
              <w:bidi w:val="0"/>
              <w:spacing w:before="30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ab/>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300" w:after="0" w:line="240" w:lineRule="auto"/>
              <w:ind w:left="0" w:right="0" w:firstLine="0"/>
              <w:jc w:val="both"/>
              <w:rPr>
                <w:sz w:val="13"/>
                <w:szCs w:val="13"/>
              </w:rPr>
            </w:pPr>
            <w:r>
              <w:rPr>
                <w:rFonts w:ascii="Times New Roman" w:eastAsia="Times New Roman" w:hAnsi="Times New Roman" w:cs="Times New Roman"/>
                <w:color w:val="000000"/>
                <w:spacing w:val="0"/>
                <w:w w:val="100"/>
                <w:position w:val="0"/>
                <w:sz w:val="13"/>
                <w:szCs w:val="13"/>
              </w:rPr>
              <w:t>—</w:t>
            </w:r>
          </w:p>
        </w:tc>
      </w:tr>
    </w:tbl>
    <w:p>
      <w:pPr>
        <w:widowControl w:val="0"/>
        <w:spacing w:line="1" w:lineRule="exact"/>
      </w:pPr>
      <w:r>
        <w:br w:type="page"/>
      </w:r>
    </w:p>
    <w:tbl>
      <w:tblPr>
        <w:tblOverlap w:val="never"/>
        <w:jc w:val="center"/>
        <w:tblLayout w:type="fixed"/>
      </w:tblPr>
      <w:tblGrid>
        <w:gridCol w:w="1973"/>
        <w:gridCol w:w="1459"/>
        <w:gridCol w:w="653"/>
        <w:gridCol w:w="706"/>
        <w:gridCol w:w="600"/>
        <w:gridCol w:w="1152"/>
        <w:gridCol w:w="701"/>
        <w:gridCol w:w="706"/>
        <w:gridCol w:w="571"/>
        <w:gridCol w:w="1094"/>
        <w:gridCol w:w="1018"/>
        <w:gridCol w:w="1070"/>
        <w:gridCol w:w="2054"/>
      </w:tblGrid>
      <w:tr>
        <w:trPr>
          <w:trHeight w:val="336"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项目</w:t>
            </w:r>
          </w:p>
        </w:tc>
        <w:tc>
          <w:tcPr>
            <w:gridSpan w:val="1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本期金额</w:t>
            </w:r>
          </w:p>
        </w:tc>
      </w:tr>
      <w:tr>
        <w:trPr>
          <w:trHeight w:val="307" w:hRule="exact"/>
        </w:trPr>
        <w:tc>
          <w:tcPr>
            <w:vMerge/>
            <w:tcBorders/>
            <w:shd w:val="clear" w:color="auto" w:fill="FFFFFF"/>
            <w:vAlign w:val="center"/>
          </w:tcPr>
          <w:p>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实收资本（或股本）</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其他权益工具</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资本公积</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center"/>
              <w:rPr>
                <w:sz w:val="13"/>
                <w:szCs w:val="13"/>
              </w:rPr>
            </w:pPr>
            <w:r>
              <w:rPr>
                <w:color w:val="000000"/>
                <w:spacing w:val="0"/>
                <w:w w:val="100"/>
                <w:position w:val="0"/>
                <w:sz w:val="13"/>
                <w:szCs w:val="13"/>
              </w:rPr>
              <w:t>减：库存</w:t>
            </w:r>
          </w:p>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股</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center"/>
              <w:rPr>
                <w:sz w:val="13"/>
                <w:szCs w:val="13"/>
              </w:rPr>
            </w:pPr>
            <w:r>
              <w:rPr>
                <w:color w:val="000000"/>
                <w:spacing w:val="0"/>
                <w:w w:val="100"/>
                <w:position w:val="0"/>
                <w:sz w:val="13"/>
                <w:szCs w:val="13"/>
              </w:rPr>
              <w:t>其他综</w:t>
            </w:r>
          </w:p>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合收益</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center"/>
              <w:rPr>
                <w:sz w:val="13"/>
                <w:szCs w:val="13"/>
              </w:rPr>
            </w:pPr>
            <w:r>
              <w:rPr>
                <w:color w:val="000000"/>
                <w:spacing w:val="0"/>
                <w:w w:val="100"/>
                <w:position w:val="0"/>
                <w:sz w:val="13"/>
                <w:szCs w:val="13"/>
              </w:rPr>
              <w:t>专项</w:t>
            </w:r>
          </w:p>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储备</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盈余公积</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一般风险准备</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未分配利润</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所有者权益（或股东权益）合计</w:t>
            </w:r>
          </w:p>
        </w:tc>
      </w:tr>
      <w:tr>
        <w:trPr>
          <w:trHeight w:val="312"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优先股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永续债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31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3"/>
                <w:szCs w:val="13"/>
              </w:rPr>
              <w:t>4</w:t>
            </w:r>
            <w:r>
              <w:rPr>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0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3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5" w:lineRule="exact"/>
              <w:ind w:left="140" w:right="0" w:firstLine="200"/>
              <w:jc w:val="left"/>
              <w:rPr>
                <w:sz w:val="13"/>
                <w:szCs w:val="13"/>
              </w:rPr>
            </w:pPr>
            <w:r>
              <w:rPr>
                <w:rFonts w:ascii="Times New Roman" w:eastAsia="Times New Roman" w:hAnsi="Times New Roman" w:cs="Times New Roman"/>
                <w:color w:val="000000"/>
                <w:spacing w:val="0"/>
                <w:w w:val="100"/>
                <w:position w:val="0"/>
                <w:sz w:val="13"/>
                <w:szCs w:val="13"/>
              </w:rPr>
              <w:t xml:space="preserve">1 </w:t>
            </w:r>
            <w:r>
              <w:rPr>
                <w:color w:val="000000"/>
                <w:spacing w:val="0"/>
                <w:w w:val="100"/>
                <w:position w:val="0"/>
                <w:sz w:val="13"/>
                <w:szCs w:val="13"/>
              </w:rPr>
              <w:t>,资本公积转增资本（或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2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30" w:lineRule="exact"/>
              <w:ind w:left="140" w:right="0" w:firstLine="200"/>
              <w:jc w:val="left"/>
              <w:rPr>
                <w:sz w:val="13"/>
                <w:szCs w:val="13"/>
              </w:rPr>
            </w:pPr>
            <w:r>
              <w:rPr>
                <w:rFonts w:ascii="Times New Roman" w:eastAsia="Times New Roman" w:hAnsi="Times New Roman" w:cs="Times New Roman"/>
                <w:color w:val="000000"/>
                <w:spacing w:val="0"/>
                <w:w w:val="100"/>
                <w:position w:val="0"/>
                <w:sz w:val="13"/>
                <w:szCs w:val="13"/>
              </w:rPr>
              <w:t>2</w:t>
            </w:r>
            <w:r>
              <w:rPr>
                <w:color w:val="000000"/>
                <w:spacing w:val="0"/>
                <w:w w:val="100"/>
                <w:position w:val="0"/>
                <w:sz w:val="13"/>
                <w:szCs w:val="13"/>
              </w:rPr>
              <w:t>,盈余公积转增资本（或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3"/>
                <w:szCs w:val="13"/>
              </w:rPr>
              <w:t>3</w:t>
            </w:r>
            <w:r>
              <w:rPr>
                <w:color w:val="000000"/>
                <w:spacing w:val="0"/>
                <w:w w:val="100"/>
                <w:position w:val="0"/>
                <w:sz w:val="13"/>
                <w:szCs w:val="13"/>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2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30" w:lineRule="exact"/>
              <w:ind w:left="140" w:right="0" w:firstLine="200"/>
              <w:jc w:val="left"/>
              <w:rPr>
                <w:sz w:val="13"/>
                <w:szCs w:val="13"/>
              </w:rPr>
            </w:pPr>
            <w:r>
              <w:rPr>
                <w:rFonts w:ascii="Times New Roman" w:eastAsia="Times New Roman" w:hAnsi="Times New Roman" w:cs="Times New Roman"/>
                <w:color w:val="000000"/>
                <w:spacing w:val="0"/>
                <w:w w:val="100"/>
                <w:position w:val="0"/>
                <w:sz w:val="13"/>
                <w:szCs w:val="13"/>
              </w:rPr>
              <w:t>4</w:t>
            </w:r>
            <w:r>
              <w:rPr>
                <w:color w:val="000000"/>
                <w:spacing w:val="0"/>
                <w:w w:val="100"/>
                <w:position w:val="0"/>
                <w:sz w:val="13"/>
                <w:szCs w:val="13"/>
              </w:rPr>
              <w:t>,设定受益计划变动额结 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2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30" w:lineRule="exact"/>
              <w:ind w:left="140" w:right="0" w:firstLine="200"/>
              <w:jc w:val="left"/>
              <w:rPr>
                <w:sz w:val="13"/>
                <w:szCs w:val="13"/>
              </w:rPr>
            </w:pPr>
            <w:r>
              <w:rPr>
                <w:rFonts w:ascii="Times New Roman" w:eastAsia="Times New Roman" w:hAnsi="Times New Roman" w:cs="Times New Roman"/>
                <w:color w:val="000000"/>
                <w:spacing w:val="0"/>
                <w:w w:val="100"/>
                <w:position w:val="0"/>
                <w:sz w:val="13"/>
                <w:szCs w:val="13"/>
              </w:rPr>
              <w:t>5</w:t>
            </w:r>
            <w:r>
              <w:rPr>
                <w:color w:val="000000"/>
                <w:spacing w:val="0"/>
                <w:w w:val="100"/>
                <w:position w:val="0"/>
                <w:sz w:val="13"/>
                <w:szCs w:val="13"/>
              </w:rPr>
              <w:t>,其他综合收益结转留存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2"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3"/>
                <w:szCs w:val="13"/>
              </w:rPr>
              <w:t>6</w:t>
            </w:r>
            <w:r>
              <w:rPr>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1267"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 xml:space="preserve">1 </w:t>
            </w:r>
            <w:r>
              <w:rPr>
                <w:color w:val="000000"/>
                <w:spacing w:val="0"/>
                <w:w w:val="100"/>
                <w:position w:val="0"/>
                <w:sz w:val="13"/>
                <w:szCs w:val="13"/>
              </w:rPr>
              <w:t>,本期提取</w:t>
            </w:r>
          </w:p>
          <w:p>
            <w:pPr>
              <w:pStyle w:val="Style2"/>
              <w:keepNext w:val="0"/>
              <w:keepLines w:val="0"/>
              <w:widowControl w:val="0"/>
              <w:shd w:val="clear" w:color="auto" w:fill="auto"/>
              <w:bidi w:val="0"/>
              <w:spacing w:before="0" w:after="14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2</w:t>
            </w:r>
            <w:r>
              <w:rPr>
                <w:color w:val="000000"/>
                <w:spacing w:val="0"/>
                <w:w w:val="100"/>
                <w:position w:val="0"/>
                <w:sz w:val="13"/>
                <w:szCs w:val="13"/>
              </w:rPr>
              <w:t>,本期使用</w:t>
            </w:r>
          </w:p>
          <w:p>
            <w:pPr>
              <w:pStyle w:val="Style2"/>
              <w:keepNext w:val="0"/>
              <w:keepLines w:val="0"/>
              <w:widowControl w:val="0"/>
              <w:shd w:val="clear" w:color="auto" w:fill="auto"/>
              <w:bidi w:val="0"/>
              <w:spacing w:before="0" w:after="140" w:line="240" w:lineRule="auto"/>
              <w:ind w:left="0" w:right="0" w:firstLine="140"/>
              <w:jc w:val="left"/>
              <w:rPr>
                <w:sz w:val="13"/>
                <w:szCs w:val="13"/>
              </w:rPr>
            </w:pPr>
            <w:r>
              <w:rPr>
                <w:color w:val="000000"/>
                <w:spacing w:val="0"/>
                <w:w w:val="100"/>
                <w:position w:val="0"/>
                <w:sz w:val="13"/>
                <w:szCs w:val="13"/>
              </w:rPr>
              <w:t>（六）其他</w:t>
            </w:r>
          </w:p>
          <w:p>
            <w:pPr>
              <w:pStyle w:val="Style2"/>
              <w:keepNext w:val="0"/>
              <w:keepLines w:val="0"/>
              <w:widowControl w:val="0"/>
              <w:shd w:val="clear" w:color="auto" w:fill="auto"/>
              <w:bidi w:val="0"/>
              <w:spacing w:before="0" w:after="140" w:line="240" w:lineRule="auto"/>
              <w:ind w:left="0" w:right="0" w:firstLine="140"/>
              <w:jc w:val="left"/>
              <w:rPr>
                <w:sz w:val="13"/>
                <w:szCs w:val="13"/>
              </w:rPr>
            </w:pPr>
            <w:r>
              <w:rPr>
                <w:color w:val="000000"/>
                <w:spacing w:val="0"/>
                <w:w w:val="100"/>
                <w:position w:val="0"/>
                <w:sz w:val="13"/>
                <w:szCs w:val="13"/>
              </w:rPr>
              <w:t>四、本期期末余额</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13"/>
                <w:szCs w:val="13"/>
              </w:rPr>
            </w:pPr>
            <w:r>
              <w:rPr>
                <w:rFonts w:ascii="Times New Roman" w:eastAsia="Times New Roman" w:hAnsi="Times New Roman" w:cs="Times New Roman"/>
                <w:color w:val="000000"/>
                <w:spacing w:val="0"/>
                <w:w w:val="100"/>
                <w:position w:val="0"/>
                <w:sz w:val="13"/>
                <w:szCs w:val="13"/>
              </w:rPr>
              <w:t>1,935,084,653.00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300" w:after="0" w:line="240" w:lineRule="auto"/>
              <w:ind w:left="0" w:right="0" w:firstLine="0"/>
              <w:jc w:val="left"/>
              <w:rPr>
                <w:sz w:val="13"/>
                <w:szCs w:val="13"/>
              </w:rPr>
            </w:pPr>
            <w:r>
              <w:rPr>
                <w:color w:val="000000"/>
                <w:spacing w:val="0"/>
                <w:w w:val="100"/>
                <w:position w:val="0"/>
                <w:sz w:val="13"/>
                <w:szCs w:val="13"/>
              </w:rPr>
              <w:t>—</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8,861,452,546.01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tabs>
                <w:tab w:leader="dot" w:pos="658" w:val="left"/>
              </w:tabs>
              <w:bidi w:val="0"/>
              <w:spacing w:before="300" w:after="0" w:line="240" w:lineRule="auto"/>
              <w:ind w:left="0" w:right="0" w:firstLine="0"/>
              <w:jc w:val="center"/>
              <w:rPr>
                <w:sz w:val="13"/>
                <w:szCs w:val="13"/>
              </w:rPr>
            </w:pPr>
            <w:r>
              <w:rPr>
                <w:color w:val="000000"/>
                <w:spacing w:val="0"/>
                <w:w w:val="100"/>
                <w:position w:val="0"/>
                <w:sz w:val="13"/>
                <w:szCs w:val="13"/>
              </w:rPr>
              <w:tab/>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44,253,651.01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-179,778,201.19</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40"/>
              <w:jc w:val="left"/>
              <w:rPr>
                <w:sz w:val="13"/>
                <w:szCs w:val="13"/>
              </w:rPr>
            </w:pPr>
            <w:r>
              <w:rPr>
                <w:rFonts w:ascii="Times New Roman" w:eastAsia="Times New Roman" w:hAnsi="Times New Roman" w:cs="Times New Roman"/>
                <w:color w:val="000000"/>
                <w:spacing w:val="0"/>
                <w:w w:val="100"/>
                <w:position w:val="0"/>
                <w:sz w:val="13"/>
                <w:szCs w:val="13"/>
              </w:rPr>
              <w:t>10,661,012,648.83</w:t>
            </w:r>
          </w:p>
        </w:tc>
      </w:tr>
    </w:tbl>
    <w:p>
      <w:pPr>
        <w:widowControl w:val="0"/>
        <w:spacing w:after="99" w:line="1" w:lineRule="exact"/>
      </w:pPr>
    </w:p>
    <w:p>
      <w:pPr>
        <w:pStyle w:val="Style10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后附财务报表附注为财务报表的组成部分。</w:t>
      </w:r>
    </w:p>
    <w:p>
      <w:pPr>
        <w:widowControl w:val="0"/>
        <w:spacing w:line="1" w:lineRule="exact"/>
      </w:pPr>
      <w:r>
        <mc:AlternateContent>
          <mc:Choice Requires="wps">
            <w:drawing>
              <wp:anchor distT="165100" distB="3175" distL="0" distR="0" simplePos="0" relativeHeight="125829440" behindDoc="0" locked="0" layoutInCell="1" allowOverlap="1">
                <wp:simplePos x="0" y="0"/>
                <wp:positionH relativeFrom="page">
                  <wp:posOffset>1000760</wp:posOffset>
                </wp:positionH>
                <wp:positionV relativeFrom="paragraph">
                  <wp:posOffset>165100</wp:posOffset>
                </wp:positionV>
                <wp:extent cx="941705" cy="146050"/>
                <wp:wrapTopAndBottom/>
                <wp:docPr id="118" name="Shape 118"/>
                <a:graphic xmlns:a="http://schemas.openxmlformats.org/drawingml/2006/main">
                  <a:graphicData uri="http://schemas.microsoft.com/office/word/2010/wordprocessingShape">
                    <wps:wsp>
                      <wps:cNvSpPr txBox="1"/>
                      <wps:spPr>
                        <a:xfrm>
                          <a:ext cx="941705" cy="146050"/>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企业法定代表人:</w:t>
                            </w:r>
                          </w:p>
                        </w:txbxContent>
                      </wps:txbx>
                      <wps:bodyPr wrap="none" lIns="0" tIns="0" rIns="0" bIns="0">
                        <a:noAutoFit/>
                      </wps:bodyPr>
                    </wps:wsp>
                  </a:graphicData>
                </a:graphic>
              </wp:anchor>
            </w:drawing>
          </mc:Choice>
          <mc:Fallback>
            <w:pict>
              <v:shape id="_x0000_s1144" type="#_x0000_t202" style="position:absolute;margin-left:78.799999999999997pt;margin-top:13.pt;width:74.150000000000006pt;height:11.5pt;z-index:-125829313;mso-wrap-distance-left:0;mso-wrap-distance-top:13.pt;mso-wrap-distance-right:0;mso-wrap-distance-bottom:0.25pt;mso-position-horizontal-relative:page" filled="f" stroked="f">
                <v:textbox inset="0,0,0,0">
                  <w:txbxContent>
                    <w:p>
                      <w:pPr>
                        <w:pStyle w:val="Style100"/>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企业法定代表人:</w:t>
                      </w:r>
                    </w:p>
                  </w:txbxContent>
                </v:textbox>
                <w10:wrap type="topAndBottom" anchorx="page"/>
              </v:shape>
            </w:pict>
          </mc:Fallback>
        </mc:AlternateContent>
      </w:r>
      <w:r>
        <mc:AlternateContent>
          <mc:Choice Requires="wps">
            <w:drawing>
              <wp:anchor distT="165100" distB="5715" distL="0" distR="0" simplePos="0" relativeHeight="125829442" behindDoc="0" locked="0" layoutInCell="1" allowOverlap="1">
                <wp:simplePos x="0" y="0"/>
                <wp:positionH relativeFrom="page">
                  <wp:posOffset>4088130</wp:posOffset>
                </wp:positionH>
                <wp:positionV relativeFrom="paragraph">
                  <wp:posOffset>165100</wp:posOffset>
                </wp:positionV>
                <wp:extent cx="1167130" cy="143510"/>
                <wp:wrapTopAndBottom/>
                <wp:docPr id="120" name="Shape 120"/>
                <a:graphic xmlns:a="http://schemas.openxmlformats.org/drawingml/2006/main">
                  <a:graphicData uri="http://schemas.microsoft.com/office/word/2010/wordprocessingShape">
                    <wps:wsp>
                      <wps:cNvSpPr txBox="1"/>
                      <wps:spPr>
                        <a:xfrm>
                          <a:ext cx="1167130" cy="143510"/>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w:t>
                            </w:r>
                          </w:p>
                        </w:txbxContent>
                      </wps:txbx>
                      <wps:bodyPr wrap="none" lIns="0" tIns="0" rIns="0" bIns="0">
                        <a:noAutoFit/>
                      </wps:bodyPr>
                    </wps:wsp>
                  </a:graphicData>
                </a:graphic>
              </wp:anchor>
            </w:drawing>
          </mc:Choice>
          <mc:Fallback>
            <w:pict>
              <v:shape id="_x0000_s1146" type="#_x0000_t202" style="position:absolute;margin-left:321.90000000000003pt;margin-top:13.pt;width:91.900000000000006pt;height:11.300000000000001pt;z-index:-125829311;mso-wrap-distance-left:0;mso-wrap-distance-top:13.pt;mso-wrap-distance-right:0;mso-wrap-distance-bottom:0.45000000000000001pt;mso-position-horizontal-relative:page" filled="f" stroked="f">
                <v:textbox inset="0,0,0,0">
                  <w:txbxContent>
                    <w:p>
                      <w:pPr>
                        <w:pStyle w:val="Style10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w:t>
                      </w:r>
                    </w:p>
                  </w:txbxContent>
                </v:textbox>
                <w10:wrap type="topAndBottom" anchorx="page"/>
              </v:shape>
            </w:pict>
          </mc:Fallback>
        </mc:AlternateContent>
      </w:r>
      <w:r>
        <mc:AlternateContent>
          <mc:Choice Requires="wps">
            <w:drawing>
              <wp:anchor distT="165100" distB="0" distL="0" distR="0" simplePos="0" relativeHeight="125829444" behindDoc="0" locked="0" layoutInCell="1" allowOverlap="1">
                <wp:simplePos x="0" y="0"/>
                <wp:positionH relativeFrom="page">
                  <wp:posOffset>7285990</wp:posOffset>
                </wp:positionH>
                <wp:positionV relativeFrom="paragraph">
                  <wp:posOffset>165100</wp:posOffset>
                </wp:positionV>
                <wp:extent cx="941705" cy="149225"/>
                <wp:wrapTopAndBottom/>
                <wp:docPr id="122" name="Shape 122"/>
                <a:graphic xmlns:a="http://schemas.openxmlformats.org/drawingml/2006/main">
                  <a:graphicData uri="http://schemas.microsoft.com/office/word/2010/wordprocessingShape">
                    <wps:wsp>
                      <wps:cNvSpPr txBox="1"/>
                      <wps:spPr>
                        <a:xfrm>
                          <a:ext cx="941705" cy="149225"/>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w:t>
                            </w:r>
                          </w:p>
                        </w:txbxContent>
                      </wps:txbx>
                      <wps:bodyPr wrap="none" lIns="0" tIns="0" rIns="0" bIns="0">
                        <a:noAutoFit/>
                      </wps:bodyPr>
                    </wps:wsp>
                  </a:graphicData>
                </a:graphic>
              </wp:anchor>
            </w:drawing>
          </mc:Choice>
          <mc:Fallback>
            <w:pict>
              <v:shape id="_x0000_s1148" type="#_x0000_t202" style="position:absolute;margin-left:573.70000000000005pt;margin-top:13.pt;width:74.150000000000006pt;height:11.75pt;z-index:-125829309;mso-wrap-distance-left:0;mso-wrap-distance-top:13.pt;mso-wrap-distance-right:0;mso-position-horizontal-relative:page" filled="f" stroked="f">
                <v:textbox inset="0,0,0,0">
                  <w:txbxContent>
                    <w:p>
                      <w:pPr>
                        <w:pStyle w:val="Style10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w:t>
                      </w:r>
                    </w:p>
                  </w:txbxContent>
                </v:textbox>
                <w10:wrap type="topAndBottom" anchorx="page"/>
              </v:shape>
            </w:pict>
          </mc:Fallback>
        </mc:AlternateContent>
      </w:r>
      <w:r>
        <w:br w:type="page"/>
      </w:r>
    </w:p>
    <w:p>
      <w:pPr>
        <w:pStyle w:val="Style16"/>
        <w:keepNext w:val="0"/>
        <w:keepLines w:val="0"/>
        <w:widowControl w:val="0"/>
        <w:shd w:val="clear" w:color="auto" w:fill="auto"/>
        <w:bidi w:val="0"/>
        <w:spacing w:before="0" w:after="60" w:line="317" w:lineRule="exact"/>
        <w:ind w:left="0" w:right="0" w:firstLine="0"/>
        <w:jc w:val="center"/>
      </w:pPr>
      <w:r>
        <w:rPr>
          <w:b/>
          <w:bCs/>
          <w:color w:val="000000"/>
          <w:spacing w:val="0"/>
          <w:w w:val="100"/>
          <w:position w:val="0"/>
        </w:rPr>
        <w:t>国盛金融控股集团股份有限公司</w:t>
        <w:br/>
        <w:t>母公司所有者权益变动表（续）</w:t>
      </w:r>
    </w:p>
    <w:p>
      <w:pPr>
        <w:pStyle w:val="Style97"/>
        <w:keepNext w:val="0"/>
        <w:keepLines w:val="0"/>
        <w:widowControl w:val="0"/>
        <w:shd w:val="clear" w:color="auto" w:fill="auto"/>
        <w:bidi w:val="0"/>
        <w:spacing w:before="0" w:after="0" w:line="331"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年度</w:t>
      </w:r>
    </w:p>
    <w:p>
      <w:pPr>
        <w:pStyle w:val="Style16"/>
        <w:keepNext w:val="0"/>
        <w:keepLines w:val="0"/>
        <w:widowControl w:val="0"/>
        <w:shd w:val="clear" w:color="auto" w:fill="auto"/>
        <w:bidi w:val="0"/>
        <w:spacing w:before="0" w:after="300" w:line="317" w:lineRule="exact"/>
        <w:ind w:left="0" w:right="0" w:firstLine="0"/>
        <w:jc w:val="center"/>
      </w:pPr>
      <w:r>
        <w:rPr>
          <w:b/>
          <w:bCs/>
          <w:color w:val="000000"/>
          <w:spacing w:val="0"/>
          <w:w w:val="100"/>
          <w:position w:val="0"/>
        </w:rPr>
        <w:t>（除特别注明外，金额单位均为人民币元）</w:t>
      </w:r>
    </w:p>
    <w:p>
      <w:pPr>
        <w:pStyle w:val="Style103"/>
        <w:keepNext w:val="0"/>
        <w:keepLines w:val="0"/>
        <w:widowControl w:val="0"/>
        <w:shd w:val="clear" w:color="auto" w:fill="auto"/>
        <w:bidi w:val="0"/>
        <w:spacing w:before="0" w:after="60" w:line="240" w:lineRule="auto"/>
        <w:ind w:left="0" w:right="0" w:firstLine="0"/>
        <w:jc w:val="center"/>
      </w:pPr>
      <w:r>
        <w:rPr>
          <w:color w:val="000000"/>
          <w:spacing w:val="0"/>
          <w:w w:val="100"/>
          <w:position w:val="0"/>
        </w:rPr>
        <w:t>上期金额</w:t>
      </w:r>
    </w:p>
    <w:tbl>
      <w:tblPr>
        <w:tblOverlap w:val="never"/>
        <w:jc w:val="center"/>
        <w:tblLayout w:type="fixed"/>
      </w:tblPr>
      <w:tblGrid>
        <w:gridCol w:w="1968"/>
        <w:gridCol w:w="1454"/>
        <w:gridCol w:w="658"/>
        <w:gridCol w:w="701"/>
        <w:gridCol w:w="600"/>
        <w:gridCol w:w="1152"/>
        <w:gridCol w:w="701"/>
        <w:gridCol w:w="1190"/>
        <w:gridCol w:w="806"/>
        <w:gridCol w:w="1133"/>
        <w:gridCol w:w="854"/>
        <w:gridCol w:w="1133"/>
        <w:gridCol w:w="1406"/>
      </w:tblGrid>
      <w:tr>
        <w:trPr>
          <w:trHeight w:val="317" w:hRule="exact"/>
        </w:trPr>
        <w:tc>
          <w:tcPr>
            <w:vMerge w:val="restart"/>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3"/>
                <w:szCs w:val="13"/>
              </w:rPr>
            </w:pPr>
            <w:r>
              <w:rPr>
                <w:color w:val="000000"/>
                <w:spacing w:val="0"/>
                <w:w w:val="100"/>
                <w:position w:val="0"/>
                <w:sz w:val="13"/>
                <w:szCs w:val="13"/>
              </w:rPr>
              <w:t>项目</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实收资本（或股本）</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其他权益工具</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资本公积</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center"/>
              <w:rPr>
                <w:sz w:val="13"/>
                <w:szCs w:val="13"/>
              </w:rPr>
            </w:pPr>
            <w:r>
              <w:rPr>
                <w:color w:val="000000"/>
                <w:spacing w:val="0"/>
                <w:w w:val="100"/>
                <w:position w:val="0"/>
                <w:sz w:val="13"/>
                <w:szCs w:val="13"/>
              </w:rPr>
              <w:t>减：库存</w:t>
            </w:r>
          </w:p>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股</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200" w:firstLine="0"/>
              <w:jc w:val="right"/>
              <w:rPr>
                <w:sz w:val="13"/>
                <w:szCs w:val="13"/>
              </w:rPr>
            </w:pPr>
            <w:r>
              <w:rPr>
                <w:color w:val="000000"/>
                <w:spacing w:val="0"/>
                <w:w w:val="100"/>
                <w:position w:val="0"/>
                <w:sz w:val="13"/>
                <w:szCs w:val="13"/>
              </w:rPr>
              <w:t>其他综合收益</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专项储备</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盈余公积</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21" w:lineRule="exact"/>
              <w:ind w:left="0" w:right="0" w:firstLine="0"/>
              <w:jc w:val="center"/>
              <w:rPr>
                <w:sz w:val="13"/>
                <w:szCs w:val="13"/>
              </w:rPr>
            </w:pPr>
            <w:r>
              <w:rPr>
                <w:color w:val="000000"/>
                <w:spacing w:val="0"/>
                <w:w w:val="100"/>
                <w:position w:val="0"/>
                <w:sz w:val="13"/>
                <w:szCs w:val="13"/>
              </w:rPr>
              <w:t>一般风险 准备</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3"/>
                <w:szCs w:val="13"/>
              </w:rPr>
            </w:pPr>
            <w:r>
              <w:rPr>
                <w:color w:val="000000"/>
                <w:spacing w:val="0"/>
                <w:w w:val="100"/>
                <w:position w:val="0"/>
                <w:sz w:val="13"/>
                <w:szCs w:val="13"/>
              </w:rPr>
              <w:t>未分配利润</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21" w:lineRule="exact"/>
              <w:ind w:left="0" w:right="0" w:firstLine="0"/>
              <w:jc w:val="center"/>
              <w:rPr>
                <w:sz w:val="13"/>
                <w:szCs w:val="13"/>
              </w:rPr>
            </w:pPr>
            <w:r>
              <w:rPr>
                <w:color w:val="000000"/>
                <w:spacing w:val="0"/>
                <w:w w:val="100"/>
                <w:position w:val="0"/>
                <w:sz w:val="13"/>
                <w:szCs w:val="13"/>
              </w:rPr>
              <w:t>所有者权益（或股东 权益）合计</w:t>
            </w:r>
          </w:p>
        </w:tc>
      </w:tr>
      <w:tr>
        <w:trPr>
          <w:trHeight w:val="307" w:hRule="exact"/>
        </w:trPr>
        <w:tc>
          <w:tcPr>
            <w:vMerge/>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优先股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永续债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312"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一、上年年末余额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rPr>
                <w:sz w:val="13"/>
                <w:szCs w:val="13"/>
              </w:rPr>
            </w:pPr>
            <w:r>
              <w:rPr>
                <w:rFonts w:ascii="Times New Roman" w:eastAsia="Times New Roman" w:hAnsi="Times New Roman" w:cs="Times New Roman"/>
                <w:color w:val="000000"/>
                <w:spacing w:val="0"/>
                <w:w w:val="100"/>
                <w:position w:val="0"/>
                <w:sz w:val="13"/>
                <w:szCs w:val="13"/>
              </w:rPr>
              <w:t>1,935,084,653.00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8,861,452,546.01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-5,915,190.00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44,253,651.01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119,641,194.91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rPr>
                <w:sz w:val="13"/>
                <w:szCs w:val="13"/>
              </w:rPr>
            </w:pPr>
            <w:r>
              <w:rPr>
                <w:rFonts w:ascii="Times New Roman" w:eastAsia="Times New Roman" w:hAnsi="Times New Roman" w:cs="Times New Roman"/>
                <w:color w:val="000000"/>
                <w:spacing w:val="0"/>
                <w:w w:val="100"/>
                <w:position w:val="0"/>
                <w:sz w:val="13"/>
                <w:szCs w:val="13"/>
              </w:rPr>
              <w:t>10,954,516,854.93</w:t>
            </w:r>
          </w:p>
        </w:tc>
      </w:tr>
      <w:tr>
        <w:trPr>
          <w:trHeight w:val="312"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13"/>
                <w:szCs w:val="13"/>
              </w:rPr>
            </w:pPr>
            <w:r>
              <w:rPr>
                <w:color w:val="000000"/>
                <w:spacing w:val="0"/>
                <w:w w:val="100"/>
                <w:position w:val="0"/>
                <w:sz w:val="13"/>
                <w:szCs w:val="13"/>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5,915,190.00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-9,537,699.45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-3,622,509.45</w:t>
            </w:r>
          </w:p>
        </w:tc>
      </w:tr>
      <w:tr>
        <w:trPr>
          <w:trHeight w:val="30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3"/>
                <w:szCs w:val="13"/>
              </w:rPr>
            </w:pPr>
            <w:r>
              <w:rPr>
                <w:color w:val="000000"/>
                <w:spacing w:val="0"/>
                <w:w w:val="100"/>
                <w:position w:val="0"/>
                <w:sz w:val="13"/>
                <w:szCs w:val="13"/>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3"/>
                <w:szCs w:val="13"/>
              </w:rPr>
            </w:pPr>
            <w:r>
              <w:rPr>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07"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二、本年年初余额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rPr>
                <w:sz w:val="13"/>
                <w:szCs w:val="13"/>
              </w:rPr>
            </w:pPr>
            <w:r>
              <w:rPr>
                <w:rFonts w:ascii="Times New Roman" w:eastAsia="Times New Roman" w:hAnsi="Times New Roman" w:cs="Times New Roman"/>
                <w:color w:val="000000"/>
                <w:spacing w:val="0"/>
                <w:w w:val="100"/>
                <w:position w:val="0"/>
                <w:sz w:val="13"/>
                <w:szCs w:val="13"/>
              </w:rPr>
              <w:t>1,935,084,653.00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8,861,452,546.01</w:t>
            </w:r>
          </w:p>
        </w:tc>
        <w:tc>
          <w:tcPr>
            <w:gridSpan w:val="2"/>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44,253,651.01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110,103,495.46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rPr>
                <w:sz w:val="13"/>
                <w:szCs w:val="13"/>
              </w:rPr>
            </w:pPr>
            <w:r>
              <w:rPr>
                <w:rFonts w:ascii="Times New Roman" w:eastAsia="Times New Roman" w:hAnsi="Times New Roman" w:cs="Times New Roman"/>
                <w:color w:val="000000"/>
                <w:spacing w:val="0"/>
                <w:w w:val="100"/>
                <w:position w:val="0"/>
                <w:sz w:val="13"/>
                <w:szCs w:val="13"/>
              </w:rPr>
              <w:t>10,950,894,345.48</w:t>
            </w:r>
          </w:p>
        </w:tc>
      </w:tr>
      <w:tr>
        <w:trPr>
          <w:trHeight w:val="53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26" w:lineRule="exact"/>
              <w:ind w:left="140" w:right="0" w:firstLine="0"/>
              <w:jc w:val="left"/>
              <w:rPr>
                <w:sz w:val="13"/>
                <w:szCs w:val="13"/>
              </w:rPr>
            </w:pPr>
            <w:r>
              <w:rPr>
                <w:color w:val="000000"/>
                <w:spacing w:val="0"/>
                <w:w w:val="100"/>
                <w:position w:val="0"/>
                <w:sz w:val="13"/>
                <w:szCs w:val="13"/>
              </w:rPr>
              <w:t>三、本年增减变动金额（减少 以</w:t>
            </w:r>
            <w:r>
              <w:rPr>
                <w:rFonts w:ascii="Times New Roman" w:eastAsia="Times New Roman" w:hAnsi="Times New Roman" w:cs="Times New Roman"/>
                <w:color w:val="000000"/>
                <w:spacing w:val="0"/>
                <w:w w:val="100"/>
                <w:position w:val="0"/>
                <w:sz w:val="13"/>
                <w:szCs w:val="13"/>
              </w:rPr>
              <w:t>“</w:t>
            </w:r>
            <w:r>
              <w:rPr>
                <w:color w:val="000000"/>
                <w:spacing w:val="0"/>
                <w:w w:val="100"/>
                <w:position w:val="0"/>
                <w:sz w:val="13"/>
                <w:szCs w:val="13"/>
              </w:rPr>
              <w:t>一</w:t>
            </w:r>
            <w:r>
              <w:rPr>
                <w:rFonts w:ascii="Times New Roman" w:eastAsia="Times New Roman" w:hAnsi="Times New Roman" w:cs="Times New Roman"/>
                <w:color w:val="000000"/>
                <w:spacing w:val="0"/>
                <w:w w:val="100"/>
                <w:position w:val="0"/>
                <w:sz w:val="13"/>
                <w:szCs w:val="13"/>
              </w:rPr>
              <w:t>”</w:t>
            </w:r>
            <w:r>
              <w:rPr>
                <w:color w:val="000000"/>
                <w:spacing w:val="0"/>
                <w:w w:val="100"/>
                <w:position w:val="0"/>
                <w:sz w:val="13"/>
                <w:szCs w:val="13"/>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-36,843,507.22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3"/>
                <w:szCs w:val="13"/>
              </w:rPr>
            </w:pPr>
            <w:r>
              <w:rPr>
                <w:rFonts w:ascii="Times New Roman" w:eastAsia="Times New Roman" w:hAnsi="Times New Roman" w:cs="Times New Roman"/>
                <w:color w:val="000000"/>
                <w:spacing w:val="0"/>
                <w:w w:val="100"/>
                <w:position w:val="0"/>
                <w:sz w:val="13"/>
                <w:szCs w:val="13"/>
              </w:rPr>
              <w:t>-36,843,507.22</w:t>
            </w:r>
          </w:p>
        </w:tc>
      </w:tr>
      <w:tr>
        <w:trPr>
          <w:trHeight w:val="307"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-36,843,507.22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rPr>
                <w:sz w:val="13"/>
                <w:szCs w:val="13"/>
              </w:rPr>
            </w:pPr>
            <w:r>
              <w:rPr>
                <w:rFonts w:ascii="Times New Roman" w:eastAsia="Times New Roman" w:hAnsi="Times New Roman" w:cs="Times New Roman"/>
                <w:color w:val="000000"/>
                <w:spacing w:val="0"/>
                <w:w w:val="100"/>
                <w:position w:val="0"/>
                <w:sz w:val="13"/>
                <w:szCs w:val="13"/>
              </w:rPr>
              <w:t>-36,843,507.22</w:t>
            </w:r>
          </w:p>
        </w:tc>
      </w:tr>
      <w:tr>
        <w:trPr>
          <w:trHeight w:val="31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（二）所有者投入和减少资本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3"/>
                <w:szCs w:val="13"/>
              </w:rPr>
              <w:t xml:space="preserve">1 </w:t>
            </w:r>
            <w:r>
              <w:rPr>
                <w:color w:val="000000"/>
                <w:spacing w:val="0"/>
                <w:w w:val="100"/>
                <w:position w:val="0"/>
                <w:sz w:val="13"/>
                <w:szCs w:val="13"/>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2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30" w:lineRule="exact"/>
              <w:ind w:left="140" w:right="0" w:firstLine="200"/>
              <w:jc w:val="left"/>
              <w:rPr>
                <w:sz w:val="13"/>
                <w:szCs w:val="13"/>
              </w:rPr>
            </w:pPr>
            <w:r>
              <w:rPr>
                <w:rFonts w:ascii="Times New Roman" w:eastAsia="Times New Roman" w:hAnsi="Times New Roman" w:cs="Times New Roman"/>
                <w:color w:val="000000"/>
                <w:spacing w:val="0"/>
                <w:w w:val="100"/>
                <w:position w:val="0"/>
                <w:sz w:val="13"/>
                <w:szCs w:val="13"/>
              </w:rPr>
              <w:t>2</w:t>
            </w:r>
            <w:r>
              <w:rPr>
                <w:color w:val="000000"/>
                <w:spacing w:val="0"/>
                <w:w w:val="100"/>
                <w:position w:val="0"/>
                <w:sz w:val="13"/>
                <w:szCs w:val="13"/>
              </w:rPr>
              <w:t>,其他权益工具持有者投 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2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30" w:lineRule="exact"/>
              <w:ind w:left="140" w:right="0" w:firstLine="200"/>
              <w:jc w:val="left"/>
              <w:rPr>
                <w:sz w:val="13"/>
                <w:szCs w:val="13"/>
              </w:rPr>
            </w:pPr>
            <w:r>
              <w:rPr>
                <w:rFonts w:ascii="Times New Roman" w:eastAsia="Times New Roman" w:hAnsi="Times New Roman" w:cs="Times New Roman"/>
                <w:color w:val="000000"/>
                <w:spacing w:val="0"/>
                <w:w w:val="100"/>
                <w:position w:val="0"/>
                <w:sz w:val="13"/>
                <w:szCs w:val="13"/>
              </w:rPr>
              <w:t>3</w:t>
            </w:r>
            <w:r>
              <w:rPr>
                <w:color w:val="000000"/>
                <w:spacing w:val="0"/>
                <w:w w:val="100"/>
                <w:position w:val="0"/>
                <w:sz w:val="13"/>
                <w:szCs w:val="13"/>
              </w:rPr>
              <w:t>,股份支付计入所有者权 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3"/>
                <w:szCs w:val="13"/>
              </w:rPr>
              <w:t>4</w:t>
            </w:r>
            <w:r>
              <w:rPr>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0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3"/>
                <w:szCs w:val="13"/>
              </w:rPr>
              <w:t xml:space="preserve">1 </w:t>
            </w:r>
            <w:r>
              <w:rPr>
                <w:color w:val="000000"/>
                <w:spacing w:val="0"/>
                <w:w w:val="100"/>
                <w:position w:val="0"/>
                <w:sz w:val="13"/>
                <w:szCs w:val="13"/>
              </w:rPr>
              <w:t>,提取盈余公积</w:t>
            </w:r>
          </w:p>
        </w:tc>
        <w:tc>
          <w:tcPr>
            <w:tcBorders>
              <w:top w:val="single" w:sz="4"/>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3"/>
                <w:szCs w:val="13"/>
              </w:rPr>
              <w:t>2</w:t>
            </w:r>
            <w:r>
              <w:rPr>
                <w:color w:val="000000"/>
                <w:spacing w:val="0"/>
                <w:w w:val="100"/>
                <w:position w:val="0"/>
                <w:sz w:val="13"/>
                <w:szCs w:val="13"/>
              </w:rPr>
              <w:t>,提取一般风险准备</w:t>
            </w:r>
          </w:p>
        </w:tc>
        <w:tc>
          <w:tcPr>
            <w:tcBorders>
              <w:top w:val="single" w:sz="4"/>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exact"/>
              <w:ind w:left="140" w:right="0" w:firstLine="200"/>
              <w:jc w:val="left"/>
              <w:rPr>
                <w:sz w:val="13"/>
                <w:szCs w:val="13"/>
              </w:rPr>
            </w:pPr>
            <w:r>
              <w:rPr>
                <w:rFonts w:ascii="Times New Roman" w:eastAsia="Times New Roman" w:hAnsi="Times New Roman" w:cs="Times New Roman"/>
                <w:color w:val="000000"/>
                <w:spacing w:val="0"/>
                <w:w w:val="100"/>
                <w:position w:val="0"/>
                <w:sz w:val="13"/>
                <w:szCs w:val="13"/>
              </w:rPr>
              <w:t xml:space="preserve">3 </w:t>
            </w:r>
            <w:r>
              <w:rPr>
                <w:color w:val="000000"/>
                <w:spacing w:val="0"/>
                <w:w w:val="100"/>
                <w:position w:val="0"/>
                <w:sz w:val="13"/>
                <w:szCs w:val="13"/>
              </w:rPr>
              <w:t>,对所有者（或股东）的 分配</w:t>
            </w:r>
          </w:p>
        </w:tc>
        <w:tc>
          <w:tcPr>
            <w:tcBorders>
              <w:top w:val="single" w:sz="4"/>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p>
      <w:pPr>
        <w:pStyle w:val="Style40"/>
        <w:keepNext w:val="0"/>
        <w:keepLines w:val="0"/>
        <w:widowControl w:val="0"/>
        <w:shd w:val="clear" w:color="auto" w:fill="auto"/>
        <w:bidi w:val="0"/>
        <w:spacing w:before="0" w:after="0" w:line="240" w:lineRule="auto"/>
        <w:ind w:left="7565" w:right="0" w:firstLine="0"/>
        <w:jc w:val="left"/>
        <w:rPr>
          <w:sz w:val="13"/>
          <w:szCs w:val="13"/>
        </w:rPr>
      </w:pPr>
      <w:r>
        <w:rPr>
          <w:color w:val="000000"/>
          <w:spacing w:val="0"/>
          <w:w w:val="100"/>
          <w:position w:val="0"/>
          <w:sz w:val="13"/>
          <w:szCs w:val="13"/>
        </w:rPr>
        <w:t>上期金额</w:t>
      </w:r>
    </w:p>
    <w:tbl>
      <w:tblPr>
        <w:tblOverlap w:val="never"/>
        <w:jc w:val="center"/>
        <w:tblLayout w:type="fixed"/>
      </w:tblPr>
      <w:tblGrid>
        <w:gridCol w:w="1968"/>
        <w:gridCol w:w="1454"/>
        <w:gridCol w:w="658"/>
        <w:gridCol w:w="701"/>
        <w:gridCol w:w="600"/>
        <w:gridCol w:w="1152"/>
        <w:gridCol w:w="701"/>
        <w:gridCol w:w="1190"/>
        <w:gridCol w:w="806"/>
        <w:gridCol w:w="1133"/>
        <w:gridCol w:w="854"/>
        <w:gridCol w:w="1133"/>
        <w:gridCol w:w="1406"/>
      </w:tblGrid>
      <w:tr>
        <w:trPr>
          <w:trHeight w:val="624" w:hRule="exact"/>
        </w:trPr>
        <w:tc>
          <w:tcPr>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3"/>
                <w:szCs w:val="13"/>
              </w:rPr>
            </w:pPr>
            <w:r>
              <w:rPr>
                <w:color w:val="000000"/>
                <w:spacing w:val="0"/>
                <w:w w:val="100"/>
                <w:position w:val="0"/>
                <w:sz w:val="13"/>
                <w:szCs w:val="13"/>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实收资本（或股本）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580"/>
              <w:jc w:val="left"/>
              <w:rPr>
                <w:sz w:val="13"/>
                <w:szCs w:val="13"/>
              </w:rPr>
            </w:pPr>
            <w:r>
              <w:rPr>
                <w:color w:val="000000"/>
                <w:spacing w:val="0"/>
                <w:w w:val="100"/>
                <w:position w:val="0"/>
                <w:sz w:val="13"/>
                <w:szCs w:val="13"/>
              </w:rPr>
              <w:t>其</w:t>
            </w:r>
          </w:p>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优先股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rPr>
                <w:sz w:val="13"/>
                <w:szCs w:val="13"/>
              </w:rPr>
            </w:pPr>
            <w:r>
              <w:rPr>
                <w:rFonts w:ascii="Times New Roman" w:eastAsia="Times New Roman" w:hAnsi="Times New Roman" w:cs="Times New Roman"/>
                <w:color w:val="000000"/>
                <w:spacing w:val="0"/>
                <w:w w:val="100"/>
                <w:position w:val="0"/>
                <w:sz w:val="13"/>
                <w:szCs w:val="13"/>
              </w:rPr>
              <w:t>M</w:t>
            </w:r>
            <w:r>
              <w:rPr>
                <w:color w:val="000000"/>
                <w:spacing w:val="0"/>
                <w:w w:val="100"/>
                <w:position w:val="0"/>
                <w:sz w:val="13"/>
                <w:szCs w:val="13"/>
              </w:rPr>
              <w:t>也权益工具</w:t>
            </w:r>
          </w:p>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永续债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center"/>
              <w:rPr>
                <w:sz w:val="13"/>
                <w:szCs w:val="13"/>
              </w:rPr>
            </w:pPr>
            <w:r>
              <w:rPr>
                <w:color w:val="000000"/>
                <w:spacing w:val="0"/>
                <w:w w:val="100"/>
                <w:position w:val="0"/>
                <w:sz w:val="13"/>
                <w:szCs w:val="13"/>
              </w:rPr>
              <w:t>减：库存</w:t>
            </w:r>
          </w:p>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专项储备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26" w:lineRule="exact"/>
              <w:ind w:left="0" w:right="0" w:firstLine="0"/>
              <w:jc w:val="center"/>
              <w:rPr>
                <w:sz w:val="13"/>
                <w:szCs w:val="13"/>
              </w:rPr>
            </w:pPr>
            <w:r>
              <w:rPr>
                <w:color w:val="000000"/>
                <w:spacing w:val="0"/>
                <w:w w:val="100"/>
                <w:position w:val="0"/>
                <w:sz w:val="13"/>
                <w:szCs w:val="13"/>
              </w:rPr>
              <w:t>一般风险 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26" w:lineRule="exact"/>
              <w:ind w:left="0" w:right="0" w:firstLine="0"/>
              <w:jc w:val="center"/>
              <w:rPr>
                <w:sz w:val="13"/>
                <w:szCs w:val="13"/>
              </w:rPr>
            </w:pPr>
            <w:r>
              <w:rPr>
                <w:color w:val="000000"/>
                <w:spacing w:val="0"/>
                <w:w w:val="100"/>
                <w:position w:val="0"/>
                <w:sz w:val="13"/>
                <w:szCs w:val="13"/>
              </w:rPr>
              <w:t>所有者权益（或股东 权益）合计</w:t>
            </w:r>
          </w:p>
        </w:tc>
      </w:tr>
      <w:tr>
        <w:trPr>
          <w:trHeight w:val="31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3"/>
                <w:szCs w:val="13"/>
              </w:rPr>
              <w:t>4</w:t>
            </w:r>
            <w:r>
              <w:rPr>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0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3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5" w:lineRule="exact"/>
              <w:ind w:left="140" w:right="0" w:firstLine="200"/>
              <w:jc w:val="left"/>
              <w:rPr>
                <w:sz w:val="13"/>
                <w:szCs w:val="13"/>
              </w:rPr>
            </w:pPr>
            <w:r>
              <w:rPr>
                <w:rFonts w:ascii="Times New Roman" w:eastAsia="Times New Roman" w:hAnsi="Times New Roman" w:cs="Times New Roman"/>
                <w:color w:val="000000"/>
                <w:spacing w:val="0"/>
                <w:w w:val="100"/>
                <w:position w:val="0"/>
                <w:sz w:val="13"/>
                <w:szCs w:val="13"/>
              </w:rPr>
              <w:t xml:space="preserve">1 </w:t>
            </w:r>
            <w:r>
              <w:rPr>
                <w:color w:val="000000"/>
                <w:spacing w:val="0"/>
                <w:w w:val="100"/>
                <w:position w:val="0"/>
                <w:sz w:val="13"/>
                <w:szCs w:val="13"/>
              </w:rPr>
              <w:t>,资本公积转增资本（或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2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30" w:lineRule="exact"/>
              <w:ind w:left="140" w:right="0" w:firstLine="200"/>
              <w:jc w:val="left"/>
              <w:rPr>
                <w:sz w:val="13"/>
                <w:szCs w:val="13"/>
              </w:rPr>
            </w:pPr>
            <w:r>
              <w:rPr>
                <w:rFonts w:ascii="Times New Roman" w:eastAsia="Times New Roman" w:hAnsi="Times New Roman" w:cs="Times New Roman"/>
                <w:color w:val="000000"/>
                <w:spacing w:val="0"/>
                <w:w w:val="100"/>
                <w:position w:val="0"/>
                <w:sz w:val="13"/>
                <w:szCs w:val="13"/>
              </w:rPr>
              <w:t>2</w:t>
            </w:r>
            <w:r>
              <w:rPr>
                <w:color w:val="000000"/>
                <w:spacing w:val="0"/>
                <w:w w:val="100"/>
                <w:position w:val="0"/>
                <w:sz w:val="13"/>
                <w:szCs w:val="13"/>
              </w:rPr>
              <w:t>,盈余公积转增资本（或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3"/>
                <w:szCs w:val="13"/>
              </w:rPr>
              <w:t>3</w:t>
            </w:r>
            <w:r>
              <w:rPr>
                <w:color w:val="000000"/>
                <w:spacing w:val="0"/>
                <w:w w:val="100"/>
                <w:position w:val="0"/>
                <w:sz w:val="13"/>
                <w:szCs w:val="13"/>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2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30" w:lineRule="exact"/>
              <w:ind w:left="140" w:right="0" w:firstLine="200"/>
              <w:jc w:val="left"/>
              <w:rPr>
                <w:sz w:val="13"/>
                <w:szCs w:val="13"/>
              </w:rPr>
            </w:pPr>
            <w:r>
              <w:rPr>
                <w:rFonts w:ascii="Times New Roman" w:eastAsia="Times New Roman" w:hAnsi="Times New Roman" w:cs="Times New Roman"/>
                <w:color w:val="000000"/>
                <w:spacing w:val="0"/>
                <w:w w:val="100"/>
                <w:position w:val="0"/>
                <w:sz w:val="13"/>
                <w:szCs w:val="13"/>
              </w:rPr>
              <w:t>4</w:t>
            </w:r>
            <w:r>
              <w:rPr>
                <w:color w:val="000000"/>
                <w:spacing w:val="0"/>
                <w:w w:val="100"/>
                <w:position w:val="0"/>
                <w:sz w:val="13"/>
                <w:szCs w:val="13"/>
              </w:rPr>
              <w:t>,设定受益计划变动额结 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2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30" w:lineRule="exact"/>
              <w:ind w:left="140" w:right="0" w:firstLine="200"/>
              <w:jc w:val="left"/>
              <w:rPr>
                <w:sz w:val="13"/>
                <w:szCs w:val="13"/>
              </w:rPr>
            </w:pPr>
            <w:r>
              <w:rPr>
                <w:rFonts w:ascii="Times New Roman" w:eastAsia="Times New Roman" w:hAnsi="Times New Roman" w:cs="Times New Roman"/>
                <w:color w:val="000000"/>
                <w:spacing w:val="0"/>
                <w:w w:val="100"/>
                <w:position w:val="0"/>
                <w:sz w:val="13"/>
                <w:szCs w:val="13"/>
              </w:rPr>
              <w:t>5</w:t>
            </w:r>
            <w:r>
              <w:rPr>
                <w:color w:val="000000"/>
                <w:spacing w:val="0"/>
                <w:w w:val="100"/>
                <w:position w:val="0"/>
                <w:sz w:val="13"/>
                <w:szCs w:val="13"/>
              </w:rPr>
              <w:t>,其他综合收益结转留存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2"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3"/>
                <w:szCs w:val="13"/>
              </w:rPr>
              <w:t>6</w:t>
            </w:r>
            <w:r>
              <w:rPr>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0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 xml:space="preserve">1 </w:t>
            </w:r>
            <w:r>
              <w:rPr>
                <w:color w:val="000000"/>
                <w:spacing w:val="0"/>
                <w:w w:val="100"/>
                <w:position w:val="0"/>
                <w:sz w:val="13"/>
                <w:szCs w:val="13"/>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2</w:t>
            </w:r>
            <w:r>
              <w:rPr>
                <w:color w:val="000000"/>
                <w:spacing w:val="0"/>
                <w:w w:val="100"/>
                <w:position w:val="0"/>
                <w:sz w:val="13"/>
                <w:szCs w:val="13"/>
              </w:rPr>
              <w:t>,本期使用</w:t>
            </w:r>
          </w:p>
        </w:tc>
        <w:tc>
          <w:tcPr>
            <w:tcBorders>
              <w:top w:val="single" w:sz="4"/>
              <w:left w:val="single" w:sz="4"/>
            </w:tcBorders>
            <w:shd w:val="clear" w:color="auto" w:fill="FFFFFF"/>
            <w:vAlign w:val="top"/>
          </w:tcPr>
          <w:p>
            <w:pPr>
              <w:widowControl w:val="0"/>
              <w:rPr>
                <w:sz w:val="10"/>
                <w:szCs w:val="10"/>
              </w:rPr>
            </w:pPr>
          </w:p>
        </w:tc>
        <w:tc>
          <w:tcPr>
            <w:vMerge w:val="restart"/>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8,861,452,546.01</w:t>
            </w:r>
          </w:p>
        </w:tc>
        <w:tc>
          <w:tcPr>
            <w:gridSpan w:val="2"/>
            <w:vMerge w:val="restart"/>
            <w:tcBorders>
              <w:left w:val="single" w:sz="4"/>
            </w:tcBorders>
            <w:shd w:val="clear" w:color="auto" w:fill="FFFFFF"/>
            <w:vAlign w:val="top"/>
          </w:tcPr>
          <w:p>
            <w:pPr>
              <w:pStyle w:val="Style2"/>
              <w:keepNext w:val="0"/>
              <w:keepLines w:val="0"/>
              <w:widowControl w:val="0"/>
              <w:shd w:val="clear" w:color="auto" w:fill="auto"/>
              <w:tabs>
                <w:tab w:leader="dot" w:pos="691" w:val="right"/>
                <w:tab w:leader="dot" w:pos="1848" w:val="left"/>
              </w:tabs>
              <w:bidi w:val="0"/>
              <w:spacing w:before="80" w:after="0" w:line="240" w:lineRule="auto"/>
              <w:ind w:left="0" w:right="0" w:firstLine="0"/>
              <w:jc w:val="left"/>
              <w:rPr>
                <w:sz w:val="32"/>
                <w:szCs w:val="32"/>
              </w:rPr>
            </w:pPr>
            <w:r>
              <w:rPr>
                <w:rFonts w:ascii="Courier New" w:eastAsia="Courier New" w:hAnsi="Courier New" w:cs="Courier New"/>
                <w:color w:val="000000"/>
                <w:spacing w:val="0"/>
                <w:w w:val="100"/>
                <w:position w:val="0"/>
                <w:sz w:val="32"/>
                <w:szCs w:val="32"/>
              </w:rPr>
              <w:tab/>
            </w:r>
            <w:r>
              <w:rPr>
                <w:rFonts w:ascii="Courier New" w:eastAsia="Courier New" w:hAnsi="Courier New" w:cs="Courier New"/>
                <w:color w:val="000000"/>
                <w:spacing w:val="0"/>
                <w:w w:val="100"/>
                <w:position w:val="0"/>
                <w:sz w:val="32"/>
                <w:szCs w:val="32"/>
              </w:rPr>
              <w:t>1</w:t>
            </w:r>
            <w:r>
              <w:rPr>
                <w:rFonts w:ascii="Courier New" w:eastAsia="Courier New" w:hAnsi="Courier New" w:cs="Courier New"/>
                <w:color w:val="000000"/>
                <w:spacing w:val="0"/>
                <w:w w:val="100"/>
                <w:position w:val="0"/>
                <w:sz w:val="32"/>
                <w:szCs w:val="32"/>
              </w:rPr>
              <w:tab/>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0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（六）其他</w:t>
            </w:r>
          </w:p>
        </w:tc>
        <w:tc>
          <w:tcPr>
            <w:tcBorders>
              <w:top w:val="single" w:sz="4"/>
              <w:left w:val="single" w:sz="4"/>
            </w:tcBorders>
            <w:shd w:val="clear" w:color="auto" w:fill="FFFFFF"/>
            <w:vAlign w:val="top"/>
          </w:tcPr>
          <w:p>
            <w:pPr>
              <w:widowControl w:val="0"/>
              <w:rPr>
                <w:sz w:val="10"/>
                <w:szCs w:val="10"/>
              </w:rPr>
            </w:pPr>
          </w:p>
        </w:tc>
        <w:tc>
          <w:tcPr>
            <w:vMerge/>
            <w:tcBorders/>
            <w:shd w:val="clear" w:color="auto" w:fill="FFFFFF"/>
            <w:vAlign w:val="top"/>
          </w:tcPr>
          <w:p>
            <w:pP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tcBorders/>
            <w:shd w:val="clear" w:color="auto" w:fill="FFFFFF"/>
            <w:vAlign w:val="bottom"/>
          </w:tcPr>
          <w:p>
            <w:pPr/>
          </w:p>
        </w:tc>
        <w:tc>
          <w:tcPr>
            <w:gridSpan w:val="2"/>
            <w:vMerge/>
            <w:tcBorders>
              <w:left w:val="single" w:sz="4"/>
            </w:tcBorders>
            <w:shd w:val="clear" w:color="auto" w:fill="FFFFFF"/>
            <w:vAlign w:val="top"/>
          </w:tcPr>
          <w:p>
            <w:pP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1"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3"/>
                <w:szCs w:val="13"/>
              </w:rPr>
            </w:pPr>
            <w:r>
              <w:rPr>
                <w:rFonts w:ascii="Times New Roman" w:eastAsia="Times New Roman" w:hAnsi="Times New Roman" w:cs="Times New Roman"/>
                <w:color w:val="000000"/>
                <w:spacing w:val="0"/>
                <w:w w:val="100"/>
                <w:position w:val="0"/>
                <w:sz w:val="13"/>
                <w:szCs w:val="13"/>
              </w:rPr>
              <w:t>1,935,084,653.00</w:t>
            </w:r>
          </w:p>
        </w:tc>
        <w:tc>
          <w:tcPr>
            <w:vMerge/>
            <w:tcBorders>
              <w:bottom w:val="single" w:sz="4"/>
            </w:tcBorders>
            <w:shd w:val="clear" w:color="auto" w:fill="FFFFFF"/>
            <w:vAlign w:val="top"/>
          </w:tcPr>
          <w:p>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vMerge/>
            <w:tcBorders>
              <w:bottom w:val="single" w:sz="4"/>
            </w:tcBorders>
            <w:shd w:val="clear" w:color="auto" w:fill="FFFFFF"/>
            <w:vAlign w:val="bottom"/>
          </w:tcPr>
          <w:p>
            <w:pPr/>
          </w:p>
        </w:tc>
        <w:tc>
          <w:tcPr>
            <w:gridSpan w:val="2"/>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44,253,651.01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73,259,988.24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10,914,050,838.26</w:t>
            </w:r>
          </w:p>
        </w:tc>
      </w:tr>
    </w:tbl>
    <w:p>
      <w:pPr>
        <w:widowControl w:val="0"/>
        <w:spacing w:after="99" w:line="1" w:lineRule="exact"/>
      </w:pPr>
    </w:p>
    <w:p>
      <w:pPr>
        <w:pStyle w:val="Style100"/>
        <w:keepNext w:val="0"/>
        <w:keepLines w:val="0"/>
        <w:widowControl w:val="0"/>
        <w:shd w:val="clear" w:color="auto" w:fill="auto"/>
        <w:bidi w:val="0"/>
        <w:spacing w:before="0" w:after="0" w:line="240" w:lineRule="auto"/>
        <w:ind w:left="0" w:right="0" w:firstLine="140"/>
        <w:jc w:val="left"/>
        <w:sectPr>
          <w:headerReference w:type="default" r:id="rId31"/>
          <w:footerReference w:type="default" r:id="rId32"/>
          <w:footnotePr>
            <w:pos w:val="pageBottom"/>
            <w:numFmt w:val="decimal"/>
            <w:numRestart w:val="continuous"/>
          </w:footnotePr>
          <w:pgSz w:w="16840" w:h="11900" w:orient="landscape"/>
          <w:pgMar w:top="1936" w:right="1483" w:bottom="1482" w:left="1283" w:header="0" w:footer="3" w:gutter="0"/>
          <w:cols w:space="720"/>
          <w:noEndnote/>
          <w:rtlGutter w:val="0"/>
          <w:docGrid w:linePitch="360"/>
        </w:sectPr>
      </w:pPr>
      <w:r>
        <w:rPr>
          <w:color w:val="000000"/>
          <w:spacing w:val="0"/>
          <w:w w:val="100"/>
          <w:position w:val="0"/>
        </w:rPr>
        <w:t>后附财务报表附注为财务报表的组成部分。</w:t>
      </w:r>
    </w:p>
    <w:p>
      <w:pPr>
        <w:widowControl w:val="0"/>
        <w:spacing w:before="39" w:after="39" w:line="240" w:lineRule="exact"/>
        <w:rPr>
          <w:sz w:val="19"/>
          <w:szCs w:val="19"/>
        </w:rPr>
      </w:pPr>
    </w:p>
    <w:p>
      <w:pPr>
        <w:widowControl w:val="0"/>
        <w:spacing w:line="1" w:lineRule="exact"/>
        <w:sectPr>
          <w:footnotePr>
            <w:pos w:val="pageBottom"/>
            <w:numFmt w:val="decimal"/>
            <w:numRestart w:val="continuous"/>
          </w:footnotePr>
          <w:type w:val="continuous"/>
          <w:pgSz w:w="16840" w:h="11900" w:orient="landscape"/>
          <w:pgMar w:top="1145" w:right="0" w:bottom="1385" w:left="0" w:header="0" w:footer="3" w:gutter="0"/>
          <w:cols w:space="720"/>
          <w:noEndnote/>
          <w:rtlGutter w:val="0"/>
          <w:docGrid w:linePitch="360"/>
        </w:sectPr>
      </w:pPr>
    </w:p>
    <w:p>
      <w:pPr>
        <w:pStyle w:val="Style100"/>
        <w:keepNext w:val="0"/>
        <w:keepLines w:val="0"/>
        <w:framePr w:w="1483" w:h="230" w:wrap="none" w:vAnchor="text" w:hAnchor="page" w:x="1577" w:y="21"/>
        <w:widowControl w:val="0"/>
        <w:shd w:val="clear" w:color="auto" w:fill="auto"/>
        <w:bidi w:val="0"/>
        <w:spacing w:before="0" w:after="0" w:line="240" w:lineRule="auto"/>
        <w:ind w:left="0" w:right="0" w:firstLine="0"/>
        <w:jc w:val="left"/>
      </w:pPr>
      <w:r>
        <w:rPr>
          <w:color w:val="000000"/>
          <w:spacing w:val="0"/>
          <w:w w:val="100"/>
          <w:position w:val="0"/>
        </w:rPr>
        <w:t>企业法定代表人:</w:t>
      </w:r>
    </w:p>
    <w:p>
      <w:pPr>
        <w:pStyle w:val="Style100"/>
        <w:keepNext w:val="0"/>
        <w:keepLines w:val="0"/>
        <w:framePr w:w="1838" w:h="226" w:wrap="none" w:vAnchor="text" w:hAnchor="page" w:x="6440" w:y="21"/>
        <w:widowControl w:val="0"/>
        <w:shd w:val="clear" w:color="auto" w:fill="auto"/>
        <w:bidi w:val="0"/>
        <w:spacing w:before="0" w:after="0" w:line="240" w:lineRule="auto"/>
        <w:ind w:left="0" w:right="0" w:firstLine="0"/>
        <w:jc w:val="left"/>
      </w:pPr>
      <w:r>
        <w:rPr>
          <w:color w:val="000000"/>
          <w:spacing w:val="0"/>
          <w:w w:val="100"/>
          <w:position w:val="0"/>
        </w:rPr>
        <w:t>主管会计工作负责人:</w:t>
      </w:r>
    </w:p>
    <w:p>
      <w:pPr>
        <w:pStyle w:val="Style100"/>
        <w:keepNext w:val="0"/>
        <w:keepLines w:val="0"/>
        <w:framePr w:w="1483" w:h="235" w:wrap="none" w:vAnchor="text" w:hAnchor="page" w:x="11475" w:y="21"/>
        <w:widowControl w:val="0"/>
        <w:shd w:val="clear" w:color="auto" w:fill="auto"/>
        <w:bidi w:val="0"/>
        <w:spacing w:before="0" w:after="0" w:line="240" w:lineRule="auto"/>
        <w:ind w:left="0" w:right="0" w:firstLine="0"/>
        <w:jc w:val="left"/>
      </w:pPr>
      <w:r>
        <w:rPr>
          <w:color w:val="000000"/>
          <w:spacing w:val="0"/>
          <w:w w:val="100"/>
          <w:position w:val="0"/>
        </w:rPr>
        <w:t>会计机构负责人:</w:t>
      </w:r>
    </w:p>
    <w:p>
      <w:pPr>
        <w:widowControl w:val="0"/>
        <w:spacing w:after="234" w:line="1" w:lineRule="exact"/>
      </w:pPr>
    </w:p>
    <w:p>
      <w:pPr>
        <w:widowControl w:val="0"/>
        <w:spacing w:line="1" w:lineRule="exact"/>
        <w:sectPr>
          <w:footnotePr>
            <w:pos w:val="pageBottom"/>
            <w:numFmt w:val="decimal"/>
            <w:numRestart w:val="continuous"/>
          </w:footnotePr>
          <w:type w:val="continuous"/>
          <w:pgSz w:w="16840" w:h="11900" w:orient="landscape"/>
          <w:pgMar w:top="1145" w:right="1436" w:bottom="1385" w:left="1287" w:header="0" w:footer="3" w:gutter="0"/>
          <w:cols w:space="720"/>
          <w:noEndnote/>
          <w:rtlGutter w:val="0"/>
          <w:docGrid w:linePitch="360"/>
        </w:sectPr>
      </w:pPr>
    </w:p>
    <w:p>
      <w:pPr>
        <w:pStyle w:val="Style14"/>
        <w:keepNext/>
        <w:keepLines/>
        <w:widowControl w:val="0"/>
        <w:shd w:val="clear" w:color="auto" w:fill="auto"/>
        <w:bidi w:val="0"/>
        <w:spacing w:before="860" w:after="260" w:line="240" w:lineRule="auto"/>
        <w:ind w:left="0" w:right="0" w:firstLine="0"/>
        <w:jc w:val="center"/>
        <w:rPr>
          <w:sz w:val="28"/>
          <w:szCs w:val="28"/>
        </w:rPr>
      </w:pPr>
      <w:bookmarkStart w:id="670" w:name="bookmark670"/>
      <w:bookmarkStart w:id="671" w:name="bookmark671"/>
      <w:bookmarkStart w:id="672" w:name="bookmark672"/>
      <w:r>
        <w:rPr>
          <w:color w:val="000000"/>
          <w:spacing w:val="0"/>
          <w:w w:val="100"/>
          <w:position w:val="0"/>
          <w:sz w:val="28"/>
          <w:szCs w:val="28"/>
        </w:rPr>
        <w:t>国盛金融控股集团股份有限公司</w:t>
      </w:r>
      <w:bookmarkEnd w:id="670"/>
      <w:bookmarkEnd w:id="671"/>
      <w:bookmarkEnd w:id="672"/>
    </w:p>
    <w:p>
      <w:pPr>
        <w:pStyle w:val="Style14"/>
        <w:keepNext/>
        <w:keepLines/>
        <w:widowControl w:val="0"/>
        <w:shd w:val="clear" w:color="auto" w:fill="auto"/>
        <w:bidi w:val="0"/>
        <w:spacing w:before="0" w:after="640" w:line="240" w:lineRule="auto"/>
        <w:ind w:left="0" w:right="0" w:firstLine="0"/>
        <w:jc w:val="center"/>
        <w:rPr>
          <w:sz w:val="28"/>
          <w:szCs w:val="28"/>
        </w:rPr>
      </w:pPr>
      <w:bookmarkStart w:id="673" w:name="bookmark673"/>
      <w:bookmarkStart w:id="674" w:name="bookmark674"/>
      <w:bookmarkStart w:id="675" w:name="bookmark675"/>
      <w:r>
        <w:rPr>
          <w:rFonts w:ascii="Times New Roman" w:eastAsia="Times New Roman" w:hAnsi="Times New Roman" w:cs="Times New Roman"/>
          <w:color w:val="000000"/>
          <w:spacing w:val="0"/>
          <w:w w:val="100"/>
          <w:position w:val="0"/>
          <w:sz w:val="28"/>
          <w:szCs w:val="28"/>
        </w:rPr>
        <w:t>2020</w:t>
      </w:r>
      <w:r>
        <w:rPr>
          <w:color w:val="000000"/>
          <w:spacing w:val="0"/>
          <w:w w:val="100"/>
          <w:position w:val="0"/>
          <w:sz w:val="28"/>
          <w:szCs w:val="28"/>
        </w:rPr>
        <w:t>年度财务报表附注</w:t>
      </w:r>
      <w:bookmarkEnd w:id="673"/>
      <w:bookmarkEnd w:id="674"/>
      <w:bookmarkEnd w:id="675"/>
    </w:p>
    <w:p>
      <w:pPr>
        <w:pStyle w:val="Style29"/>
        <w:keepNext/>
        <w:keepLines/>
        <w:widowControl w:val="0"/>
        <w:shd w:val="clear" w:color="auto" w:fill="auto"/>
        <w:bidi w:val="0"/>
        <w:spacing w:before="0" w:after="180" w:line="240" w:lineRule="auto"/>
        <w:ind w:left="0" w:right="0" w:firstLine="500"/>
        <w:jc w:val="both"/>
      </w:pPr>
      <w:bookmarkStart w:id="676" w:name="bookmark676"/>
      <w:bookmarkStart w:id="677" w:name="bookmark677"/>
      <w:bookmarkStart w:id="678" w:name="bookmark678"/>
      <w:r>
        <w:rPr>
          <w:color w:val="000000"/>
          <w:spacing w:val="0"/>
          <w:w w:val="100"/>
          <w:position w:val="0"/>
          <w:sz w:val="24"/>
          <w:szCs w:val="24"/>
        </w:rPr>
        <w:t>一、公司基本情况</w:t>
      </w:r>
      <w:bookmarkEnd w:id="676"/>
      <w:bookmarkEnd w:id="677"/>
      <w:bookmarkEnd w:id="678"/>
    </w:p>
    <w:p>
      <w:pPr>
        <w:pStyle w:val="Style37"/>
        <w:keepNext/>
        <w:keepLines/>
        <w:widowControl w:val="0"/>
        <w:shd w:val="clear" w:color="auto" w:fill="auto"/>
        <w:bidi w:val="0"/>
        <w:spacing w:before="0" w:after="0" w:line="409" w:lineRule="exact"/>
        <w:ind w:left="0" w:right="0" w:firstLine="380"/>
        <w:jc w:val="both"/>
      </w:pPr>
      <w:bookmarkStart w:id="679" w:name="bookmark679"/>
      <w:bookmarkStart w:id="680" w:name="bookmark680"/>
      <w:bookmarkStart w:id="681" w:name="bookmark681"/>
      <w:bookmarkStart w:id="682" w:name="bookmark682"/>
      <w:r>
        <w:rPr>
          <w:color w:val="000000"/>
          <w:spacing w:val="0"/>
          <w:w w:val="100"/>
          <w:position w:val="0"/>
        </w:rPr>
        <w:t>（</w:t>
      </w:r>
      <w:bookmarkEnd w:id="681"/>
      <w:r>
        <w:rPr>
          <w:color w:val="000000"/>
          <w:spacing w:val="0"/>
          <w:w w:val="100"/>
          <w:position w:val="0"/>
        </w:rPr>
        <w:t>一）公司注册地、组织形式和总部地址</w:t>
      </w:r>
      <w:bookmarkEnd w:id="679"/>
      <w:bookmarkEnd w:id="680"/>
      <w:bookmarkEnd w:id="682"/>
    </w:p>
    <w:p>
      <w:pPr>
        <w:pStyle w:val="Style16"/>
        <w:keepNext w:val="0"/>
        <w:keepLines w:val="0"/>
        <w:widowControl w:val="0"/>
        <w:shd w:val="clear" w:color="auto" w:fill="auto"/>
        <w:bidi w:val="0"/>
        <w:spacing w:before="0" w:after="0" w:line="409" w:lineRule="exact"/>
        <w:ind w:left="0" w:right="0" w:firstLine="420"/>
        <w:jc w:val="both"/>
      </w:pPr>
      <w:r>
        <w:rPr>
          <w:color w:val="000000"/>
          <w:spacing w:val="0"/>
          <w:w w:val="100"/>
          <w:position w:val="0"/>
        </w:rPr>
        <w:t>国盛金融控股集团股份有限公司（以下简称“公司”或“本公司”）系于</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22</w:t>
      </w:r>
      <w:r>
        <w:rPr>
          <w:color w:val="000000"/>
          <w:spacing w:val="0"/>
          <w:w w:val="100"/>
          <w:position w:val="0"/>
        </w:rPr>
        <w:t>日，经广东省对外贸易经济合作厅《关于合资企业广东华声电器实业有限公司转制为外 商投资股份有限公司的批复》（粤外经贸资字【</w:t>
      </w:r>
      <w:r>
        <w:rPr>
          <w:rFonts w:ascii="Times New Roman" w:eastAsia="Times New Roman" w:hAnsi="Times New Roman" w:cs="Times New Roman"/>
          <w:color w:val="000000"/>
          <w:spacing w:val="0"/>
          <w:w w:val="100"/>
          <w:position w:val="0"/>
        </w:rPr>
        <w:t>2010</w:t>
      </w:r>
      <w:r>
        <w:rPr>
          <w:color w:val="000000"/>
          <w:spacing w:val="0"/>
          <w:w w:val="100"/>
          <w:position w:val="0"/>
        </w:rPr>
        <w:t>】</w:t>
      </w:r>
      <w:r>
        <w:rPr>
          <w:rFonts w:ascii="Times New Roman" w:eastAsia="Times New Roman" w:hAnsi="Times New Roman" w:cs="Times New Roman"/>
          <w:color w:val="000000"/>
          <w:spacing w:val="0"/>
          <w:w w:val="100"/>
          <w:position w:val="0"/>
        </w:rPr>
        <w:t>363</w:t>
      </w:r>
      <w:r>
        <w:rPr>
          <w:color w:val="000000"/>
          <w:spacing w:val="0"/>
          <w:w w:val="100"/>
          <w:position w:val="0"/>
        </w:rPr>
        <w:t>号）核准，由广东华声电器实业 有限公司以截至</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日的净资产</w:t>
      </w:r>
      <w:r>
        <w:rPr>
          <w:rFonts w:ascii="Times New Roman" w:eastAsia="Times New Roman" w:hAnsi="Times New Roman" w:cs="Times New Roman"/>
          <w:color w:val="000000"/>
          <w:spacing w:val="0"/>
          <w:w w:val="100"/>
          <w:position w:val="0"/>
        </w:rPr>
        <w:t>293</w:t>
      </w:r>
      <w:r>
        <w:rPr>
          <w:rFonts w:ascii="Calibri" w:eastAsia="Calibri" w:hAnsi="Calibri" w:cs="Calibri"/>
          <w:color w:val="000000"/>
          <w:spacing w:val="0"/>
          <w:w w:val="100"/>
          <w:position w:val="0"/>
          <w:sz w:val="20"/>
          <w:szCs w:val="20"/>
        </w:rPr>
        <w:t>,</w:t>
      </w:r>
      <w:r>
        <w:rPr>
          <w:rFonts w:ascii="Times New Roman" w:eastAsia="Times New Roman" w:hAnsi="Times New Roman" w:cs="Times New Roman"/>
          <w:color w:val="000000"/>
          <w:spacing w:val="0"/>
          <w:w w:val="100"/>
          <w:position w:val="0"/>
        </w:rPr>
        <w:t>141</w:t>
      </w:r>
      <w:r>
        <w:rPr>
          <w:rFonts w:ascii="Calibri" w:eastAsia="Calibri" w:hAnsi="Calibri" w:cs="Calibri"/>
          <w:color w:val="000000"/>
          <w:spacing w:val="0"/>
          <w:w w:val="100"/>
          <w:position w:val="0"/>
          <w:sz w:val="20"/>
          <w:szCs w:val="20"/>
        </w:rPr>
        <w:t>,</w:t>
      </w:r>
      <w:r>
        <w:rPr>
          <w:rFonts w:ascii="Times New Roman" w:eastAsia="Times New Roman" w:hAnsi="Times New Roman" w:cs="Times New Roman"/>
          <w:color w:val="000000"/>
          <w:spacing w:val="0"/>
          <w:w w:val="100"/>
          <w:position w:val="0"/>
        </w:rPr>
        <w:t>214</w:t>
      </w:r>
      <w:r>
        <w:rPr>
          <w:rFonts w:ascii="Calibri" w:eastAsia="Calibri" w:hAnsi="Calibri" w:cs="Calibri"/>
          <w:color w:val="000000"/>
          <w:spacing w:val="0"/>
          <w:w w:val="100"/>
          <w:position w:val="0"/>
          <w:sz w:val="20"/>
          <w:szCs w:val="20"/>
        </w:rPr>
        <w:t>.</w:t>
      </w:r>
      <w:r>
        <w:rPr>
          <w:rFonts w:ascii="Times New Roman" w:eastAsia="Times New Roman" w:hAnsi="Times New Roman" w:cs="Times New Roman"/>
          <w:color w:val="000000"/>
          <w:spacing w:val="0"/>
          <w:w w:val="100"/>
          <w:position w:val="0"/>
        </w:rPr>
        <w:t>80</w:t>
      </w:r>
      <w:r>
        <w:rPr>
          <w:color w:val="000000"/>
          <w:spacing w:val="0"/>
          <w:w w:val="100"/>
          <w:position w:val="0"/>
        </w:rPr>
        <w:t>元按</w:t>
      </w:r>
      <w:r>
        <w:rPr>
          <w:rFonts w:ascii="Times New Roman" w:eastAsia="Times New Roman" w:hAnsi="Times New Roman" w:cs="Times New Roman"/>
          <w:color w:val="000000"/>
          <w:spacing w:val="0"/>
          <w:w w:val="100"/>
          <w:position w:val="0"/>
        </w:rPr>
        <w:t>1</w:t>
      </w:r>
      <w:r>
        <w:rPr>
          <w:color w:val="000000"/>
          <w:spacing w:val="0"/>
          <w:w w:val="100"/>
          <w:position w:val="0"/>
        </w:rPr>
        <w:t xml:space="preserve">： </w:t>
      </w:r>
      <w:r>
        <w:rPr>
          <w:rFonts w:ascii="Times New Roman" w:eastAsia="Times New Roman" w:hAnsi="Times New Roman" w:cs="Times New Roman"/>
          <w:color w:val="000000"/>
          <w:spacing w:val="0"/>
          <w:w w:val="100"/>
          <w:position w:val="0"/>
        </w:rPr>
        <w:t>0</w:t>
      </w:r>
      <w:r>
        <w:rPr>
          <w:rFonts w:ascii="Calibri" w:eastAsia="Calibri" w:hAnsi="Calibri" w:cs="Calibri"/>
          <w:color w:val="000000"/>
          <w:spacing w:val="0"/>
          <w:w w:val="100"/>
          <w:position w:val="0"/>
          <w:sz w:val="20"/>
          <w:szCs w:val="20"/>
        </w:rPr>
        <w:t>.</w:t>
      </w:r>
      <w:r>
        <w:rPr>
          <w:rFonts w:ascii="Times New Roman" w:eastAsia="Times New Roman" w:hAnsi="Times New Roman" w:cs="Times New Roman"/>
          <w:color w:val="000000"/>
          <w:spacing w:val="0"/>
          <w:w w:val="100"/>
          <w:position w:val="0"/>
        </w:rPr>
        <w:t>5117</w:t>
      </w:r>
      <w:r>
        <w:rPr>
          <w:color w:val="000000"/>
          <w:spacing w:val="0"/>
          <w:w w:val="100"/>
          <w:position w:val="0"/>
        </w:rPr>
        <w:t>的比例折为</w:t>
      </w:r>
      <w:r>
        <w:rPr>
          <w:rFonts w:ascii="Times New Roman" w:eastAsia="Times New Roman" w:hAnsi="Times New Roman" w:cs="Times New Roman"/>
          <w:color w:val="000000"/>
          <w:spacing w:val="0"/>
          <w:w w:val="100"/>
          <w:position w:val="0"/>
        </w:rPr>
        <w:t>15</w:t>
      </w:r>
      <w:r>
        <w:rPr>
          <w:rFonts w:ascii="Calibri" w:eastAsia="Calibri" w:hAnsi="Calibri" w:cs="Calibri"/>
          <w:color w:val="000000"/>
          <w:spacing w:val="0"/>
          <w:w w:val="100"/>
          <w:position w:val="0"/>
          <w:sz w:val="20"/>
          <w:szCs w:val="20"/>
        </w:rPr>
        <w:t>,</w:t>
      </w:r>
      <w:r>
        <w:rPr>
          <w:rFonts w:ascii="Times New Roman" w:eastAsia="Times New Roman" w:hAnsi="Times New Roman" w:cs="Times New Roman"/>
          <w:color w:val="000000"/>
          <w:spacing w:val="0"/>
          <w:w w:val="100"/>
          <w:position w:val="0"/>
        </w:rPr>
        <w:t xml:space="preserve">000 </w:t>
      </w:r>
      <w:r>
        <w:rPr>
          <w:color w:val="000000"/>
          <w:spacing w:val="0"/>
          <w:w w:val="100"/>
          <w:position w:val="0"/>
        </w:rPr>
        <w:t>万股普通股，每股面值</w:t>
      </w:r>
      <w:r>
        <w:rPr>
          <w:rFonts w:ascii="Times New Roman" w:eastAsia="Times New Roman" w:hAnsi="Times New Roman" w:cs="Times New Roman"/>
          <w:color w:val="000000"/>
          <w:spacing w:val="0"/>
          <w:w w:val="100"/>
          <w:position w:val="0"/>
        </w:rPr>
        <w:t>1</w:t>
      </w:r>
      <w:r>
        <w:rPr>
          <w:color w:val="000000"/>
          <w:spacing w:val="0"/>
          <w:w w:val="100"/>
          <w:position w:val="0"/>
        </w:rPr>
        <w:t>元，通过整体变更方式设立。设立后，公司股本总额为人民币</w:t>
      </w:r>
      <w:r>
        <w:rPr>
          <w:rFonts w:ascii="Times New Roman" w:eastAsia="Times New Roman" w:hAnsi="Times New Roman" w:cs="Times New Roman"/>
          <w:color w:val="000000"/>
          <w:spacing w:val="0"/>
          <w:w w:val="100"/>
          <w:position w:val="0"/>
        </w:rPr>
        <w:t>15</w:t>
      </w:r>
      <w:r>
        <w:rPr>
          <w:rFonts w:ascii="Calibri" w:eastAsia="Calibri" w:hAnsi="Calibri" w:cs="Calibri"/>
          <w:color w:val="000000"/>
          <w:spacing w:val="0"/>
          <w:w w:val="100"/>
          <w:position w:val="0"/>
          <w:sz w:val="20"/>
          <w:szCs w:val="20"/>
        </w:rPr>
        <w:t>,</w:t>
      </w:r>
      <w:r>
        <w:rPr>
          <w:rFonts w:ascii="Times New Roman" w:eastAsia="Times New Roman" w:hAnsi="Times New Roman" w:cs="Times New Roman"/>
          <w:color w:val="000000"/>
          <w:spacing w:val="0"/>
          <w:w w:val="100"/>
          <w:position w:val="0"/>
        </w:rPr>
        <w:t xml:space="preserve">000 </w:t>
      </w:r>
      <w:r>
        <w:rPr>
          <w:color w:val="000000"/>
          <w:spacing w:val="0"/>
          <w:w w:val="100"/>
          <w:position w:val="0"/>
        </w:rPr>
        <w:t>万元，本次出资业经立信大华会计师事务所有限公司出具的立信大华验字【</w:t>
      </w:r>
      <w:r>
        <w:rPr>
          <w:rFonts w:ascii="Times New Roman" w:eastAsia="Times New Roman" w:hAnsi="Times New Roman" w:cs="Times New Roman"/>
          <w:color w:val="000000"/>
          <w:spacing w:val="0"/>
          <w:w w:val="100"/>
          <w:position w:val="0"/>
        </w:rPr>
        <w:t>2010</w:t>
      </w:r>
      <w:r>
        <w:rPr>
          <w:color w:val="000000"/>
          <w:spacing w:val="0"/>
          <w:w w:val="100"/>
          <w:position w:val="0"/>
        </w:rPr>
        <w:t>】</w:t>
      </w:r>
      <w:r>
        <w:rPr>
          <w:rFonts w:ascii="Times New Roman" w:eastAsia="Times New Roman" w:hAnsi="Times New Roman" w:cs="Times New Roman"/>
          <w:color w:val="000000"/>
          <w:spacing w:val="0"/>
          <w:w w:val="100"/>
          <w:position w:val="0"/>
        </w:rPr>
        <w:t>155</w:t>
      </w:r>
      <w:r>
        <w:rPr>
          <w:color w:val="000000"/>
          <w:spacing w:val="0"/>
          <w:w w:val="100"/>
          <w:position w:val="0"/>
        </w:rPr>
        <w:t>号验 资报告验证。公司名称变更为广东华声电器股份有限公司。</w:t>
      </w:r>
    </w:p>
    <w:p>
      <w:pPr>
        <w:pStyle w:val="Style16"/>
        <w:keepNext w:val="0"/>
        <w:keepLines w:val="0"/>
        <w:widowControl w:val="0"/>
        <w:shd w:val="clear" w:color="auto" w:fill="auto"/>
        <w:bidi w:val="0"/>
        <w:spacing w:before="0" w:after="0" w:line="409" w:lineRule="exact"/>
        <w:ind w:left="0" w:right="0" w:firstLine="420"/>
        <w:jc w:val="both"/>
      </w:pPr>
      <w:r>
        <w:rPr>
          <w:color w:val="000000"/>
          <w:spacing w:val="0"/>
          <w:w w:val="100"/>
          <w:position w:val="0"/>
        </w:rPr>
        <w:t>经中国证券监督管理委员会《关于核准广东华声电器股份有限公司首次公开发行股票的 批复》（证监许可【</w:t>
      </w:r>
      <w:r>
        <w:rPr>
          <w:rFonts w:ascii="Times New Roman" w:eastAsia="Times New Roman" w:hAnsi="Times New Roman" w:cs="Times New Roman"/>
          <w:color w:val="000000"/>
          <w:spacing w:val="0"/>
          <w:w w:val="100"/>
          <w:position w:val="0"/>
        </w:rPr>
        <w:t>2012</w:t>
      </w:r>
      <w:r>
        <w:rPr>
          <w:color w:val="000000"/>
          <w:spacing w:val="0"/>
          <w:w w:val="100"/>
          <w:position w:val="0"/>
        </w:rPr>
        <w:t>】</w:t>
      </w:r>
      <w:r>
        <w:rPr>
          <w:rFonts w:ascii="Times New Roman" w:eastAsia="Times New Roman" w:hAnsi="Times New Roman" w:cs="Times New Roman"/>
          <w:color w:val="000000"/>
          <w:spacing w:val="0"/>
          <w:w w:val="100"/>
          <w:position w:val="0"/>
        </w:rPr>
        <w:t>363</w:t>
      </w:r>
      <w:r>
        <w:rPr>
          <w:color w:val="000000"/>
          <w:spacing w:val="0"/>
          <w:w w:val="100"/>
          <w:position w:val="0"/>
        </w:rPr>
        <w:t>号文）核准，公司于</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日向社会公众投资者公开 发行人民币普通股</w:t>
      </w:r>
      <w:r>
        <w:rPr>
          <w:color w:val="000000"/>
          <w:spacing w:val="0"/>
          <w:w w:val="100"/>
          <w:position w:val="0"/>
        </w:rPr>
        <w:t>（</w:t>
      </w:r>
      <w:r>
        <w:rPr>
          <w:rFonts w:ascii="Calibri" w:eastAsia="Calibri" w:hAnsi="Calibri" w:cs="Calibri"/>
          <w:color w:val="000000"/>
          <w:spacing w:val="0"/>
          <w:w w:val="100"/>
          <w:position w:val="0"/>
          <w:sz w:val="20"/>
          <w:szCs w:val="20"/>
        </w:rPr>
        <w:t>A</w:t>
      </w:r>
      <w:r>
        <w:rPr>
          <w:color w:val="000000"/>
          <w:spacing w:val="0"/>
          <w:w w:val="100"/>
          <w:position w:val="0"/>
        </w:rPr>
        <w:t>股）</w:t>
      </w:r>
      <w:r>
        <w:rPr>
          <w:rFonts w:ascii="Times New Roman" w:eastAsia="Times New Roman" w:hAnsi="Times New Roman" w:cs="Times New Roman"/>
          <w:color w:val="000000"/>
          <w:spacing w:val="0"/>
          <w:w w:val="100"/>
          <w:position w:val="0"/>
        </w:rPr>
        <w:t>5</w:t>
      </w:r>
      <w:r>
        <w:rPr>
          <w:rFonts w:ascii="Calibri" w:eastAsia="Calibri" w:hAnsi="Calibri" w:cs="Calibri"/>
          <w:color w:val="000000"/>
          <w:spacing w:val="0"/>
          <w:w w:val="100"/>
          <w:position w:val="0"/>
          <w:sz w:val="20"/>
          <w:szCs w:val="20"/>
        </w:rPr>
        <w:t>,</w:t>
      </w:r>
      <w:r>
        <w:rPr>
          <w:rFonts w:ascii="Times New Roman" w:eastAsia="Times New Roman" w:hAnsi="Times New Roman" w:cs="Times New Roman"/>
          <w:color w:val="000000"/>
          <w:spacing w:val="0"/>
          <w:w w:val="100"/>
          <w:position w:val="0"/>
        </w:rPr>
        <w:t>000</w:t>
      </w:r>
      <w:r>
        <w:rPr>
          <w:color w:val="000000"/>
          <w:spacing w:val="0"/>
          <w:w w:val="100"/>
          <w:position w:val="0"/>
        </w:rPr>
        <w:t>万股，每股面值人民币</w:t>
      </w:r>
      <w:r>
        <w:rPr>
          <w:rFonts w:ascii="Times New Roman" w:eastAsia="Times New Roman" w:hAnsi="Times New Roman" w:cs="Times New Roman"/>
          <w:color w:val="000000"/>
          <w:spacing w:val="0"/>
          <w:w w:val="100"/>
          <w:position w:val="0"/>
        </w:rPr>
        <w:t>1</w:t>
      </w:r>
      <w:r>
        <w:rPr>
          <w:color w:val="000000"/>
          <w:spacing w:val="0"/>
          <w:w w:val="100"/>
          <w:position w:val="0"/>
        </w:rPr>
        <w:t>元，每股发行认购价格人民币</w:t>
      </w:r>
      <w:r>
        <w:rPr>
          <w:rFonts w:ascii="Times New Roman" w:eastAsia="Times New Roman" w:hAnsi="Times New Roman" w:cs="Times New Roman"/>
          <w:color w:val="000000"/>
          <w:spacing w:val="0"/>
          <w:w w:val="100"/>
          <w:position w:val="0"/>
        </w:rPr>
        <w:t>7</w:t>
      </w:r>
      <w:r>
        <w:rPr>
          <w:rFonts w:ascii="Calibri" w:eastAsia="Calibri" w:hAnsi="Calibri" w:cs="Calibri"/>
          <w:color w:val="000000"/>
          <w:spacing w:val="0"/>
          <w:w w:val="100"/>
          <w:position w:val="0"/>
          <w:sz w:val="20"/>
          <w:szCs w:val="20"/>
        </w:rPr>
        <w:t>.</w:t>
      </w:r>
      <w:r>
        <w:rPr>
          <w:rFonts w:ascii="Times New Roman" w:eastAsia="Times New Roman" w:hAnsi="Times New Roman" w:cs="Times New Roman"/>
          <w:color w:val="000000"/>
          <w:spacing w:val="0"/>
          <w:w w:val="100"/>
          <w:position w:val="0"/>
        </w:rPr>
        <w:t xml:space="preserve">30 </w:t>
      </w:r>
      <w:r>
        <w:rPr>
          <w:color w:val="000000"/>
          <w:spacing w:val="0"/>
          <w:w w:val="100"/>
          <w:position w:val="0"/>
        </w:rPr>
        <w:t>元，共计募集资金人民币</w:t>
      </w:r>
      <w:r>
        <w:rPr>
          <w:rFonts w:ascii="Times New Roman" w:eastAsia="Times New Roman" w:hAnsi="Times New Roman" w:cs="Times New Roman"/>
          <w:color w:val="000000"/>
          <w:spacing w:val="0"/>
          <w:w w:val="100"/>
          <w:position w:val="0"/>
        </w:rPr>
        <w:t>36</w:t>
      </w:r>
      <w:r>
        <w:rPr>
          <w:rFonts w:ascii="Calibri" w:eastAsia="Calibri" w:hAnsi="Calibri" w:cs="Calibri"/>
          <w:color w:val="000000"/>
          <w:spacing w:val="0"/>
          <w:w w:val="100"/>
          <w:position w:val="0"/>
          <w:sz w:val="20"/>
          <w:szCs w:val="20"/>
        </w:rPr>
        <w:t>,</w:t>
      </w:r>
      <w:r>
        <w:rPr>
          <w:rFonts w:ascii="Times New Roman" w:eastAsia="Times New Roman" w:hAnsi="Times New Roman" w:cs="Times New Roman"/>
          <w:color w:val="000000"/>
          <w:spacing w:val="0"/>
          <w:w w:val="100"/>
          <w:position w:val="0"/>
        </w:rPr>
        <w:t>500</w:t>
      </w:r>
      <w:r>
        <w:rPr>
          <w:color w:val="000000"/>
          <w:spacing w:val="0"/>
          <w:w w:val="100"/>
          <w:position w:val="0"/>
        </w:rPr>
        <w:t>万元。经此发行，公司注册资本变更为人民币</w:t>
      </w:r>
      <w:r>
        <w:rPr>
          <w:rFonts w:ascii="Times New Roman" w:eastAsia="Times New Roman" w:hAnsi="Times New Roman" w:cs="Times New Roman"/>
          <w:color w:val="000000"/>
          <w:spacing w:val="0"/>
          <w:w w:val="100"/>
          <w:position w:val="0"/>
        </w:rPr>
        <w:t>20</w:t>
      </w:r>
      <w:r>
        <w:rPr>
          <w:rFonts w:ascii="Calibri" w:eastAsia="Calibri" w:hAnsi="Calibri" w:cs="Calibri"/>
          <w:color w:val="000000"/>
          <w:spacing w:val="0"/>
          <w:w w:val="100"/>
          <w:position w:val="0"/>
          <w:sz w:val="20"/>
          <w:szCs w:val="20"/>
        </w:rPr>
        <w:t>,</w:t>
      </w:r>
      <w:r>
        <w:rPr>
          <w:rFonts w:ascii="Times New Roman" w:eastAsia="Times New Roman" w:hAnsi="Times New Roman" w:cs="Times New Roman"/>
          <w:color w:val="000000"/>
          <w:spacing w:val="0"/>
          <w:w w:val="100"/>
          <w:position w:val="0"/>
        </w:rPr>
        <w:t>000</w:t>
      </w:r>
      <w:r>
        <w:rPr>
          <w:color w:val="000000"/>
          <w:spacing w:val="0"/>
          <w:w w:val="100"/>
          <w:position w:val="0"/>
        </w:rPr>
        <w:t>万元， 本次变更业经立信会计师事务所（特殊普通合伙）出具的信会师报字【</w:t>
      </w:r>
      <w:r>
        <w:rPr>
          <w:rFonts w:ascii="Times New Roman" w:eastAsia="Times New Roman" w:hAnsi="Times New Roman" w:cs="Times New Roman"/>
          <w:color w:val="000000"/>
          <w:spacing w:val="0"/>
          <w:w w:val="100"/>
          <w:position w:val="0"/>
        </w:rPr>
        <w:t>2012</w:t>
      </w:r>
      <w:r>
        <w:rPr>
          <w:color w:val="000000"/>
          <w:spacing w:val="0"/>
          <w:w w:val="100"/>
          <w:position w:val="0"/>
        </w:rPr>
        <w:t>】第</w:t>
      </w:r>
      <w:r>
        <w:rPr>
          <w:rFonts w:ascii="Times New Roman" w:eastAsia="Times New Roman" w:hAnsi="Times New Roman" w:cs="Times New Roman"/>
          <w:color w:val="000000"/>
          <w:spacing w:val="0"/>
          <w:w w:val="100"/>
          <w:position w:val="0"/>
        </w:rPr>
        <w:t>310187</w:t>
      </w:r>
      <w:r>
        <w:rPr>
          <w:color w:val="000000"/>
          <w:spacing w:val="0"/>
          <w:w w:val="100"/>
          <w:position w:val="0"/>
        </w:rPr>
        <w:t>号 验资报告验证。</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月公司首次公开发行股票在深圳证券交易所上市。</w:t>
      </w:r>
    </w:p>
    <w:p>
      <w:pPr>
        <w:pStyle w:val="Style16"/>
        <w:keepNext w:val="0"/>
        <w:keepLines w:val="0"/>
        <w:widowControl w:val="0"/>
        <w:shd w:val="clear" w:color="auto" w:fill="auto"/>
        <w:bidi w:val="0"/>
        <w:spacing w:before="0" w:after="0" w:line="409" w:lineRule="exact"/>
        <w:ind w:left="0" w:right="0" w:firstLine="420"/>
        <w:jc w:val="both"/>
      </w:pPr>
      <w:r>
        <w:rPr>
          <w:color w:val="000000"/>
          <w:spacing w:val="0"/>
          <w:w w:val="100"/>
          <w:position w:val="0"/>
        </w:rPr>
        <w:t>经中国证券监督管理委员会《关于核准广东华声电器股份有限公司向中江国际信托股份 有限公司等发行股份购买资产并募集配套资金的批复》（证监许可【</w:t>
      </w:r>
      <w:r>
        <w:rPr>
          <w:rFonts w:ascii="Times New Roman" w:eastAsia="Times New Roman" w:hAnsi="Times New Roman" w:cs="Times New Roman"/>
          <w:color w:val="000000"/>
          <w:spacing w:val="0"/>
          <w:w w:val="100"/>
          <w:position w:val="0"/>
        </w:rPr>
        <w:t>2016</w:t>
      </w:r>
      <w:r>
        <w:rPr>
          <w:color w:val="000000"/>
          <w:spacing w:val="0"/>
          <w:w w:val="100"/>
          <w:position w:val="0"/>
        </w:rPr>
        <w:t>】</w:t>
      </w:r>
      <w:r>
        <w:rPr>
          <w:rFonts w:ascii="Times New Roman" w:eastAsia="Times New Roman" w:hAnsi="Times New Roman" w:cs="Times New Roman"/>
          <w:color w:val="000000"/>
          <w:spacing w:val="0"/>
          <w:w w:val="100"/>
          <w:position w:val="0"/>
        </w:rPr>
        <w:t>657</w:t>
      </w:r>
      <w:r>
        <w:rPr>
          <w:color w:val="000000"/>
          <w:spacing w:val="0"/>
          <w:w w:val="100"/>
          <w:position w:val="0"/>
        </w:rPr>
        <w:t>号）核准， 公司向中江国际信托股份有限公司等单位发行股份购买资产并募集配套资金。经此发行，公 司股本总额变更为</w:t>
      </w:r>
      <w:r>
        <w:rPr>
          <w:rFonts w:ascii="Times New Roman" w:eastAsia="Times New Roman" w:hAnsi="Times New Roman" w:cs="Times New Roman"/>
          <w:color w:val="000000"/>
          <w:spacing w:val="0"/>
          <w:w w:val="100"/>
          <w:position w:val="0"/>
        </w:rPr>
        <w:t>93</w:t>
      </w:r>
      <w:r>
        <w:rPr>
          <w:rFonts w:ascii="Calibri" w:eastAsia="Calibri" w:hAnsi="Calibri" w:cs="Calibri"/>
          <w:color w:val="000000"/>
          <w:spacing w:val="0"/>
          <w:w w:val="100"/>
          <w:position w:val="0"/>
          <w:sz w:val="20"/>
          <w:szCs w:val="20"/>
        </w:rPr>
        <w:t>,</w:t>
      </w:r>
      <w:r>
        <w:rPr>
          <w:rFonts w:ascii="Times New Roman" w:eastAsia="Times New Roman" w:hAnsi="Times New Roman" w:cs="Times New Roman"/>
          <w:color w:val="000000"/>
          <w:spacing w:val="0"/>
          <w:w w:val="100"/>
          <w:position w:val="0"/>
        </w:rPr>
        <w:t>612</w:t>
      </w:r>
      <w:r>
        <w:rPr>
          <w:rFonts w:ascii="Calibri" w:eastAsia="Calibri" w:hAnsi="Calibri" w:cs="Calibri"/>
          <w:color w:val="000000"/>
          <w:spacing w:val="0"/>
          <w:w w:val="100"/>
          <w:position w:val="0"/>
          <w:sz w:val="20"/>
          <w:szCs w:val="20"/>
        </w:rPr>
        <w:t>.</w:t>
      </w:r>
      <w:r>
        <w:rPr>
          <w:rFonts w:ascii="Times New Roman" w:eastAsia="Times New Roman" w:hAnsi="Times New Roman" w:cs="Times New Roman"/>
          <w:color w:val="000000"/>
          <w:spacing w:val="0"/>
          <w:w w:val="100"/>
          <w:position w:val="0"/>
        </w:rPr>
        <w:t>7750</w:t>
      </w:r>
      <w:r>
        <w:rPr>
          <w:color w:val="000000"/>
          <w:spacing w:val="0"/>
          <w:w w:val="100"/>
          <w:position w:val="0"/>
        </w:rPr>
        <w:t>万元，本次出资业经立信会计师事务所（特殊普通合伙）出 具的信会师报字</w:t>
      </w:r>
      <w:r>
        <w:rPr>
          <w:rFonts w:ascii="Calibri" w:eastAsia="Calibri" w:hAnsi="Calibri" w:cs="Calibri"/>
          <w:color w:val="000000"/>
          <w:spacing w:val="0"/>
          <w:w w:val="100"/>
          <w:position w:val="0"/>
          <w:sz w:val="20"/>
          <w:szCs w:val="20"/>
        </w:rPr>
        <w:t>［</w:t>
      </w:r>
      <w:r>
        <w:rPr>
          <w:rFonts w:ascii="Times New Roman" w:eastAsia="Times New Roman" w:hAnsi="Times New Roman" w:cs="Times New Roman"/>
          <w:color w:val="000000"/>
          <w:spacing w:val="0"/>
          <w:w w:val="100"/>
          <w:position w:val="0"/>
        </w:rPr>
        <w:t>2016</w:t>
      </w:r>
      <w:r>
        <w:rPr>
          <w:rFonts w:ascii="Calibri" w:eastAsia="Calibri" w:hAnsi="Calibri" w:cs="Calibri"/>
          <w:color w:val="000000"/>
          <w:spacing w:val="0"/>
          <w:w w:val="100"/>
          <w:position w:val="0"/>
          <w:sz w:val="20"/>
          <w:szCs w:val="20"/>
        </w:rPr>
        <w:t>］</w:t>
      </w:r>
      <w:r>
        <w:rPr>
          <w:color w:val="000000"/>
          <w:spacing w:val="0"/>
          <w:w w:val="100"/>
          <w:position w:val="0"/>
        </w:rPr>
        <w:t>第</w:t>
      </w:r>
      <w:r>
        <w:rPr>
          <w:rFonts w:ascii="Times New Roman" w:eastAsia="Times New Roman" w:hAnsi="Times New Roman" w:cs="Times New Roman"/>
          <w:color w:val="000000"/>
          <w:spacing w:val="0"/>
          <w:w w:val="100"/>
          <w:position w:val="0"/>
        </w:rPr>
        <w:t>114648</w:t>
      </w:r>
      <w:r>
        <w:rPr>
          <w:color w:val="000000"/>
          <w:spacing w:val="0"/>
          <w:w w:val="100"/>
          <w:position w:val="0"/>
        </w:rPr>
        <w:t>号验资报告验证。</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日本次发行股票在深圳证 券交易所上市。</w:t>
      </w:r>
    </w:p>
    <w:p>
      <w:pPr>
        <w:pStyle w:val="Style16"/>
        <w:keepNext w:val="0"/>
        <w:keepLines w:val="0"/>
        <w:widowControl w:val="0"/>
        <w:shd w:val="clear" w:color="auto" w:fill="auto"/>
        <w:bidi w:val="0"/>
        <w:spacing w:before="0" w:after="0" w:line="394" w:lineRule="exact"/>
        <w:ind w:left="0" w:right="0" w:firstLine="42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日，公司名称变更为“广东国盛金控集团股份有限公司”。</w:t>
      </w:r>
    </w:p>
    <w:p>
      <w:pPr>
        <w:pStyle w:val="Style16"/>
        <w:keepNext w:val="0"/>
        <w:keepLines w:val="0"/>
        <w:widowControl w:val="0"/>
        <w:shd w:val="clear" w:color="auto" w:fill="auto"/>
        <w:bidi w:val="0"/>
        <w:spacing w:before="0" w:after="0" w:line="394" w:lineRule="exact"/>
        <w:ind w:left="0" w:right="0" w:firstLine="420"/>
        <w:jc w:val="both"/>
      </w:pPr>
      <w:r>
        <w:rPr>
          <w:color w:val="000000"/>
          <w:spacing w:val="0"/>
          <w:w w:val="100"/>
          <w:position w:val="0"/>
        </w:rPr>
        <w:t>经</w:t>
      </w:r>
      <w:r>
        <w:rPr>
          <w:rFonts w:ascii="Times New Roman" w:eastAsia="Times New Roman" w:hAnsi="Times New Roman" w:cs="Times New Roman"/>
          <w:color w:val="000000"/>
          <w:spacing w:val="0"/>
          <w:w w:val="100"/>
          <w:position w:val="0"/>
        </w:rPr>
        <w:t>2016</w:t>
      </w:r>
      <w:r>
        <w:rPr>
          <w:color w:val="000000"/>
          <w:spacing w:val="0"/>
          <w:w w:val="100"/>
          <w:position w:val="0"/>
        </w:rPr>
        <w:t>年度股东大会审议通过，公司于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日实施资本公积金转增股本方 案，本次转增后，公司股本总额变更为人民币</w:t>
      </w:r>
      <w:r>
        <w:rPr>
          <w:rFonts w:ascii="Times New Roman" w:eastAsia="Times New Roman" w:hAnsi="Times New Roman" w:cs="Times New Roman"/>
          <w:color w:val="000000"/>
          <w:spacing w:val="0"/>
          <w:w w:val="100"/>
          <w:position w:val="0"/>
        </w:rPr>
        <w:t>149</w:t>
      </w:r>
      <w:r>
        <w:rPr>
          <w:rFonts w:ascii="Calibri" w:eastAsia="Calibri" w:hAnsi="Calibri" w:cs="Calibri"/>
          <w:color w:val="000000"/>
          <w:spacing w:val="0"/>
          <w:w w:val="100"/>
          <w:position w:val="0"/>
          <w:sz w:val="20"/>
          <w:szCs w:val="20"/>
        </w:rPr>
        <w:t>,</w:t>
      </w:r>
      <w:r>
        <w:rPr>
          <w:rFonts w:ascii="Times New Roman" w:eastAsia="Times New Roman" w:hAnsi="Times New Roman" w:cs="Times New Roman"/>
          <w:color w:val="000000"/>
          <w:spacing w:val="0"/>
          <w:w w:val="100"/>
          <w:position w:val="0"/>
        </w:rPr>
        <w:t>780</w:t>
      </w:r>
      <w:r>
        <w:rPr>
          <w:rFonts w:ascii="Calibri" w:eastAsia="Calibri" w:hAnsi="Calibri" w:cs="Calibri"/>
          <w:color w:val="000000"/>
          <w:spacing w:val="0"/>
          <w:w w:val="100"/>
          <w:position w:val="0"/>
          <w:sz w:val="20"/>
          <w:szCs w:val="20"/>
        </w:rPr>
        <w:t>.</w:t>
      </w:r>
      <w:r>
        <w:rPr>
          <w:rFonts w:ascii="Times New Roman" w:eastAsia="Times New Roman" w:hAnsi="Times New Roman" w:cs="Times New Roman"/>
          <w:color w:val="000000"/>
          <w:spacing w:val="0"/>
          <w:w w:val="100"/>
          <w:position w:val="0"/>
        </w:rPr>
        <w:t>44</w:t>
      </w:r>
      <w:r>
        <w:rPr>
          <w:color w:val="000000"/>
          <w:spacing w:val="0"/>
          <w:w w:val="100"/>
          <w:position w:val="0"/>
        </w:rPr>
        <w:t>万元。</w:t>
      </w:r>
    </w:p>
    <w:p>
      <w:pPr>
        <w:pStyle w:val="Style16"/>
        <w:keepNext w:val="0"/>
        <w:keepLines w:val="0"/>
        <w:widowControl w:val="0"/>
        <w:shd w:val="clear" w:color="auto" w:fill="auto"/>
        <w:bidi w:val="0"/>
        <w:spacing w:before="0" w:after="0" w:line="394" w:lineRule="exact"/>
        <w:ind w:left="0" w:right="0" w:firstLine="42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日，公司名称变更为“国盛金融控股集团股份有限公司”。</w:t>
      </w:r>
    </w:p>
    <w:p>
      <w:pPr>
        <w:pStyle w:val="Style16"/>
        <w:keepNext w:val="0"/>
        <w:keepLines w:val="0"/>
        <w:widowControl w:val="0"/>
        <w:shd w:val="clear" w:color="auto" w:fill="auto"/>
        <w:bidi w:val="0"/>
        <w:spacing w:before="0" w:after="0" w:line="394" w:lineRule="exact"/>
        <w:ind w:left="0" w:right="0" w:firstLine="420"/>
        <w:jc w:val="both"/>
      </w:pPr>
      <w:r>
        <w:rPr>
          <w:color w:val="000000"/>
          <w:spacing w:val="0"/>
          <w:w w:val="100"/>
          <w:position w:val="0"/>
        </w:rPr>
        <w:t>经</w:t>
      </w:r>
      <w:r>
        <w:rPr>
          <w:rFonts w:ascii="Times New Roman" w:eastAsia="Times New Roman" w:hAnsi="Times New Roman" w:cs="Times New Roman"/>
          <w:color w:val="000000"/>
          <w:spacing w:val="0"/>
          <w:w w:val="100"/>
          <w:position w:val="0"/>
        </w:rPr>
        <w:t>2017</w:t>
      </w:r>
      <w:r>
        <w:rPr>
          <w:color w:val="000000"/>
          <w:spacing w:val="0"/>
          <w:w w:val="100"/>
          <w:position w:val="0"/>
        </w:rPr>
        <w:t>年度股东大会审议通过，公司于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日实施资本公积金转增股本方 案，本次转增后，公司股本总额变更为人民币</w:t>
      </w:r>
      <w:r>
        <w:rPr>
          <w:rFonts w:ascii="Times New Roman" w:eastAsia="Times New Roman" w:hAnsi="Times New Roman" w:cs="Times New Roman"/>
          <w:color w:val="000000"/>
          <w:spacing w:val="0"/>
          <w:w w:val="100"/>
          <w:position w:val="0"/>
        </w:rPr>
        <w:t>194</w:t>
      </w:r>
      <w:r>
        <w:rPr>
          <w:rFonts w:ascii="Calibri" w:eastAsia="Calibri" w:hAnsi="Calibri" w:cs="Calibri"/>
          <w:color w:val="000000"/>
          <w:spacing w:val="0"/>
          <w:w w:val="100"/>
          <w:position w:val="0"/>
          <w:sz w:val="20"/>
          <w:szCs w:val="20"/>
        </w:rPr>
        <w:t>,</w:t>
      </w:r>
      <w:r>
        <w:rPr>
          <w:rFonts w:ascii="Times New Roman" w:eastAsia="Times New Roman" w:hAnsi="Times New Roman" w:cs="Times New Roman"/>
          <w:color w:val="000000"/>
          <w:spacing w:val="0"/>
          <w:w w:val="100"/>
          <w:position w:val="0"/>
        </w:rPr>
        <w:t>538</w:t>
      </w:r>
      <w:r>
        <w:rPr>
          <w:rFonts w:ascii="Calibri" w:eastAsia="Calibri" w:hAnsi="Calibri" w:cs="Calibri"/>
          <w:color w:val="000000"/>
          <w:spacing w:val="0"/>
          <w:w w:val="100"/>
          <w:position w:val="0"/>
          <w:sz w:val="20"/>
          <w:szCs w:val="20"/>
        </w:rPr>
        <w:t>.</w:t>
      </w:r>
      <w:r>
        <w:rPr>
          <w:rFonts w:ascii="Times New Roman" w:eastAsia="Times New Roman" w:hAnsi="Times New Roman" w:cs="Times New Roman"/>
          <w:color w:val="000000"/>
          <w:spacing w:val="0"/>
          <w:w w:val="100"/>
          <w:position w:val="0"/>
        </w:rPr>
        <w:t>4541</w:t>
      </w:r>
      <w:r>
        <w:rPr>
          <w:color w:val="000000"/>
          <w:spacing w:val="0"/>
          <w:w w:val="100"/>
          <w:position w:val="0"/>
        </w:rPr>
        <w:t>万元。</w:t>
      </w:r>
    </w:p>
    <w:p>
      <w:pPr>
        <w:pStyle w:val="Style16"/>
        <w:keepNext w:val="0"/>
        <w:keepLines w:val="0"/>
        <w:widowControl w:val="0"/>
        <w:shd w:val="clear" w:color="auto" w:fill="auto"/>
        <w:bidi w:val="0"/>
        <w:spacing w:before="0" w:after="0" w:line="409" w:lineRule="exact"/>
        <w:ind w:left="0" w:right="0" w:firstLine="420"/>
        <w:jc w:val="both"/>
      </w:pPr>
      <w:r>
        <w:rPr>
          <w:color w:val="000000"/>
          <w:spacing w:val="0"/>
          <w:w w:val="100"/>
          <w:position w:val="0"/>
        </w:rPr>
        <w:t>经</w:t>
      </w:r>
      <w:r>
        <w:rPr>
          <w:rFonts w:ascii="Times New Roman" w:eastAsia="Times New Roman" w:hAnsi="Times New Roman" w:cs="Times New Roman"/>
          <w:color w:val="000000"/>
          <w:spacing w:val="0"/>
          <w:w w:val="100"/>
          <w:position w:val="0"/>
        </w:rPr>
        <w:t>2018</w:t>
      </w:r>
      <w:r>
        <w:rPr>
          <w:color w:val="000000"/>
          <w:spacing w:val="0"/>
          <w:w w:val="100"/>
          <w:position w:val="0"/>
        </w:rPr>
        <w:t>年第二次临时股东大会审议通过，公司回购并于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日注销股份</w:t>
      </w:r>
    </w:p>
    <w:p>
      <w:pPr>
        <w:pStyle w:val="Style16"/>
        <w:keepNext w:val="0"/>
        <w:keepLines w:val="0"/>
        <w:widowControl w:val="0"/>
        <w:shd w:val="clear" w:color="auto" w:fill="auto"/>
        <w:bidi w:val="0"/>
        <w:spacing w:before="0" w:after="0" w:line="408" w:lineRule="exact"/>
        <w:ind w:left="0" w:right="0" w:firstLine="0"/>
        <w:jc w:val="left"/>
      </w:pPr>
      <w:r>
        <w:rPr>
          <w:rFonts w:ascii="Times New Roman" w:eastAsia="Times New Roman" w:hAnsi="Times New Roman" w:cs="Times New Roman"/>
          <w:color w:val="000000"/>
          <w:spacing w:val="0"/>
          <w:w w:val="100"/>
          <w:position w:val="0"/>
        </w:rPr>
        <w:t>10</w:t>
      </w:r>
      <w:r>
        <w:rPr>
          <w:rFonts w:ascii="Calibri" w:eastAsia="Calibri" w:hAnsi="Calibri" w:cs="Calibri"/>
          <w:color w:val="000000"/>
          <w:spacing w:val="0"/>
          <w:w w:val="100"/>
          <w:position w:val="0"/>
          <w:sz w:val="20"/>
          <w:szCs w:val="20"/>
        </w:rPr>
        <w:t>,</w:t>
      </w:r>
      <w:r>
        <w:rPr>
          <w:rFonts w:ascii="Times New Roman" w:eastAsia="Times New Roman" w:hAnsi="Times New Roman" w:cs="Times New Roman"/>
          <w:color w:val="000000"/>
          <w:spacing w:val="0"/>
          <w:w w:val="100"/>
          <w:position w:val="0"/>
        </w:rPr>
        <w:t>299</w:t>
      </w:r>
      <w:r>
        <w:rPr>
          <w:rFonts w:ascii="Calibri" w:eastAsia="Calibri" w:hAnsi="Calibri" w:cs="Calibri"/>
          <w:color w:val="000000"/>
          <w:spacing w:val="0"/>
          <w:w w:val="100"/>
          <w:position w:val="0"/>
          <w:sz w:val="20"/>
          <w:szCs w:val="20"/>
        </w:rPr>
        <w:t>,</w:t>
      </w:r>
      <w:r>
        <w:rPr>
          <w:rFonts w:ascii="Times New Roman" w:eastAsia="Times New Roman" w:hAnsi="Times New Roman" w:cs="Times New Roman"/>
          <w:color w:val="000000"/>
          <w:spacing w:val="0"/>
          <w:w w:val="100"/>
          <w:position w:val="0"/>
        </w:rPr>
        <w:t>888</w:t>
      </w:r>
      <w:r>
        <w:rPr>
          <w:color w:val="000000"/>
          <w:spacing w:val="0"/>
          <w:w w:val="100"/>
          <w:position w:val="0"/>
        </w:rPr>
        <w:t>股，本次回购注销后，公司股本总额变更为</w:t>
      </w:r>
      <w:r>
        <w:rPr>
          <w:rFonts w:ascii="Times New Roman" w:eastAsia="Times New Roman" w:hAnsi="Times New Roman" w:cs="Times New Roman"/>
          <w:color w:val="000000"/>
          <w:spacing w:val="0"/>
          <w:w w:val="100"/>
          <w:position w:val="0"/>
        </w:rPr>
        <w:t>193</w:t>
      </w:r>
      <w:r>
        <w:rPr>
          <w:rFonts w:ascii="Calibri" w:eastAsia="Calibri" w:hAnsi="Calibri" w:cs="Calibri"/>
          <w:color w:val="000000"/>
          <w:spacing w:val="0"/>
          <w:w w:val="100"/>
          <w:position w:val="0"/>
          <w:sz w:val="20"/>
          <w:szCs w:val="20"/>
        </w:rPr>
        <w:t>,</w:t>
      </w:r>
      <w:r>
        <w:rPr>
          <w:rFonts w:ascii="Times New Roman" w:eastAsia="Times New Roman" w:hAnsi="Times New Roman" w:cs="Times New Roman"/>
          <w:color w:val="000000"/>
          <w:spacing w:val="0"/>
          <w:w w:val="100"/>
          <w:position w:val="0"/>
        </w:rPr>
        <w:t>508</w:t>
      </w:r>
      <w:r>
        <w:rPr>
          <w:rFonts w:ascii="Calibri" w:eastAsia="Calibri" w:hAnsi="Calibri" w:cs="Calibri"/>
          <w:color w:val="000000"/>
          <w:spacing w:val="0"/>
          <w:w w:val="100"/>
          <w:position w:val="0"/>
          <w:sz w:val="20"/>
          <w:szCs w:val="20"/>
        </w:rPr>
        <w:t>.</w:t>
      </w:r>
      <w:r>
        <w:rPr>
          <w:rFonts w:ascii="Times New Roman" w:eastAsia="Times New Roman" w:hAnsi="Times New Roman" w:cs="Times New Roman"/>
          <w:color w:val="000000"/>
          <w:spacing w:val="0"/>
          <w:w w:val="100"/>
          <w:position w:val="0"/>
        </w:rPr>
        <w:t>4653</w:t>
      </w:r>
      <w:r>
        <w:rPr>
          <w:color w:val="000000"/>
          <w:spacing w:val="0"/>
          <w:w w:val="100"/>
          <w:position w:val="0"/>
        </w:rPr>
        <w:t>万元。</w:t>
      </w:r>
    </w:p>
    <w:p>
      <w:pPr>
        <w:pStyle w:val="Style16"/>
        <w:keepNext w:val="0"/>
        <w:keepLines w:val="0"/>
        <w:widowControl w:val="0"/>
        <w:shd w:val="clear" w:color="auto" w:fill="auto"/>
        <w:bidi w:val="0"/>
        <w:spacing w:before="0" w:after="140" w:line="408" w:lineRule="exact"/>
        <w:ind w:left="0" w:right="0" w:firstLine="440"/>
        <w:jc w:val="left"/>
      </w:pPr>
      <w:r>
        <w:rPr>
          <w:color w:val="000000"/>
          <w:spacing w:val="0"/>
          <w:w w:val="100"/>
          <w:position w:val="0"/>
        </w:rPr>
        <w:t>截止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日，公司累计发行股份总数</w:t>
      </w:r>
      <w:r>
        <w:rPr>
          <w:rFonts w:ascii="Times New Roman" w:eastAsia="Times New Roman" w:hAnsi="Times New Roman" w:cs="Times New Roman"/>
          <w:color w:val="000000"/>
          <w:spacing w:val="0"/>
          <w:w w:val="100"/>
          <w:position w:val="0"/>
        </w:rPr>
        <w:t>193</w:t>
      </w:r>
      <w:r>
        <w:rPr>
          <w:rFonts w:ascii="Calibri" w:eastAsia="Calibri" w:hAnsi="Calibri" w:cs="Calibri"/>
          <w:color w:val="000000"/>
          <w:spacing w:val="0"/>
          <w:w w:val="100"/>
          <w:position w:val="0"/>
          <w:sz w:val="20"/>
          <w:szCs w:val="20"/>
        </w:rPr>
        <w:t>,</w:t>
      </w:r>
      <w:r>
        <w:rPr>
          <w:rFonts w:ascii="Times New Roman" w:eastAsia="Times New Roman" w:hAnsi="Times New Roman" w:cs="Times New Roman"/>
          <w:color w:val="000000"/>
          <w:spacing w:val="0"/>
          <w:w w:val="100"/>
          <w:position w:val="0"/>
        </w:rPr>
        <w:t>508</w:t>
      </w:r>
      <w:r>
        <w:rPr>
          <w:rFonts w:ascii="Calibri" w:eastAsia="Calibri" w:hAnsi="Calibri" w:cs="Calibri"/>
          <w:color w:val="000000"/>
          <w:spacing w:val="0"/>
          <w:w w:val="100"/>
          <w:position w:val="0"/>
          <w:sz w:val="20"/>
          <w:szCs w:val="20"/>
        </w:rPr>
        <w:t>.</w:t>
      </w:r>
      <w:r>
        <w:rPr>
          <w:rFonts w:ascii="Times New Roman" w:eastAsia="Times New Roman" w:hAnsi="Times New Roman" w:cs="Times New Roman"/>
          <w:color w:val="000000"/>
          <w:spacing w:val="0"/>
          <w:w w:val="100"/>
          <w:position w:val="0"/>
        </w:rPr>
        <w:t>4653</w:t>
      </w:r>
      <w:r>
        <w:rPr>
          <w:color w:val="000000"/>
          <w:spacing w:val="0"/>
          <w:w w:val="100"/>
          <w:position w:val="0"/>
        </w:rPr>
        <w:t xml:space="preserve">万股，注册资本为人民 币 </w:t>
      </w:r>
      <w:r>
        <w:rPr>
          <w:rFonts w:ascii="Times New Roman" w:eastAsia="Times New Roman" w:hAnsi="Times New Roman" w:cs="Times New Roman"/>
          <w:color w:val="000000"/>
          <w:spacing w:val="0"/>
          <w:w w:val="100"/>
          <w:position w:val="0"/>
        </w:rPr>
        <w:t>193</w:t>
      </w:r>
      <w:r>
        <w:rPr>
          <w:rFonts w:ascii="Calibri" w:eastAsia="Calibri" w:hAnsi="Calibri" w:cs="Calibri"/>
          <w:color w:val="000000"/>
          <w:spacing w:val="0"/>
          <w:w w:val="100"/>
          <w:position w:val="0"/>
          <w:sz w:val="20"/>
          <w:szCs w:val="20"/>
        </w:rPr>
        <w:t>,</w:t>
      </w:r>
      <w:r>
        <w:rPr>
          <w:rFonts w:ascii="Times New Roman" w:eastAsia="Times New Roman" w:hAnsi="Times New Roman" w:cs="Times New Roman"/>
          <w:color w:val="000000"/>
          <w:spacing w:val="0"/>
          <w:w w:val="100"/>
          <w:position w:val="0"/>
        </w:rPr>
        <w:t>508</w:t>
      </w:r>
      <w:r>
        <w:rPr>
          <w:rFonts w:ascii="Calibri" w:eastAsia="Calibri" w:hAnsi="Calibri" w:cs="Calibri"/>
          <w:color w:val="000000"/>
          <w:spacing w:val="0"/>
          <w:w w:val="100"/>
          <w:position w:val="0"/>
          <w:sz w:val="20"/>
          <w:szCs w:val="20"/>
        </w:rPr>
        <w:t>.</w:t>
      </w:r>
      <w:r>
        <w:rPr>
          <w:rFonts w:ascii="Times New Roman" w:eastAsia="Times New Roman" w:hAnsi="Times New Roman" w:cs="Times New Roman"/>
          <w:color w:val="000000"/>
          <w:spacing w:val="0"/>
          <w:w w:val="100"/>
          <w:position w:val="0"/>
        </w:rPr>
        <w:t xml:space="preserve">4653 </w:t>
      </w:r>
      <w:r>
        <w:rPr>
          <w:color w:val="000000"/>
          <w:spacing w:val="0"/>
          <w:w w:val="100"/>
          <w:position w:val="0"/>
        </w:rPr>
        <w:t>万元。</w:t>
      </w:r>
    </w:p>
    <w:p>
      <w:pPr>
        <w:pStyle w:val="Style37"/>
        <w:keepNext/>
        <w:keepLines/>
        <w:widowControl w:val="0"/>
        <w:shd w:val="clear" w:color="auto" w:fill="auto"/>
        <w:tabs>
          <w:tab w:pos="978" w:val="left"/>
        </w:tabs>
        <w:bidi w:val="0"/>
        <w:spacing w:before="0" w:after="0" w:line="411" w:lineRule="exact"/>
        <w:ind w:left="0" w:right="0" w:firstLine="380"/>
        <w:jc w:val="left"/>
      </w:pPr>
      <w:bookmarkStart w:id="683" w:name="bookmark683"/>
      <w:bookmarkStart w:id="684" w:name="bookmark684"/>
      <w:bookmarkStart w:id="685" w:name="bookmark685"/>
      <w:bookmarkStart w:id="686" w:name="bookmark686"/>
      <w:r>
        <w:rPr>
          <w:color w:val="000000"/>
          <w:spacing w:val="0"/>
          <w:w w:val="100"/>
          <w:position w:val="0"/>
        </w:rPr>
        <w:t>（</w:t>
      </w:r>
      <w:bookmarkEnd w:id="685"/>
      <w:r>
        <w:rPr>
          <w:color w:val="000000"/>
          <w:spacing w:val="0"/>
          <w:w w:val="100"/>
          <w:position w:val="0"/>
        </w:rPr>
        <w:t>二）</w:t>
        <w:tab/>
        <w:t>公司注册地</w:t>
      </w:r>
      <w:bookmarkEnd w:id="683"/>
      <w:bookmarkEnd w:id="684"/>
      <w:bookmarkEnd w:id="686"/>
    </w:p>
    <w:p>
      <w:pPr>
        <w:pStyle w:val="Style16"/>
        <w:keepNext w:val="0"/>
        <w:keepLines w:val="0"/>
        <w:widowControl w:val="0"/>
        <w:shd w:val="clear" w:color="auto" w:fill="auto"/>
        <w:bidi w:val="0"/>
        <w:spacing w:before="0" w:after="140" w:line="411" w:lineRule="exact"/>
        <w:ind w:left="0" w:right="0" w:firstLine="440"/>
        <w:jc w:val="left"/>
      </w:pPr>
      <w:r>
        <w:rPr>
          <w:color w:val="000000"/>
          <w:spacing w:val="0"/>
          <w:w w:val="100"/>
          <w:position w:val="0"/>
        </w:rPr>
        <w:t>广东省佛山市顺德区容桂街道华口昌宝东路</w:t>
      </w:r>
      <w:r>
        <w:rPr>
          <w:rFonts w:ascii="Times New Roman" w:eastAsia="Times New Roman" w:hAnsi="Times New Roman" w:cs="Times New Roman"/>
          <w:color w:val="000000"/>
          <w:spacing w:val="0"/>
          <w:w w:val="100"/>
          <w:position w:val="0"/>
        </w:rPr>
        <w:t>13</w:t>
      </w:r>
      <w:r>
        <w:rPr>
          <w:color w:val="000000"/>
          <w:spacing w:val="0"/>
          <w:w w:val="100"/>
          <w:position w:val="0"/>
        </w:rPr>
        <w:t>号。</w:t>
      </w:r>
    </w:p>
    <w:p>
      <w:pPr>
        <w:pStyle w:val="Style37"/>
        <w:keepNext/>
        <w:keepLines/>
        <w:widowControl w:val="0"/>
        <w:shd w:val="clear" w:color="auto" w:fill="auto"/>
        <w:tabs>
          <w:tab w:pos="978" w:val="left"/>
        </w:tabs>
        <w:bidi w:val="0"/>
        <w:spacing w:before="0" w:after="0" w:line="411" w:lineRule="exact"/>
        <w:ind w:left="0" w:right="0" w:firstLine="380"/>
        <w:jc w:val="left"/>
      </w:pPr>
      <w:bookmarkStart w:id="687" w:name="bookmark687"/>
      <w:bookmarkStart w:id="688" w:name="bookmark688"/>
      <w:bookmarkStart w:id="689" w:name="bookmark689"/>
      <w:bookmarkStart w:id="690" w:name="bookmark690"/>
      <w:r>
        <w:rPr>
          <w:color w:val="000000"/>
          <w:spacing w:val="0"/>
          <w:w w:val="100"/>
          <w:position w:val="0"/>
        </w:rPr>
        <w:t>（</w:t>
      </w:r>
      <w:bookmarkEnd w:id="689"/>
      <w:r>
        <w:rPr>
          <w:color w:val="000000"/>
          <w:spacing w:val="0"/>
          <w:w w:val="100"/>
          <w:position w:val="0"/>
        </w:rPr>
        <w:t>三）</w:t>
        <w:tab/>
        <w:t>公司经营范围</w:t>
      </w:r>
      <w:bookmarkEnd w:id="687"/>
      <w:bookmarkEnd w:id="688"/>
      <w:bookmarkEnd w:id="690"/>
    </w:p>
    <w:p>
      <w:pPr>
        <w:pStyle w:val="Style16"/>
        <w:keepNext w:val="0"/>
        <w:keepLines w:val="0"/>
        <w:widowControl w:val="0"/>
        <w:shd w:val="clear" w:color="auto" w:fill="auto"/>
        <w:bidi w:val="0"/>
        <w:spacing w:before="0" w:after="140" w:line="411" w:lineRule="exact"/>
        <w:ind w:left="0" w:right="0" w:firstLine="440"/>
        <w:jc w:val="both"/>
      </w:pPr>
      <w:r>
        <w:rPr>
          <w:color w:val="000000"/>
          <w:spacing w:val="0"/>
          <w:w w:val="100"/>
          <w:position w:val="0"/>
        </w:rPr>
        <w:t>控股公司服务，股权投资，投资管理与咨询；金融信息服务；科技中介服务，技术推广 服务，软件开发，信息技术服务，信息系统集成服务；橡胶管制造，电线电缆制造；家用电 器配件及原材料的进出口；电器连接线、电源线销售（依法须经批准的项目，经相关部门批 准后方可开展经营活动）。</w:t>
      </w:r>
    </w:p>
    <w:p>
      <w:pPr>
        <w:pStyle w:val="Style37"/>
        <w:keepNext/>
        <w:keepLines/>
        <w:widowControl w:val="0"/>
        <w:shd w:val="clear" w:color="auto" w:fill="auto"/>
        <w:tabs>
          <w:tab w:pos="978" w:val="left"/>
        </w:tabs>
        <w:bidi w:val="0"/>
        <w:spacing w:before="0" w:after="0" w:line="411" w:lineRule="exact"/>
        <w:ind w:left="0" w:right="0" w:firstLine="380"/>
        <w:jc w:val="left"/>
      </w:pPr>
      <w:bookmarkStart w:id="691" w:name="bookmark691"/>
      <w:bookmarkStart w:id="692" w:name="bookmark692"/>
      <w:bookmarkStart w:id="693" w:name="bookmark693"/>
      <w:bookmarkStart w:id="694" w:name="bookmark694"/>
      <w:r>
        <w:rPr>
          <w:color w:val="000000"/>
          <w:spacing w:val="0"/>
          <w:w w:val="100"/>
          <w:position w:val="0"/>
        </w:rPr>
        <w:t>（</w:t>
      </w:r>
      <w:bookmarkEnd w:id="693"/>
      <w:r>
        <w:rPr>
          <w:color w:val="000000"/>
          <w:spacing w:val="0"/>
          <w:w w:val="100"/>
          <w:position w:val="0"/>
        </w:rPr>
        <w:t>四）</w:t>
        <w:tab/>
        <w:t>公司财务报告的批准报出</w:t>
      </w:r>
      <w:bookmarkEnd w:id="691"/>
      <w:bookmarkEnd w:id="692"/>
      <w:bookmarkEnd w:id="694"/>
    </w:p>
    <w:p>
      <w:pPr>
        <w:pStyle w:val="Style16"/>
        <w:keepNext w:val="0"/>
        <w:keepLines w:val="0"/>
        <w:widowControl w:val="0"/>
        <w:shd w:val="clear" w:color="auto" w:fill="auto"/>
        <w:bidi w:val="0"/>
        <w:spacing w:before="0" w:after="320" w:line="411" w:lineRule="exact"/>
        <w:ind w:left="0" w:right="0" w:firstLine="440"/>
        <w:jc w:val="left"/>
      </w:pPr>
      <w:r>
        <w:rPr>
          <w:color w:val="000000"/>
          <w:spacing w:val="0"/>
          <w:w w:val="100"/>
          <w:position w:val="0"/>
        </w:rPr>
        <w:t>本年度财务报告经公司董事会于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日批准报出。</w:t>
      </w:r>
    </w:p>
    <w:p>
      <w:pPr>
        <w:pStyle w:val="Style29"/>
        <w:keepNext/>
        <w:keepLines/>
        <w:widowControl w:val="0"/>
        <w:shd w:val="clear" w:color="auto" w:fill="auto"/>
        <w:bidi w:val="0"/>
        <w:spacing w:before="0" w:after="140" w:line="240" w:lineRule="auto"/>
        <w:ind w:left="0" w:right="0" w:firstLine="440"/>
        <w:jc w:val="left"/>
      </w:pPr>
      <w:bookmarkStart w:id="695" w:name="bookmark695"/>
      <w:bookmarkStart w:id="696" w:name="bookmark696"/>
      <w:bookmarkStart w:id="697" w:name="bookmark697"/>
      <w:r>
        <w:rPr>
          <w:color w:val="000000"/>
          <w:spacing w:val="0"/>
          <w:w w:val="100"/>
          <w:position w:val="0"/>
          <w:sz w:val="24"/>
          <w:szCs w:val="24"/>
        </w:rPr>
        <w:t>二、合并财务报表范围</w:t>
      </w:r>
      <w:bookmarkEnd w:id="695"/>
      <w:bookmarkEnd w:id="696"/>
      <w:bookmarkEnd w:id="697"/>
    </w:p>
    <w:p>
      <w:pPr>
        <w:pStyle w:val="Style16"/>
        <w:keepNext w:val="0"/>
        <w:keepLines w:val="0"/>
        <w:widowControl w:val="0"/>
        <w:pBdr>
          <w:bottom w:val="single" w:sz="4" w:space="0" w:color="auto"/>
        </w:pBdr>
        <w:shd w:val="clear" w:color="auto" w:fill="auto"/>
        <w:bidi w:val="0"/>
        <w:spacing w:before="0" w:after="240" w:line="411" w:lineRule="exact"/>
        <w:ind w:left="0" w:right="0" w:firstLine="44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日止，本公司合并财务报表范围内一级子公司如下：</w:t>
      </w:r>
    </w:p>
    <w:p>
      <w:pPr>
        <w:pStyle w:val="Style100"/>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rPr>
        <w:t>子公司名称</w:t>
      </w:r>
    </w:p>
    <w:p>
      <w:pPr>
        <w:pStyle w:val="Style100"/>
        <w:keepNext w:val="0"/>
        <w:keepLines w:val="0"/>
        <w:widowControl w:val="0"/>
        <w:pBdr>
          <w:bottom w:val="single" w:sz="4" w:space="0" w:color="auto"/>
        </w:pBdr>
        <w:shd w:val="clear" w:color="auto" w:fill="auto"/>
        <w:bidi w:val="0"/>
        <w:spacing w:before="0" w:after="0" w:line="404" w:lineRule="exact"/>
        <w:ind w:left="0" w:right="0" w:firstLine="0"/>
        <w:jc w:val="left"/>
      </w:pPr>
      <w:r>
        <w:rPr>
          <w:color w:val="000000"/>
          <w:spacing w:val="0"/>
          <w:w w:val="100"/>
          <w:position w:val="0"/>
        </w:rPr>
        <w:t>国盛证券有限责任公司（简称“国盛证券”）</w:t>
      </w:r>
    </w:p>
    <w:p>
      <w:pPr>
        <w:pStyle w:val="Style100"/>
        <w:keepNext w:val="0"/>
        <w:keepLines w:val="0"/>
        <w:widowControl w:val="0"/>
        <w:pBdr>
          <w:bottom w:val="single" w:sz="4" w:space="0" w:color="auto"/>
        </w:pBdr>
        <w:shd w:val="clear" w:color="auto" w:fill="auto"/>
        <w:bidi w:val="0"/>
        <w:spacing w:before="0" w:after="0" w:line="404" w:lineRule="exact"/>
        <w:ind w:left="0" w:right="0" w:firstLine="0"/>
        <w:jc w:val="left"/>
      </w:pPr>
      <w:r>
        <w:rPr>
          <w:color w:val="000000"/>
          <w:spacing w:val="0"/>
          <w:w w:val="100"/>
          <w:position w:val="0"/>
        </w:rPr>
        <w:t>深圳国盛前海投资有限公司（简称“深圳投资”）</w:t>
      </w:r>
    </w:p>
    <w:p>
      <w:pPr>
        <w:pStyle w:val="Style100"/>
        <w:keepNext w:val="0"/>
        <w:keepLines w:val="0"/>
        <w:widowControl w:val="0"/>
        <w:pBdr>
          <w:top w:val="single" w:sz="4" w:space="0" w:color="auto"/>
          <w:bottom w:val="single" w:sz="4" w:space="0" w:color="auto"/>
        </w:pBdr>
        <w:shd w:val="clear" w:color="auto" w:fill="auto"/>
        <w:bidi w:val="0"/>
        <w:spacing w:before="0" w:after="240" w:line="404" w:lineRule="exact"/>
        <w:ind w:left="0" w:right="0" w:firstLine="0"/>
        <w:jc w:val="left"/>
      </w:pPr>
      <w:r>
        <w:rPr>
          <w:rFonts w:ascii="Times New Roman" w:eastAsia="Times New Roman" w:hAnsi="Times New Roman" w:cs="Times New Roman"/>
          <w:color w:val="000000"/>
          <w:spacing w:val="0"/>
          <w:w w:val="100"/>
          <w:position w:val="0"/>
        </w:rPr>
        <w:t xml:space="preserve">Guosheng（HongKong） Investment Limited </w:t>
      </w:r>
      <w:r>
        <w:rPr>
          <w:color w:val="000000"/>
          <w:spacing w:val="0"/>
          <w:w w:val="100"/>
          <w:position w:val="0"/>
        </w:rPr>
        <w:t xml:space="preserve">（国盛（香港）投资有限公司）（简称“香港投资”） </w:t>
      </w:r>
      <w:r>
        <w:rPr>
          <w:rFonts w:ascii="Times New Roman" w:eastAsia="Times New Roman" w:hAnsi="Times New Roman" w:cs="Times New Roman"/>
          <w:color w:val="000000"/>
          <w:spacing w:val="0"/>
          <w:w w:val="100"/>
          <w:position w:val="0"/>
        </w:rPr>
        <w:t xml:space="preserve">Guosheng Global Investment Limited </w:t>
      </w:r>
      <w:r>
        <w:rPr>
          <w:color w:val="000000"/>
          <w:spacing w:val="0"/>
          <w:w w:val="100"/>
          <w:position w:val="0"/>
        </w:rPr>
        <w:t>（国盛环球投资有限公司）（简称“国盛环球”） 珠海横琴极盛科技有限公司（简称“极盛科技”） 深圳前海国盛科技有限公司（简称“国盛科技”） 北京国盛互联信息咨询有限公司（简称“北京国盛”） 天津国盛信安科技有限公司（简称“国盛信安”） 上海钰信金融信息服务有限公司（简称“上海钰信”） 广州极盛融资租赁有限公司（简称“极盛租赁”） 深圳前海弘大嘉豪资本管理有限公司（简称“弘大嘉豪”）</w:t>
      </w:r>
    </w:p>
    <w:p>
      <w:pPr>
        <w:pStyle w:val="Style16"/>
        <w:keepNext w:val="0"/>
        <w:keepLines w:val="0"/>
        <w:widowControl w:val="0"/>
        <w:pBdr>
          <w:bottom w:val="single" w:sz="4" w:space="0" w:color="auto"/>
        </w:pBdr>
        <w:shd w:val="clear" w:color="auto" w:fill="auto"/>
        <w:bidi w:val="0"/>
        <w:spacing w:before="0" w:after="140" w:line="240" w:lineRule="auto"/>
        <w:ind w:left="0" w:right="0" w:firstLine="440"/>
        <w:jc w:val="left"/>
      </w:pPr>
      <w:r>
        <w:rPr>
          <w:color w:val="000000"/>
          <w:spacing w:val="0"/>
          <w:w w:val="100"/>
          <w:position w:val="0"/>
          <w:u w:val="single"/>
        </w:rPr>
        <w:t>截至</w:t>
      </w:r>
      <w:r>
        <w:rPr>
          <w:rFonts w:ascii="Times New Roman" w:eastAsia="Times New Roman" w:hAnsi="Times New Roman" w:cs="Times New Roman"/>
          <w:color w:val="000000"/>
          <w:spacing w:val="0"/>
          <w:w w:val="100"/>
          <w:position w:val="0"/>
          <w:u w:val="single"/>
        </w:rPr>
        <w:t>2020</w:t>
      </w:r>
      <w:r>
        <w:rPr>
          <w:color w:val="000000"/>
          <w:spacing w:val="0"/>
          <w:w w:val="100"/>
          <w:position w:val="0"/>
          <w:u w:val="single"/>
        </w:rPr>
        <w:t>年</w:t>
      </w:r>
      <w:r>
        <w:rPr>
          <w:rFonts w:ascii="Times New Roman" w:eastAsia="Times New Roman" w:hAnsi="Times New Roman" w:cs="Times New Roman"/>
          <w:color w:val="000000"/>
          <w:spacing w:val="0"/>
          <w:w w:val="100"/>
          <w:position w:val="0"/>
          <w:u w:val="single"/>
        </w:rPr>
        <w:t>12</w:t>
      </w:r>
      <w:r>
        <w:rPr>
          <w:color w:val="000000"/>
          <w:spacing w:val="0"/>
          <w:w w:val="100"/>
          <w:position w:val="0"/>
          <w:u w:val="single"/>
        </w:rPr>
        <w:t>月</w:t>
      </w:r>
      <w:r>
        <w:rPr>
          <w:rFonts w:ascii="Times New Roman" w:eastAsia="Times New Roman" w:hAnsi="Times New Roman" w:cs="Times New Roman"/>
          <w:color w:val="000000"/>
          <w:spacing w:val="0"/>
          <w:w w:val="100"/>
          <w:position w:val="0"/>
          <w:u w:val="single"/>
        </w:rPr>
        <w:t>31</w:t>
      </w:r>
      <w:r>
        <w:rPr>
          <w:color w:val="000000"/>
          <w:spacing w:val="0"/>
          <w:w w:val="100"/>
          <w:position w:val="0"/>
          <w:u w:val="single"/>
        </w:rPr>
        <w:t>日止，本公司合并财务报表范围内二、三级子公司如下：</w:t>
      </w:r>
    </w:p>
    <w:p>
      <w:pPr>
        <w:pStyle w:val="Style100"/>
        <w:keepNext w:val="0"/>
        <w:keepLines w:val="0"/>
        <w:widowControl w:val="0"/>
        <w:pBdr>
          <w:bottom w:val="single" w:sz="4" w:space="0" w:color="auto"/>
        </w:pBdr>
        <w:shd w:val="clear" w:color="auto" w:fill="auto"/>
        <w:bidi w:val="0"/>
        <w:spacing w:before="0" w:after="140" w:line="240" w:lineRule="auto"/>
        <w:ind w:left="0" w:right="0" w:firstLine="0"/>
        <w:jc w:val="center"/>
      </w:pPr>
      <w:r>
        <w:rPr>
          <w:color w:val="000000"/>
          <w:spacing w:val="0"/>
          <w:w w:val="100"/>
          <w:position w:val="0"/>
        </w:rPr>
        <w:t>子公司名称</w:t>
      </w:r>
    </w:p>
    <w:p>
      <w:pPr>
        <w:pStyle w:val="Style100"/>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rPr>
        <w:t>国盛期货有限责任公司（简称“国盛期货”）</w:t>
      </w:r>
    </w:p>
    <w:p>
      <w:pPr>
        <w:pStyle w:val="Style100"/>
        <w:keepNext w:val="0"/>
        <w:keepLines w:val="0"/>
        <w:widowControl w:val="0"/>
        <w:pBdr>
          <w:bottom w:val="single" w:sz="4" w:space="0" w:color="auto"/>
        </w:pBdr>
        <w:shd w:val="clear" w:color="auto" w:fill="auto"/>
        <w:bidi w:val="0"/>
        <w:spacing w:before="0" w:after="0" w:line="404" w:lineRule="exact"/>
        <w:ind w:left="0" w:right="0" w:firstLine="0"/>
        <w:jc w:val="left"/>
      </w:pPr>
      <w:r>
        <w:rPr>
          <w:color w:val="000000"/>
          <w:spacing w:val="0"/>
          <w:w w:val="100"/>
          <w:position w:val="0"/>
        </w:rPr>
        <w:t>国盛证券资产管理有限公司（简称“国盛资管”）</w:t>
      </w:r>
    </w:p>
    <w:p>
      <w:pPr>
        <w:pStyle w:val="Style100"/>
        <w:keepNext w:val="0"/>
        <w:keepLines w:val="0"/>
        <w:widowControl w:val="0"/>
        <w:pBdr>
          <w:bottom w:val="single" w:sz="4" w:space="0" w:color="auto"/>
        </w:pBdr>
        <w:shd w:val="clear" w:color="auto" w:fill="auto"/>
        <w:bidi w:val="0"/>
        <w:spacing w:before="0" w:after="0" w:line="404" w:lineRule="exact"/>
        <w:ind w:left="0" w:right="0" w:firstLine="0"/>
        <w:jc w:val="left"/>
      </w:pPr>
      <w:r>
        <w:rPr>
          <w:color w:val="000000"/>
          <w:spacing w:val="0"/>
          <w:w w:val="100"/>
          <w:position w:val="0"/>
        </w:rPr>
        <w:t>国盛弘远（上海）投资有限公司（简称“弘远投资”）</w:t>
      </w:r>
    </w:p>
    <w:p>
      <w:pPr>
        <w:pStyle w:val="Style116"/>
        <w:keepNext w:val="0"/>
        <w:keepLines w:val="0"/>
        <w:widowControl w:val="0"/>
        <w:pBdr>
          <w:bottom w:val="single" w:sz="4" w:space="0" w:color="auto"/>
        </w:pBdr>
        <w:shd w:val="clear" w:color="auto" w:fill="auto"/>
        <w:bidi w:val="0"/>
        <w:spacing w:before="0" w:after="140" w:line="404" w:lineRule="exact"/>
        <w:ind w:left="0" w:right="0" w:firstLine="0"/>
        <w:jc w:val="left"/>
      </w:pPr>
      <w:r>
        <w:rPr>
          <w:color w:val="000000"/>
          <w:spacing w:val="0"/>
          <w:w w:val="100"/>
          <w:position w:val="0"/>
        </w:rPr>
        <w:t xml:space="preserve">Guosheng International Investment Limited </w:t>
      </w:r>
      <w:r>
        <w:rPr>
          <w:rFonts w:ascii="SimSun" w:eastAsia="SimSun" w:hAnsi="SimSun" w:cs="SimSun"/>
          <w:color w:val="000000"/>
          <w:spacing w:val="0"/>
          <w:w w:val="100"/>
          <w:position w:val="0"/>
        </w:rPr>
        <w:t>（国盛国际投资有限公司）（简称</w:t>
      </w:r>
      <w:r>
        <w:rPr>
          <w:rFonts w:ascii="SimSun" w:eastAsia="SimSun" w:hAnsi="SimSun" w:cs="SimSun"/>
          <w:color w:val="000000"/>
          <w:spacing w:val="0"/>
          <w:w w:val="100"/>
          <w:position w:val="0"/>
        </w:rPr>
        <w:t>"</w:t>
      </w:r>
      <w:r>
        <w:rPr>
          <w:color w:val="000000"/>
          <w:spacing w:val="0"/>
          <w:w w:val="100"/>
          <w:position w:val="0"/>
        </w:rPr>
        <w:t xml:space="preserve">BVI </w:t>
      </w:r>
      <w:r>
        <w:rPr>
          <w:rFonts w:ascii="SimSun" w:eastAsia="SimSun" w:hAnsi="SimSun" w:cs="SimSun"/>
          <w:color w:val="000000"/>
          <w:spacing w:val="0"/>
          <w:w w:val="100"/>
          <w:position w:val="0"/>
        </w:rPr>
        <w:t>国盛”）</w:t>
      </w:r>
    </w:p>
    <w:p>
      <w:pPr>
        <w:pStyle w:val="Style116"/>
        <w:keepNext w:val="0"/>
        <w:keepLines w:val="0"/>
        <w:widowControl w:val="0"/>
        <w:pBdr>
          <w:top w:val="single" w:sz="4" w:space="0" w:color="auto"/>
          <w:bottom w:val="single" w:sz="4" w:space="0" w:color="auto"/>
        </w:pBdr>
        <w:shd w:val="clear" w:color="auto" w:fill="auto"/>
        <w:bidi w:val="0"/>
        <w:spacing w:before="0" w:after="0"/>
        <w:ind w:left="0" w:right="0" w:firstLine="0"/>
        <w:jc w:val="left"/>
      </w:pPr>
      <w:r>
        <w:rPr>
          <w:color w:val="000000"/>
          <w:spacing w:val="0"/>
          <w:w w:val="100"/>
          <w:position w:val="0"/>
        </w:rPr>
        <w:t xml:space="preserve">Guosheng Internet Investment Management Limited </w:t>
      </w:r>
      <w:r>
        <w:rPr>
          <w:rFonts w:ascii="SimSun" w:eastAsia="SimSun" w:hAnsi="SimSun" w:cs="SimSun"/>
          <w:color w:val="000000"/>
          <w:spacing w:val="0"/>
          <w:w w:val="100"/>
          <w:position w:val="0"/>
        </w:rPr>
        <w:t xml:space="preserve">（国盛互联网投资管理有限公司）（简称“开曼国盛”） </w:t>
      </w:r>
      <w:r>
        <w:rPr>
          <w:color w:val="000000"/>
          <w:spacing w:val="0"/>
          <w:w w:val="100"/>
          <w:position w:val="0"/>
        </w:rPr>
        <w:t xml:space="preserve">KingleyYingFat Paper Products&amp;Printing Limited </w:t>
      </w:r>
      <w:r>
        <w:rPr>
          <w:rFonts w:ascii="SimSun" w:eastAsia="SimSun" w:hAnsi="SimSun" w:cs="SimSun"/>
          <w:color w:val="000000"/>
          <w:spacing w:val="0"/>
          <w:w w:val="100"/>
          <w:position w:val="0"/>
        </w:rPr>
        <w:t>（金来英发纸品印刷有限公司）（简称“金来英发”） 上海多专科技有限公司（简称“上海多专”）</w:t>
      </w:r>
    </w:p>
    <w:p>
      <w:pPr>
        <w:pStyle w:val="Style100"/>
        <w:keepNext w:val="0"/>
        <w:keepLines w:val="0"/>
        <w:widowControl w:val="0"/>
        <w:pBdr>
          <w:bottom w:val="single" w:sz="4" w:space="0" w:color="auto"/>
        </w:pBdr>
        <w:shd w:val="clear" w:color="auto" w:fill="auto"/>
        <w:bidi w:val="0"/>
        <w:spacing w:before="0" w:after="0" w:line="408" w:lineRule="exact"/>
        <w:ind w:left="0" w:right="0" w:firstLine="0"/>
        <w:jc w:val="left"/>
      </w:pPr>
      <w:r>
        <w:rPr>
          <w:color w:val="000000"/>
          <w:spacing w:val="0"/>
          <w:w w:val="100"/>
          <w:position w:val="0"/>
        </w:rPr>
        <w:t>深圳弘大智合投资合伙企业（有限合伙）（简称“弘大智合”）</w:t>
      </w:r>
    </w:p>
    <w:p>
      <w:pPr>
        <w:pStyle w:val="Style16"/>
        <w:keepNext w:val="0"/>
        <w:keepLines w:val="0"/>
        <w:widowControl w:val="0"/>
        <w:shd w:val="clear" w:color="auto" w:fill="auto"/>
        <w:bidi w:val="0"/>
        <w:spacing w:before="0" w:after="320" w:line="413" w:lineRule="exact"/>
        <w:ind w:left="0" w:right="0" w:firstLine="440"/>
        <w:jc w:val="left"/>
      </w:pPr>
      <w:r>
        <w:rPr>
          <w:color w:val="000000"/>
          <w:spacing w:val="0"/>
          <w:w w:val="100"/>
          <w:position w:val="0"/>
        </w:rPr>
        <w:t>本期合并财务报表范围变化情况详见本附注</w:t>
      </w:r>
      <w:r>
        <w:rPr>
          <w:rFonts w:ascii="Calibri" w:eastAsia="Calibri" w:hAnsi="Calibri" w:cs="Calibri"/>
          <w:color w:val="000000"/>
          <w:spacing w:val="0"/>
          <w:w w:val="100"/>
          <w:position w:val="0"/>
          <w:sz w:val="20"/>
          <w:szCs w:val="20"/>
        </w:rPr>
        <w:t>“</w:t>
      </w:r>
      <w:r>
        <w:rPr>
          <w:color w:val="000000"/>
          <w:spacing w:val="0"/>
          <w:w w:val="100"/>
          <w:position w:val="0"/>
        </w:rPr>
        <w:t>七、合并范围的变更</w:t>
      </w:r>
      <w:r>
        <w:rPr>
          <w:rFonts w:ascii="Calibri" w:eastAsia="Calibri" w:hAnsi="Calibri" w:cs="Calibri"/>
          <w:color w:val="000000"/>
          <w:spacing w:val="0"/>
          <w:w w:val="100"/>
          <w:position w:val="0"/>
          <w:sz w:val="20"/>
          <w:szCs w:val="20"/>
        </w:rPr>
        <w:t>”</w:t>
      </w:r>
      <w:r>
        <w:rPr>
          <w:color w:val="000000"/>
          <w:spacing w:val="0"/>
          <w:w w:val="100"/>
          <w:position w:val="0"/>
        </w:rPr>
        <w:t>和</w:t>
      </w:r>
      <w:r>
        <w:rPr>
          <w:rFonts w:ascii="Calibri" w:eastAsia="Calibri" w:hAnsi="Calibri" w:cs="Calibri"/>
          <w:color w:val="000000"/>
          <w:spacing w:val="0"/>
          <w:w w:val="100"/>
          <w:position w:val="0"/>
          <w:sz w:val="20"/>
          <w:szCs w:val="20"/>
        </w:rPr>
        <w:t>“</w:t>
      </w:r>
      <w:r>
        <w:rPr>
          <w:color w:val="000000"/>
          <w:spacing w:val="0"/>
          <w:w w:val="100"/>
          <w:position w:val="0"/>
        </w:rPr>
        <w:t>八、在其他主体 中的权益</w:t>
      </w:r>
      <w:r>
        <w:rPr>
          <w:rFonts w:ascii="Calibri" w:eastAsia="Calibri" w:hAnsi="Calibri" w:cs="Calibri"/>
          <w:color w:val="000000"/>
          <w:spacing w:val="0"/>
          <w:w w:val="100"/>
          <w:position w:val="0"/>
          <w:sz w:val="20"/>
          <w:szCs w:val="20"/>
        </w:rPr>
        <w:t>”</w:t>
      </w:r>
      <w:r>
        <w:rPr>
          <w:color w:val="000000"/>
          <w:spacing w:val="0"/>
          <w:w w:val="100"/>
          <w:position w:val="0"/>
        </w:rPr>
        <w:t>。</w:t>
      </w:r>
    </w:p>
    <w:p>
      <w:pPr>
        <w:pStyle w:val="Style29"/>
        <w:keepNext/>
        <w:keepLines/>
        <w:widowControl w:val="0"/>
        <w:shd w:val="clear" w:color="auto" w:fill="auto"/>
        <w:tabs>
          <w:tab w:pos="957" w:val="left"/>
        </w:tabs>
        <w:bidi w:val="0"/>
        <w:spacing w:before="0" w:after="180" w:line="240" w:lineRule="auto"/>
        <w:ind w:left="0" w:right="0" w:firstLine="440"/>
        <w:jc w:val="left"/>
      </w:pPr>
      <w:bookmarkStart w:id="698" w:name="bookmark698"/>
      <w:bookmarkStart w:id="699" w:name="bookmark699"/>
      <w:bookmarkStart w:id="700" w:name="bookmark700"/>
      <w:bookmarkStart w:id="701" w:name="bookmark701"/>
      <w:r>
        <w:rPr>
          <w:color w:val="000000"/>
          <w:spacing w:val="0"/>
          <w:w w:val="100"/>
          <w:position w:val="0"/>
          <w:sz w:val="24"/>
          <w:szCs w:val="24"/>
        </w:rPr>
        <w:t>三</w:t>
      </w:r>
      <w:bookmarkEnd w:id="700"/>
      <w:r>
        <w:rPr>
          <w:color w:val="000000"/>
          <w:spacing w:val="0"/>
          <w:w w:val="100"/>
          <w:position w:val="0"/>
          <w:sz w:val="24"/>
          <w:szCs w:val="24"/>
        </w:rPr>
        <w:t>、</w:t>
        <w:tab/>
        <w:t>财务报表的编制基础</w:t>
      </w:r>
      <w:bookmarkEnd w:id="698"/>
      <w:bookmarkEnd w:id="699"/>
      <w:bookmarkEnd w:id="701"/>
    </w:p>
    <w:p>
      <w:pPr>
        <w:pStyle w:val="Style37"/>
        <w:keepNext/>
        <w:keepLines/>
        <w:widowControl w:val="0"/>
        <w:shd w:val="clear" w:color="auto" w:fill="auto"/>
        <w:tabs>
          <w:tab w:pos="923" w:val="left"/>
        </w:tabs>
        <w:bidi w:val="0"/>
        <w:spacing w:before="0" w:after="40" w:line="409" w:lineRule="exact"/>
        <w:ind w:left="0" w:right="0" w:firstLine="380"/>
        <w:jc w:val="left"/>
      </w:pPr>
      <w:bookmarkStart w:id="702" w:name="bookmark702"/>
      <w:bookmarkStart w:id="703" w:name="bookmark703"/>
      <w:bookmarkStart w:id="704" w:name="bookmark704"/>
      <w:bookmarkStart w:id="705" w:name="bookmark705"/>
      <w:r>
        <w:rPr>
          <w:color w:val="000000"/>
          <w:spacing w:val="0"/>
          <w:w w:val="100"/>
          <w:position w:val="0"/>
        </w:rPr>
        <w:t>（</w:t>
      </w:r>
      <w:bookmarkEnd w:id="704"/>
      <w:r>
        <w:rPr>
          <w:color w:val="000000"/>
          <w:spacing w:val="0"/>
          <w:w w:val="100"/>
          <w:position w:val="0"/>
        </w:rPr>
        <w:t>一）</w:t>
        <w:tab/>
        <w:t>财务报表的编制基础</w:t>
      </w:r>
      <w:bookmarkEnd w:id="702"/>
      <w:bookmarkEnd w:id="703"/>
      <w:bookmarkEnd w:id="705"/>
    </w:p>
    <w:p>
      <w:pPr>
        <w:pStyle w:val="Style16"/>
        <w:keepNext w:val="0"/>
        <w:keepLines w:val="0"/>
        <w:widowControl w:val="0"/>
        <w:shd w:val="clear" w:color="auto" w:fill="auto"/>
        <w:bidi w:val="0"/>
        <w:spacing w:before="0" w:after="40" w:line="410" w:lineRule="exact"/>
        <w:ind w:left="0" w:right="0" w:firstLine="440"/>
        <w:jc w:val="left"/>
      </w:pPr>
      <w:r>
        <w:rPr>
          <w:color w:val="000000"/>
          <w:spacing w:val="0"/>
          <w:w w:val="100"/>
          <w:position w:val="0"/>
        </w:rPr>
        <w:t>本公司根据实际发生的交易和事项，按照财政部颁布的《企业会计准则一一基本准则》 和具体企业会计准则、企业会计准则应用指南、企业会计准则解释及其他相关规定（以下合 称“企业会计准则”）进行确认和计量，在此基础上，结合中国证券监督管理委员会《公开 发行证券的公司信息披露编报规则第</w:t>
      </w:r>
      <w:r>
        <w:rPr>
          <w:rFonts w:ascii="Times New Roman" w:eastAsia="Times New Roman" w:hAnsi="Times New Roman" w:cs="Times New Roman"/>
          <w:color w:val="000000"/>
          <w:spacing w:val="0"/>
          <w:w w:val="100"/>
          <w:position w:val="0"/>
        </w:rPr>
        <w:t>15</w:t>
      </w:r>
      <w:r>
        <w:rPr>
          <w:color w:val="000000"/>
          <w:spacing w:val="0"/>
          <w:w w:val="100"/>
          <w:position w:val="0"/>
        </w:rPr>
        <w:t>号一一财务报告的一般规定》（</w:t>
      </w:r>
      <w:r>
        <w:rPr>
          <w:rFonts w:ascii="Times New Roman" w:eastAsia="Times New Roman" w:hAnsi="Times New Roman" w:cs="Times New Roman"/>
          <w:color w:val="000000"/>
          <w:spacing w:val="0"/>
          <w:w w:val="100"/>
          <w:position w:val="0"/>
        </w:rPr>
        <w:t>2014</w:t>
      </w:r>
      <w:r>
        <w:rPr>
          <w:color w:val="000000"/>
          <w:spacing w:val="0"/>
          <w:w w:val="100"/>
          <w:position w:val="0"/>
        </w:rPr>
        <w:t>年修订）的规 定，编制财务报表。</w:t>
      </w:r>
    </w:p>
    <w:p>
      <w:pPr>
        <w:pStyle w:val="Style37"/>
        <w:keepNext/>
        <w:keepLines/>
        <w:widowControl w:val="0"/>
        <w:shd w:val="clear" w:color="auto" w:fill="auto"/>
        <w:tabs>
          <w:tab w:pos="923" w:val="left"/>
        </w:tabs>
        <w:bidi w:val="0"/>
        <w:spacing w:before="0" w:after="40" w:line="409" w:lineRule="exact"/>
        <w:ind w:left="0" w:right="0" w:firstLine="380"/>
        <w:jc w:val="left"/>
      </w:pPr>
      <w:bookmarkStart w:id="706" w:name="bookmark706"/>
      <w:bookmarkStart w:id="707" w:name="bookmark707"/>
      <w:bookmarkStart w:id="708" w:name="bookmark708"/>
      <w:bookmarkStart w:id="709" w:name="bookmark709"/>
      <w:r>
        <w:rPr>
          <w:color w:val="000000"/>
          <w:spacing w:val="0"/>
          <w:w w:val="100"/>
          <w:position w:val="0"/>
        </w:rPr>
        <w:t>（</w:t>
      </w:r>
      <w:bookmarkEnd w:id="708"/>
      <w:r>
        <w:rPr>
          <w:color w:val="000000"/>
          <w:spacing w:val="0"/>
          <w:w w:val="100"/>
          <w:position w:val="0"/>
        </w:rPr>
        <w:t>二）</w:t>
        <w:tab/>
        <w:t>持续经营</w:t>
      </w:r>
      <w:bookmarkEnd w:id="706"/>
      <w:bookmarkEnd w:id="707"/>
      <w:bookmarkEnd w:id="709"/>
    </w:p>
    <w:p>
      <w:pPr>
        <w:pStyle w:val="Style16"/>
        <w:keepNext w:val="0"/>
        <w:keepLines w:val="0"/>
        <w:widowControl w:val="0"/>
        <w:shd w:val="clear" w:color="auto" w:fill="auto"/>
        <w:bidi w:val="0"/>
        <w:spacing w:before="0" w:after="180" w:line="403" w:lineRule="exact"/>
        <w:ind w:left="0" w:right="0" w:firstLine="440"/>
        <w:jc w:val="left"/>
      </w:pPr>
      <w:r>
        <w:rPr>
          <w:color w:val="000000"/>
          <w:spacing w:val="0"/>
          <w:w w:val="100"/>
          <w:position w:val="0"/>
        </w:rPr>
        <w:t>公司综合考虑宏观政策风险、市场经营风险、企业目前或长期的盈利能力、偿债能力、 财务弹性等因素，认为公司具有自报告期末起至少</w:t>
      </w:r>
      <w:r>
        <w:rPr>
          <w:rFonts w:ascii="Times New Roman" w:eastAsia="Times New Roman" w:hAnsi="Times New Roman" w:cs="Times New Roman"/>
          <w:color w:val="000000"/>
          <w:spacing w:val="0"/>
          <w:w w:val="100"/>
          <w:position w:val="0"/>
        </w:rPr>
        <w:t>12</w:t>
      </w:r>
      <w:r>
        <w:rPr>
          <w:color w:val="000000"/>
          <w:spacing w:val="0"/>
          <w:w w:val="100"/>
          <w:position w:val="0"/>
        </w:rPr>
        <w:t>个月的持续经营能力。</w:t>
      </w:r>
    </w:p>
    <w:p>
      <w:pPr>
        <w:pStyle w:val="Style29"/>
        <w:keepNext/>
        <w:keepLines/>
        <w:widowControl w:val="0"/>
        <w:shd w:val="clear" w:color="auto" w:fill="auto"/>
        <w:tabs>
          <w:tab w:pos="957" w:val="left"/>
        </w:tabs>
        <w:bidi w:val="0"/>
        <w:spacing w:before="0" w:after="40" w:line="240" w:lineRule="auto"/>
        <w:ind w:left="0" w:right="0" w:firstLine="440"/>
        <w:jc w:val="left"/>
      </w:pPr>
      <w:bookmarkStart w:id="710" w:name="bookmark710"/>
      <w:bookmarkStart w:id="711" w:name="bookmark711"/>
      <w:bookmarkStart w:id="712" w:name="bookmark712"/>
      <w:bookmarkStart w:id="713" w:name="bookmark713"/>
      <w:r>
        <w:rPr>
          <w:color w:val="000000"/>
          <w:spacing w:val="0"/>
          <w:w w:val="100"/>
          <w:position w:val="0"/>
          <w:sz w:val="24"/>
          <w:szCs w:val="24"/>
        </w:rPr>
        <w:t>四</w:t>
      </w:r>
      <w:bookmarkEnd w:id="712"/>
      <w:r>
        <w:rPr>
          <w:color w:val="000000"/>
          <w:spacing w:val="0"/>
          <w:w w:val="100"/>
          <w:position w:val="0"/>
          <w:sz w:val="24"/>
          <w:szCs w:val="24"/>
        </w:rPr>
        <w:t>、</w:t>
        <w:tab/>
        <w:t>重要会计政策、会计估计</w:t>
      </w:r>
      <w:bookmarkEnd w:id="710"/>
      <w:bookmarkEnd w:id="711"/>
      <w:bookmarkEnd w:id="713"/>
    </w:p>
    <w:p>
      <w:pPr>
        <w:pStyle w:val="Style29"/>
        <w:keepNext/>
        <w:keepLines/>
        <w:widowControl w:val="0"/>
        <w:shd w:val="clear" w:color="auto" w:fill="auto"/>
        <w:tabs>
          <w:tab w:pos="1038" w:val="left"/>
        </w:tabs>
        <w:bidi w:val="0"/>
        <w:spacing w:before="0" w:after="40" w:line="409" w:lineRule="exact"/>
        <w:ind w:left="0" w:right="0" w:firstLine="440"/>
        <w:jc w:val="both"/>
        <w:rPr>
          <w:sz w:val="20"/>
          <w:szCs w:val="20"/>
        </w:rPr>
      </w:pPr>
      <w:bookmarkStart w:id="714" w:name="bookmark714"/>
      <w:bookmarkStart w:id="715" w:name="bookmark715"/>
      <w:bookmarkStart w:id="716" w:name="bookmark716"/>
      <w:bookmarkStart w:id="717" w:name="bookmark717"/>
      <w:r>
        <w:rPr>
          <w:color w:val="000000"/>
          <w:spacing w:val="0"/>
          <w:w w:val="100"/>
          <w:position w:val="0"/>
          <w:sz w:val="20"/>
          <w:szCs w:val="20"/>
        </w:rPr>
        <w:t>（</w:t>
      </w:r>
      <w:bookmarkEnd w:id="716"/>
      <w:r>
        <w:rPr>
          <w:color w:val="000000"/>
          <w:spacing w:val="0"/>
          <w:w w:val="100"/>
          <w:position w:val="0"/>
          <w:sz w:val="20"/>
          <w:szCs w:val="20"/>
        </w:rPr>
        <w:t>一）</w:t>
        <w:tab/>
        <w:t>遵循企业会计准则的声明</w:t>
      </w:r>
      <w:bookmarkEnd w:id="714"/>
      <w:bookmarkEnd w:id="715"/>
      <w:bookmarkEnd w:id="717"/>
    </w:p>
    <w:p>
      <w:pPr>
        <w:pStyle w:val="Style16"/>
        <w:keepNext w:val="0"/>
        <w:keepLines w:val="0"/>
        <w:widowControl w:val="0"/>
        <w:shd w:val="clear" w:color="auto" w:fill="auto"/>
        <w:bidi w:val="0"/>
        <w:spacing w:before="0" w:after="40" w:line="408" w:lineRule="exact"/>
        <w:ind w:left="0" w:right="0" w:firstLine="440"/>
        <w:jc w:val="both"/>
      </w:pPr>
      <w:r>
        <w:rPr>
          <w:color w:val="000000"/>
          <w:spacing w:val="0"/>
          <w:w w:val="100"/>
          <w:position w:val="0"/>
        </w:rPr>
        <w:t>公司所编制的财务报表符合企业会计准则的要求，真实、完整地反映了报告期公司的财 务状况、经营成果、现金流量等有关信息。</w:t>
      </w:r>
    </w:p>
    <w:p>
      <w:pPr>
        <w:pStyle w:val="Style29"/>
        <w:keepNext/>
        <w:keepLines/>
        <w:widowControl w:val="0"/>
        <w:shd w:val="clear" w:color="auto" w:fill="auto"/>
        <w:tabs>
          <w:tab w:pos="1038" w:val="left"/>
        </w:tabs>
        <w:bidi w:val="0"/>
        <w:spacing w:before="0" w:after="40" w:line="408" w:lineRule="exact"/>
        <w:ind w:left="0" w:right="0" w:firstLine="440"/>
        <w:jc w:val="both"/>
        <w:rPr>
          <w:sz w:val="20"/>
          <w:szCs w:val="20"/>
        </w:rPr>
      </w:pPr>
      <w:bookmarkStart w:id="718" w:name="bookmark718"/>
      <w:bookmarkStart w:id="719" w:name="bookmark719"/>
      <w:bookmarkStart w:id="720" w:name="bookmark720"/>
      <w:bookmarkStart w:id="721" w:name="bookmark721"/>
      <w:r>
        <w:rPr>
          <w:color w:val="000000"/>
          <w:spacing w:val="0"/>
          <w:w w:val="100"/>
          <w:position w:val="0"/>
          <w:sz w:val="20"/>
          <w:szCs w:val="20"/>
        </w:rPr>
        <w:t>（</w:t>
      </w:r>
      <w:bookmarkEnd w:id="720"/>
      <w:r>
        <w:rPr>
          <w:color w:val="000000"/>
          <w:spacing w:val="0"/>
          <w:w w:val="100"/>
          <w:position w:val="0"/>
          <w:sz w:val="20"/>
          <w:szCs w:val="20"/>
        </w:rPr>
        <w:t>二）</w:t>
        <w:tab/>
        <w:t>会计期间</w:t>
      </w:r>
      <w:bookmarkEnd w:id="718"/>
      <w:bookmarkEnd w:id="719"/>
      <w:bookmarkEnd w:id="721"/>
    </w:p>
    <w:p>
      <w:pPr>
        <w:pStyle w:val="Style16"/>
        <w:keepNext w:val="0"/>
        <w:keepLines w:val="0"/>
        <w:widowControl w:val="0"/>
        <w:shd w:val="clear" w:color="auto" w:fill="auto"/>
        <w:bidi w:val="0"/>
        <w:spacing w:before="0" w:after="40" w:line="409" w:lineRule="exact"/>
        <w:ind w:left="0" w:right="0" w:firstLine="440"/>
        <w:jc w:val="both"/>
      </w:pPr>
      <w:r>
        <w:rPr>
          <w:color w:val="000000"/>
          <w:spacing w:val="0"/>
          <w:w w:val="100"/>
          <w:position w:val="0"/>
        </w:rPr>
        <w:t>自公历</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日止为一个会计年度。</w:t>
      </w:r>
    </w:p>
    <w:p>
      <w:pPr>
        <w:pStyle w:val="Style29"/>
        <w:keepNext/>
        <w:keepLines/>
        <w:widowControl w:val="0"/>
        <w:shd w:val="clear" w:color="auto" w:fill="auto"/>
        <w:tabs>
          <w:tab w:pos="1038" w:val="left"/>
        </w:tabs>
        <w:bidi w:val="0"/>
        <w:spacing w:before="0" w:after="40" w:line="409" w:lineRule="exact"/>
        <w:ind w:left="0" w:right="0" w:firstLine="440"/>
        <w:jc w:val="both"/>
        <w:rPr>
          <w:sz w:val="20"/>
          <w:szCs w:val="20"/>
        </w:rPr>
      </w:pPr>
      <w:bookmarkStart w:id="722" w:name="bookmark722"/>
      <w:bookmarkStart w:id="723" w:name="bookmark723"/>
      <w:bookmarkStart w:id="724" w:name="bookmark724"/>
      <w:bookmarkStart w:id="725" w:name="bookmark725"/>
      <w:r>
        <w:rPr>
          <w:color w:val="000000"/>
          <w:spacing w:val="0"/>
          <w:w w:val="100"/>
          <w:position w:val="0"/>
          <w:sz w:val="20"/>
          <w:szCs w:val="20"/>
        </w:rPr>
        <w:t>（</w:t>
      </w:r>
      <w:bookmarkEnd w:id="724"/>
      <w:r>
        <w:rPr>
          <w:color w:val="000000"/>
          <w:spacing w:val="0"/>
          <w:w w:val="100"/>
          <w:position w:val="0"/>
          <w:sz w:val="20"/>
          <w:szCs w:val="20"/>
        </w:rPr>
        <w:t>三）</w:t>
        <w:tab/>
        <w:t>营业周期</w:t>
      </w:r>
      <w:bookmarkEnd w:id="722"/>
      <w:bookmarkEnd w:id="723"/>
      <w:bookmarkEnd w:id="725"/>
    </w:p>
    <w:p>
      <w:pPr>
        <w:pStyle w:val="Style16"/>
        <w:keepNext w:val="0"/>
        <w:keepLines w:val="0"/>
        <w:widowControl w:val="0"/>
        <w:shd w:val="clear" w:color="auto" w:fill="auto"/>
        <w:bidi w:val="0"/>
        <w:spacing w:before="0" w:after="40" w:line="409" w:lineRule="exact"/>
        <w:ind w:left="0" w:right="0" w:firstLine="440"/>
        <w:jc w:val="both"/>
      </w:pPr>
      <w:r>
        <w:rPr>
          <w:color w:val="000000"/>
          <w:spacing w:val="0"/>
          <w:w w:val="100"/>
          <w:position w:val="0"/>
        </w:rPr>
        <w:t>本公司营业周期为</w:t>
      </w:r>
      <w:r>
        <w:rPr>
          <w:rFonts w:ascii="Times New Roman" w:eastAsia="Times New Roman" w:hAnsi="Times New Roman" w:cs="Times New Roman"/>
          <w:color w:val="000000"/>
          <w:spacing w:val="0"/>
          <w:w w:val="100"/>
          <w:position w:val="0"/>
        </w:rPr>
        <w:t>12</w:t>
      </w:r>
      <w:r>
        <w:rPr>
          <w:color w:val="000000"/>
          <w:spacing w:val="0"/>
          <w:w w:val="100"/>
          <w:position w:val="0"/>
        </w:rPr>
        <w:t>个月。</w:t>
      </w:r>
    </w:p>
    <w:p>
      <w:pPr>
        <w:pStyle w:val="Style29"/>
        <w:keepNext/>
        <w:keepLines/>
        <w:widowControl w:val="0"/>
        <w:shd w:val="clear" w:color="auto" w:fill="auto"/>
        <w:tabs>
          <w:tab w:pos="1038" w:val="left"/>
        </w:tabs>
        <w:bidi w:val="0"/>
        <w:spacing w:before="0" w:after="40" w:line="409" w:lineRule="exact"/>
        <w:ind w:left="0" w:right="0" w:firstLine="440"/>
        <w:jc w:val="both"/>
        <w:rPr>
          <w:sz w:val="20"/>
          <w:szCs w:val="20"/>
        </w:rPr>
      </w:pPr>
      <w:bookmarkStart w:id="726" w:name="bookmark726"/>
      <w:bookmarkStart w:id="727" w:name="bookmark727"/>
      <w:bookmarkStart w:id="728" w:name="bookmark728"/>
      <w:bookmarkStart w:id="729" w:name="bookmark729"/>
      <w:r>
        <w:rPr>
          <w:color w:val="000000"/>
          <w:spacing w:val="0"/>
          <w:w w:val="100"/>
          <w:position w:val="0"/>
          <w:sz w:val="20"/>
          <w:szCs w:val="20"/>
        </w:rPr>
        <w:t>（</w:t>
      </w:r>
      <w:bookmarkEnd w:id="728"/>
      <w:r>
        <w:rPr>
          <w:color w:val="000000"/>
          <w:spacing w:val="0"/>
          <w:w w:val="100"/>
          <w:position w:val="0"/>
          <w:sz w:val="20"/>
          <w:szCs w:val="20"/>
        </w:rPr>
        <w:t>四）</w:t>
        <w:tab/>
        <w:t>记账本位币</w:t>
      </w:r>
      <w:bookmarkEnd w:id="726"/>
      <w:bookmarkEnd w:id="727"/>
      <w:bookmarkEnd w:id="729"/>
    </w:p>
    <w:p>
      <w:pPr>
        <w:pStyle w:val="Style16"/>
        <w:keepNext w:val="0"/>
        <w:keepLines w:val="0"/>
        <w:widowControl w:val="0"/>
        <w:shd w:val="clear" w:color="auto" w:fill="auto"/>
        <w:bidi w:val="0"/>
        <w:spacing w:before="0" w:after="40" w:line="409" w:lineRule="exact"/>
        <w:ind w:left="0" w:right="0" w:firstLine="440"/>
        <w:jc w:val="both"/>
      </w:pPr>
      <w:r>
        <w:rPr>
          <w:color w:val="000000"/>
          <w:spacing w:val="0"/>
          <w:w w:val="100"/>
          <w:position w:val="0"/>
        </w:rPr>
        <w:t>本公司采用人民币为记账本位币。</w:t>
      </w:r>
    </w:p>
    <w:p>
      <w:pPr>
        <w:pStyle w:val="Style29"/>
        <w:keepNext/>
        <w:keepLines/>
        <w:widowControl w:val="0"/>
        <w:shd w:val="clear" w:color="auto" w:fill="auto"/>
        <w:tabs>
          <w:tab w:pos="1038" w:val="left"/>
        </w:tabs>
        <w:bidi w:val="0"/>
        <w:spacing w:before="0" w:after="40" w:line="409" w:lineRule="exact"/>
        <w:ind w:left="0" w:right="0" w:firstLine="440"/>
        <w:jc w:val="both"/>
        <w:rPr>
          <w:sz w:val="20"/>
          <w:szCs w:val="20"/>
        </w:rPr>
      </w:pPr>
      <w:bookmarkStart w:id="730" w:name="bookmark730"/>
      <w:bookmarkStart w:id="731" w:name="bookmark731"/>
      <w:bookmarkStart w:id="732" w:name="bookmark732"/>
      <w:bookmarkStart w:id="733" w:name="bookmark733"/>
      <w:r>
        <w:rPr>
          <w:color w:val="000000"/>
          <w:spacing w:val="0"/>
          <w:w w:val="100"/>
          <w:position w:val="0"/>
          <w:sz w:val="20"/>
          <w:szCs w:val="20"/>
        </w:rPr>
        <w:t>（</w:t>
      </w:r>
      <w:bookmarkEnd w:id="732"/>
      <w:r>
        <w:rPr>
          <w:color w:val="000000"/>
          <w:spacing w:val="0"/>
          <w:w w:val="100"/>
          <w:position w:val="0"/>
          <w:sz w:val="20"/>
          <w:szCs w:val="20"/>
        </w:rPr>
        <w:t>五）</w:t>
        <w:tab/>
        <w:t>同一控制下和非同一控制下企业合并的会计处理方法</w:t>
      </w:r>
      <w:bookmarkEnd w:id="730"/>
      <w:bookmarkEnd w:id="731"/>
      <w:bookmarkEnd w:id="733"/>
    </w:p>
    <w:p>
      <w:pPr>
        <w:pStyle w:val="Style16"/>
        <w:keepNext w:val="0"/>
        <w:keepLines w:val="0"/>
        <w:widowControl w:val="0"/>
        <w:shd w:val="clear" w:color="auto" w:fill="auto"/>
        <w:bidi w:val="0"/>
        <w:spacing w:before="0" w:after="40" w:line="409" w:lineRule="exact"/>
        <w:ind w:left="0" w:right="0" w:firstLine="440"/>
        <w:jc w:val="both"/>
      </w:pPr>
      <w:r>
        <w:rPr>
          <w:color w:val="000000"/>
          <w:spacing w:val="0"/>
          <w:w w:val="100"/>
          <w:position w:val="0"/>
        </w:rPr>
        <w:t>同一控制下企业合并：本公司在企业合并中取得的资产和负债，按照合并日被合并方资 产、负债（包括最终控制方收购被合并方而形成的商誉）在最终控制方合并财务报表中的账 面价值计量。在合并中取得的净资产账面价值与支付的合并对价账面价值（或发行股份面值 总额）的差额，调整资本公积中的股本溢价，资本公积中的股本溢价不足冲减的，调整留存 收益。</w:t>
      </w:r>
    </w:p>
    <w:p>
      <w:pPr>
        <w:pStyle w:val="Style16"/>
        <w:keepNext w:val="0"/>
        <w:keepLines w:val="0"/>
        <w:widowControl w:val="0"/>
        <w:shd w:val="clear" w:color="auto" w:fill="auto"/>
        <w:bidi w:val="0"/>
        <w:spacing w:before="0" w:after="0" w:line="408" w:lineRule="exact"/>
        <w:ind w:left="0" w:right="0" w:firstLine="440"/>
        <w:jc w:val="both"/>
      </w:pPr>
      <w:r>
        <w:rPr>
          <w:color w:val="000000"/>
          <w:spacing w:val="0"/>
          <w:w w:val="100"/>
          <w:position w:val="0"/>
        </w:rPr>
        <w:t>非同一控制下企业合并：本公司在购买日对作为企业合并对价付出的资产、发生或承担 的负债按照公允价值计量，公允价值与其账面价值的差额，计入当期损益。本公司对合并成 本大于合并中取得的被购买方可辨认净资产公允价值份额的差额，确认为商誉；合并成本小 于合并中取得的被购买方可辨认净资产公允价值份额的差额，经复核后，计入当期损益。</w:t>
      </w:r>
    </w:p>
    <w:p>
      <w:pPr>
        <w:pStyle w:val="Style16"/>
        <w:keepNext w:val="0"/>
        <w:keepLines w:val="0"/>
        <w:widowControl w:val="0"/>
        <w:shd w:val="clear" w:color="auto" w:fill="auto"/>
        <w:bidi w:val="0"/>
        <w:spacing w:before="0" w:after="0" w:line="403" w:lineRule="exact"/>
        <w:ind w:left="0" w:right="0" w:firstLine="440"/>
        <w:jc w:val="both"/>
      </w:pPr>
      <w:r>
        <w:rPr>
          <w:color w:val="000000"/>
          <w:spacing w:val="0"/>
          <w:w w:val="100"/>
          <w:position w:val="0"/>
        </w:rPr>
        <w:t>为企业合并发生的审计、法律服务、评估咨询等中介费用以及其他直接相关费用，于发 生时计入当期损益；为企业合并而发行权益性证券的交易费用，冲减权益。</w:t>
      </w:r>
    </w:p>
    <w:p>
      <w:pPr>
        <w:pStyle w:val="Style29"/>
        <w:keepNext/>
        <w:keepLines/>
        <w:widowControl w:val="0"/>
        <w:shd w:val="clear" w:color="auto" w:fill="auto"/>
        <w:bidi w:val="0"/>
        <w:spacing w:before="0" w:after="220" w:line="408" w:lineRule="exact"/>
        <w:ind w:left="0" w:right="0" w:firstLine="440"/>
        <w:jc w:val="both"/>
        <w:rPr>
          <w:sz w:val="20"/>
          <w:szCs w:val="20"/>
        </w:rPr>
      </w:pPr>
      <w:bookmarkStart w:id="734" w:name="bookmark734"/>
      <w:bookmarkStart w:id="735" w:name="bookmark735"/>
      <w:bookmarkStart w:id="736" w:name="bookmark736"/>
      <w:bookmarkStart w:id="737" w:name="bookmark737"/>
      <w:r>
        <w:rPr>
          <w:color w:val="000000"/>
          <w:spacing w:val="0"/>
          <w:w w:val="100"/>
          <w:position w:val="0"/>
          <w:sz w:val="20"/>
          <w:szCs w:val="20"/>
        </w:rPr>
        <w:t>（</w:t>
      </w:r>
      <w:bookmarkEnd w:id="736"/>
      <w:r>
        <w:rPr>
          <w:color w:val="000000"/>
          <w:spacing w:val="0"/>
          <w:w w:val="100"/>
          <w:position w:val="0"/>
          <w:sz w:val="20"/>
          <w:szCs w:val="20"/>
        </w:rPr>
        <w:t>六）合并财务报表的编制方法</w:t>
      </w:r>
      <w:bookmarkEnd w:id="734"/>
      <w:bookmarkEnd w:id="735"/>
      <w:bookmarkEnd w:id="737"/>
    </w:p>
    <w:p>
      <w:pPr>
        <w:pStyle w:val="Style37"/>
        <w:keepNext/>
        <w:keepLines/>
        <w:widowControl w:val="0"/>
        <w:numPr>
          <w:ilvl w:val="0"/>
          <w:numId w:val="21"/>
        </w:numPr>
        <w:shd w:val="clear" w:color="auto" w:fill="auto"/>
        <w:tabs>
          <w:tab w:pos="750" w:val="left"/>
        </w:tabs>
        <w:bidi w:val="0"/>
        <w:spacing w:before="0" w:after="0" w:line="427" w:lineRule="auto"/>
        <w:ind w:left="0" w:right="0" w:firstLine="440"/>
        <w:jc w:val="left"/>
      </w:pPr>
      <w:bookmarkStart w:id="738" w:name="bookmark738"/>
      <w:bookmarkStart w:id="739" w:name="bookmark739"/>
      <w:bookmarkStart w:id="740" w:name="bookmark740"/>
      <w:bookmarkStart w:id="741" w:name="bookmark741"/>
      <w:bookmarkEnd w:id="740"/>
      <w:r>
        <w:rPr>
          <w:color w:val="000000"/>
          <w:spacing w:val="0"/>
          <w:w w:val="100"/>
          <w:position w:val="0"/>
        </w:rPr>
        <w:t>合并范围</w:t>
      </w:r>
      <w:bookmarkEnd w:id="738"/>
      <w:bookmarkEnd w:id="739"/>
      <w:bookmarkEnd w:id="741"/>
    </w:p>
    <w:p>
      <w:pPr>
        <w:pStyle w:val="Style16"/>
        <w:keepNext w:val="0"/>
        <w:keepLines w:val="0"/>
        <w:widowControl w:val="0"/>
        <w:shd w:val="clear" w:color="auto" w:fill="auto"/>
        <w:bidi w:val="0"/>
        <w:spacing w:before="0" w:after="220" w:line="408" w:lineRule="exact"/>
        <w:ind w:left="0" w:right="0" w:firstLine="440"/>
        <w:jc w:val="left"/>
      </w:pPr>
      <w:r>
        <w:rPr>
          <w:color w:val="000000"/>
          <w:spacing w:val="0"/>
          <w:w w:val="100"/>
          <w:position w:val="0"/>
        </w:rPr>
        <w:t>本公司合并财务报表的合并范围以控制为基础确定，所有子公司（包括本公司所控制的 被投资方可分割的部分）均纳入合并财务报表。</w:t>
      </w:r>
    </w:p>
    <w:p>
      <w:pPr>
        <w:pStyle w:val="Style37"/>
        <w:keepNext/>
        <w:keepLines/>
        <w:widowControl w:val="0"/>
        <w:numPr>
          <w:ilvl w:val="0"/>
          <w:numId w:val="21"/>
        </w:numPr>
        <w:shd w:val="clear" w:color="auto" w:fill="auto"/>
        <w:tabs>
          <w:tab w:pos="760" w:val="left"/>
        </w:tabs>
        <w:bidi w:val="0"/>
        <w:spacing w:before="0" w:after="0" w:line="427" w:lineRule="auto"/>
        <w:ind w:left="0" w:right="0" w:firstLine="440"/>
        <w:jc w:val="left"/>
      </w:pPr>
      <w:bookmarkStart w:id="742" w:name="bookmark742"/>
      <w:bookmarkStart w:id="743" w:name="bookmark743"/>
      <w:bookmarkStart w:id="744" w:name="bookmark744"/>
      <w:bookmarkStart w:id="745" w:name="bookmark745"/>
      <w:bookmarkEnd w:id="744"/>
      <w:r>
        <w:rPr>
          <w:color w:val="000000"/>
          <w:spacing w:val="0"/>
          <w:w w:val="100"/>
          <w:position w:val="0"/>
        </w:rPr>
        <w:t>合并程序</w:t>
      </w:r>
      <w:bookmarkEnd w:id="742"/>
      <w:bookmarkEnd w:id="743"/>
      <w:bookmarkEnd w:id="745"/>
    </w:p>
    <w:p>
      <w:pPr>
        <w:pStyle w:val="Style16"/>
        <w:keepNext w:val="0"/>
        <w:keepLines w:val="0"/>
        <w:widowControl w:val="0"/>
        <w:shd w:val="clear" w:color="auto" w:fill="auto"/>
        <w:bidi w:val="0"/>
        <w:spacing w:before="0" w:after="0" w:line="408" w:lineRule="exact"/>
        <w:ind w:left="0" w:right="0" w:firstLine="440"/>
        <w:jc w:val="left"/>
      </w:pPr>
      <w:r>
        <w:rPr>
          <w:color w:val="000000"/>
          <w:spacing w:val="0"/>
          <w:w w:val="100"/>
          <w:position w:val="0"/>
        </w:rPr>
        <w:t>本公司以自身和各子公司的财务报表为基础，根据其他有关资料，编制合并财务报表。 本公司编制合并财务报表，将整个企业集团视为一个会计主体，依据相关企业会计准则的确 认、计量和列报要求，按照统一的会计政策，反映本企业集团整体财务状况、经营成果和现 金流量。</w:t>
      </w:r>
    </w:p>
    <w:p>
      <w:pPr>
        <w:pStyle w:val="Style16"/>
        <w:keepNext w:val="0"/>
        <w:keepLines w:val="0"/>
        <w:widowControl w:val="0"/>
        <w:shd w:val="clear" w:color="auto" w:fill="auto"/>
        <w:bidi w:val="0"/>
        <w:spacing w:before="0" w:after="0" w:line="408" w:lineRule="exact"/>
        <w:ind w:left="0" w:right="0" w:firstLine="440"/>
        <w:jc w:val="left"/>
      </w:pPr>
      <w:r>
        <w:rPr>
          <w:color w:val="000000"/>
          <w:spacing w:val="0"/>
          <w:w w:val="100"/>
          <w:position w:val="0"/>
        </w:rPr>
        <w:t>所有纳入合并财务报表合并范围的子公司所采用的会计政策、会计期间与本公司一致, 如子公司采用的会计政策、会计期间与本公司不一致的，在编制合并财务报表时，按本公司 的会计政策、会计期间进行必要的调整。</w:t>
      </w:r>
    </w:p>
    <w:p>
      <w:pPr>
        <w:pStyle w:val="Style16"/>
        <w:keepNext w:val="0"/>
        <w:keepLines w:val="0"/>
        <w:widowControl w:val="0"/>
        <w:shd w:val="clear" w:color="auto" w:fill="auto"/>
        <w:bidi w:val="0"/>
        <w:spacing w:before="0" w:after="0" w:line="406" w:lineRule="exact"/>
        <w:ind w:left="0" w:right="0" w:firstLine="440"/>
        <w:jc w:val="left"/>
      </w:pPr>
      <w:r>
        <w:rPr>
          <w:color w:val="000000"/>
          <w:spacing w:val="0"/>
          <w:w w:val="100"/>
          <w:position w:val="0"/>
        </w:rPr>
        <w:t>合并财务报表时抵销本公司与各子公司、各子公司相互之间发生的内部交易对合并资产 负债表、合并利润表、合并现金流量表、合并股东权益变动表的影响。如果站在企业集团合 并财务报表角度与以本公司或子公司为会计主体对同一交易的认定不同时，从企业集团的角 度对该交易予以调整。</w:t>
      </w:r>
    </w:p>
    <w:p>
      <w:pPr>
        <w:pStyle w:val="Style16"/>
        <w:keepNext w:val="0"/>
        <w:keepLines w:val="0"/>
        <w:widowControl w:val="0"/>
        <w:shd w:val="clear" w:color="auto" w:fill="auto"/>
        <w:bidi w:val="0"/>
        <w:spacing w:before="0" w:after="0" w:line="406" w:lineRule="exact"/>
        <w:ind w:left="0" w:right="0" w:firstLine="440"/>
        <w:jc w:val="left"/>
      </w:pPr>
      <w:r>
        <w:rPr>
          <w:color w:val="000000"/>
          <w:spacing w:val="0"/>
          <w:w w:val="100"/>
          <w:position w:val="0"/>
        </w:rPr>
        <w:t>子公司所有者权益、当期净损益和当期综合收益中属于少数股东的份额分别在合并资产 负债表中所有者权益项目下、合并利润表中净利润项目下和综合收益总额项目下单独列示。 子公司少数股东分担的当期亏损超过了少数股东在该子公司期初所有者权益中所享有份额 而形成的余额，冲减少数股东权益。</w:t>
      </w:r>
    </w:p>
    <w:p>
      <w:pPr>
        <w:pStyle w:val="Style16"/>
        <w:keepNext w:val="0"/>
        <w:keepLines w:val="0"/>
        <w:widowControl w:val="0"/>
        <w:shd w:val="clear" w:color="auto" w:fill="auto"/>
        <w:bidi w:val="0"/>
        <w:spacing w:before="0" w:after="0" w:line="413" w:lineRule="exact"/>
        <w:ind w:left="0" w:right="0" w:firstLine="440"/>
        <w:jc w:val="left"/>
      </w:pPr>
      <w:r>
        <w:rPr>
          <w:color w:val="000000"/>
          <w:spacing w:val="0"/>
          <w:w w:val="100"/>
          <w:position w:val="0"/>
        </w:rPr>
        <w:t>对于同一控制下企业合并取得的子公司，以其资产、负债（包括最终控制方收购该子公 司而形成的商誉）在最终控制方财务报表中的账面价值为基础对其财务报表进行调整。</w:t>
      </w:r>
    </w:p>
    <w:p>
      <w:pPr>
        <w:pStyle w:val="Style16"/>
        <w:keepNext w:val="0"/>
        <w:keepLines w:val="0"/>
        <w:widowControl w:val="0"/>
        <w:shd w:val="clear" w:color="auto" w:fill="auto"/>
        <w:bidi w:val="0"/>
        <w:spacing w:before="0" w:after="0" w:line="422" w:lineRule="exact"/>
        <w:ind w:left="0" w:right="0" w:firstLine="440"/>
        <w:jc w:val="left"/>
      </w:pPr>
      <w:r>
        <w:rPr>
          <w:color w:val="000000"/>
          <w:spacing w:val="0"/>
          <w:w w:val="100"/>
          <w:position w:val="0"/>
        </w:rPr>
        <w:t>对于非同一控制下企业合并取得的子公司，以购买日可辨认净资产公允价值为基础对其 财务报表进行调整。</w:t>
      </w:r>
    </w:p>
    <w:p>
      <w:pPr>
        <w:pStyle w:val="Style16"/>
        <w:keepNext w:val="0"/>
        <w:keepLines w:val="0"/>
        <w:widowControl w:val="0"/>
        <w:shd w:val="clear" w:color="auto" w:fill="auto"/>
        <w:bidi w:val="0"/>
        <w:spacing w:before="0" w:after="0" w:line="408" w:lineRule="exact"/>
        <w:ind w:left="0" w:right="0" w:firstLine="440"/>
        <w:jc w:val="left"/>
      </w:pPr>
      <w:bookmarkStart w:id="746" w:name="bookmark746"/>
      <w:r>
        <w:rPr>
          <w:color w:val="000000"/>
          <w:spacing w:val="0"/>
          <w:w w:val="100"/>
          <w:position w:val="0"/>
        </w:rPr>
        <w:t>（</w:t>
      </w:r>
      <w:bookmarkEnd w:id="746"/>
      <w:r>
        <w:rPr>
          <w:rFonts w:ascii="Times New Roman" w:eastAsia="Times New Roman" w:hAnsi="Times New Roman" w:cs="Times New Roman"/>
          <w:color w:val="000000"/>
          <w:spacing w:val="0"/>
          <w:w w:val="100"/>
          <w:position w:val="0"/>
        </w:rPr>
        <w:t>1</w:t>
      </w:r>
      <w:r>
        <w:rPr>
          <w:color w:val="000000"/>
          <w:spacing w:val="0"/>
          <w:w w:val="100"/>
          <w:position w:val="0"/>
        </w:rPr>
        <w:t>）增加子公司或业务</w:t>
      </w:r>
    </w:p>
    <w:p>
      <w:pPr>
        <w:pStyle w:val="Style16"/>
        <w:keepNext w:val="0"/>
        <w:keepLines w:val="0"/>
        <w:widowControl w:val="0"/>
        <w:shd w:val="clear" w:color="auto" w:fill="auto"/>
        <w:bidi w:val="0"/>
        <w:spacing w:before="0" w:after="40" w:line="408" w:lineRule="exact"/>
        <w:ind w:left="0" w:right="0" w:firstLine="440"/>
        <w:jc w:val="left"/>
      </w:pPr>
      <w:r>
        <w:rPr>
          <w:color w:val="000000"/>
          <w:spacing w:val="0"/>
          <w:w w:val="100"/>
          <w:position w:val="0"/>
        </w:rPr>
        <w:t xml:space="preserve">在报告期内，若因同一控制下企业合并增加子公司或业务的，则调整合并资产负债表的 </w:t>
      </w:r>
      <w:r>
        <w:rPr>
          <w:color w:val="000000"/>
          <w:spacing w:val="0"/>
          <w:w w:val="100"/>
          <w:position w:val="0"/>
        </w:rPr>
        <w:t>期初数；将子公司或业务合并当期期初至报告期末的收入、费用、利润纳入合并利润表；将 子公司或业务合并当期期初至报告期末的现金流量纳入合并现金流量表，同时对比较报表的 相关项目进行调整，视同合并后的报告主体自最终控制方开始控制时点起一直存在。</w:t>
      </w:r>
    </w:p>
    <w:p>
      <w:pPr>
        <w:pStyle w:val="Style16"/>
        <w:keepNext w:val="0"/>
        <w:keepLines w:val="0"/>
        <w:widowControl w:val="0"/>
        <w:shd w:val="clear" w:color="auto" w:fill="auto"/>
        <w:bidi w:val="0"/>
        <w:spacing w:before="0" w:after="40" w:line="408" w:lineRule="exact"/>
        <w:ind w:left="0" w:right="0" w:firstLine="440"/>
        <w:jc w:val="both"/>
      </w:pPr>
      <w:r>
        <w:rPr>
          <w:color w:val="000000"/>
          <w:spacing w:val="0"/>
          <w:w w:val="100"/>
          <w:position w:val="0"/>
        </w:rPr>
        <w:t>因追加投资等原因能够对同一控制下的被投资方实施控制的，视同参与合并的各方在最 终控制方开始控制时即以目前的状态存在进行调整。在取得被合并方控制权之前持有的股权 投资，在取得原股权之日与合并方和被合并方同处于同一控制之日孰晚日起至合并日之间已 确认有关损益、其他综合收益以及其他净资产变动，分别冲减比较报表期间的期初留存收益 或当期损益。</w:t>
      </w:r>
    </w:p>
    <w:p>
      <w:pPr>
        <w:pStyle w:val="Style16"/>
        <w:keepNext w:val="0"/>
        <w:keepLines w:val="0"/>
        <w:widowControl w:val="0"/>
        <w:shd w:val="clear" w:color="auto" w:fill="auto"/>
        <w:bidi w:val="0"/>
        <w:spacing w:before="0" w:after="40" w:line="406" w:lineRule="exact"/>
        <w:ind w:left="0" w:right="0" w:firstLine="440"/>
        <w:jc w:val="both"/>
      </w:pPr>
      <w:r>
        <w:rPr>
          <w:color w:val="000000"/>
          <w:spacing w:val="0"/>
          <w:w w:val="100"/>
          <w:position w:val="0"/>
        </w:rPr>
        <w:t>在报告期内，若因非同一控制下企业合并增加子公司或业务的，则不调整合并资产负债 表期初数；将该子公司或业务自购买日至报告期末的收入、费用、利润纳入合并利润表；该 子公司或业务自购买日至报告期末的现金流量纳入合并现金流量表。</w:t>
      </w:r>
    </w:p>
    <w:p>
      <w:pPr>
        <w:pStyle w:val="Style16"/>
        <w:keepNext w:val="0"/>
        <w:keepLines w:val="0"/>
        <w:widowControl w:val="0"/>
        <w:shd w:val="clear" w:color="auto" w:fill="auto"/>
        <w:bidi w:val="0"/>
        <w:spacing w:before="0" w:after="40" w:line="410" w:lineRule="exact"/>
        <w:ind w:left="0" w:right="0" w:firstLine="440"/>
        <w:jc w:val="both"/>
      </w:pPr>
      <w:r>
        <w:rPr>
          <w:color w:val="000000"/>
          <w:spacing w:val="0"/>
          <w:w w:val="100"/>
          <w:position w:val="0"/>
        </w:rPr>
        <w:t>因追加投资等原因能够对非同一控制下的被投资方实施控制的，对于购买日之前持有的 被购买方的股权，本公司按照该股权在购买日的公允价值进行重新计量，公允价值与其账面 价值的差额计入当期投资收益。购买日之前持有的被购买方的股权涉及权益法核算下的其他 综合收益以及除净损益、其他综合收益和利润分配之外的其他所有者权益变动的，与其相关 的其他综合收益、其他所有者权益变动转为购买日所属当期投资收益，由于被投资方重新计 量设定受益计划净负债或净资产变动而产生的其他综合收益除外。</w:t>
      </w:r>
    </w:p>
    <w:p>
      <w:pPr>
        <w:pStyle w:val="Style16"/>
        <w:keepNext w:val="0"/>
        <w:keepLines w:val="0"/>
        <w:widowControl w:val="0"/>
        <w:shd w:val="clear" w:color="auto" w:fill="auto"/>
        <w:bidi w:val="0"/>
        <w:spacing w:before="0" w:after="220" w:line="408" w:lineRule="exact"/>
        <w:ind w:left="0" w:right="0" w:firstLine="440"/>
        <w:jc w:val="both"/>
      </w:pPr>
      <w:bookmarkStart w:id="747" w:name="bookmark747"/>
      <w:r>
        <w:rPr>
          <w:color w:val="000000"/>
          <w:spacing w:val="0"/>
          <w:w w:val="100"/>
          <w:position w:val="0"/>
        </w:rPr>
        <w:t>（</w:t>
      </w:r>
      <w:bookmarkEnd w:id="747"/>
      <w:r>
        <w:rPr>
          <w:rFonts w:ascii="Times New Roman" w:eastAsia="Times New Roman" w:hAnsi="Times New Roman" w:cs="Times New Roman"/>
          <w:color w:val="000000"/>
          <w:spacing w:val="0"/>
          <w:w w:val="100"/>
          <w:position w:val="0"/>
        </w:rPr>
        <w:t>2</w:t>
      </w:r>
      <w:r>
        <w:rPr>
          <w:color w:val="000000"/>
          <w:spacing w:val="0"/>
          <w:w w:val="100"/>
          <w:position w:val="0"/>
        </w:rPr>
        <w:t>）处置子公司或业务</w:t>
      </w:r>
    </w:p>
    <w:p>
      <w:pPr>
        <w:pStyle w:val="Style16"/>
        <w:keepNext w:val="0"/>
        <w:keepLines w:val="0"/>
        <w:widowControl w:val="0"/>
        <w:shd w:val="clear" w:color="auto" w:fill="auto"/>
        <w:tabs>
          <w:tab w:pos="754" w:val="left"/>
        </w:tabs>
        <w:bidi w:val="0"/>
        <w:spacing w:before="0" w:after="0" w:line="427" w:lineRule="auto"/>
        <w:ind w:left="0" w:right="0" w:firstLine="440"/>
        <w:jc w:val="both"/>
      </w:pPr>
      <w:bookmarkStart w:id="748" w:name="bookmark748"/>
      <w:r>
        <w:rPr>
          <w:rFonts w:ascii="Times New Roman" w:eastAsia="Times New Roman" w:hAnsi="Times New Roman" w:cs="Times New Roman"/>
          <w:color w:val="000000"/>
          <w:spacing w:val="0"/>
          <w:w w:val="100"/>
          <w:position w:val="0"/>
        </w:rPr>
        <w:t>1</w:t>
      </w:r>
      <w:bookmarkEnd w:id="748"/>
      <w:r>
        <w:rPr>
          <w:color w:val="000000"/>
          <w:spacing w:val="0"/>
          <w:w w:val="100"/>
          <w:position w:val="0"/>
        </w:rPr>
        <w:t>）</w:t>
        <w:tab/>
        <w:t>一般处理方法</w:t>
      </w:r>
    </w:p>
    <w:p>
      <w:pPr>
        <w:pStyle w:val="Style16"/>
        <w:keepNext w:val="0"/>
        <w:keepLines w:val="0"/>
        <w:widowControl w:val="0"/>
        <w:shd w:val="clear" w:color="auto" w:fill="auto"/>
        <w:bidi w:val="0"/>
        <w:spacing w:before="0" w:after="40" w:line="422" w:lineRule="exact"/>
        <w:ind w:left="0" w:right="0" w:firstLine="440"/>
        <w:jc w:val="both"/>
      </w:pPr>
      <w:r>
        <w:rPr>
          <w:color w:val="000000"/>
          <w:spacing w:val="0"/>
          <w:w w:val="100"/>
          <w:position w:val="0"/>
        </w:rPr>
        <w:t>在报告期内，本公司处置子公司或业务，则该子公司或业务期初至处置日的收入、费用、 利润纳入合并利润表；该子公司或业务期初至处置日的现金流量纳入合并现金流量表。</w:t>
      </w:r>
    </w:p>
    <w:p>
      <w:pPr>
        <w:pStyle w:val="Style16"/>
        <w:keepNext w:val="0"/>
        <w:keepLines w:val="0"/>
        <w:widowControl w:val="0"/>
        <w:shd w:val="clear" w:color="auto" w:fill="auto"/>
        <w:bidi w:val="0"/>
        <w:spacing w:before="0" w:after="40" w:line="408" w:lineRule="exact"/>
        <w:ind w:left="0" w:right="0" w:firstLine="440"/>
        <w:jc w:val="both"/>
      </w:pPr>
      <w:r>
        <w:rPr>
          <w:color w:val="000000"/>
          <w:spacing w:val="0"/>
          <w:w w:val="100"/>
          <w:position w:val="0"/>
        </w:rPr>
        <w:t>因处置部分股权投资或其他原因丧失了对被投资方控制权时，对于处置后的剩余股权投 资，本公司按照其在丧失控制权日的公允价值进行重新计量。处置股权取得的对价与剩余股 权公允价值之和，减去按原持股比例计算应享有原有子公司自购买日或合并日开始持续计算 的净资产的份额与商誉之和的差额，计入丧失控制权当期的投资收益。与原有子公司股权投 资相关的其他综合收益或除净损益、其他综合收益及利润分配之外的其他所有者权益变动， 在丧失控制权时转为当期投资收益，由于被投资方重新计量设定受益计划净负债或净资产变 动而产生的其他综合收益除外。</w:t>
      </w:r>
    </w:p>
    <w:p>
      <w:pPr>
        <w:pStyle w:val="Style16"/>
        <w:keepNext w:val="0"/>
        <w:keepLines w:val="0"/>
        <w:widowControl w:val="0"/>
        <w:shd w:val="clear" w:color="auto" w:fill="auto"/>
        <w:bidi w:val="0"/>
        <w:spacing w:before="0" w:after="220" w:line="403" w:lineRule="exact"/>
        <w:ind w:left="0" w:right="0" w:firstLine="440"/>
        <w:jc w:val="both"/>
      </w:pPr>
      <w:r>
        <w:rPr>
          <w:color w:val="000000"/>
          <w:spacing w:val="0"/>
          <w:w w:val="100"/>
          <w:position w:val="0"/>
        </w:rPr>
        <w:t>因其他投资方对子公司增资而导致本公司持股比例下降从而丧失控制权的，按照上述原 则进行会计处理。</w:t>
      </w:r>
    </w:p>
    <w:p>
      <w:pPr>
        <w:pStyle w:val="Style16"/>
        <w:keepNext w:val="0"/>
        <w:keepLines w:val="0"/>
        <w:widowControl w:val="0"/>
        <w:shd w:val="clear" w:color="auto" w:fill="auto"/>
        <w:tabs>
          <w:tab w:pos="772" w:val="left"/>
        </w:tabs>
        <w:bidi w:val="0"/>
        <w:spacing w:before="0" w:after="0" w:line="427" w:lineRule="auto"/>
        <w:ind w:left="0" w:right="0" w:firstLine="440"/>
        <w:jc w:val="both"/>
      </w:pPr>
      <w:bookmarkStart w:id="749" w:name="bookmark749"/>
      <w:r>
        <w:rPr>
          <w:rFonts w:ascii="Times New Roman" w:eastAsia="Times New Roman" w:hAnsi="Times New Roman" w:cs="Times New Roman"/>
          <w:color w:val="000000"/>
          <w:spacing w:val="0"/>
          <w:w w:val="100"/>
          <w:position w:val="0"/>
        </w:rPr>
        <w:t>2</w:t>
      </w:r>
      <w:bookmarkEnd w:id="749"/>
      <w:r>
        <w:rPr>
          <w:color w:val="000000"/>
          <w:spacing w:val="0"/>
          <w:w w:val="100"/>
          <w:position w:val="0"/>
        </w:rPr>
        <w:t>）</w:t>
        <w:tab/>
        <w:t>分步处置子公司</w:t>
      </w:r>
    </w:p>
    <w:p>
      <w:pPr>
        <w:pStyle w:val="Style16"/>
        <w:keepNext w:val="0"/>
        <w:keepLines w:val="0"/>
        <w:widowControl w:val="0"/>
        <w:shd w:val="clear" w:color="auto" w:fill="auto"/>
        <w:bidi w:val="0"/>
        <w:spacing w:before="0" w:after="0" w:line="403" w:lineRule="exact"/>
        <w:ind w:left="0" w:right="0" w:firstLine="440"/>
        <w:jc w:val="both"/>
      </w:pPr>
      <w:r>
        <w:rPr>
          <w:color w:val="000000"/>
          <w:spacing w:val="0"/>
          <w:w w:val="100"/>
          <w:position w:val="0"/>
        </w:rPr>
        <w:t xml:space="preserve">通过多次交易分步处置对子公司股权投资直至丧失控制权的，处置对子公司股权投资的 各项交易的条款、条件以及经济影响符合以下一种或多种情况，通常表明应将多次交易事项 </w:t>
      </w:r>
      <w:r>
        <w:rPr>
          <w:color w:val="000000"/>
          <w:spacing w:val="0"/>
          <w:w w:val="100"/>
          <w:position w:val="0"/>
        </w:rPr>
        <w:t>作为一揽子交易进行会计处理：</w:t>
      </w:r>
    </w:p>
    <w:p>
      <w:pPr>
        <w:pStyle w:val="Style16"/>
        <w:keepNext w:val="0"/>
        <w:keepLines w:val="0"/>
        <w:widowControl w:val="0"/>
        <w:numPr>
          <w:ilvl w:val="0"/>
          <w:numId w:val="23"/>
        </w:numPr>
        <w:shd w:val="clear" w:color="auto" w:fill="auto"/>
        <w:tabs>
          <w:tab w:pos="784" w:val="left"/>
        </w:tabs>
        <w:bidi w:val="0"/>
        <w:spacing w:before="0" w:after="0" w:line="412" w:lineRule="exact"/>
        <w:ind w:left="0" w:right="0" w:firstLine="440"/>
        <w:jc w:val="left"/>
      </w:pPr>
      <w:bookmarkStart w:id="750" w:name="bookmark750"/>
      <w:bookmarkEnd w:id="750"/>
      <w:r>
        <w:rPr>
          <w:color w:val="000000"/>
          <w:spacing w:val="0"/>
          <w:w w:val="100"/>
          <w:position w:val="0"/>
        </w:rPr>
        <w:t>这些交易是同时或者在考虑了彼此影响的情况下订立的；</w:t>
      </w:r>
    </w:p>
    <w:p>
      <w:pPr>
        <w:pStyle w:val="Style16"/>
        <w:keepNext w:val="0"/>
        <w:keepLines w:val="0"/>
        <w:widowControl w:val="0"/>
        <w:numPr>
          <w:ilvl w:val="0"/>
          <w:numId w:val="23"/>
        </w:numPr>
        <w:shd w:val="clear" w:color="auto" w:fill="auto"/>
        <w:tabs>
          <w:tab w:pos="784" w:val="left"/>
        </w:tabs>
        <w:bidi w:val="0"/>
        <w:spacing w:before="0" w:after="0" w:line="412" w:lineRule="exact"/>
        <w:ind w:left="0" w:right="0" w:firstLine="440"/>
        <w:jc w:val="left"/>
      </w:pPr>
      <w:bookmarkStart w:id="751" w:name="bookmark751"/>
      <w:bookmarkEnd w:id="751"/>
      <w:r>
        <w:rPr>
          <w:color w:val="000000"/>
          <w:spacing w:val="0"/>
          <w:w w:val="100"/>
          <w:position w:val="0"/>
        </w:rPr>
        <w:t>这些交易整体才能达成一项完整的商业结果；</w:t>
      </w:r>
    </w:p>
    <w:p>
      <w:pPr>
        <w:pStyle w:val="Style16"/>
        <w:keepNext w:val="0"/>
        <w:keepLines w:val="0"/>
        <w:widowControl w:val="0"/>
        <w:numPr>
          <w:ilvl w:val="0"/>
          <w:numId w:val="23"/>
        </w:numPr>
        <w:shd w:val="clear" w:color="auto" w:fill="auto"/>
        <w:tabs>
          <w:tab w:pos="784" w:val="left"/>
        </w:tabs>
        <w:bidi w:val="0"/>
        <w:spacing w:before="0" w:after="0" w:line="412" w:lineRule="exact"/>
        <w:ind w:left="0" w:right="0" w:firstLine="440"/>
        <w:jc w:val="left"/>
      </w:pPr>
      <w:bookmarkStart w:id="752" w:name="bookmark752"/>
      <w:bookmarkEnd w:id="752"/>
      <w:r>
        <w:rPr>
          <w:color w:val="000000"/>
          <w:spacing w:val="0"/>
          <w:w w:val="100"/>
          <w:position w:val="0"/>
        </w:rPr>
        <w:t>一项交易的发生取决于其他至少一项交易的发生；</w:t>
      </w:r>
    </w:p>
    <w:p>
      <w:pPr>
        <w:pStyle w:val="Style16"/>
        <w:keepNext w:val="0"/>
        <w:keepLines w:val="0"/>
        <w:widowControl w:val="0"/>
        <w:numPr>
          <w:ilvl w:val="0"/>
          <w:numId w:val="23"/>
        </w:numPr>
        <w:shd w:val="clear" w:color="auto" w:fill="auto"/>
        <w:tabs>
          <w:tab w:pos="784" w:val="left"/>
        </w:tabs>
        <w:bidi w:val="0"/>
        <w:spacing w:before="0" w:after="0" w:line="412" w:lineRule="exact"/>
        <w:ind w:left="0" w:right="0" w:firstLine="440"/>
        <w:jc w:val="left"/>
      </w:pPr>
      <w:bookmarkStart w:id="753" w:name="bookmark753"/>
      <w:bookmarkEnd w:id="753"/>
      <w:r>
        <w:rPr>
          <w:color w:val="000000"/>
          <w:spacing w:val="0"/>
          <w:w w:val="100"/>
          <w:position w:val="0"/>
        </w:rPr>
        <w:t>一项交易单独看是不经济的，但是和其他交易一并考虑时是经济的。</w:t>
      </w:r>
    </w:p>
    <w:p>
      <w:pPr>
        <w:pStyle w:val="Style16"/>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处置对子公司股权投资直至丧失控制权的各项交易属于一揽子交易的，本公司将各项交 易作为一项处置子公司并丧失控制权的交易进行会计处理；但是，在丧失控制权之前每一次 处置价款与处置投资对应的享有该子公司净资产份额的差额，在合并财务报表中确认为其他 综合收益，在丧失控制权时一并转入丧失控制权当期的损益。</w:t>
      </w:r>
    </w:p>
    <w:p>
      <w:pPr>
        <w:pStyle w:val="Style16"/>
        <w:keepNext w:val="0"/>
        <w:keepLines w:val="0"/>
        <w:widowControl w:val="0"/>
        <w:shd w:val="clear" w:color="auto" w:fill="auto"/>
        <w:bidi w:val="0"/>
        <w:spacing w:before="0" w:after="0" w:line="415" w:lineRule="exact"/>
        <w:ind w:left="0" w:right="0" w:firstLine="440"/>
        <w:jc w:val="both"/>
      </w:pPr>
      <w:r>
        <w:rPr>
          <w:color w:val="000000"/>
          <w:spacing w:val="0"/>
          <w:w w:val="100"/>
          <w:position w:val="0"/>
        </w:rPr>
        <w:t>处置对子公司股权投资直至丧失控制权的各项交易不属于一揽子交易的，在丧失控制权 之前，按不丧失控制权的情况下部分处置对子公司的股权投资的相关政策进行会计处理；在 丧失控制权时，按处置子公司一般处理方法进行会计处理。</w:t>
      </w:r>
    </w:p>
    <w:p>
      <w:pPr>
        <w:pStyle w:val="Style16"/>
        <w:keepNext w:val="0"/>
        <w:keepLines w:val="0"/>
        <w:widowControl w:val="0"/>
        <w:shd w:val="clear" w:color="auto" w:fill="auto"/>
        <w:tabs>
          <w:tab w:pos="946" w:val="left"/>
        </w:tabs>
        <w:bidi w:val="0"/>
        <w:spacing w:before="0" w:after="0" w:line="412" w:lineRule="exact"/>
        <w:ind w:left="0" w:right="0" w:firstLine="440"/>
        <w:jc w:val="both"/>
      </w:pPr>
      <w:bookmarkStart w:id="754" w:name="bookmark754"/>
      <w:r>
        <w:rPr>
          <w:color w:val="000000"/>
          <w:spacing w:val="0"/>
          <w:w w:val="100"/>
          <w:position w:val="0"/>
        </w:rPr>
        <w:t>（</w:t>
      </w:r>
      <w:bookmarkEnd w:id="754"/>
      <w:r>
        <w:rPr>
          <w:rFonts w:ascii="Times New Roman" w:eastAsia="Times New Roman" w:hAnsi="Times New Roman" w:cs="Times New Roman"/>
          <w:color w:val="000000"/>
          <w:spacing w:val="0"/>
          <w:w w:val="100"/>
          <w:position w:val="0"/>
        </w:rPr>
        <w:t>3</w:t>
      </w:r>
      <w:r>
        <w:rPr>
          <w:color w:val="000000"/>
          <w:spacing w:val="0"/>
          <w:w w:val="100"/>
          <w:position w:val="0"/>
        </w:rPr>
        <w:t>）</w:t>
        <w:tab/>
        <w:t>购买子公司少数股权</w:t>
      </w:r>
    </w:p>
    <w:p>
      <w:pPr>
        <w:pStyle w:val="Style16"/>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本公司因购买少数股权新取得的长期股权投资与按照新增持股比例计算应享有子公司 自购买日（或合并日）开始持续计算的净资产份额之间的差额，调整合并资产负债表中的资 本公积中的股本溢价，资本公积中的股本溢价不足冲减的，调整留存收益。</w:t>
      </w:r>
    </w:p>
    <w:p>
      <w:pPr>
        <w:pStyle w:val="Style16"/>
        <w:keepNext w:val="0"/>
        <w:keepLines w:val="0"/>
        <w:widowControl w:val="0"/>
        <w:shd w:val="clear" w:color="auto" w:fill="auto"/>
        <w:tabs>
          <w:tab w:pos="946" w:val="left"/>
        </w:tabs>
        <w:bidi w:val="0"/>
        <w:spacing w:before="0" w:after="0" w:line="412" w:lineRule="exact"/>
        <w:ind w:left="0" w:right="0" w:firstLine="440"/>
        <w:jc w:val="left"/>
      </w:pPr>
      <w:bookmarkStart w:id="755" w:name="bookmark755"/>
      <w:r>
        <w:rPr>
          <w:color w:val="000000"/>
          <w:spacing w:val="0"/>
          <w:w w:val="100"/>
          <w:position w:val="0"/>
        </w:rPr>
        <w:t>（</w:t>
      </w:r>
      <w:bookmarkEnd w:id="755"/>
      <w:r>
        <w:rPr>
          <w:rFonts w:ascii="Times New Roman" w:eastAsia="Times New Roman" w:hAnsi="Times New Roman" w:cs="Times New Roman"/>
          <w:color w:val="000000"/>
          <w:spacing w:val="0"/>
          <w:w w:val="100"/>
          <w:position w:val="0"/>
        </w:rPr>
        <w:t>4</w:t>
      </w:r>
      <w:r>
        <w:rPr>
          <w:color w:val="000000"/>
          <w:spacing w:val="0"/>
          <w:w w:val="100"/>
          <w:position w:val="0"/>
        </w:rPr>
        <w:t>）</w:t>
        <w:tab/>
        <w:t>不丧失控制权的情况下部分处置对子公司的股权投资</w:t>
      </w:r>
    </w:p>
    <w:p>
      <w:pPr>
        <w:pStyle w:val="Style16"/>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在不丧失控制权的情况下因部分处置对子公司的长期股权投资而取得的处置价款与处 置长期股权投资相对应享有子公司自购买日或合并日开始持续计算的净资产份额之间的差 额，调整合并资产负债表中的资本公积中的股本溢价，资本公积中的股本溢价不足冲减的， 调整留存收益。</w:t>
      </w:r>
    </w:p>
    <w:p>
      <w:pPr>
        <w:pStyle w:val="Style29"/>
        <w:keepNext/>
        <w:keepLines/>
        <w:widowControl w:val="0"/>
        <w:shd w:val="clear" w:color="auto" w:fill="auto"/>
        <w:bidi w:val="0"/>
        <w:spacing w:before="0" w:after="200" w:line="412" w:lineRule="exact"/>
        <w:ind w:left="0" w:right="0" w:firstLine="440"/>
        <w:jc w:val="left"/>
        <w:rPr>
          <w:sz w:val="20"/>
          <w:szCs w:val="20"/>
        </w:rPr>
      </w:pPr>
      <w:bookmarkStart w:id="756" w:name="bookmark756"/>
      <w:bookmarkStart w:id="757" w:name="bookmark757"/>
      <w:bookmarkStart w:id="758" w:name="bookmark758"/>
      <w:bookmarkStart w:id="759" w:name="bookmark759"/>
      <w:r>
        <w:rPr>
          <w:color w:val="000000"/>
          <w:spacing w:val="0"/>
          <w:w w:val="100"/>
          <w:position w:val="0"/>
          <w:sz w:val="20"/>
          <w:szCs w:val="20"/>
        </w:rPr>
        <w:t>（</w:t>
      </w:r>
      <w:bookmarkEnd w:id="758"/>
      <w:r>
        <w:rPr>
          <w:color w:val="000000"/>
          <w:spacing w:val="0"/>
          <w:w w:val="100"/>
          <w:position w:val="0"/>
          <w:sz w:val="20"/>
          <w:szCs w:val="20"/>
        </w:rPr>
        <w:t>七）合营安排分类及共同经营会计处理方法</w:t>
      </w:r>
      <w:bookmarkEnd w:id="756"/>
      <w:bookmarkEnd w:id="757"/>
      <w:bookmarkEnd w:id="759"/>
    </w:p>
    <w:p>
      <w:pPr>
        <w:pStyle w:val="Style37"/>
        <w:keepNext/>
        <w:keepLines/>
        <w:widowControl w:val="0"/>
        <w:numPr>
          <w:ilvl w:val="0"/>
          <w:numId w:val="25"/>
        </w:numPr>
        <w:shd w:val="clear" w:color="auto" w:fill="auto"/>
        <w:bidi w:val="0"/>
        <w:spacing w:before="0" w:after="0" w:line="430" w:lineRule="auto"/>
        <w:ind w:left="0" w:right="0" w:firstLine="440"/>
        <w:jc w:val="left"/>
      </w:pPr>
      <w:bookmarkStart w:id="760" w:name="bookmark760"/>
      <w:bookmarkStart w:id="761" w:name="bookmark761"/>
      <w:bookmarkStart w:id="762" w:name="bookmark762"/>
      <w:bookmarkStart w:id="763" w:name="bookmark763"/>
      <w:bookmarkEnd w:id="762"/>
      <w:r>
        <w:rPr>
          <w:color w:val="000000"/>
          <w:spacing w:val="0"/>
          <w:w w:val="100"/>
          <w:position w:val="0"/>
        </w:rPr>
        <w:t>合营安排的分类</w:t>
      </w:r>
      <w:bookmarkEnd w:id="760"/>
      <w:bookmarkEnd w:id="761"/>
      <w:bookmarkEnd w:id="763"/>
    </w:p>
    <w:p>
      <w:pPr>
        <w:pStyle w:val="Style16"/>
        <w:keepNext w:val="0"/>
        <w:keepLines w:val="0"/>
        <w:widowControl w:val="0"/>
        <w:shd w:val="clear" w:color="auto" w:fill="auto"/>
        <w:bidi w:val="0"/>
        <w:spacing w:before="0" w:after="0" w:line="418" w:lineRule="exact"/>
        <w:ind w:left="0" w:right="0" w:firstLine="440"/>
        <w:jc w:val="both"/>
      </w:pPr>
      <w:r>
        <w:rPr>
          <w:color w:val="000000"/>
          <w:spacing w:val="0"/>
          <w:w w:val="100"/>
          <w:position w:val="0"/>
        </w:rPr>
        <w:t>本公司根据合营安排的结构、法律形式以及合营安排中约定的条款、其他相关事实和情 况等因素，将合营安排分为共同经营和合营企业。</w:t>
      </w:r>
    </w:p>
    <w:p>
      <w:pPr>
        <w:pStyle w:val="Style16"/>
        <w:keepNext w:val="0"/>
        <w:keepLines w:val="0"/>
        <w:widowControl w:val="0"/>
        <w:shd w:val="clear" w:color="auto" w:fill="auto"/>
        <w:bidi w:val="0"/>
        <w:spacing w:before="0" w:after="0" w:line="413" w:lineRule="exact"/>
        <w:ind w:left="0" w:right="0" w:firstLine="440"/>
        <w:jc w:val="both"/>
      </w:pPr>
      <w:r>
        <w:rPr>
          <w:color w:val="000000"/>
          <w:spacing w:val="0"/>
          <w:w w:val="100"/>
          <w:position w:val="0"/>
        </w:rPr>
        <w:t>未通过单独主体达成的合营安排，划分为共同经营；通过单独主体达成的合营安排，通 常划分为合营企业;但有确凿证据表明满足下列任一条件并且符合相关法律法规规定的合营 安排划分为共同经营：</w:t>
      </w:r>
    </w:p>
    <w:p>
      <w:pPr>
        <w:pStyle w:val="Style16"/>
        <w:keepNext w:val="0"/>
        <w:keepLines w:val="0"/>
        <w:widowControl w:val="0"/>
        <w:shd w:val="clear" w:color="auto" w:fill="auto"/>
        <w:tabs>
          <w:tab w:pos="1021" w:val="left"/>
        </w:tabs>
        <w:bidi w:val="0"/>
        <w:spacing w:before="0" w:after="0" w:line="413" w:lineRule="exact"/>
        <w:ind w:left="0" w:right="0" w:firstLine="440"/>
        <w:jc w:val="both"/>
      </w:pPr>
      <w:bookmarkStart w:id="764" w:name="bookmark764"/>
      <w:r>
        <w:rPr>
          <w:color w:val="000000"/>
          <w:spacing w:val="0"/>
          <w:w w:val="100"/>
          <w:position w:val="0"/>
        </w:rPr>
        <w:t>（</w:t>
      </w:r>
      <w:bookmarkEnd w:id="764"/>
      <w:r>
        <w:rPr>
          <w:rFonts w:ascii="Times New Roman" w:eastAsia="Times New Roman" w:hAnsi="Times New Roman" w:cs="Times New Roman"/>
          <w:color w:val="000000"/>
          <w:spacing w:val="0"/>
          <w:w w:val="100"/>
          <w:position w:val="0"/>
        </w:rPr>
        <w:t>1</w:t>
      </w:r>
      <w:r>
        <w:rPr>
          <w:color w:val="000000"/>
          <w:spacing w:val="0"/>
          <w:w w:val="100"/>
          <w:position w:val="0"/>
        </w:rPr>
        <w:t>）</w:t>
        <w:tab/>
        <w:t>合营安排的法律形式表明，合营方对该安排中的相关资产和负债分别享有权利和 承担义务。</w:t>
      </w:r>
    </w:p>
    <w:p>
      <w:pPr>
        <w:pStyle w:val="Style16"/>
        <w:keepNext w:val="0"/>
        <w:keepLines w:val="0"/>
        <w:widowControl w:val="0"/>
        <w:shd w:val="clear" w:color="auto" w:fill="auto"/>
        <w:tabs>
          <w:tab w:pos="506" w:val="left"/>
        </w:tabs>
        <w:bidi w:val="0"/>
        <w:spacing w:before="0" w:after="0" w:line="412" w:lineRule="exact"/>
        <w:ind w:left="0" w:right="0" w:firstLine="440"/>
        <w:jc w:val="both"/>
      </w:pPr>
      <w:bookmarkStart w:id="765" w:name="bookmark765"/>
      <w:r>
        <w:rPr>
          <w:color w:val="000000"/>
          <w:spacing w:val="0"/>
          <w:w w:val="100"/>
          <w:position w:val="0"/>
        </w:rPr>
        <w:t>（</w:t>
      </w:r>
      <w:bookmarkEnd w:id="765"/>
      <w:r>
        <w:rPr>
          <w:rFonts w:ascii="Times New Roman" w:eastAsia="Times New Roman" w:hAnsi="Times New Roman" w:cs="Times New Roman"/>
          <w:color w:val="000000"/>
          <w:spacing w:val="0"/>
          <w:w w:val="100"/>
          <w:position w:val="0"/>
        </w:rPr>
        <w:t>2</w:t>
      </w:r>
      <w:r>
        <w:rPr>
          <w:color w:val="000000"/>
          <w:spacing w:val="0"/>
          <w:w w:val="100"/>
          <w:position w:val="0"/>
        </w:rPr>
        <w:t>）</w:t>
        <w:tab/>
        <w:t xml:space="preserve">合营安排的合同条款约定，合营方对该安排中的相关资产和负债分别享有权利和 </w:t>
      </w:r>
      <w:r>
        <w:rPr>
          <w:color w:val="000000"/>
          <w:spacing w:val="0"/>
          <w:w w:val="100"/>
          <w:position w:val="0"/>
        </w:rPr>
        <w:t>承担义务。</w:t>
      </w:r>
    </w:p>
    <w:p>
      <w:pPr>
        <w:pStyle w:val="Style16"/>
        <w:keepNext w:val="0"/>
        <w:keepLines w:val="0"/>
        <w:widowControl w:val="0"/>
        <w:shd w:val="clear" w:color="auto" w:fill="auto"/>
        <w:bidi w:val="0"/>
        <w:spacing w:before="0" w:after="0" w:line="415" w:lineRule="exact"/>
        <w:ind w:left="0" w:right="0" w:firstLine="440"/>
        <w:jc w:val="both"/>
      </w:pPr>
      <w:bookmarkStart w:id="766" w:name="bookmark766"/>
      <w:r>
        <w:rPr>
          <w:color w:val="000000"/>
          <w:spacing w:val="0"/>
          <w:w w:val="100"/>
          <w:position w:val="0"/>
        </w:rPr>
        <w:t>（</w:t>
      </w:r>
      <w:bookmarkEnd w:id="766"/>
      <w:r>
        <w:rPr>
          <w:rFonts w:ascii="Times New Roman" w:eastAsia="Times New Roman" w:hAnsi="Times New Roman" w:cs="Times New Roman"/>
          <w:color w:val="000000"/>
          <w:spacing w:val="0"/>
          <w:w w:val="100"/>
          <w:position w:val="0"/>
        </w:rPr>
        <w:t>3</w:t>
      </w:r>
      <w:r>
        <w:rPr>
          <w:color w:val="000000"/>
          <w:spacing w:val="0"/>
          <w:w w:val="100"/>
          <w:position w:val="0"/>
        </w:rPr>
        <w:t>）其他相关事实和情况表明，合营方对该安排中的相关资产和负债分别享有权利和 承担义务，如合营方享有与合营安排相关的几乎所有产出，并且该安排中负债的清偿持续依 赖于合营方的支持。</w:t>
      </w:r>
    </w:p>
    <w:p>
      <w:pPr>
        <w:pStyle w:val="Style37"/>
        <w:keepNext/>
        <w:keepLines/>
        <w:widowControl w:val="0"/>
        <w:numPr>
          <w:ilvl w:val="0"/>
          <w:numId w:val="25"/>
        </w:numPr>
        <w:shd w:val="clear" w:color="auto" w:fill="auto"/>
        <w:bidi w:val="0"/>
        <w:spacing w:before="0" w:after="0" w:line="410" w:lineRule="exact"/>
        <w:ind w:left="0" w:right="0" w:firstLine="440"/>
        <w:jc w:val="both"/>
      </w:pPr>
      <w:bookmarkStart w:id="767" w:name="bookmark767"/>
      <w:bookmarkStart w:id="768" w:name="bookmark768"/>
      <w:bookmarkStart w:id="769" w:name="bookmark769"/>
      <w:bookmarkStart w:id="770" w:name="bookmark770"/>
      <w:bookmarkEnd w:id="769"/>
      <w:r>
        <w:rPr>
          <w:color w:val="000000"/>
          <w:spacing w:val="0"/>
          <w:w w:val="100"/>
          <w:position w:val="0"/>
        </w:rPr>
        <w:t>共同经营会计处理方法</w:t>
      </w:r>
      <w:bookmarkEnd w:id="767"/>
      <w:bookmarkEnd w:id="768"/>
      <w:bookmarkEnd w:id="770"/>
    </w:p>
    <w:p>
      <w:pPr>
        <w:pStyle w:val="Style16"/>
        <w:keepNext w:val="0"/>
        <w:keepLines w:val="0"/>
        <w:widowControl w:val="0"/>
        <w:shd w:val="clear" w:color="auto" w:fill="auto"/>
        <w:bidi w:val="0"/>
        <w:spacing w:before="0" w:after="0" w:line="413" w:lineRule="exact"/>
        <w:ind w:left="0" w:right="0" w:firstLine="440"/>
        <w:jc w:val="both"/>
      </w:pPr>
      <w:r>
        <w:rPr>
          <w:color w:val="000000"/>
          <w:spacing w:val="0"/>
          <w:w w:val="100"/>
          <w:position w:val="0"/>
        </w:rPr>
        <w:t>本公司确认共同经营中利益份额中与本公司相关的下列项目，并按照相关企业会计准则 的规定进行会计处理：</w:t>
      </w:r>
    </w:p>
    <w:p>
      <w:pPr>
        <w:pStyle w:val="Style16"/>
        <w:keepNext w:val="0"/>
        <w:keepLines w:val="0"/>
        <w:widowControl w:val="0"/>
        <w:shd w:val="clear" w:color="auto" w:fill="auto"/>
        <w:tabs>
          <w:tab w:pos="908" w:val="left"/>
        </w:tabs>
        <w:bidi w:val="0"/>
        <w:spacing w:before="0" w:after="0" w:line="410" w:lineRule="exact"/>
        <w:ind w:left="0" w:right="0" w:firstLine="420"/>
        <w:jc w:val="left"/>
      </w:pPr>
      <w:bookmarkStart w:id="771" w:name="bookmark771"/>
      <w:r>
        <w:rPr>
          <w:color w:val="000000"/>
          <w:spacing w:val="0"/>
          <w:w w:val="100"/>
          <w:position w:val="0"/>
        </w:rPr>
        <w:t>（</w:t>
      </w:r>
      <w:bookmarkEnd w:id="771"/>
      <w:r>
        <w:rPr>
          <w:rFonts w:ascii="Times New Roman" w:eastAsia="Times New Roman" w:hAnsi="Times New Roman" w:cs="Times New Roman"/>
          <w:color w:val="000000"/>
          <w:spacing w:val="0"/>
          <w:w w:val="100"/>
          <w:position w:val="0"/>
        </w:rPr>
        <w:t>1</w:t>
      </w:r>
      <w:r>
        <w:rPr>
          <w:color w:val="000000"/>
          <w:spacing w:val="0"/>
          <w:w w:val="100"/>
          <w:position w:val="0"/>
        </w:rPr>
        <w:t>）</w:t>
        <w:tab/>
        <w:t>确认单独所持有的资产，以及按其份额确认共同持有的资产；</w:t>
      </w:r>
    </w:p>
    <w:p>
      <w:pPr>
        <w:pStyle w:val="Style16"/>
        <w:keepNext w:val="0"/>
        <w:keepLines w:val="0"/>
        <w:widowControl w:val="0"/>
        <w:shd w:val="clear" w:color="auto" w:fill="auto"/>
        <w:tabs>
          <w:tab w:pos="908" w:val="left"/>
        </w:tabs>
        <w:bidi w:val="0"/>
        <w:spacing w:before="0" w:after="0" w:line="410" w:lineRule="exact"/>
        <w:ind w:left="0" w:right="0" w:firstLine="420"/>
        <w:jc w:val="left"/>
      </w:pPr>
      <w:bookmarkStart w:id="772" w:name="bookmark772"/>
      <w:r>
        <w:rPr>
          <w:color w:val="000000"/>
          <w:spacing w:val="0"/>
          <w:w w:val="100"/>
          <w:position w:val="0"/>
        </w:rPr>
        <w:t>（</w:t>
      </w:r>
      <w:bookmarkEnd w:id="772"/>
      <w:r>
        <w:rPr>
          <w:rFonts w:ascii="Times New Roman" w:eastAsia="Times New Roman" w:hAnsi="Times New Roman" w:cs="Times New Roman"/>
          <w:color w:val="000000"/>
          <w:spacing w:val="0"/>
          <w:w w:val="100"/>
          <w:position w:val="0"/>
        </w:rPr>
        <w:t>2</w:t>
      </w:r>
      <w:r>
        <w:rPr>
          <w:color w:val="000000"/>
          <w:spacing w:val="0"/>
          <w:w w:val="100"/>
          <w:position w:val="0"/>
        </w:rPr>
        <w:t>）</w:t>
        <w:tab/>
        <w:t>确认单独所承担的负债，以及按其份额确认共同承担的负债；</w:t>
      </w:r>
    </w:p>
    <w:p>
      <w:pPr>
        <w:pStyle w:val="Style16"/>
        <w:keepNext w:val="0"/>
        <w:keepLines w:val="0"/>
        <w:widowControl w:val="0"/>
        <w:shd w:val="clear" w:color="auto" w:fill="auto"/>
        <w:tabs>
          <w:tab w:pos="908" w:val="left"/>
        </w:tabs>
        <w:bidi w:val="0"/>
        <w:spacing w:before="0" w:after="0" w:line="410" w:lineRule="exact"/>
        <w:ind w:left="0" w:right="0" w:firstLine="420"/>
        <w:jc w:val="left"/>
      </w:pPr>
      <w:bookmarkStart w:id="773" w:name="bookmark773"/>
      <w:r>
        <w:rPr>
          <w:color w:val="000000"/>
          <w:spacing w:val="0"/>
          <w:w w:val="100"/>
          <w:position w:val="0"/>
        </w:rPr>
        <w:t>（</w:t>
      </w:r>
      <w:bookmarkEnd w:id="773"/>
      <w:r>
        <w:rPr>
          <w:rFonts w:ascii="Times New Roman" w:eastAsia="Times New Roman" w:hAnsi="Times New Roman" w:cs="Times New Roman"/>
          <w:color w:val="000000"/>
          <w:spacing w:val="0"/>
          <w:w w:val="100"/>
          <w:position w:val="0"/>
        </w:rPr>
        <w:t>3</w:t>
      </w:r>
      <w:r>
        <w:rPr>
          <w:color w:val="000000"/>
          <w:spacing w:val="0"/>
          <w:w w:val="100"/>
          <w:position w:val="0"/>
        </w:rPr>
        <w:t>）</w:t>
        <w:tab/>
        <w:t>确认出售其享有的共同经营产出份额所产生的收入；</w:t>
      </w:r>
    </w:p>
    <w:p>
      <w:pPr>
        <w:pStyle w:val="Style16"/>
        <w:keepNext w:val="0"/>
        <w:keepLines w:val="0"/>
        <w:widowControl w:val="0"/>
        <w:shd w:val="clear" w:color="auto" w:fill="auto"/>
        <w:tabs>
          <w:tab w:pos="908" w:val="left"/>
        </w:tabs>
        <w:bidi w:val="0"/>
        <w:spacing w:before="0" w:after="0" w:line="410" w:lineRule="exact"/>
        <w:ind w:left="0" w:right="0" w:firstLine="420"/>
        <w:jc w:val="left"/>
      </w:pPr>
      <w:bookmarkStart w:id="774" w:name="bookmark774"/>
      <w:r>
        <w:rPr>
          <w:color w:val="000000"/>
          <w:spacing w:val="0"/>
          <w:w w:val="100"/>
          <w:position w:val="0"/>
        </w:rPr>
        <w:t>（</w:t>
      </w:r>
      <w:bookmarkEnd w:id="774"/>
      <w:r>
        <w:rPr>
          <w:rFonts w:ascii="Times New Roman" w:eastAsia="Times New Roman" w:hAnsi="Times New Roman" w:cs="Times New Roman"/>
          <w:color w:val="000000"/>
          <w:spacing w:val="0"/>
          <w:w w:val="100"/>
          <w:position w:val="0"/>
        </w:rPr>
        <w:t>4</w:t>
      </w:r>
      <w:r>
        <w:rPr>
          <w:color w:val="000000"/>
          <w:spacing w:val="0"/>
          <w:w w:val="100"/>
          <w:position w:val="0"/>
        </w:rPr>
        <w:t>）</w:t>
        <w:tab/>
        <w:t>按其份额确认共同经营因出售产出所产生的收入；</w:t>
      </w:r>
    </w:p>
    <w:p>
      <w:pPr>
        <w:pStyle w:val="Style16"/>
        <w:keepNext w:val="0"/>
        <w:keepLines w:val="0"/>
        <w:widowControl w:val="0"/>
        <w:shd w:val="clear" w:color="auto" w:fill="auto"/>
        <w:bidi w:val="0"/>
        <w:spacing w:before="0" w:after="0" w:line="410" w:lineRule="exact"/>
        <w:ind w:left="0" w:right="0" w:firstLine="420"/>
        <w:jc w:val="left"/>
      </w:pPr>
      <w:bookmarkStart w:id="775" w:name="bookmark775"/>
      <w:r>
        <w:rPr>
          <w:color w:val="000000"/>
          <w:spacing w:val="0"/>
          <w:w w:val="100"/>
          <w:position w:val="0"/>
        </w:rPr>
        <w:t>（</w:t>
      </w:r>
      <w:bookmarkEnd w:id="775"/>
      <w:r>
        <w:rPr>
          <w:rFonts w:ascii="Times New Roman" w:eastAsia="Times New Roman" w:hAnsi="Times New Roman" w:cs="Times New Roman"/>
          <w:color w:val="000000"/>
          <w:spacing w:val="0"/>
          <w:w w:val="100"/>
          <w:position w:val="0"/>
        </w:rPr>
        <w:t>5</w:t>
      </w:r>
      <w:r>
        <w:rPr>
          <w:color w:val="000000"/>
          <w:spacing w:val="0"/>
          <w:w w:val="100"/>
          <w:position w:val="0"/>
        </w:rPr>
        <w:t>） 确认单独所发生的费用，以及按其份额确认共同经营发生的费用。</w:t>
      </w:r>
    </w:p>
    <w:p>
      <w:pPr>
        <w:pStyle w:val="Style29"/>
        <w:keepNext/>
        <w:keepLines/>
        <w:widowControl w:val="0"/>
        <w:shd w:val="clear" w:color="auto" w:fill="auto"/>
        <w:tabs>
          <w:tab w:pos="1018" w:val="left"/>
        </w:tabs>
        <w:bidi w:val="0"/>
        <w:spacing w:before="0" w:after="0" w:line="410" w:lineRule="exact"/>
        <w:ind w:left="0" w:right="0" w:firstLine="420"/>
        <w:jc w:val="left"/>
        <w:rPr>
          <w:sz w:val="20"/>
          <w:szCs w:val="20"/>
        </w:rPr>
      </w:pPr>
      <w:bookmarkStart w:id="776" w:name="bookmark776"/>
      <w:bookmarkStart w:id="777" w:name="bookmark777"/>
      <w:bookmarkStart w:id="778" w:name="bookmark778"/>
      <w:bookmarkStart w:id="779" w:name="bookmark779"/>
      <w:r>
        <w:rPr>
          <w:color w:val="000000"/>
          <w:spacing w:val="0"/>
          <w:w w:val="100"/>
          <w:position w:val="0"/>
          <w:sz w:val="20"/>
          <w:szCs w:val="20"/>
        </w:rPr>
        <w:t>（</w:t>
      </w:r>
      <w:bookmarkEnd w:id="778"/>
      <w:r>
        <w:rPr>
          <w:color w:val="000000"/>
          <w:spacing w:val="0"/>
          <w:w w:val="100"/>
          <w:position w:val="0"/>
          <w:sz w:val="20"/>
          <w:szCs w:val="20"/>
        </w:rPr>
        <w:t>八）</w:t>
        <w:tab/>
        <w:t>现金及现金等价物的确定标准</w:t>
      </w:r>
      <w:bookmarkEnd w:id="776"/>
      <w:bookmarkEnd w:id="777"/>
      <w:bookmarkEnd w:id="779"/>
    </w:p>
    <w:p>
      <w:pPr>
        <w:pStyle w:val="Style16"/>
        <w:keepNext w:val="0"/>
        <w:keepLines w:val="0"/>
        <w:widowControl w:val="0"/>
        <w:shd w:val="clear" w:color="auto" w:fill="auto"/>
        <w:bidi w:val="0"/>
        <w:spacing w:before="0" w:after="0" w:line="413" w:lineRule="exact"/>
        <w:ind w:left="0" w:right="0" w:firstLine="440"/>
        <w:jc w:val="both"/>
      </w:pPr>
      <w:r>
        <w:rPr>
          <w:color w:val="000000"/>
          <w:spacing w:val="0"/>
          <w:w w:val="100"/>
          <w:position w:val="0"/>
        </w:rPr>
        <w:t>在编制现金流量表时，将本公司库存现金以及可以随时用于支付的存款确认为现金。将 同时具备期限短、流动性强、易于转换为已知金额的现金、价值变动风险很小四个条件的投 资，确定为现金等价物。</w:t>
      </w:r>
    </w:p>
    <w:p>
      <w:pPr>
        <w:pStyle w:val="Style37"/>
        <w:keepNext/>
        <w:keepLines/>
        <w:widowControl w:val="0"/>
        <w:shd w:val="clear" w:color="auto" w:fill="auto"/>
        <w:tabs>
          <w:tab w:pos="1038" w:val="left"/>
        </w:tabs>
        <w:bidi w:val="0"/>
        <w:spacing w:before="0" w:after="0" w:line="410" w:lineRule="exact"/>
        <w:ind w:left="0" w:right="0" w:firstLine="440"/>
        <w:jc w:val="both"/>
      </w:pPr>
      <w:bookmarkStart w:id="780" w:name="bookmark780"/>
      <w:bookmarkStart w:id="781" w:name="bookmark781"/>
      <w:bookmarkStart w:id="782" w:name="bookmark782"/>
      <w:bookmarkStart w:id="783" w:name="bookmark783"/>
      <w:r>
        <w:rPr>
          <w:color w:val="000000"/>
          <w:spacing w:val="0"/>
          <w:w w:val="100"/>
          <w:position w:val="0"/>
        </w:rPr>
        <w:t>（</w:t>
      </w:r>
      <w:bookmarkEnd w:id="782"/>
      <w:r>
        <w:rPr>
          <w:color w:val="000000"/>
          <w:spacing w:val="0"/>
          <w:w w:val="100"/>
          <w:position w:val="0"/>
        </w:rPr>
        <w:t>九）</w:t>
        <w:tab/>
        <w:t>外币业务和外币报表折算</w:t>
      </w:r>
      <w:bookmarkEnd w:id="780"/>
      <w:bookmarkEnd w:id="781"/>
      <w:bookmarkEnd w:id="783"/>
    </w:p>
    <w:p>
      <w:pPr>
        <w:pStyle w:val="Style51"/>
        <w:keepNext/>
        <w:keepLines/>
        <w:widowControl w:val="0"/>
        <w:numPr>
          <w:ilvl w:val="0"/>
          <w:numId w:val="27"/>
        </w:numPr>
        <w:shd w:val="clear" w:color="auto" w:fill="auto"/>
        <w:tabs>
          <w:tab w:pos="844" w:val="left"/>
        </w:tabs>
        <w:bidi w:val="0"/>
        <w:spacing w:before="0" w:after="0" w:line="410" w:lineRule="exact"/>
        <w:ind w:left="0" w:right="0" w:firstLine="440"/>
        <w:jc w:val="both"/>
      </w:pPr>
      <w:bookmarkStart w:id="784" w:name="bookmark784"/>
      <w:bookmarkStart w:id="785" w:name="bookmark785"/>
      <w:bookmarkStart w:id="786" w:name="bookmark786"/>
      <w:bookmarkStart w:id="787" w:name="bookmark787"/>
      <w:bookmarkEnd w:id="786"/>
      <w:r>
        <w:rPr>
          <w:color w:val="000000"/>
          <w:spacing w:val="0"/>
          <w:w w:val="100"/>
          <w:position w:val="0"/>
        </w:rPr>
        <w:t>外币业务</w:t>
      </w:r>
      <w:bookmarkEnd w:id="784"/>
      <w:bookmarkEnd w:id="785"/>
      <w:bookmarkEnd w:id="787"/>
    </w:p>
    <w:p>
      <w:pPr>
        <w:pStyle w:val="Style16"/>
        <w:keepNext w:val="0"/>
        <w:keepLines w:val="0"/>
        <w:widowControl w:val="0"/>
        <w:shd w:val="clear" w:color="auto" w:fill="auto"/>
        <w:bidi w:val="0"/>
        <w:spacing w:before="0" w:after="0" w:line="403" w:lineRule="exact"/>
        <w:ind w:left="0" w:right="0" w:firstLine="440"/>
        <w:jc w:val="both"/>
      </w:pPr>
      <w:r>
        <w:rPr>
          <w:color w:val="000000"/>
          <w:spacing w:val="0"/>
          <w:w w:val="100"/>
          <w:position w:val="0"/>
        </w:rPr>
        <w:t>外币业务交易在初始确认时，采用交易发生日的即期汇率作为折算汇率折合成人民币记 账。</w:t>
      </w:r>
    </w:p>
    <w:p>
      <w:pPr>
        <w:pStyle w:val="Style16"/>
        <w:keepNext w:val="0"/>
        <w:keepLines w:val="0"/>
        <w:widowControl w:val="0"/>
        <w:shd w:val="clear" w:color="auto" w:fill="auto"/>
        <w:bidi w:val="0"/>
        <w:spacing w:before="0" w:after="0" w:line="410" w:lineRule="exact"/>
        <w:ind w:left="0" w:right="0" w:firstLine="440"/>
        <w:jc w:val="both"/>
      </w:pPr>
      <w:r>
        <w:rPr>
          <w:color w:val="000000"/>
          <w:spacing w:val="0"/>
          <w:w w:val="100"/>
          <w:position w:val="0"/>
        </w:rPr>
        <w:t>资产负债表日外币货币性项目余额按资产负债表日即期汇率折算，由此产生的汇兑差额, 除属于与购建符合资本化条件的资产相关的外币专门借款产生的汇兑差额按照借款费用资 本化的原则处理外，均计入当期损益。</w:t>
      </w:r>
    </w:p>
    <w:p>
      <w:pPr>
        <w:pStyle w:val="Style51"/>
        <w:keepNext/>
        <w:keepLines/>
        <w:widowControl w:val="0"/>
        <w:numPr>
          <w:ilvl w:val="0"/>
          <w:numId w:val="27"/>
        </w:numPr>
        <w:shd w:val="clear" w:color="auto" w:fill="auto"/>
        <w:tabs>
          <w:tab w:pos="844" w:val="left"/>
        </w:tabs>
        <w:bidi w:val="0"/>
        <w:spacing w:before="0" w:after="0" w:line="410" w:lineRule="exact"/>
        <w:ind w:left="0" w:right="0" w:firstLine="440"/>
        <w:jc w:val="both"/>
      </w:pPr>
      <w:bookmarkStart w:id="788" w:name="bookmark788"/>
      <w:bookmarkStart w:id="789" w:name="bookmark789"/>
      <w:bookmarkStart w:id="790" w:name="bookmark790"/>
      <w:bookmarkStart w:id="791" w:name="bookmark791"/>
      <w:bookmarkEnd w:id="790"/>
      <w:r>
        <w:rPr>
          <w:color w:val="000000"/>
          <w:spacing w:val="0"/>
          <w:w w:val="100"/>
          <w:position w:val="0"/>
        </w:rPr>
        <w:t>外币财务报表的折算</w:t>
      </w:r>
      <w:bookmarkEnd w:id="788"/>
      <w:bookmarkEnd w:id="789"/>
      <w:bookmarkEnd w:id="791"/>
    </w:p>
    <w:p>
      <w:pPr>
        <w:pStyle w:val="Style16"/>
        <w:keepNext w:val="0"/>
        <w:keepLines w:val="0"/>
        <w:widowControl w:val="0"/>
        <w:shd w:val="clear" w:color="auto" w:fill="auto"/>
        <w:bidi w:val="0"/>
        <w:spacing w:before="0" w:after="0" w:line="410" w:lineRule="exact"/>
        <w:ind w:left="0" w:right="0" w:firstLine="440"/>
        <w:jc w:val="both"/>
      </w:pPr>
      <w:r>
        <w:rPr>
          <w:color w:val="000000"/>
          <w:spacing w:val="0"/>
          <w:w w:val="100"/>
          <w:position w:val="0"/>
        </w:rPr>
        <w:t>资产负债表中的资产和负债项目，采用资产负债表日的即期汇率折算；所有者权益项目 除</w:t>
      </w:r>
      <w:r>
        <w:rPr>
          <w:rFonts w:ascii="Times New Roman" w:eastAsia="Times New Roman" w:hAnsi="Times New Roman" w:cs="Times New Roman"/>
          <w:color w:val="000000"/>
          <w:spacing w:val="0"/>
          <w:w w:val="100"/>
          <w:position w:val="0"/>
        </w:rPr>
        <w:t>“</w:t>
      </w:r>
      <w:r>
        <w:rPr>
          <w:color w:val="000000"/>
          <w:spacing w:val="0"/>
          <w:w w:val="100"/>
          <w:position w:val="0"/>
        </w:rPr>
        <w:t>未分配利润</w:t>
      </w:r>
      <w:r>
        <w:rPr>
          <w:color w:val="000000"/>
          <w:spacing w:val="0"/>
          <w:w w:val="100"/>
          <w:position w:val="0"/>
        </w:rPr>
        <w:t>''</w:t>
      </w:r>
      <w:r>
        <w:rPr>
          <w:color w:val="000000"/>
          <w:spacing w:val="0"/>
          <w:w w:val="100"/>
          <w:position w:val="0"/>
        </w:rPr>
        <w:t>项目外，其他项目采用发生时的即期汇率折算。利润表中的收入和费用项目， 采用交易发生日的即期汇率折算。按照上述折算产生的外币财务报表折算差额计入其他综合 收益。</w:t>
      </w:r>
    </w:p>
    <w:p>
      <w:pPr>
        <w:pStyle w:val="Style16"/>
        <w:keepNext w:val="0"/>
        <w:keepLines w:val="0"/>
        <w:widowControl w:val="0"/>
        <w:shd w:val="clear" w:color="auto" w:fill="auto"/>
        <w:bidi w:val="0"/>
        <w:spacing w:before="0" w:after="0" w:line="406" w:lineRule="exact"/>
        <w:ind w:left="0" w:right="0" w:firstLine="440"/>
        <w:jc w:val="both"/>
      </w:pPr>
      <w:r>
        <w:rPr>
          <w:color w:val="000000"/>
          <w:spacing w:val="0"/>
          <w:w w:val="100"/>
          <w:position w:val="0"/>
        </w:rPr>
        <w:t xml:space="preserve">处置境外经营时，将资产负债表中其他综合收益项目中列示的、与该境外经营相关的外 币财务报表折算差额，自其他综合收益项目转入处置当期损益；在处置部分股权投资或其他 原因导致持有境外经营权益比例降低但不丧失对境外经营控制权时，与该境外经营处置部分 相关的外币报表折算差额将归属于少数股东权益，不转入当期损益。在处置境外经营为联营 企业或合营企业的部分股权时，与该境外经营相关的外币报表折算差额，按处置该境外经营 </w:t>
      </w:r>
      <w:r>
        <w:rPr>
          <w:color w:val="000000"/>
          <w:spacing w:val="0"/>
          <w:w w:val="100"/>
          <w:position w:val="0"/>
        </w:rPr>
        <w:t>的比例转入处置当期损益。</w:t>
      </w:r>
    </w:p>
    <w:p>
      <w:pPr>
        <w:pStyle w:val="Style37"/>
        <w:keepNext/>
        <w:keepLines/>
        <w:widowControl w:val="0"/>
        <w:shd w:val="clear" w:color="auto" w:fill="auto"/>
        <w:bidi w:val="0"/>
        <w:spacing w:before="0" w:after="220" w:line="409" w:lineRule="exact"/>
        <w:ind w:left="0" w:right="0" w:firstLine="440"/>
        <w:jc w:val="left"/>
      </w:pPr>
      <w:bookmarkStart w:id="792" w:name="bookmark792"/>
      <w:bookmarkStart w:id="793" w:name="bookmark793"/>
      <w:bookmarkStart w:id="794" w:name="bookmark794"/>
      <w:r>
        <w:rPr>
          <w:color w:val="000000"/>
          <w:spacing w:val="0"/>
          <w:w w:val="100"/>
          <w:position w:val="0"/>
        </w:rPr>
        <w:t>（十）金融工具</w:t>
      </w:r>
      <w:bookmarkEnd w:id="792"/>
      <w:bookmarkEnd w:id="793"/>
      <w:bookmarkEnd w:id="794"/>
    </w:p>
    <w:p>
      <w:pPr>
        <w:pStyle w:val="Style51"/>
        <w:keepNext/>
        <w:keepLines/>
        <w:widowControl w:val="0"/>
        <w:numPr>
          <w:ilvl w:val="0"/>
          <w:numId w:val="29"/>
        </w:numPr>
        <w:shd w:val="clear" w:color="auto" w:fill="auto"/>
        <w:tabs>
          <w:tab w:pos="819" w:val="left"/>
        </w:tabs>
        <w:bidi w:val="0"/>
        <w:spacing w:before="0" w:after="0" w:line="427" w:lineRule="auto"/>
        <w:ind w:left="0" w:right="0" w:firstLine="440"/>
        <w:jc w:val="left"/>
      </w:pPr>
      <w:bookmarkStart w:id="795" w:name="bookmark795"/>
      <w:bookmarkStart w:id="796" w:name="bookmark796"/>
      <w:bookmarkStart w:id="797" w:name="bookmark797"/>
      <w:bookmarkStart w:id="798" w:name="bookmark798"/>
      <w:bookmarkEnd w:id="797"/>
      <w:r>
        <w:rPr>
          <w:color w:val="000000"/>
          <w:spacing w:val="0"/>
          <w:w w:val="100"/>
          <w:position w:val="0"/>
        </w:rPr>
        <w:t>金融工具的分类</w:t>
      </w:r>
      <w:bookmarkEnd w:id="795"/>
      <w:bookmarkEnd w:id="796"/>
      <w:bookmarkEnd w:id="798"/>
    </w:p>
    <w:p>
      <w:pPr>
        <w:pStyle w:val="Style16"/>
        <w:keepNext w:val="0"/>
        <w:keepLines w:val="0"/>
        <w:widowControl w:val="0"/>
        <w:shd w:val="clear" w:color="auto" w:fill="auto"/>
        <w:bidi w:val="0"/>
        <w:spacing w:before="0" w:after="0" w:line="413" w:lineRule="exact"/>
        <w:ind w:left="0" w:right="0" w:firstLine="440"/>
        <w:jc w:val="both"/>
      </w:pPr>
      <w:r>
        <w:rPr>
          <w:color w:val="000000"/>
          <w:spacing w:val="0"/>
          <w:w w:val="100"/>
          <w:position w:val="0"/>
        </w:rPr>
        <w:t>公司根据管理金融资产的业务模式和金融资产的合同现金流量特征，将金融资产于初始 确认时分类为：</w:t>
      </w:r>
    </w:p>
    <w:p>
      <w:pPr>
        <w:pStyle w:val="Style16"/>
        <w:keepNext w:val="0"/>
        <w:keepLines w:val="0"/>
        <w:widowControl w:val="0"/>
        <w:shd w:val="clear" w:color="auto" w:fill="auto"/>
        <w:bidi w:val="0"/>
        <w:spacing w:before="0" w:after="440" w:line="408" w:lineRule="exact"/>
        <w:ind w:left="0" w:right="0" w:firstLine="440"/>
        <w:jc w:val="both"/>
      </w:pPr>
      <w:r>
        <w:rPr>
          <w:color w:val="000000"/>
          <w:spacing w:val="0"/>
          <w:w w:val="100"/>
          <w:position w:val="0"/>
        </w:rPr>
        <w:t>以摊余成本计量的金融资产、以公允价值计量且其变动计入其他综合收益的金融资产和 以公允价值计量且其变动计入当期损益的金融资产。金融负债于初始确认时分类为：以公允 价值计量且其变动计入当期损益的金融负债和以摊余成本计量的金融负债。</w:t>
      </w:r>
    </w:p>
    <w:p>
      <w:pPr>
        <w:pStyle w:val="Style51"/>
        <w:keepNext/>
        <w:keepLines/>
        <w:widowControl w:val="0"/>
        <w:numPr>
          <w:ilvl w:val="0"/>
          <w:numId w:val="29"/>
        </w:numPr>
        <w:shd w:val="clear" w:color="auto" w:fill="auto"/>
        <w:tabs>
          <w:tab w:pos="819" w:val="left"/>
        </w:tabs>
        <w:bidi w:val="0"/>
        <w:spacing w:before="0" w:after="0" w:line="409" w:lineRule="exact"/>
        <w:ind w:left="0" w:right="0" w:firstLine="440"/>
        <w:jc w:val="both"/>
      </w:pPr>
      <w:bookmarkStart w:id="799" w:name="bookmark799"/>
      <w:bookmarkStart w:id="800" w:name="bookmark800"/>
      <w:bookmarkStart w:id="801" w:name="bookmark801"/>
      <w:bookmarkStart w:id="802" w:name="bookmark802"/>
      <w:bookmarkEnd w:id="801"/>
      <w:r>
        <w:rPr>
          <w:color w:val="000000"/>
          <w:spacing w:val="0"/>
          <w:w w:val="100"/>
          <w:position w:val="0"/>
        </w:rPr>
        <w:t>金融工具的确认依据和计量方法</w:t>
      </w:r>
      <w:bookmarkEnd w:id="799"/>
      <w:bookmarkEnd w:id="800"/>
      <w:bookmarkEnd w:id="802"/>
    </w:p>
    <w:p>
      <w:pPr>
        <w:pStyle w:val="Style16"/>
        <w:keepNext w:val="0"/>
        <w:keepLines w:val="0"/>
        <w:widowControl w:val="0"/>
        <w:shd w:val="clear" w:color="auto" w:fill="auto"/>
        <w:tabs>
          <w:tab w:pos="928" w:val="left"/>
        </w:tabs>
        <w:bidi w:val="0"/>
        <w:spacing w:before="0" w:after="0" w:line="409" w:lineRule="exact"/>
        <w:ind w:left="0" w:right="0" w:firstLine="440"/>
        <w:jc w:val="both"/>
      </w:pPr>
      <w:bookmarkStart w:id="803" w:name="bookmark803"/>
      <w:r>
        <w:rPr>
          <w:color w:val="000000"/>
          <w:spacing w:val="0"/>
          <w:w w:val="100"/>
          <w:position w:val="0"/>
        </w:rPr>
        <w:t>（</w:t>
      </w:r>
      <w:bookmarkEnd w:id="803"/>
      <w:r>
        <w:rPr>
          <w:rFonts w:ascii="Times New Roman" w:eastAsia="Times New Roman" w:hAnsi="Times New Roman" w:cs="Times New Roman"/>
          <w:color w:val="000000"/>
          <w:spacing w:val="0"/>
          <w:w w:val="100"/>
          <w:position w:val="0"/>
        </w:rPr>
        <w:t>1</w:t>
      </w:r>
      <w:r>
        <w:rPr>
          <w:color w:val="000000"/>
          <w:spacing w:val="0"/>
          <w:w w:val="100"/>
          <w:position w:val="0"/>
        </w:rPr>
        <w:t>）</w:t>
        <w:tab/>
        <w:t>以摊余成本计量的金融资产</w:t>
      </w:r>
    </w:p>
    <w:p>
      <w:pPr>
        <w:pStyle w:val="Style16"/>
        <w:keepNext w:val="0"/>
        <w:keepLines w:val="0"/>
        <w:widowControl w:val="0"/>
        <w:shd w:val="clear" w:color="auto" w:fill="auto"/>
        <w:bidi w:val="0"/>
        <w:spacing w:before="0" w:after="0" w:line="408" w:lineRule="exact"/>
        <w:ind w:left="0" w:right="0" w:firstLine="440"/>
        <w:jc w:val="both"/>
      </w:pPr>
      <w:r>
        <w:rPr>
          <w:color w:val="000000"/>
          <w:spacing w:val="0"/>
          <w:w w:val="100"/>
          <w:position w:val="0"/>
        </w:rPr>
        <w:t>以摊余成本计量的金融资产包括应收账款、其他应收款、长期应收款、债权投资等，按 公允价值进行初始计量，相关交易费用计入初始确认金额；不包含重大融资成分的应收账款 以及本公司决定不考虑不超过一年的融资成分的应收账款，以合同交易价格进行初始计量。</w:t>
      </w:r>
    </w:p>
    <w:p>
      <w:pPr>
        <w:pStyle w:val="Style16"/>
        <w:keepNext w:val="0"/>
        <w:keepLines w:val="0"/>
        <w:widowControl w:val="0"/>
        <w:shd w:val="clear" w:color="auto" w:fill="auto"/>
        <w:bidi w:val="0"/>
        <w:spacing w:before="0" w:after="0" w:line="409" w:lineRule="exact"/>
        <w:ind w:left="0" w:right="0" w:firstLine="440"/>
        <w:jc w:val="left"/>
      </w:pPr>
      <w:r>
        <w:rPr>
          <w:color w:val="000000"/>
          <w:spacing w:val="0"/>
          <w:w w:val="100"/>
          <w:position w:val="0"/>
        </w:rPr>
        <w:t>持有期间采用实际利率法计算的利息计入当期损益。</w:t>
      </w:r>
    </w:p>
    <w:p>
      <w:pPr>
        <w:pStyle w:val="Style16"/>
        <w:keepNext w:val="0"/>
        <w:keepLines w:val="0"/>
        <w:widowControl w:val="0"/>
        <w:shd w:val="clear" w:color="auto" w:fill="auto"/>
        <w:bidi w:val="0"/>
        <w:spacing w:before="0" w:after="0" w:line="409" w:lineRule="exact"/>
        <w:ind w:left="0" w:right="0" w:firstLine="440"/>
        <w:jc w:val="left"/>
      </w:pPr>
      <w:r>
        <w:rPr>
          <w:color w:val="000000"/>
          <w:spacing w:val="0"/>
          <w:w w:val="100"/>
          <w:position w:val="0"/>
        </w:rPr>
        <w:t>收回或处置时，将取得的价款与该金融资产账面价值之间的差额计入当期损益。</w:t>
      </w:r>
    </w:p>
    <w:p>
      <w:pPr>
        <w:pStyle w:val="Style16"/>
        <w:keepNext w:val="0"/>
        <w:keepLines w:val="0"/>
        <w:widowControl w:val="0"/>
        <w:shd w:val="clear" w:color="auto" w:fill="auto"/>
        <w:tabs>
          <w:tab w:pos="928" w:val="left"/>
        </w:tabs>
        <w:bidi w:val="0"/>
        <w:spacing w:before="0" w:after="0" w:line="409" w:lineRule="exact"/>
        <w:ind w:left="0" w:right="0" w:firstLine="440"/>
        <w:jc w:val="left"/>
      </w:pPr>
      <w:bookmarkStart w:id="804" w:name="bookmark804"/>
      <w:r>
        <w:rPr>
          <w:color w:val="000000"/>
          <w:spacing w:val="0"/>
          <w:w w:val="100"/>
          <w:position w:val="0"/>
        </w:rPr>
        <w:t>（</w:t>
      </w:r>
      <w:bookmarkEnd w:id="804"/>
      <w:r>
        <w:rPr>
          <w:rFonts w:ascii="Times New Roman" w:eastAsia="Times New Roman" w:hAnsi="Times New Roman" w:cs="Times New Roman"/>
          <w:color w:val="000000"/>
          <w:spacing w:val="0"/>
          <w:w w:val="100"/>
          <w:position w:val="0"/>
        </w:rPr>
        <w:t>2</w:t>
      </w:r>
      <w:r>
        <w:rPr>
          <w:color w:val="000000"/>
          <w:spacing w:val="0"/>
          <w:w w:val="100"/>
          <w:position w:val="0"/>
        </w:rPr>
        <w:t>）</w:t>
        <w:tab/>
        <w:t>以公允价值计量且其变动计入其他综合收益的金融资产（债务工具）</w:t>
      </w:r>
    </w:p>
    <w:p>
      <w:pPr>
        <w:pStyle w:val="Style16"/>
        <w:keepNext w:val="0"/>
        <w:keepLines w:val="0"/>
        <w:widowControl w:val="0"/>
        <w:shd w:val="clear" w:color="auto" w:fill="auto"/>
        <w:bidi w:val="0"/>
        <w:spacing w:before="0" w:after="0" w:line="410" w:lineRule="exact"/>
        <w:ind w:left="0" w:right="0" w:firstLine="440"/>
        <w:jc w:val="left"/>
      </w:pPr>
      <w:r>
        <w:rPr>
          <w:color w:val="000000"/>
          <w:spacing w:val="0"/>
          <w:w w:val="100"/>
          <w:position w:val="0"/>
        </w:rPr>
        <w:t>以公允价值计量且其变动计入其他综合收益的金融资产（债务工具）包括其他债权投资 等，按公允价值进行初始计量，相关交易费用计入初始确认金额。该金融资产按公允价值进 行后续计量，公允价值变动除采用实际利率法计算的利息、减值损失或利得和汇兑损益之外， 均计入其他综合收益。</w:t>
      </w:r>
    </w:p>
    <w:p>
      <w:pPr>
        <w:pStyle w:val="Style16"/>
        <w:keepNext w:val="0"/>
        <w:keepLines w:val="0"/>
        <w:widowControl w:val="0"/>
        <w:shd w:val="clear" w:color="auto" w:fill="auto"/>
        <w:bidi w:val="0"/>
        <w:spacing w:before="0" w:after="0" w:line="413" w:lineRule="exact"/>
        <w:ind w:left="0" w:right="0" w:firstLine="440"/>
        <w:jc w:val="left"/>
      </w:pPr>
      <w:r>
        <w:rPr>
          <w:color w:val="000000"/>
          <w:spacing w:val="0"/>
          <w:w w:val="100"/>
          <w:position w:val="0"/>
        </w:rPr>
        <w:t>终止确认时，之前计入其他综合收益的累计利得或损失从其他综合收益中转出，计入当 期损益。</w:t>
      </w:r>
    </w:p>
    <w:p>
      <w:pPr>
        <w:pStyle w:val="Style16"/>
        <w:keepNext w:val="0"/>
        <w:keepLines w:val="0"/>
        <w:widowControl w:val="0"/>
        <w:shd w:val="clear" w:color="auto" w:fill="auto"/>
        <w:tabs>
          <w:tab w:pos="928" w:val="left"/>
        </w:tabs>
        <w:bidi w:val="0"/>
        <w:spacing w:before="0" w:after="0" w:line="409" w:lineRule="exact"/>
        <w:ind w:left="0" w:right="0" w:firstLine="440"/>
        <w:jc w:val="left"/>
      </w:pPr>
      <w:bookmarkStart w:id="805" w:name="bookmark805"/>
      <w:r>
        <w:rPr>
          <w:color w:val="000000"/>
          <w:spacing w:val="0"/>
          <w:w w:val="100"/>
          <w:position w:val="0"/>
        </w:rPr>
        <w:t>（</w:t>
      </w:r>
      <w:bookmarkEnd w:id="805"/>
      <w:r>
        <w:rPr>
          <w:rFonts w:ascii="Times New Roman" w:eastAsia="Times New Roman" w:hAnsi="Times New Roman" w:cs="Times New Roman"/>
          <w:color w:val="000000"/>
          <w:spacing w:val="0"/>
          <w:w w:val="100"/>
          <w:position w:val="0"/>
        </w:rPr>
        <w:t>3</w:t>
      </w:r>
      <w:r>
        <w:rPr>
          <w:color w:val="000000"/>
          <w:spacing w:val="0"/>
          <w:w w:val="100"/>
          <w:position w:val="0"/>
        </w:rPr>
        <w:t>）</w:t>
        <w:tab/>
        <w:t>以公允价值计量且其变动计入其他综合收益的金融资产（权益工具）</w:t>
      </w:r>
    </w:p>
    <w:p>
      <w:pPr>
        <w:pStyle w:val="Style16"/>
        <w:keepNext w:val="0"/>
        <w:keepLines w:val="0"/>
        <w:widowControl w:val="0"/>
        <w:shd w:val="clear" w:color="auto" w:fill="auto"/>
        <w:bidi w:val="0"/>
        <w:spacing w:before="0" w:after="0" w:line="406" w:lineRule="exact"/>
        <w:ind w:left="0" w:right="0" w:firstLine="440"/>
        <w:jc w:val="both"/>
      </w:pPr>
      <w:r>
        <w:rPr>
          <w:color w:val="000000"/>
          <w:spacing w:val="0"/>
          <w:w w:val="100"/>
          <w:position w:val="0"/>
        </w:rPr>
        <w:t>以公允价值计量且其变动计入其他综合收益的金融资产（权益工具）包括其他权益工具 投资等，按公允价值进行初始计量，相关交易费用计入初始确认金额。该金融资产按公允价 值进行后续计量，公允价值变动计入其他综合收益。取得的股利计入当期损益。</w:t>
      </w:r>
    </w:p>
    <w:p>
      <w:pPr>
        <w:pStyle w:val="Style16"/>
        <w:keepNext w:val="0"/>
        <w:keepLines w:val="0"/>
        <w:widowControl w:val="0"/>
        <w:shd w:val="clear" w:color="auto" w:fill="auto"/>
        <w:bidi w:val="0"/>
        <w:spacing w:before="0" w:after="0" w:line="422" w:lineRule="exact"/>
        <w:ind w:left="0" w:right="0" w:firstLine="440"/>
        <w:jc w:val="both"/>
      </w:pPr>
      <w:r>
        <w:rPr>
          <w:color w:val="000000"/>
          <w:spacing w:val="0"/>
          <w:w w:val="100"/>
          <w:position w:val="0"/>
        </w:rPr>
        <w:t>终止确认时，之前计入其他综合收益的累计利得或损失从其他综合收益中转出，计入留 存收益。</w:t>
      </w:r>
    </w:p>
    <w:p>
      <w:pPr>
        <w:pStyle w:val="Style16"/>
        <w:keepNext w:val="0"/>
        <w:keepLines w:val="0"/>
        <w:widowControl w:val="0"/>
        <w:shd w:val="clear" w:color="auto" w:fill="auto"/>
        <w:tabs>
          <w:tab w:pos="928" w:val="left"/>
        </w:tabs>
        <w:bidi w:val="0"/>
        <w:spacing w:before="0" w:after="0" w:line="422" w:lineRule="exact"/>
        <w:ind w:left="0" w:right="0" w:firstLine="440"/>
        <w:jc w:val="left"/>
      </w:pPr>
      <w:bookmarkStart w:id="806" w:name="bookmark806"/>
      <w:r>
        <w:rPr>
          <w:color w:val="000000"/>
          <w:spacing w:val="0"/>
          <w:w w:val="100"/>
          <w:position w:val="0"/>
        </w:rPr>
        <w:t>（</w:t>
      </w:r>
      <w:bookmarkEnd w:id="806"/>
      <w:r>
        <w:rPr>
          <w:rFonts w:ascii="Times New Roman" w:eastAsia="Times New Roman" w:hAnsi="Times New Roman" w:cs="Times New Roman"/>
          <w:color w:val="000000"/>
          <w:spacing w:val="0"/>
          <w:w w:val="100"/>
          <w:position w:val="0"/>
        </w:rPr>
        <w:t>4</w:t>
      </w:r>
      <w:r>
        <w:rPr>
          <w:color w:val="000000"/>
          <w:spacing w:val="0"/>
          <w:w w:val="100"/>
          <w:position w:val="0"/>
        </w:rPr>
        <w:t>）</w:t>
        <w:tab/>
        <w:t>以公允价值计量且其变动计入当期损益的金融资产</w:t>
      </w:r>
    </w:p>
    <w:p>
      <w:pPr>
        <w:pStyle w:val="Style16"/>
        <w:keepNext w:val="0"/>
        <w:keepLines w:val="0"/>
        <w:widowControl w:val="0"/>
        <w:shd w:val="clear" w:color="auto" w:fill="auto"/>
        <w:bidi w:val="0"/>
        <w:spacing w:before="0" w:after="0" w:line="408" w:lineRule="exact"/>
        <w:ind w:left="0" w:right="0" w:firstLine="440"/>
        <w:jc w:val="left"/>
      </w:pPr>
      <w:r>
        <w:rPr>
          <w:color w:val="000000"/>
          <w:spacing w:val="0"/>
          <w:w w:val="100"/>
          <w:position w:val="0"/>
        </w:rPr>
        <w:t xml:space="preserve">以公允价值计量且其变动计入当期损益的金融资产包括交易性金融资产、衍生金融资产、 其他非流动金融资产等，按公允价值进行初始计量，相关交易费用计入当期损益。该金融资 </w:t>
      </w:r>
      <w:r>
        <w:rPr>
          <w:color w:val="000000"/>
          <w:spacing w:val="0"/>
          <w:w w:val="100"/>
          <w:position w:val="0"/>
        </w:rPr>
        <w:t>产按公允价值进行后续计量，公允价值变动计入当期损益。</w:t>
      </w:r>
    </w:p>
    <w:p>
      <w:pPr>
        <w:pStyle w:val="Style16"/>
        <w:keepNext w:val="0"/>
        <w:keepLines w:val="0"/>
        <w:widowControl w:val="0"/>
        <w:shd w:val="clear" w:color="auto" w:fill="auto"/>
        <w:bidi w:val="0"/>
        <w:spacing w:before="0" w:after="80" w:line="418" w:lineRule="exact"/>
        <w:ind w:left="0" w:right="0" w:firstLine="440"/>
        <w:jc w:val="both"/>
      </w:pPr>
      <w:r>
        <w:rPr>
          <w:color w:val="000000"/>
          <w:spacing w:val="0"/>
          <w:w w:val="100"/>
          <w:position w:val="0"/>
        </w:rPr>
        <w:t>终止确认时，其公允价值与初始入账金额之间的差额确认为投资收益，同时调整公允价 值变动损益。</w:t>
      </w:r>
    </w:p>
    <w:p>
      <w:pPr>
        <w:pStyle w:val="Style16"/>
        <w:keepNext w:val="0"/>
        <w:keepLines w:val="0"/>
        <w:widowControl w:val="0"/>
        <w:shd w:val="clear" w:color="auto" w:fill="auto"/>
        <w:tabs>
          <w:tab w:pos="928" w:val="left"/>
        </w:tabs>
        <w:bidi w:val="0"/>
        <w:spacing w:before="0" w:after="0" w:line="420" w:lineRule="exact"/>
        <w:ind w:left="0" w:right="0" w:firstLine="440"/>
        <w:jc w:val="left"/>
      </w:pPr>
      <w:bookmarkStart w:id="807" w:name="bookmark807"/>
      <w:r>
        <w:rPr>
          <w:color w:val="000000"/>
          <w:spacing w:val="0"/>
          <w:w w:val="100"/>
          <w:position w:val="0"/>
        </w:rPr>
        <w:t>（</w:t>
      </w:r>
      <w:bookmarkEnd w:id="807"/>
      <w:r>
        <w:rPr>
          <w:rFonts w:ascii="Times New Roman" w:eastAsia="Times New Roman" w:hAnsi="Times New Roman" w:cs="Times New Roman"/>
          <w:color w:val="000000"/>
          <w:spacing w:val="0"/>
          <w:w w:val="100"/>
          <w:position w:val="0"/>
        </w:rPr>
        <w:t>5</w:t>
      </w:r>
      <w:r>
        <w:rPr>
          <w:color w:val="000000"/>
          <w:spacing w:val="0"/>
          <w:w w:val="100"/>
          <w:position w:val="0"/>
        </w:rPr>
        <w:t>）</w:t>
        <w:tab/>
        <w:t>以公允价值计量且其变动计入当期损益的金融负债</w:t>
      </w:r>
    </w:p>
    <w:p>
      <w:pPr>
        <w:pStyle w:val="Style16"/>
        <w:keepNext w:val="0"/>
        <w:keepLines w:val="0"/>
        <w:widowControl w:val="0"/>
        <w:shd w:val="clear" w:color="auto" w:fill="auto"/>
        <w:bidi w:val="0"/>
        <w:spacing w:before="0" w:after="80" w:line="466" w:lineRule="exact"/>
        <w:ind w:left="0" w:right="0" w:firstLine="440"/>
        <w:jc w:val="both"/>
      </w:pPr>
      <w:r>
        <w:rPr>
          <w:color w:val="000000"/>
          <w:spacing w:val="0"/>
          <w:w w:val="100"/>
          <w:position w:val="0"/>
        </w:rPr>
        <w:t>以公允价值计量且其变动计入当期损益的金融负债包括交易性金融负债、衍生金融负债 等，按公允价值进行初始计量，相关交易费用计入当期损益。该金融负债按公允价值进行后 续计量，公允价值变动计入当期损益。</w:t>
      </w:r>
    </w:p>
    <w:p>
      <w:pPr>
        <w:pStyle w:val="Style16"/>
        <w:keepNext w:val="0"/>
        <w:keepLines w:val="0"/>
        <w:widowControl w:val="0"/>
        <w:shd w:val="clear" w:color="auto" w:fill="auto"/>
        <w:bidi w:val="0"/>
        <w:spacing w:before="0" w:after="80" w:line="420" w:lineRule="exact"/>
        <w:ind w:left="0" w:right="0" w:firstLine="440"/>
        <w:jc w:val="left"/>
      </w:pPr>
      <w:r>
        <w:rPr>
          <w:color w:val="000000"/>
          <w:spacing w:val="0"/>
          <w:w w:val="100"/>
          <w:position w:val="0"/>
        </w:rPr>
        <w:t>终止确认时，其账面价值与支付的对价之间的差额计入当期损益。</w:t>
      </w:r>
    </w:p>
    <w:p>
      <w:pPr>
        <w:pStyle w:val="Style16"/>
        <w:keepNext w:val="0"/>
        <w:keepLines w:val="0"/>
        <w:widowControl w:val="0"/>
        <w:shd w:val="clear" w:color="auto" w:fill="auto"/>
        <w:tabs>
          <w:tab w:pos="928" w:val="left"/>
        </w:tabs>
        <w:bidi w:val="0"/>
        <w:spacing w:before="0" w:after="0" w:line="420" w:lineRule="exact"/>
        <w:ind w:left="0" w:right="0" w:firstLine="440"/>
        <w:jc w:val="left"/>
      </w:pPr>
      <w:bookmarkStart w:id="808" w:name="bookmark808"/>
      <w:r>
        <w:rPr>
          <w:color w:val="000000"/>
          <w:spacing w:val="0"/>
          <w:w w:val="100"/>
          <w:position w:val="0"/>
        </w:rPr>
        <w:t>（</w:t>
      </w:r>
      <w:bookmarkEnd w:id="808"/>
      <w:r>
        <w:rPr>
          <w:rFonts w:ascii="Times New Roman" w:eastAsia="Times New Roman" w:hAnsi="Times New Roman" w:cs="Times New Roman"/>
          <w:color w:val="000000"/>
          <w:spacing w:val="0"/>
          <w:w w:val="100"/>
          <w:position w:val="0"/>
        </w:rPr>
        <w:t>6</w:t>
      </w:r>
      <w:r>
        <w:rPr>
          <w:color w:val="000000"/>
          <w:spacing w:val="0"/>
          <w:w w:val="100"/>
          <w:position w:val="0"/>
        </w:rPr>
        <w:t>）</w:t>
        <w:tab/>
        <w:t>以摊余成本计量的金融负债</w:t>
      </w:r>
    </w:p>
    <w:p>
      <w:pPr>
        <w:pStyle w:val="Style16"/>
        <w:keepNext w:val="0"/>
        <w:keepLines w:val="0"/>
        <w:widowControl w:val="0"/>
        <w:shd w:val="clear" w:color="auto" w:fill="auto"/>
        <w:bidi w:val="0"/>
        <w:spacing w:before="0" w:after="80" w:line="470" w:lineRule="exact"/>
        <w:ind w:left="0" w:right="0" w:firstLine="440"/>
        <w:jc w:val="both"/>
      </w:pPr>
      <w:r>
        <w:rPr>
          <w:color w:val="000000"/>
          <w:spacing w:val="0"/>
          <w:w w:val="100"/>
          <w:position w:val="0"/>
        </w:rPr>
        <w:t>以摊余成本计量的金融负债包括短期借款、应付票据及应付账款、其他应付款、长期借 款、应付债券、长期应付款等，按公允价值进行初始计量，相关交易费用计入初始确认金额。</w:t>
      </w:r>
    </w:p>
    <w:p>
      <w:pPr>
        <w:pStyle w:val="Style16"/>
        <w:keepNext w:val="0"/>
        <w:keepLines w:val="0"/>
        <w:widowControl w:val="0"/>
        <w:shd w:val="clear" w:color="auto" w:fill="auto"/>
        <w:bidi w:val="0"/>
        <w:spacing w:before="0" w:after="80" w:line="420" w:lineRule="exact"/>
        <w:ind w:left="0" w:right="0" w:firstLine="440"/>
        <w:jc w:val="left"/>
      </w:pPr>
      <w:r>
        <w:rPr>
          <w:color w:val="000000"/>
          <w:spacing w:val="0"/>
          <w:w w:val="100"/>
          <w:position w:val="0"/>
        </w:rPr>
        <w:t>持有期间采用实际利率法计算的利息计入当期损益。</w:t>
      </w:r>
    </w:p>
    <w:p>
      <w:pPr>
        <w:pStyle w:val="Style16"/>
        <w:keepNext w:val="0"/>
        <w:keepLines w:val="0"/>
        <w:widowControl w:val="0"/>
        <w:shd w:val="clear" w:color="auto" w:fill="auto"/>
        <w:bidi w:val="0"/>
        <w:spacing w:before="0" w:after="580" w:line="420" w:lineRule="exact"/>
        <w:ind w:left="0" w:right="0" w:firstLine="440"/>
        <w:jc w:val="left"/>
      </w:pPr>
      <w:r>
        <w:rPr>
          <w:color w:val="000000"/>
          <w:spacing w:val="0"/>
          <w:w w:val="100"/>
          <w:position w:val="0"/>
        </w:rPr>
        <w:t>终止确认时，将支付的对价与该金融负债账面价值之间的差额计入当期损益。</w:t>
      </w:r>
    </w:p>
    <w:p>
      <w:pPr>
        <w:pStyle w:val="Style51"/>
        <w:keepNext/>
        <w:keepLines/>
        <w:widowControl w:val="0"/>
        <w:numPr>
          <w:ilvl w:val="0"/>
          <w:numId w:val="29"/>
        </w:numPr>
        <w:shd w:val="clear" w:color="auto" w:fill="auto"/>
        <w:bidi w:val="0"/>
        <w:spacing w:before="0" w:after="0" w:line="439" w:lineRule="auto"/>
        <w:ind w:left="0" w:right="0" w:firstLine="440"/>
        <w:jc w:val="left"/>
      </w:pPr>
      <w:bookmarkStart w:id="809" w:name="bookmark809"/>
      <w:bookmarkStart w:id="810" w:name="bookmark810"/>
      <w:bookmarkStart w:id="811" w:name="bookmark811"/>
      <w:bookmarkStart w:id="812" w:name="bookmark812"/>
      <w:bookmarkEnd w:id="811"/>
      <w:r>
        <w:rPr>
          <w:color w:val="000000"/>
          <w:spacing w:val="0"/>
          <w:w w:val="100"/>
          <w:position w:val="0"/>
        </w:rPr>
        <w:t>金融资产转移的确认依据和计量方法</w:t>
      </w:r>
      <w:bookmarkEnd w:id="809"/>
      <w:bookmarkEnd w:id="810"/>
      <w:bookmarkEnd w:id="812"/>
    </w:p>
    <w:p>
      <w:pPr>
        <w:pStyle w:val="Style16"/>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公司发生金融资产转移时，如已将金融资产所有权上几乎所有的风险和报酬转移给转入 方，则终止确认该金融资产；如保留了金融资产所有权上几乎所有的风险和报酬的，则不终 止确认该金融资产。</w:t>
      </w:r>
    </w:p>
    <w:p>
      <w:pPr>
        <w:pStyle w:val="Style16"/>
        <w:keepNext w:val="0"/>
        <w:keepLines w:val="0"/>
        <w:widowControl w:val="0"/>
        <w:shd w:val="clear" w:color="auto" w:fill="auto"/>
        <w:bidi w:val="0"/>
        <w:spacing w:before="0" w:after="0" w:line="430" w:lineRule="exact"/>
        <w:ind w:left="0" w:right="0" w:firstLine="440"/>
        <w:jc w:val="both"/>
      </w:pPr>
      <w:r>
        <w:rPr>
          <w:color w:val="000000"/>
          <w:spacing w:val="0"/>
          <w:w w:val="100"/>
          <w:position w:val="0"/>
        </w:rPr>
        <w:t>在判断金融资产转移是否满足上述金融资产终止确认条件时，采用实质重于形式的原则。 公司将金融资产转移区分为金融资产整体转移和部分转移。金融资产整体转移满足终止 确认条件的，将下列两项金额的差额计入当期损益：</w:t>
      </w:r>
    </w:p>
    <w:p>
      <w:pPr>
        <w:pStyle w:val="Style16"/>
        <w:keepNext w:val="0"/>
        <w:keepLines w:val="0"/>
        <w:widowControl w:val="0"/>
        <w:shd w:val="clear" w:color="auto" w:fill="auto"/>
        <w:tabs>
          <w:tab w:pos="928" w:val="left"/>
        </w:tabs>
        <w:bidi w:val="0"/>
        <w:spacing w:before="0" w:after="0" w:line="418" w:lineRule="exact"/>
        <w:ind w:left="0" w:right="0" w:firstLine="440"/>
        <w:jc w:val="both"/>
      </w:pPr>
      <w:bookmarkStart w:id="813" w:name="bookmark813"/>
      <w:r>
        <w:rPr>
          <w:color w:val="000000"/>
          <w:spacing w:val="0"/>
          <w:w w:val="100"/>
          <w:position w:val="0"/>
        </w:rPr>
        <w:t>（</w:t>
      </w:r>
      <w:bookmarkEnd w:id="813"/>
      <w:r>
        <w:rPr>
          <w:rFonts w:ascii="Times New Roman" w:eastAsia="Times New Roman" w:hAnsi="Times New Roman" w:cs="Times New Roman"/>
          <w:color w:val="000000"/>
          <w:spacing w:val="0"/>
          <w:w w:val="100"/>
          <w:position w:val="0"/>
        </w:rPr>
        <w:t>1</w:t>
      </w:r>
      <w:r>
        <w:rPr>
          <w:color w:val="000000"/>
          <w:spacing w:val="0"/>
          <w:w w:val="100"/>
          <w:position w:val="0"/>
        </w:rPr>
        <w:t>）</w:t>
        <w:tab/>
        <w:t>所转移金融资产的账面价值；</w:t>
      </w:r>
    </w:p>
    <w:p>
      <w:pPr>
        <w:pStyle w:val="Style16"/>
        <w:keepNext w:val="0"/>
        <w:keepLines w:val="0"/>
        <w:widowControl w:val="0"/>
        <w:shd w:val="clear" w:color="auto" w:fill="auto"/>
        <w:tabs>
          <w:tab w:pos="1021" w:val="left"/>
        </w:tabs>
        <w:bidi w:val="0"/>
        <w:spacing w:before="0" w:after="0" w:line="418" w:lineRule="exact"/>
        <w:ind w:left="0" w:right="0" w:firstLine="440"/>
        <w:jc w:val="both"/>
      </w:pPr>
      <w:bookmarkStart w:id="814" w:name="bookmark814"/>
      <w:r>
        <w:rPr>
          <w:color w:val="000000"/>
          <w:spacing w:val="0"/>
          <w:w w:val="100"/>
          <w:position w:val="0"/>
        </w:rPr>
        <w:t>（</w:t>
      </w:r>
      <w:bookmarkEnd w:id="814"/>
      <w:r>
        <w:rPr>
          <w:rFonts w:ascii="Times New Roman" w:eastAsia="Times New Roman" w:hAnsi="Times New Roman" w:cs="Times New Roman"/>
          <w:color w:val="000000"/>
          <w:spacing w:val="0"/>
          <w:w w:val="100"/>
          <w:position w:val="0"/>
        </w:rPr>
        <w:t>2</w:t>
      </w:r>
      <w:r>
        <w:rPr>
          <w:color w:val="000000"/>
          <w:spacing w:val="0"/>
          <w:w w:val="100"/>
          <w:position w:val="0"/>
        </w:rPr>
        <w:t>）</w:t>
        <w:tab/>
        <w:t>因转移而收到的对价，与原直接计入所有者权益的公允价值变动累计额（涉及转 移的金融资产为以公允价值计量且其变动计入其他综合收益的金融资产（债务工具）、可供 出售金融资产的情形）之和。</w:t>
      </w:r>
    </w:p>
    <w:p>
      <w:pPr>
        <w:pStyle w:val="Style16"/>
        <w:keepNext w:val="0"/>
        <w:keepLines w:val="0"/>
        <w:widowControl w:val="0"/>
        <w:shd w:val="clear" w:color="auto" w:fill="auto"/>
        <w:bidi w:val="0"/>
        <w:spacing w:before="0" w:after="0" w:line="408" w:lineRule="exact"/>
        <w:ind w:left="0" w:right="0" w:firstLine="440"/>
        <w:jc w:val="both"/>
      </w:pPr>
      <w:r>
        <w:rPr>
          <w:color w:val="000000"/>
          <w:spacing w:val="0"/>
          <w:w w:val="100"/>
          <w:position w:val="0"/>
        </w:rPr>
        <w:t>金融资产部分转移满足终止确认条件的，将所转移金融资产整体的账面价值，在终止确 认部分和未终止确认部分之间，按照各自的相对公允价值进行分摊，并将下列两项金额的差 额计入当期损益：</w:t>
      </w:r>
    </w:p>
    <w:p>
      <w:pPr>
        <w:pStyle w:val="Style16"/>
        <w:keepNext w:val="0"/>
        <w:keepLines w:val="0"/>
        <w:widowControl w:val="0"/>
        <w:shd w:val="clear" w:color="auto" w:fill="auto"/>
        <w:tabs>
          <w:tab w:pos="928" w:val="left"/>
        </w:tabs>
        <w:bidi w:val="0"/>
        <w:spacing w:before="0" w:after="0" w:line="422" w:lineRule="exact"/>
        <w:ind w:left="0" w:right="0" w:firstLine="440"/>
        <w:jc w:val="both"/>
      </w:pPr>
      <w:bookmarkStart w:id="815" w:name="bookmark815"/>
      <w:r>
        <w:rPr>
          <w:color w:val="000000"/>
          <w:spacing w:val="0"/>
          <w:w w:val="100"/>
          <w:position w:val="0"/>
        </w:rPr>
        <w:t>（</w:t>
      </w:r>
      <w:bookmarkEnd w:id="815"/>
      <w:r>
        <w:rPr>
          <w:rFonts w:ascii="Times New Roman" w:eastAsia="Times New Roman" w:hAnsi="Times New Roman" w:cs="Times New Roman"/>
          <w:color w:val="000000"/>
          <w:spacing w:val="0"/>
          <w:w w:val="100"/>
          <w:position w:val="0"/>
        </w:rPr>
        <w:t>1</w:t>
      </w:r>
      <w:r>
        <w:rPr>
          <w:color w:val="000000"/>
          <w:spacing w:val="0"/>
          <w:w w:val="100"/>
          <w:position w:val="0"/>
        </w:rPr>
        <w:t>）</w:t>
        <w:tab/>
        <w:t>终止确认部分的账面价值；</w:t>
      </w:r>
    </w:p>
    <w:p>
      <w:pPr>
        <w:pStyle w:val="Style16"/>
        <w:keepNext w:val="0"/>
        <w:keepLines w:val="0"/>
        <w:widowControl w:val="0"/>
        <w:shd w:val="clear" w:color="auto" w:fill="auto"/>
        <w:tabs>
          <w:tab w:pos="1021" w:val="left"/>
        </w:tabs>
        <w:bidi w:val="0"/>
        <w:spacing w:before="0" w:after="0" w:line="422" w:lineRule="exact"/>
        <w:ind w:left="0" w:right="0" w:firstLine="440"/>
        <w:jc w:val="both"/>
      </w:pPr>
      <w:bookmarkStart w:id="816" w:name="bookmark816"/>
      <w:r>
        <w:rPr>
          <w:color w:val="000000"/>
          <w:spacing w:val="0"/>
          <w:w w:val="100"/>
          <w:position w:val="0"/>
        </w:rPr>
        <w:t>（</w:t>
      </w:r>
      <w:bookmarkEnd w:id="816"/>
      <w:r>
        <w:rPr>
          <w:rFonts w:ascii="Times New Roman" w:eastAsia="Times New Roman" w:hAnsi="Times New Roman" w:cs="Times New Roman"/>
          <w:color w:val="000000"/>
          <w:spacing w:val="0"/>
          <w:w w:val="100"/>
          <w:position w:val="0"/>
        </w:rPr>
        <w:t>2</w:t>
      </w:r>
      <w:r>
        <w:rPr>
          <w:color w:val="000000"/>
          <w:spacing w:val="0"/>
          <w:w w:val="100"/>
          <w:position w:val="0"/>
        </w:rPr>
        <w:t>）</w:t>
        <w:tab/>
        <w:t xml:space="preserve">终止确认部分的对价，与原直接计入所有者权益的公允价值变动累计额中对应终 止确认部分的金额（涉及转移的金融资产为以公允价值计量且其变动计入其他综合收益的金 </w:t>
      </w:r>
      <w:r>
        <w:rPr>
          <w:color w:val="000000"/>
          <w:spacing w:val="0"/>
          <w:w w:val="100"/>
          <w:position w:val="0"/>
        </w:rPr>
        <w:t>融资产（债务工具）、可供出售金融资产的情形）之和。</w:t>
      </w:r>
    </w:p>
    <w:p>
      <w:pPr>
        <w:pStyle w:val="Style16"/>
        <w:keepNext w:val="0"/>
        <w:keepLines w:val="0"/>
        <w:widowControl w:val="0"/>
        <w:shd w:val="clear" w:color="auto" w:fill="auto"/>
        <w:bidi w:val="0"/>
        <w:spacing w:before="0" w:after="620" w:line="418" w:lineRule="exact"/>
        <w:ind w:left="0" w:right="0" w:firstLine="440"/>
        <w:jc w:val="both"/>
      </w:pPr>
      <w:r>
        <w:rPr>
          <w:color w:val="000000"/>
          <w:spacing w:val="0"/>
          <w:w w:val="100"/>
          <w:position w:val="0"/>
        </w:rPr>
        <w:t>金融资产转移不满足终止确认条件的，继续确认该金融资产，所收到的对价确认为一项 金融负债。</w:t>
      </w:r>
    </w:p>
    <w:p>
      <w:pPr>
        <w:pStyle w:val="Style51"/>
        <w:keepNext/>
        <w:keepLines/>
        <w:widowControl w:val="0"/>
        <w:numPr>
          <w:ilvl w:val="0"/>
          <w:numId w:val="29"/>
        </w:numPr>
        <w:shd w:val="clear" w:color="auto" w:fill="auto"/>
        <w:tabs>
          <w:tab w:pos="780" w:val="left"/>
        </w:tabs>
        <w:bidi w:val="0"/>
        <w:spacing w:before="0" w:after="0"/>
        <w:ind w:left="0" w:right="0" w:firstLine="440"/>
        <w:jc w:val="both"/>
      </w:pPr>
      <w:bookmarkStart w:id="817" w:name="bookmark817"/>
      <w:bookmarkStart w:id="818" w:name="bookmark818"/>
      <w:bookmarkStart w:id="819" w:name="bookmark819"/>
      <w:bookmarkStart w:id="820" w:name="bookmark820"/>
      <w:bookmarkEnd w:id="819"/>
      <w:r>
        <w:rPr>
          <w:color w:val="000000"/>
          <w:spacing w:val="0"/>
          <w:w w:val="100"/>
          <w:position w:val="0"/>
        </w:rPr>
        <w:t>金融负债终止确认条件</w:t>
      </w:r>
      <w:bookmarkEnd w:id="817"/>
      <w:bookmarkEnd w:id="818"/>
      <w:bookmarkEnd w:id="820"/>
    </w:p>
    <w:p>
      <w:pPr>
        <w:pStyle w:val="Style16"/>
        <w:keepNext w:val="0"/>
        <w:keepLines w:val="0"/>
        <w:widowControl w:val="0"/>
        <w:shd w:val="clear" w:color="auto" w:fill="auto"/>
        <w:bidi w:val="0"/>
        <w:spacing w:before="0" w:after="0" w:line="408" w:lineRule="exact"/>
        <w:ind w:left="0" w:right="0" w:firstLine="440"/>
        <w:jc w:val="both"/>
      </w:pPr>
      <w:r>
        <w:rPr>
          <w:color w:val="000000"/>
          <w:spacing w:val="0"/>
          <w:w w:val="100"/>
          <w:position w:val="0"/>
        </w:rPr>
        <w:t>金融负债的现时义务全部或部分已经解除的，则终止确认该金融负债或其一部分；本公 司若与债权人签定协议，以承担新金融负债方式替换现存金融负债，且新金融负债与现存金 融负债的合同条款实质上不同的，则终止确认现存金融负债，并同时确认新金融负债。</w:t>
      </w:r>
    </w:p>
    <w:p>
      <w:pPr>
        <w:pStyle w:val="Style16"/>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对现存金融负债全部或部分合同条款作出实质性修改的，则终止确认现存金融负债或其 一部分，同时将修改条款后的金融负债确认为一项新金融负债。</w:t>
      </w:r>
    </w:p>
    <w:p>
      <w:pPr>
        <w:pStyle w:val="Style16"/>
        <w:keepNext w:val="0"/>
        <w:keepLines w:val="0"/>
        <w:widowControl w:val="0"/>
        <w:shd w:val="clear" w:color="auto" w:fill="auto"/>
        <w:bidi w:val="0"/>
        <w:spacing w:before="0" w:after="0" w:line="413" w:lineRule="exact"/>
        <w:ind w:left="0" w:right="0" w:firstLine="440"/>
        <w:jc w:val="both"/>
      </w:pPr>
      <w:r>
        <w:rPr>
          <w:color w:val="000000"/>
          <w:spacing w:val="0"/>
          <w:w w:val="100"/>
          <w:position w:val="0"/>
        </w:rPr>
        <w:t>金融负债全部或部分终止确认时，终止确认的金融负债账面价值与支付对价（包括转出 的非现金资产或承担的新金融负债）之间的差额，计入当期损益。</w:t>
      </w:r>
    </w:p>
    <w:p>
      <w:pPr>
        <w:pStyle w:val="Style16"/>
        <w:keepNext w:val="0"/>
        <w:keepLines w:val="0"/>
        <w:widowControl w:val="0"/>
        <w:shd w:val="clear" w:color="auto" w:fill="auto"/>
        <w:bidi w:val="0"/>
        <w:spacing w:before="0" w:after="620" w:line="415" w:lineRule="exact"/>
        <w:ind w:left="0" w:right="0" w:firstLine="440"/>
        <w:jc w:val="both"/>
      </w:pPr>
      <w:r>
        <w:rPr>
          <w:color w:val="000000"/>
          <w:spacing w:val="0"/>
          <w:w w:val="100"/>
          <w:position w:val="0"/>
        </w:rPr>
        <w:t>本公司若回购部分金融负债的，在回购日按照继续确认部分与终止确认部分的相对公允 价值，将该金融负债整体的账面价值进行分配。分配给终止确认部分的账面价值与支付的对 价（包括转出的非现金资产或承担的新金融负债）之间的差额，计入当期损益。</w:t>
      </w:r>
    </w:p>
    <w:p>
      <w:pPr>
        <w:pStyle w:val="Style51"/>
        <w:keepNext/>
        <w:keepLines/>
        <w:widowControl w:val="0"/>
        <w:numPr>
          <w:ilvl w:val="0"/>
          <w:numId w:val="29"/>
        </w:numPr>
        <w:shd w:val="clear" w:color="auto" w:fill="auto"/>
        <w:tabs>
          <w:tab w:pos="780" w:val="left"/>
        </w:tabs>
        <w:bidi w:val="0"/>
        <w:spacing w:before="0" w:after="0"/>
        <w:ind w:left="0" w:right="0" w:firstLine="440"/>
        <w:jc w:val="both"/>
      </w:pPr>
      <w:bookmarkStart w:id="821" w:name="bookmark821"/>
      <w:bookmarkStart w:id="822" w:name="bookmark822"/>
      <w:bookmarkStart w:id="823" w:name="bookmark823"/>
      <w:bookmarkStart w:id="824" w:name="bookmark824"/>
      <w:bookmarkEnd w:id="823"/>
      <w:r>
        <w:rPr>
          <w:color w:val="000000"/>
          <w:spacing w:val="0"/>
          <w:w w:val="100"/>
          <w:position w:val="0"/>
        </w:rPr>
        <w:t>金融资产和金融负债的公允价值的确定方法</w:t>
      </w:r>
      <w:bookmarkEnd w:id="821"/>
      <w:bookmarkEnd w:id="822"/>
      <w:bookmarkEnd w:id="824"/>
    </w:p>
    <w:p>
      <w:pPr>
        <w:pStyle w:val="Style16"/>
        <w:keepNext w:val="0"/>
        <w:keepLines w:val="0"/>
        <w:widowControl w:val="0"/>
        <w:shd w:val="clear" w:color="auto" w:fill="auto"/>
        <w:bidi w:val="0"/>
        <w:spacing w:before="0" w:after="620" w:line="410" w:lineRule="exact"/>
        <w:ind w:left="0" w:right="0" w:firstLine="440"/>
        <w:jc w:val="both"/>
      </w:pPr>
      <w:r>
        <w:rPr>
          <w:color w:val="000000"/>
          <w:spacing w:val="0"/>
          <w:w w:val="100"/>
          <w:position w:val="0"/>
        </w:rPr>
        <w:t>存在活跃市场的金融工具，以活跃市场中的报价确定其公允价值。不存在活跃市场的金 融工具，采用估值技术确定其公允价值。在估值时，本公司采用在当前情况下适用并且有足 够可利用数据和其他信息支持的估值技术，选择与市场参与者在相关资产或负债的交易中所 考虑的资产或负债特征相一致的输入值，并优先使用相关可观察输入值。只有在相关可观察 输入值无法取得或取得不切实可行的情况下，才使用不可观察输入值。</w:t>
      </w:r>
    </w:p>
    <w:p>
      <w:pPr>
        <w:pStyle w:val="Style51"/>
        <w:keepNext/>
        <w:keepLines/>
        <w:widowControl w:val="0"/>
        <w:numPr>
          <w:ilvl w:val="0"/>
          <w:numId w:val="29"/>
        </w:numPr>
        <w:shd w:val="clear" w:color="auto" w:fill="auto"/>
        <w:tabs>
          <w:tab w:pos="780" w:val="left"/>
        </w:tabs>
        <w:bidi w:val="0"/>
        <w:spacing w:before="0" w:after="0"/>
        <w:ind w:left="0" w:right="0" w:firstLine="440"/>
        <w:jc w:val="both"/>
      </w:pPr>
      <w:bookmarkStart w:id="825" w:name="bookmark825"/>
      <w:bookmarkStart w:id="826" w:name="bookmark826"/>
      <w:bookmarkStart w:id="827" w:name="bookmark827"/>
      <w:bookmarkStart w:id="828" w:name="bookmark828"/>
      <w:bookmarkEnd w:id="827"/>
      <w:r>
        <w:rPr>
          <w:color w:val="000000"/>
          <w:spacing w:val="0"/>
          <w:w w:val="100"/>
          <w:position w:val="0"/>
        </w:rPr>
        <w:t>金融资产减值的测试方法及会计处理方法</w:t>
      </w:r>
      <w:bookmarkEnd w:id="825"/>
      <w:bookmarkEnd w:id="826"/>
      <w:bookmarkEnd w:id="828"/>
    </w:p>
    <w:p>
      <w:pPr>
        <w:pStyle w:val="Style51"/>
        <w:keepNext/>
        <w:keepLines/>
        <w:widowControl w:val="0"/>
        <w:shd w:val="clear" w:color="auto" w:fill="auto"/>
        <w:bidi w:val="0"/>
        <w:spacing w:before="0" w:after="0" w:line="411" w:lineRule="exact"/>
        <w:ind w:left="0" w:right="0" w:firstLine="440"/>
        <w:jc w:val="both"/>
      </w:pPr>
      <w:bookmarkStart w:id="829" w:name="bookmark829"/>
      <w:bookmarkStart w:id="830" w:name="bookmark830"/>
      <w:bookmarkStart w:id="831" w:name="bookmark831"/>
      <w:bookmarkStart w:id="832" w:name="bookmark832"/>
      <w:r>
        <w:rPr>
          <w:color w:val="000000"/>
          <w:spacing w:val="0"/>
          <w:w w:val="100"/>
          <w:position w:val="0"/>
        </w:rPr>
        <w:t>（</w:t>
      </w:r>
      <w:bookmarkEnd w:id="831"/>
      <w:r>
        <w:rPr>
          <w:rFonts w:ascii="Times New Roman" w:eastAsia="Times New Roman" w:hAnsi="Times New Roman" w:cs="Times New Roman"/>
          <w:color w:val="000000"/>
          <w:spacing w:val="0"/>
          <w:w w:val="100"/>
          <w:position w:val="0"/>
        </w:rPr>
        <w:t>1</w:t>
      </w:r>
      <w:r>
        <w:rPr>
          <w:color w:val="000000"/>
          <w:spacing w:val="0"/>
          <w:w w:val="100"/>
          <w:position w:val="0"/>
        </w:rPr>
        <w:t>）预期信用损失计量</w:t>
      </w:r>
      <w:bookmarkEnd w:id="829"/>
      <w:bookmarkEnd w:id="830"/>
      <w:bookmarkEnd w:id="832"/>
    </w:p>
    <w:p>
      <w:pPr>
        <w:pStyle w:val="Style16"/>
        <w:keepNext w:val="0"/>
        <w:keepLines w:val="0"/>
        <w:widowControl w:val="0"/>
        <w:shd w:val="clear" w:color="auto" w:fill="auto"/>
        <w:bidi w:val="0"/>
        <w:spacing w:before="0" w:after="0" w:line="412" w:lineRule="exact"/>
        <w:ind w:left="0" w:right="0" w:firstLine="440"/>
        <w:jc w:val="both"/>
      </w:pPr>
      <w:r>
        <w:rPr>
          <w:color w:val="000000"/>
          <w:spacing w:val="0"/>
          <w:w w:val="100"/>
          <w:position w:val="0"/>
        </w:rPr>
        <w:t>本公司自</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日首次执行新金融工具准则，对于以摊余成本计量的金融资产 （包括融出资金、买入返售金融资产、债权投资等）和以公允价值计量且其变动计入其他综 合收益计量的金融资产（包括其他债权投资）,其预期信用损失的计量中使用了模型和假设。 这些模型和假设涉及未来的宏观经济情况和客户的信用行为（例如，客户违约的可能性及相 应损失）。</w:t>
      </w:r>
    </w:p>
    <w:p>
      <w:pPr>
        <w:pStyle w:val="Style16"/>
        <w:keepNext w:val="0"/>
        <w:keepLines w:val="0"/>
        <w:widowControl w:val="0"/>
        <w:shd w:val="clear" w:color="auto" w:fill="auto"/>
        <w:bidi w:val="0"/>
        <w:spacing w:before="0" w:after="200" w:line="408" w:lineRule="exact"/>
        <w:ind w:left="0" w:right="0" w:firstLine="440"/>
        <w:jc w:val="both"/>
      </w:pPr>
      <w:r>
        <w:rPr>
          <w:color w:val="000000"/>
          <w:spacing w:val="0"/>
          <w:w w:val="100"/>
          <w:position w:val="0"/>
        </w:rPr>
        <w:t>对纳入预期信用损失计量的金融资产，本公司运用自金融资产初始确认之后信用质量发 生</w:t>
      </w:r>
      <w:r>
        <w:rPr>
          <w:rFonts w:ascii="Arial Narrow" w:eastAsia="Arial Narrow" w:hAnsi="Arial Narrow" w:cs="Arial Narrow"/>
          <w:color w:val="000000"/>
          <w:spacing w:val="0"/>
          <w:w w:val="100"/>
          <w:position w:val="0"/>
        </w:rPr>
        <w:t>“</w:t>
      </w:r>
      <w:r>
        <w:rPr>
          <w:color w:val="000000"/>
          <w:spacing w:val="0"/>
          <w:w w:val="100"/>
          <w:position w:val="0"/>
        </w:rPr>
        <w:t>三阶段</w:t>
      </w:r>
      <w:r>
        <w:rPr>
          <w:rFonts w:ascii="Arial Narrow" w:eastAsia="Arial Narrow" w:hAnsi="Arial Narrow" w:cs="Arial Narrow"/>
          <w:color w:val="000000"/>
          <w:spacing w:val="0"/>
          <w:w w:val="100"/>
          <w:position w:val="0"/>
        </w:rPr>
        <w:t>”</w:t>
      </w:r>
      <w:r>
        <w:rPr>
          <w:color w:val="000000"/>
          <w:spacing w:val="0"/>
          <w:w w:val="100"/>
          <w:position w:val="0"/>
        </w:rPr>
        <w:t>变化的减值模型分别计量预期信用损失，具体包括：</w:t>
      </w:r>
    </w:p>
    <w:p>
      <w:pPr>
        <w:pStyle w:val="Style16"/>
        <w:keepNext w:val="0"/>
        <w:keepLines w:val="0"/>
        <w:widowControl w:val="0"/>
        <w:numPr>
          <w:ilvl w:val="0"/>
          <w:numId w:val="31"/>
        </w:numPr>
        <w:shd w:val="clear" w:color="auto" w:fill="auto"/>
        <w:bidi w:val="0"/>
        <w:spacing w:before="0" w:after="40" w:line="240" w:lineRule="auto"/>
        <w:ind w:left="0" w:right="0" w:firstLine="440"/>
        <w:jc w:val="both"/>
      </w:pPr>
      <w:bookmarkStart w:id="833" w:name="bookmark833"/>
      <w:bookmarkEnd w:id="833"/>
      <w:r>
        <w:rPr>
          <w:color w:val="000000"/>
          <w:spacing w:val="0"/>
          <w:w w:val="100"/>
          <w:position w:val="0"/>
        </w:rPr>
        <w:t xml:space="preserve">第一阶段：在资产负债表日信用风险较低的金融工具，或初始确认后信用风险未显著 </w:t>
      </w:r>
      <w:r>
        <w:rPr>
          <w:color w:val="000000"/>
          <w:spacing w:val="0"/>
          <w:w w:val="100"/>
          <w:position w:val="0"/>
        </w:rPr>
        <w:t>增加的金融工具，按照相当于该金融工具未来</w:t>
      </w:r>
      <w:r>
        <w:rPr>
          <w:rFonts w:ascii="Times New Roman" w:eastAsia="Times New Roman" w:hAnsi="Times New Roman" w:cs="Times New Roman"/>
          <w:color w:val="000000"/>
          <w:spacing w:val="0"/>
          <w:w w:val="100"/>
          <w:position w:val="0"/>
        </w:rPr>
        <w:t>12</w:t>
      </w:r>
      <w:r>
        <w:rPr>
          <w:color w:val="000000"/>
          <w:spacing w:val="0"/>
          <w:w w:val="100"/>
          <w:position w:val="0"/>
        </w:rPr>
        <w:t>个月内（若预期存续期少于</w:t>
      </w:r>
      <w:r>
        <w:rPr>
          <w:rFonts w:ascii="Times New Roman" w:eastAsia="Times New Roman" w:hAnsi="Times New Roman" w:cs="Times New Roman"/>
          <w:color w:val="000000"/>
          <w:spacing w:val="0"/>
          <w:w w:val="100"/>
          <w:position w:val="0"/>
        </w:rPr>
        <w:t>12</w:t>
      </w:r>
      <w:r>
        <w:rPr>
          <w:color w:val="000000"/>
          <w:spacing w:val="0"/>
          <w:w w:val="100"/>
          <w:position w:val="0"/>
        </w:rPr>
        <w:t>个月，则为 预期存续期内）预期信用损失的金额计量其损失准备；</w:t>
      </w:r>
    </w:p>
    <w:p>
      <w:pPr>
        <w:pStyle w:val="Style16"/>
        <w:keepNext w:val="0"/>
        <w:keepLines w:val="0"/>
        <w:widowControl w:val="0"/>
        <w:numPr>
          <w:ilvl w:val="0"/>
          <w:numId w:val="31"/>
        </w:numPr>
        <w:shd w:val="clear" w:color="auto" w:fill="auto"/>
        <w:tabs>
          <w:tab w:pos="796" w:val="left"/>
        </w:tabs>
        <w:bidi w:val="0"/>
        <w:spacing w:before="0" w:after="40" w:line="401" w:lineRule="exact"/>
        <w:ind w:left="0" w:right="0" w:firstLine="440"/>
        <w:jc w:val="both"/>
      </w:pPr>
      <w:bookmarkStart w:id="834" w:name="bookmark834"/>
      <w:bookmarkEnd w:id="834"/>
      <w:r>
        <w:rPr>
          <w:color w:val="000000"/>
          <w:spacing w:val="0"/>
          <w:w w:val="100"/>
          <w:position w:val="0"/>
        </w:rPr>
        <w:t>第二阶段：自初始确认后信用风险已显著增加的金融工具，但未发生信用减值，即不 存在表明金融工具发生信用损失事件的客观证据，按照相当于该金融工具整个存续期内预期 信用损失的金额计量其损失准备；</w:t>
      </w:r>
    </w:p>
    <w:p>
      <w:pPr>
        <w:pStyle w:val="Style16"/>
        <w:keepNext w:val="0"/>
        <w:keepLines w:val="0"/>
        <w:widowControl w:val="0"/>
        <w:numPr>
          <w:ilvl w:val="0"/>
          <w:numId w:val="31"/>
        </w:numPr>
        <w:shd w:val="clear" w:color="auto" w:fill="auto"/>
        <w:tabs>
          <w:tab w:pos="792" w:val="left"/>
        </w:tabs>
        <w:bidi w:val="0"/>
        <w:spacing w:before="0" w:after="40" w:line="413" w:lineRule="exact"/>
        <w:ind w:left="0" w:right="0" w:firstLine="440"/>
        <w:jc w:val="both"/>
      </w:pPr>
      <w:bookmarkStart w:id="835" w:name="bookmark835"/>
      <w:bookmarkEnd w:id="835"/>
      <w:r>
        <w:rPr>
          <w:color w:val="000000"/>
          <w:spacing w:val="0"/>
          <w:w w:val="100"/>
          <w:position w:val="0"/>
        </w:rPr>
        <w:t>第三阶段：初始确认后已发生信用减值的金融工具，按照相当于该金融工具整个存续 期内预期信用损失的金额计量其损失准备。</w:t>
      </w:r>
    </w:p>
    <w:p>
      <w:pPr>
        <w:pStyle w:val="Style16"/>
        <w:keepNext w:val="0"/>
        <w:keepLines w:val="0"/>
        <w:widowControl w:val="0"/>
        <w:shd w:val="clear" w:color="auto" w:fill="auto"/>
        <w:bidi w:val="0"/>
        <w:spacing w:before="0" w:after="40" w:line="408" w:lineRule="exact"/>
        <w:ind w:left="0" w:right="0" w:firstLine="440"/>
        <w:jc w:val="both"/>
      </w:pPr>
      <w:r>
        <w:rPr>
          <w:color w:val="000000"/>
          <w:spacing w:val="0"/>
          <w:w w:val="100"/>
          <w:position w:val="0"/>
        </w:rPr>
        <w:t>对于购买或源生的已发生信用减值的金融资产，将自初始确认后整个存续期内预期信用 损失的累计变动确认为损失准备。对于符合准则规定条件且如适用证券公司已做出相应会计 政策选择的应收款项、租赁应收款和合同资产，应当始终按照相当于整个存续期内预期信用 损失的金额计量其损失准备。</w:t>
      </w:r>
    </w:p>
    <w:p>
      <w:pPr>
        <w:pStyle w:val="Style16"/>
        <w:keepNext w:val="0"/>
        <w:keepLines w:val="0"/>
        <w:widowControl w:val="0"/>
        <w:shd w:val="clear" w:color="auto" w:fill="auto"/>
        <w:bidi w:val="0"/>
        <w:spacing w:before="0" w:after="40" w:line="408" w:lineRule="exact"/>
        <w:ind w:left="0" w:right="0" w:firstLine="440"/>
        <w:jc w:val="both"/>
      </w:pPr>
      <w:r>
        <w:rPr>
          <w:color w:val="000000"/>
          <w:spacing w:val="0"/>
          <w:w w:val="100"/>
          <w:position w:val="0"/>
        </w:rPr>
        <w:t>对于上述金融资产，管理层运用包含违约概率、违约损失率及违约风险敞口等关键参数 的风险参数模型法评估损失准备并均考虑了前瞻性因素。</w:t>
      </w:r>
    </w:p>
    <w:p>
      <w:pPr>
        <w:pStyle w:val="Style16"/>
        <w:keepNext w:val="0"/>
        <w:keepLines w:val="0"/>
        <w:widowControl w:val="0"/>
        <w:shd w:val="clear" w:color="auto" w:fill="auto"/>
        <w:bidi w:val="0"/>
        <w:spacing w:before="0" w:after="40" w:line="408" w:lineRule="exact"/>
        <w:ind w:left="0" w:right="0" w:firstLine="440"/>
        <w:jc w:val="both"/>
      </w:pPr>
      <w:r>
        <w:rPr>
          <w:color w:val="000000"/>
          <w:spacing w:val="0"/>
          <w:w w:val="100"/>
          <w:position w:val="0"/>
        </w:rPr>
        <w:t>本公司根据会计准则的要求在预期信用损失计量中使用了判断、假设和估计，包括：</w:t>
      </w:r>
    </w:p>
    <w:p>
      <w:pPr>
        <w:pStyle w:val="Style16"/>
        <w:keepNext w:val="0"/>
        <w:keepLines w:val="0"/>
        <w:widowControl w:val="0"/>
        <w:numPr>
          <w:ilvl w:val="0"/>
          <w:numId w:val="33"/>
        </w:numPr>
        <w:shd w:val="clear" w:color="auto" w:fill="auto"/>
        <w:tabs>
          <w:tab w:pos="814" w:val="left"/>
        </w:tabs>
        <w:bidi w:val="0"/>
        <w:spacing w:before="0" w:after="40" w:line="408" w:lineRule="exact"/>
        <w:ind w:left="0" w:right="0" w:firstLine="440"/>
        <w:jc w:val="both"/>
      </w:pPr>
      <w:bookmarkStart w:id="836" w:name="bookmark836"/>
      <w:bookmarkEnd w:id="836"/>
      <w:r>
        <w:rPr>
          <w:color w:val="000000"/>
          <w:spacing w:val="0"/>
          <w:w w:val="100"/>
          <w:position w:val="0"/>
        </w:rPr>
        <w:t>判断信用风险显著增加的标准；</w:t>
      </w:r>
    </w:p>
    <w:p>
      <w:pPr>
        <w:pStyle w:val="Style16"/>
        <w:keepNext w:val="0"/>
        <w:keepLines w:val="0"/>
        <w:widowControl w:val="0"/>
        <w:numPr>
          <w:ilvl w:val="0"/>
          <w:numId w:val="33"/>
        </w:numPr>
        <w:shd w:val="clear" w:color="auto" w:fill="auto"/>
        <w:tabs>
          <w:tab w:pos="819" w:val="left"/>
        </w:tabs>
        <w:bidi w:val="0"/>
        <w:spacing w:before="0" w:after="40" w:line="408" w:lineRule="exact"/>
        <w:ind w:left="0" w:right="0" w:firstLine="440"/>
        <w:jc w:val="both"/>
      </w:pPr>
      <w:bookmarkStart w:id="837" w:name="bookmark837"/>
      <w:bookmarkEnd w:id="837"/>
      <w:r>
        <w:rPr>
          <w:color w:val="000000"/>
          <w:spacing w:val="0"/>
          <w:w w:val="100"/>
          <w:position w:val="0"/>
        </w:rPr>
        <w:t>选择计量预期信用损失的适当模型和假设；</w:t>
      </w:r>
    </w:p>
    <w:p>
      <w:pPr>
        <w:pStyle w:val="Style16"/>
        <w:keepNext w:val="0"/>
        <w:keepLines w:val="0"/>
        <w:widowControl w:val="0"/>
        <w:numPr>
          <w:ilvl w:val="0"/>
          <w:numId w:val="33"/>
        </w:numPr>
        <w:shd w:val="clear" w:color="auto" w:fill="auto"/>
        <w:tabs>
          <w:tab w:pos="819" w:val="left"/>
        </w:tabs>
        <w:bidi w:val="0"/>
        <w:spacing w:before="0" w:after="360" w:line="408" w:lineRule="exact"/>
        <w:ind w:left="0" w:right="0" w:firstLine="440"/>
        <w:jc w:val="both"/>
      </w:pPr>
      <w:bookmarkStart w:id="838" w:name="bookmark838"/>
      <w:bookmarkEnd w:id="838"/>
      <w:r>
        <w:rPr>
          <w:color w:val="000000"/>
          <w:spacing w:val="0"/>
          <w:w w:val="100"/>
          <w:position w:val="0"/>
        </w:rPr>
        <w:t>针对不同类型的产品，在计量预期信用损失时确定需要使用的前瞻性信息和权重。</w:t>
      </w:r>
    </w:p>
    <w:p>
      <w:pPr>
        <w:pStyle w:val="Style51"/>
        <w:keepNext/>
        <w:keepLines/>
        <w:widowControl w:val="0"/>
        <w:shd w:val="clear" w:color="auto" w:fill="auto"/>
        <w:bidi w:val="0"/>
        <w:spacing w:before="0" w:after="40" w:line="408" w:lineRule="exact"/>
        <w:ind w:left="0" w:right="0" w:firstLine="440"/>
        <w:jc w:val="both"/>
      </w:pPr>
      <w:bookmarkStart w:id="839" w:name="bookmark839"/>
      <w:bookmarkStart w:id="840" w:name="bookmark840"/>
      <w:bookmarkStart w:id="841" w:name="bookmark841"/>
      <w:bookmarkStart w:id="842" w:name="bookmark842"/>
      <w:r>
        <w:rPr>
          <w:color w:val="000000"/>
          <w:spacing w:val="0"/>
          <w:w w:val="100"/>
          <w:position w:val="0"/>
        </w:rPr>
        <w:t>（</w:t>
      </w:r>
      <w:bookmarkEnd w:id="841"/>
      <w:r>
        <w:rPr>
          <w:rFonts w:ascii="Times New Roman" w:eastAsia="Times New Roman" w:hAnsi="Times New Roman" w:cs="Times New Roman"/>
          <w:color w:val="000000"/>
          <w:spacing w:val="0"/>
          <w:w w:val="100"/>
          <w:position w:val="0"/>
        </w:rPr>
        <w:t>2</w:t>
      </w:r>
      <w:r>
        <w:rPr>
          <w:color w:val="000000"/>
          <w:spacing w:val="0"/>
          <w:w w:val="100"/>
          <w:position w:val="0"/>
        </w:rPr>
        <w:t>）预期信用损失计量的参数、假设及估计技术</w:t>
      </w:r>
      <w:bookmarkEnd w:id="839"/>
      <w:bookmarkEnd w:id="840"/>
      <w:bookmarkEnd w:id="842"/>
    </w:p>
    <w:p>
      <w:pPr>
        <w:pStyle w:val="Style16"/>
        <w:keepNext w:val="0"/>
        <w:keepLines w:val="0"/>
        <w:widowControl w:val="0"/>
        <w:shd w:val="clear" w:color="auto" w:fill="auto"/>
        <w:bidi w:val="0"/>
        <w:spacing w:before="0" w:after="40" w:line="410" w:lineRule="exact"/>
        <w:ind w:left="0" w:right="0" w:firstLine="440"/>
        <w:jc w:val="both"/>
      </w:pPr>
      <w:r>
        <w:rPr>
          <w:color w:val="000000"/>
          <w:spacing w:val="0"/>
          <w:w w:val="100"/>
          <w:position w:val="0"/>
        </w:rPr>
        <w:t xml:space="preserve">根据信用风险是否显著增加以及是否发生信用减值，本公司对不同的金融资产分别以 </w:t>
      </w:r>
      <w:r>
        <w:rPr>
          <w:rFonts w:ascii="Times New Roman" w:eastAsia="Times New Roman" w:hAnsi="Times New Roman" w:cs="Times New Roman"/>
          <w:color w:val="000000"/>
          <w:spacing w:val="0"/>
          <w:w w:val="100"/>
          <w:position w:val="0"/>
        </w:rPr>
        <w:t>12</w:t>
      </w:r>
      <w:r>
        <w:rPr>
          <w:color w:val="000000"/>
          <w:spacing w:val="0"/>
          <w:w w:val="100"/>
          <w:position w:val="0"/>
        </w:rPr>
        <w:t>个月或整个存续期的预期信用损失计量减值准备。在计量预期信用损失时，本公司考虑 了前瞻性信息的影响。</w:t>
      </w:r>
    </w:p>
    <w:p>
      <w:pPr>
        <w:pStyle w:val="Style16"/>
        <w:keepNext w:val="0"/>
        <w:keepLines w:val="0"/>
        <w:widowControl w:val="0"/>
        <w:shd w:val="clear" w:color="auto" w:fill="auto"/>
        <w:bidi w:val="0"/>
        <w:spacing w:before="0" w:after="40" w:line="398" w:lineRule="exact"/>
        <w:ind w:left="0" w:right="0" w:firstLine="440"/>
        <w:jc w:val="both"/>
      </w:pPr>
      <w:r>
        <w:rPr>
          <w:color w:val="000000"/>
          <w:spacing w:val="0"/>
          <w:w w:val="100"/>
          <w:position w:val="0"/>
        </w:rPr>
        <w:t>金融工具的预期信用损失为考虑了前瞻性影响的违约概率</w:t>
      </w:r>
      <w:r>
        <w:rPr>
          <w:color w:val="000000"/>
          <w:spacing w:val="0"/>
          <w:w w:val="100"/>
          <w:position w:val="0"/>
          <w:sz w:val="20"/>
          <w:szCs w:val="20"/>
        </w:rPr>
        <w:t>（</w:t>
      </w:r>
      <w:r>
        <w:rPr>
          <w:rFonts w:ascii="Arial" w:eastAsia="Arial" w:hAnsi="Arial" w:cs="Arial"/>
          <w:color w:val="000000"/>
          <w:spacing w:val="0"/>
          <w:w w:val="100"/>
          <w:position w:val="0"/>
          <w:sz w:val="17"/>
          <w:szCs w:val="17"/>
        </w:rPr>
        <w:t>PD）</w:t>
      </w:r>
      <w:r>
        <w:rPr>
          <w:color w:val="000000"/>
          <w:spacing w:val="0"/>
          <w:w w:val="100"/>
          <w:position w:val="0"/>
        </w:rPr>
        <w:t>、</w:t>
      </w:r>
      <w:r>
        <w:rPr>
          <w:color w:val="000000"/>
          <w:spacing w:val="0"/>
          <w:w w:val="100"/>
          <w:position w:val="0"/>
        </w:rPr>
        <w:t>违约风险敞口</w:t>
      </w:r>
      <w:r>
        <w:rPr>
          <w:color w:val="000000"/>
          <w:spacing w:val="0"/>
          <w:w w:val="100"/>
          <w:position w:val="0"/>
          <w:sz w:val="20"/>
          <w:szCs w:val="20"/>
        </w:rPr>
        <w:t>（</w:t>
      </w:r>
      <w:r>
        <w:rPr>
          <w:rFonts w:ascii="Arial" w:eastAsia="Arial" w:hAnsi="Arial" w:cs="Arial"/>
          <w:color w:val="000000"/>
          <w:spacing w:val="0"/>
          <w:w w:val="100"/>
          <w:position w:val="0"/>
          <w:sz w:val="17"/>
          <w:szCs w:val="17"/>
        </w:rPr>
        <w:t>EAD）</w:t>
      </w:r>
      <w:r>
        <w:rPr>
          <w:color w:val="000000"/>
          <w:spacing w:val="0"/>
          <w:w w:val="100"/>
          <w:position w:val="0"/>
        </w:rPr>
        <w:t xml:space="preserve">、 </w:t>
      </w:r>
      <w:r>
        <w:rPr>
          <w:color w:val="000000"/>
          <w:spacing w:val="0"/>
          <w:w w:val="100"/>
          <w:position w:val="0"/>
        </w:rPr>
        <w:t>违约损失率</w:t>
      </w:r>
      <w:r>
        <w:rPr>
          <w:color w:val="000000"/>
          <w:spacing w:val="0"/>
          <w:w w:val="100"/>
          <w:position w:val="0"/>
          <w:sz w:val="20"/>
          <w:szCs w:val="20"/>
        </w:rPr>
        <w:t>（</w:t>
      </w:r>
      <w:r>
        <w:rPr>
          <w:rFonts w:ascii="Arial" w:eastAsia="Arial" w:hAnsi="Arial" w:cs="Arial"/>
          <w:color w:val="000000"/>
          <w:spacing w:val="0"/>
          <w:w w:val="100"/>
          <w:position w:val="0"/>
          <w:sz w:val="17"/>
          <w:szCs w:val="17"/>
        </w:rPr>
        <w:t>LGD）</w:t>
      </w:r>
      <w:r>
        <w:rPr>
          <w:color w:val="000000"/>
          <w:spacing w:val="0"/>
          <w:w w:val="100"/>
          <w:position w:val="0"/>
        </w:rPr>
        <w:t>三者乘积作为未来现金流折现至当期的结果：</w:t>
      </w:r>
    </w:p>
    <w:p>
      <w:pPr>
        <w:pStyle w:val="Style16"/>
        <w:keepNext w:val="0"/>
        <w:keepLines w:val="0"/>
        <w:widowControl w:val="0"/>
        <w:shd w:val="clear" w:color="auto" w:fill="auto"/>
        <w:bidi w:val="0"/>
        <w:spacing w:before="0" w:after="40" w:line="408" w:lineRule="exact"/>
        <w:ind w:left="0" w:right="0" w:firstLine="440"/>
        <w:jc w:val="both"/>
      </w:pPr>
      <w:r>
        <w:rPr>
          <w:color w:val="000000"/>
          <w:spacing w:val="0"/>
          <w:w w:val="100"/>
          <w:position w:val="0"/>
        </w:rPr>
        <w:t>违约概率是指借款人在未来</w:t>
      </w:r>
      <w:r>
        <w:rPr>
          <w:rFonts w:ascii="Times New Roman" w:eastAsia="Times New Roman" w:hAnsi="Times New Roman" w:cs="Times New Roman"/>
          <w:color w:val="000000"/>
          <w:spacing w:val="0"/>
          <w:w w:val="100"/>
          <w:position w:val="0"/>
        </w:rPr>
        <w:t>12</w:t>
      </w:r>
      <w:r>
        <w:rPr>
          <w:color w:val="000000"/>
          <w:spacing w:val="0"/>
          <w:w w:val="100"/>
          <w:position w:val="0"/>
        </w:rPr>
        <w:t>个月或在整个剩余存续期，无法履行其偿付义务的可能 性。违约是指未按合同约定偿付债务，或其他违反债务合同且对正常偿还债务产生重大影响 的行为。本公司计算违约概率考虑的主要因素有债券投资业务经评估后的信用评级信息，融 出资金业务活跃客户的历史穿仓数据及各维持担保比率区间的风险系数调整信息，买入返售 金融资产中股票质押式回购及约定购回业务的客户内部评分经评估后映射的外部信用评级 信息等；</w:t>
      </w:r>
    </w:p>
    <w:p>
      <w:pPr>
        <w:pStyle w:val="Style16"/>
        <w:keepNext w:val="0"/>
        <w:keepLines w:val="0"/>
        <w:widowControl w:val="0"/>
        <w:shd w:val="clear" w:color="auto" w:fill="auto"/>
        <w:bidi w:val="0"/>
        <w:spacing w:before="0" w:after="200" w:line="413" w:lineRule="exact"/>
        <w:ind w:left="0" w:right="0" w:firstLine="440"/>
        <w:jc w:val="both"/>
      </w:pPr>
      <w:r>
        <w:rPr>
          <w:color w:val="000000"/>
          <w:spacing w:val="0"/>
          <w:w w:val="100"/>
          <w:position w:val="0"/>
        </w:rPr>
        <w:t>违约风险敞口是指对未来某个时点风险敞口的估计,反映违约时点后合同应收的全部现 金流按实际利率折现（如需）到违约时点的现值；</w:t>
      </w:r>
    </w:p>
    <w:p>
      <w:pPr>
        <w:pStyle w:val="Style16"/>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违约损失率是指本公司对违约风险敞口发生损失程度作出的预期。本公司债券投资业务 </w:t>
      </w:r>
      <w:r>
        <w:rPr>
          <w:color w:val="000000"/>
          <w:spacing w:val="0"/>
          <w:w w:val="100"/>
          <w:position w:val="0"/>
        </w:rPr>
        <w:t>使用基于公开市场数据中各类债券历史违约清收数据计算的历史损失率并评估其适当性；融 出资金业务使用基于维持担保比例及</w:t>
      </w:r>
      <w:r>
        <w:rPr>
          <w:rFonts w:ascii="Arial" w:eastAsia="Arial" w:hAnsi="Arial" w:cs="Arial"/>
          <w:color w:val="000000"/>
          <w:spacing w:val="0"/>
          <w:w w:val="100"/>
          <w:position w:val="0"/>
          <w:sz w:val="17"/>
          <w:szCs w:val="17"/>
        </w:rPr>
        <w:t>A</w:t>
      </w:r>
      <w:r>
        <w:rPr>
          <w:color w:val="000000"/>
          <w:spacing w:val="0"/>
          <w:w w:val="100"/>
          <w:position w:val="0"/>
        </w:rPr>
        <w:t>股一定期间内的股票连续跌停的数据统计测算的历 史损失率并评估其适当性；买入返售金融资产中股票质押式回购及约定购回业务使用考虑担 保物流通性折扣等因素后抵质押物最小可回收金额计算的损失率并评估其适当性。</w:t>
      </w:r>
    </w:p>
    <w:p>
      <w:pPr>
        <w:pStyle w:val="Style16"/>
        <w:keepNext w:val="0"/>
        <w:keepLines w:val="0"/>
        <w:widowControl w:val="0"/>
        <w:shd w:val="clear" w:color="auto" w:fill="auto"/>
        <w:bidi w:val="0"/>
        <w:spacing w:before="0" w:after="480" w:line="418" w:lineRule="exact"/>
        <w:ind w:left="0" w:right="0" w:firstLine="440"/>
        <w:jc w:val="both"/>
      </w:pPr>
      <w:r>
        <w:rPr>
          <w:color w:val="000000"/>
          <w:spacing w:val="0"/>
          <w:w w:val="100"/>
          <w:position w:val="0"/>
        </w:rPr>
        <w:t>前瞻性调整是公司在计算预期信用损失时考虑宏观经济因素、行业政策和行业环境对预 期信用损失的影响，公司使用经前瞻性调整后的违约概率计算预期信用损失。</w:t>
      </w:r>
    </w:p>
    <w:p>
      <w:pPr>
        <w:pStyle w:val="Style51"/>
        <w:keepNext/>
        <w:keepLines/>
        <w:widowControl w:val="0"/>
        <w:shd w:val="clear" w:color="auto" w:fill="auto"/>
        <w:tabs>
          <w:tab w:pos="897" w:val="left"/>
        </w:tabs>
        <w:bidi w:val="0"/>
        <w:spacing w:before="0" w:after="0" w:line="409" w:lineRule="exact"/>
        <w:ind w:left="0" w:right="0" w:firstLine="440"/>
        <w:jc w:val="both"/>
      </w:pPr>
      <w:bookmarkStart w:id="843" w:name="bookmark843"/>
      <w:bookmarkStart w:id="844" w:name="bookmark844"/>
      <w:bookmarkStart w:id="845" w:name="bookmark845"/>
      <w:bookmarkStart w:id="846" w:name="bookmark846"/>
      <w:r>
        <w:rPr>
          <w:color w:val="000000"/>
          <w:spacing w:val="0"/>
          <w:w w:val="100"/>
          <w:position w:val="0"/>
        </w:rPr>
        <w:t>（</w:t>
      </w:r>
      <w:bookmarkEnd w:id="845"/>
      <w:r>
        <w:rPr>
          <w:rFonts w:ascii="Times New Roman" w:eastAsia="Times New Roman" w:hAnsi="Times New Roman" w:cs="Times New Roman"/>
          <w:color w:val="000000"/>
          <w:spacing w:val="0"/>
          <w:w w:val="100"/>
          <w:position w:val="0"/>
        </w:rPr>
        <w:t>3</w:t>
      </w:r>
      <w:r>
        <w:rPr>
          <w:color w:val="000000"/>
          <w:spacing w:val="0"/>
          <w:w w:val="100"/>
          <w:position w:val="0"/>
        </w:rPr>
        <w:t>）</w:t>
        <w:tab/>
        <w:t>信用风险显著增加的判断标准</w:t>
      </w:r>
      <w:bookmarkEnd w:id="843"/>
      <w:bookmarkEnd w:id="844"/>
      <w:bookmarkEnd w:id="846"/>
    </w:p>
    <w:p>
      <w:pPr>
        <w:pStyle w:val="Style16"/>
        <w:keepNext w:val="0"/>
        <w:keepLines w:val="0"/>
        <w:widowControl w:val="0"/>
        <w:shd w:val="clear" w:color="auto" w:fill="auto"/>
        <w:bidi w:val="0"/>
        <w:spacing w:before="0" w:after="0" w:line="413" w:lineRule="exact"/>
        <w:ind w:left="0" w:right="0" w:firstLine="440"/>
        <w:jc w:val="both"/>
      </w:pPr>
      <w:r>
        <w:rPr>
          <w:color w:val="000000"/>
          <w:spacing w:val="0"/>
          <w:w w:val="100"/>
          <w:position w:val="0"/>
        </w:rPr>
        <w:t>本公司在每个资产负债表日评估相关金融工具的信用风险自初始确认后是否已显著增 加。本公司在进行金融资产损失准备阶段划分时，充分考虑了反映金融工具的信用风险是否 发生显著变化的各种合理且有依据的信息，包括前瞻性信息。当触发以下一个或多个定量和 定性指标时，本公司认为金融工具的信用风险已发生显著增加。</w:t>
      </w:r>
    </w:p>
    <w:p>
      <w:pPr>
        <w:pStyle w:val="Style16"/>
        <w:keepNext w:val="0"/>
        <w:keepLines w:val="0"/>
        <w:widowControl w:val="0"/>
        <w:shd w:val="clear" w:color="auto" w:fill="auto"/>
        <w:bidi w:val="0"/>
        <w:spacing w:before="0" w:after="0" w:line="408" w:lineRule="exact"/>
        <w:ind w:left="0" w:right="0" w:firstLine="440"/>
        <w:jc w:val="both"/>
      </w:pPr>
      <w:r>
        <w:rPr>
          <w:color w:val="000000"/>
          <w:spacing w:val="0"/>
          <w:w w:val="100"/>
          <w:position w:val="0"/>
        </w:rPr>
        <w:t>针对融资类业务，公司充分考虑融资主体的信用状况，合同期限，以及担保证券所属板 块、流动性、限售情况、集中度、波动性、履约保障情况、发行人经营情况等因素，为不同 融资主体或合约设置不同的预警线和平仓线。如果融资类业务本金或利息发生逾期，或融出 资金业务维持担保比例低于预警线，或买入返售金融资产中股票质押式回购及约定购回业务 履约保障比例持续低于平仓线，则表明其信用风险已经显著增加。</w:t>
      </w:r>
    </w:p>
    <w:p>
      <w:pPr>
        <w:pStyle w:val="Style16"/>
        <w:keepNext w:val="0"/>
        <w:keepLines w:val="0"/>
        <w:widowControl w:val="0"/>
        <w:shd w:val="clear" w:color="auto" w:fill="auto"/>
        <w:bidi w:val="0"/>
        <w:spacing w:before="0" w:after="0" w:line="408" w:lineRule="exact"/>
        <w:ind w:left="0" w:right="0" w:firstLine="440"/>
        <w:jc w:val="both"/>
      </w:pPr>
      <w:r>
        <w:rPr>
          <w:color w:val="000000"/>
          <w:spacing w:val="0"/>
          <w:w w:val="100"/>
          <w:position w:val="0"/>
        </w:rPr>
        <w:t>针对债券投资业务，如果债券发生逾期，或债券发行人的最新评级较初始确认时点债券 发行人下调至</w:t>
      </w:r>
      <w:r>
        <w:rPr>
          <w:rFonts w:ascii="Times New Roman" w:eastAsia="Times New Roman" w:hAnsi="Times New Roman" w:cs="Times New Roman"/>
          <w:color w:val="000000"/>
          <w:spacing w:val="0"/>
          <w:w w:val="100"/>
          <w:position w:val="0"/>
        </w:rPr>
        <w:t>AA</w:t>
      </w:r>
      <w:r>
        <w:rPr>
          <w:color w:val="000000"/>
          <w:spacing w:val="0"/>
          <w:w w:val="100"/>
          <w:position w:val="0"/>
        </w:rPr>
        <w:t>级以下，或债券发行人最新评级在投资级以下，或其他客观信息表明信用 风险显著增加的，则认为其信用风险显著增加。如果债券发行人有有效担保人，且有效担保 人主体评级高于债券发行人，则确认时点以担保人评级代替债券发行人评级。</w:t>
      </w:r>
    </w:p>
    <w:p>
      <w:pPr>
        <w:pStyle w:val="Style16"/>
        <w:keepNext w:val="0"/>
        <w:keepLines w:val="0"/>
        <w:widowControl w:val="0"/>
        <w:shd w:val="clear" w:color="auto" w:fill="auto"/>
        <w:bidi w:val="0"/>
        <w:spacing w:before="0" w:after="420" w:line="410" w:lineRule="exact"/>
        <w:ind w:left="0" w:right="0" w:firstLine="440"/>
        <w:jc w:val="both"/>
      </w:pPr>
      <w:r>
        <w:rPr>
          <w:color w:val="000000"/>
          <w:spacing w:val="0"/>
          <w:w w:val="100"/>
          <w:position w:val="0"/>
        </w:rPr>
        <w:t>如果金融资产的违约风险较低，借款人在短期内履行其合同现金流量义务的能力很强, 即便较长时期内经济形势和经营环境存在不利变化但未必一定降低借款人履行其合同现金 流量义务的能力，该金融工具被视为具有较低的信用风险。</w:t>
      </w:r>
    </w:p>
    <w:p>
      <w:pPr>
        <w:pStyle w:val="Style51"/>
        <w:keepNext/>
        <w:keepLines/>
        <w:widowControl w:val="0"/>
        <w:shd w:val="clear" w:color="auto" w:fill="auto"/>
        <w:tabs>
          <w:tab w:pos="897" w:val="left"/>
        </w:tabs>
        <w:bidi w:val="0"/>
        <w:spacing w:before="0" w:after="0" w:line="409" w:lineRule="exact"/>
        <w:ind w:left="0" w:right="0" w:firstLine="440"/>
        <w:jc w:val="both"/>
      </w:pPr>
      <w:bookmarkStart w:id="847" w:name="bookmark847"/>
      <w:bookmarkStart w:id="848" w:name="bookmark848"/>
      <w:bookmarkStart w:id="849" w:name="bookmark849"/>
      <w:bookmarkStart w:id="850" w:name="bookmark850"/>
      <w:r>
        <w:rPr>
          <w:color w:val="000000"/>
          <w:spacing w:val="0"/>
          <w:w w:val="100"/>
          <w:position w:val="0"/>
        </w:rPr>
        <w:t>（</w:t>
      </w:r>
      <w:bookmarkEnd w:id="849"/>
      <w:r>
        <w:rPr>
          <w:rFonts w:ascii="Times New Roman" w:eastAsia="Times New Roman" w:hAnsi="Times New Roman" w:cs="Times New Roman"/>
          <w:color w:val="000000"/>
          <w:spacing w:val="0"/>
          <w:w w:val="100"/>
          <w:position w:val="0"/>
        </w:rPr>
        <w:t>4</w:t>
      </w:r>
      <w:r>
        <w:rPr>
          <w:color w:val="000000"/>
          <w:spacing w:val="0"/>
          <w:w w:val="100"/>
          <w:position w:val="0"/>
        </w:rPr>
        <w:t>）</w:t>
        <w:tab/>
        <w:t>已发生信用减值资产的定义</w:t>
      </w:r>
      <w:bookmarkEnd w:id="847"/>
      <w:bookmarkEnd w:id="848"/>
      <w:bookmarkEnd w:id="850"/>
    </w:p>
    <w:p>
      <w:pPr>
        <w:pStyle w:val="Style16"/>
        <w:keepNext w:val="0"/>
        <w:keepLines w:val="0"/>
        <w:widowControl w:val="0"/>
        <w:shd w:val="clear" w:color="auto" w:fill="auto"/>
        <w:bidi w:val="0"/>
        <w:spacing w:before="0" w:after="0" w:line="413" w:lineRule="exact"/>
        <w:ind w:left="0" w:right="0" w:firstLine="440"/>
        <w:jc w:val="both"/>
      </w:pPr>
      <w:r>
        <w:rPr>
          <w:color w:val="000000"/>
          <w:spacing w:val="0"/>
          <w:w w:val="100"/>
          <w:position w:val="0"/>
        </w:rPr>
        <w:t>根据新金融工具准则判断金融工具是否发生信用减值时，本公司所采用的界定标准，与 内部针对相关金融工具的信用风险管理目标保持一致，同时考虑定量、定性指标。当金融工 具符合以下一项或多项条件时，本公司将该金融资产界定为已发生信用减值：</w:t>
      </w:r>
    </w:p>
    <w:p>
      <w:pPr>
        <w:pStyle w:val="Style16"/>
        <w:keepNext w:val="0"/>
        <w:keepLines w:val="0"/>
        <w:widowControl w:val="0"/>
        <w:numPr>
          <w:ilvl w:val="0"/>
          <w:numId w:val="35"/>
        </w:numPr>
        <w:shd w:val="clear" w:color="auto" w:fill="auto"/>
        <w:tabs>
          <w:tab w:pos="796" w:val="left"/>
        </w:tabs>
        <w:bidi w:val="0"/>
        <w:spacing w:before="0" w:after="0" w:line="409" w:lineRule="exact"/>
        <w:ind w:left="0" w:right="0" w:firstLine="440"/>
        <w:jc w:val="left"/>
      </w:pPr>
      <w:bookmarkStart w:id="851" w:name="bookmark851"/>
      <w:bookmarkEnd w:id="851"/>
      <w:r>
        <w:rPr>
          <w:color w:val="000000"/>
          <w:spacing w:val="0"/>
          <w:w w:val="100"/>
          <w:position w:val="0"/>
        </w:rPr>
        <w:t>债务人在合同付款日后未按期偿付本金或利息；</w:t>
      </w:r>
    </w:p>
    <w:p>
      <w:pPr>
        <w:pStyle w:val="Style16"/>
        <w:keepNext w:val="0"/>
        <w:keepLines w:val="0"/>
        <w:widowControl w:val="0"/>
        <w:numPr>
          <w:ilvl w:val="0"/>
          <w:numId w:val="35"/>
        </w:numPr>
        <w:shd w:val="clear" w:color="auto" w:fill="auto"/>
        <w:tabs>
          <w:tab w:pos="801" w:val="left"/>
        </w:tabs>
        <w:bidi w:val="0"/>
        <w:spacing w:before="0" w:after="0" w:line="409" w:lineRule="exact"/>
        <w:ind w:left="0" w:right="0" w:firstLine="440"/>
        <w:jc w:val="left"/>
      </w:pPr>
      <w:bookmarkStart w:id="852" w:name="bookmark852"/>
      <w:bookmarkEnd w:id="852"/>
      <w:r>
        <w:rPr>
          <w:color w:val="000000"/>
          <w:spacing w:val="0"/>
          <w:w w:val="100"/>
          <w:position w:val="0"/>
        </w:rPr>
        <w:t>融资类金融资产业务采取强制平仓措施、担保物价值已经不能覆盖融资金额；</w:t>
      </w:r>
    </w:p>
    <w:p>
      <w:pPr>
        <w:pStyle w:val="Style16"/>
        <w:keepNext w:val="0"/>
        <w:keepLines w:val="0"/>
        <w:widowControl w:val="0"/>
        <w:numPr>
          <w:ilvl w:val="0"/>
          <w:numId w:val="35"/>
        </w:numPr>
        <w:shd w:val="clear" w:color="auto" w:fill="auto"/>
        <w:tabs>
          <w:tab w:pos="801" w:val="left"/>
        </w:tabs>
        <w:bidi w:val="0"/>
        <w:spacing w:before="0" w:after="0" w:line="409" w:lineRule="exact"/>
        <w:ind w:left="0" w:right="0" w:firstLine="440"/>
        <w:jc w:val="left"/>
      </w:pPr>
      <w:bookmarkStart w:id="853" w:name="bookmark853"/>
      <w:bookmarkEnd w:id="853"/>
      <w:r>
        <w:rPr>
          <w:color w:val="000000"/>
          <w:spacing w:val="0"/>
          <w:w w:val="100"/>
          <w:position w:val="0"/>
        </w:rPr>
        <w:t>债券发行人或债券的最新外部评级存在违约级别；</w:t>
      </w:r>
    </w:p>
    <w:p>
      <w:pPr>
        <w:pStyle w:val="Style16"/>
        <w:keepNext w:val="0"/>
        <w:keepLines w:val="0"/>
        <w:widowControl w:val="0"/>
        <w:numPr>
          <w:ilvl w:val="0"/>
          <w:numId w:val="35"/>
        </w:numPr>
        <w:shd w:val="clear" w:color="auto" w:fill="auto"/>
        <w:tabs>
          <w:tab w:pos="801" w:val="left"/>
        </w:tabs>
        <w:bidi w:val="0"/>
        <w:spacing w:before="0" w:after="0" w:line="409" w:lineRule="exact"/>
        <w:ind w:left="0" w:right="0" w:firstLine="440"/>
        <w:jc w:val="left"/>
      </w:pPr>
      <w:bookmarkStart w:id="854" w:name="bookmark854"/>
      <w:bookmarkEnd w:id="854"/>
      <w:r>
        <w:rPr>
          <w:color w:val="000000"/>
          <w:spacing w:val="0"/>
          <w:w w:val="100"/>
          <w:position w:val="0"/>
        </w:rPr>
        <w:t>债务人发生重大财务困难或不能履行回售义务；</w:t>
      </w:r>
    </w:p>
    <w:p>
      <w:pPr>
        <w:pStyle w:val="Style16"/>
        <w:keepNext w:val="0"/>
        <w:keepLines w:val="0"/>
        <w:widowControl w:val="0"/>
        <w:numPr>
          <w:ilvl w:val="0"/>
          <w:numId w:val="35"/>
        </w:numPr>
        <w:shd w:val="clear" w:color="auto" w:fill="auto"/>
        <w:tabs>
          <w:tab w:pos="801" w:val="left"/>
        </w:tabs>
        <w:bidi w:val="0"/>
        <w:spacing w:before="0" w:after="0" w:line="410" w:lineRule="exact"/>
        <w:ind w:left="0" w:right="0" w:firstLine="440"/>
        <w:jc w:val="left"/>
      </w:pPr>
      <w:bookmarkStart w:id="855" w:name="bookmark855"/>
      <w:bookmarkEnd w:id="855"/>
      <w:r>
        <w:rPr>
          <w:color w:val="000000"/>
          <w:spacing w:val="0"/>
          <w:w w:val="100"/>
          <w:position w:val="0"/>
        </w:rPr>
        <w:t>债务人丧失清偿能力、被法院指定管理人或已开始相关的诉讼程序；</w:t>
      </w:r>
    </w:p>
    <w:p>
      <w:pPr>
        <w:pStyle w:val="Style16"/>
        <w:keepNext w:val="0"/>
        <w:keepLines w:val="0"/>
        <w:widowControl w:val="0"/>
        <w:numPr>
          <w:ilvl w:val="0"/>
          <w:numId w:val="35"/>
        </w:numPr>
        <w:shd w:val="clear" w:color="auto" w:fill="auto"/>
        <w:tabs>
          <w:tab w:pos="801" w:val="left"/>
        </w:tabs>
        <w:bidi w:val="0"/>
        <w:spacing w:before="0" w:after="0" w:line="410" w:lineRule="exact"/>
        <w:ind w:left="0" w:right="0" w:firstLine="440"/>
        <w:jc w:val="left"/>
      </w:pPr>
      <w:bookmarkStart w:id="856" w:name="bookmark856"/>
      <w:bookmarkEnd w:id="856"/>
      <w:r>
        <w:rPr>
          <w:color w:val="000000"/>
          <w:spacing w:val="0"/>
          <w:w w:val="100"/>
          <w:position w:val="0"/>
        </w:rPr>
        <w:t>债权人由于债务人的财务困难作出让步；</w:t>
      </w:r>
    </w:p>
    <w:p>
      <w:pPr>
        <w:pStyle w:val="Style16"/>
        <w:keepNext w:val="0"/>
        <w:keepLines w:val="0"/>
        <w:widowControl w:val="0"/>
        <w:numPr>
          <w:ilvl w:val="0"/>
          <w:numId w:val="35"/>
        </w:numPr>
        <w:shd w:val="clear" w:color="auto" w:fill="auto"/>
        <w:tabs>
          <w:tab w:pos="801" w:val="left"/>
        </w:tabs>
        <w:bidi w:val="0"/>
        <w:spacing w:before="0" w:after="0" w:line="410" w:lineRule="exact"/>
        <w:ind w:left="0" w:right="0" w:firstLine="440"/>
        <w:jc w:val="left"/>
      </w:pPr>
      <w:bookmarkStart w:id="857" w:name="bookmark857"/>
      <w:bookmarkEnd w:id="857"/>
      <w:r>
        <w:rPr>
          <w:color w:val="000000"/>
          <w:spacing w:val="0"/>
          <w:w w:val="100"/>
          <w:position w:val="0"/>
        </w:rPr>
        <w:t>债务人很可能破产或其他财务重组等。</w:t>
      </w:r>
    </w:p>
    <w:p>
      <w:pPr>
        <w:pStyle w:val="Style16"/>
        <w:keepNext w:val="0"/>
        <w:keepLines w:val="0"/>
        <w:widowControl w:val="0"/>
        <w:shd w:val="clear" w:color="auto" w:fill="auto"/>
        <w:bidi w:val="0"/>
        <w:spacing w:before="0" w:after="420" w:line="413" w:lineRule="exact"/>
        <w:ind w:left="0" w:right="0" w:firstLine="440"/>
        <w:jc w:val="both"/>
      </w:pPr>
      <w:r>
        <w:rPr>
          <w:color w:val="000000"/>
          <w:spacing w:val="0"/>
          <w:w w:val="100"/>
          <w:position w:val="0"/>
        </w:rPr>
        <w:t>金融资产发生信用减值时，有可能是多个事件的共同作用所致，未必是可单独识别的事 件所致。</w:t>
      </w:r>
    </w:p>
    <w:p>
      <w:pPr>
        <w:pStyle w:val="Style51"/>
        <w:keepNext/>
        <w:keepLines/>
        <w:widowControl w:val="0"/>
        <w:shd w:val="clear" w:color="auto" w:fill="auto"/>
        <w:bidi w:val="0"/>
        <w:spacing w:before="0" w:after="0" w:line="410" w:lineRule="exact"/>
        <w:ind w:left="0" w:right="0" w:firstLine="440"/>
        <w:jc w:val="both"/>
      </w:pPr>
      <w:bookmarkStart w:id="858" w:name="bookmark858"/>
      <w:bookmarkStart w:id="859" w:name="bookmark859"/>
      <w:bookmarkStart w:id="860" w:name="bookmark860"/>
      <w:bookmarkStart w:id="861" w:name="bookmark861"/>
      <w:r>
        <w:rPr>
          <w:color w:val="000000"/>
          <w:spacing w:val="0"/>
          <w:w w:val="100"/>
          <w:position w:val="0"/>
        </w:rPr>
        <w:t>（</w:t>
      </w:r>
      <w:bookmarkEnd w:id="860"/>
      <w:r>
        <w:rPr>
          <w:rFonts w:ascii="Times New Roman" w:eastAsia="Times New Roman" w:hAnsi="Times New Roman" w:cs="Times New Roman"/>
          <w:color w:val="000000"/>
          <w:spacing w:val="0"/>
          <w:w w:val="100"/>
          <w:position w:val="0"/>
        </w:rPr>
        <w:t>5</w:t>
      </w:r>
      <w:r>
        <w:rPr>
          <w:color w:val="000000"/>
          <w:spacing w:val="0"/>
          <w:w w:val="100"/>
          <w:position w:val="0"/>
        </w:rPr>
        <w:t>）前瞻性信息</w:t>
      </w:r>
      <w:bookmarkEnd w:id="858"/>
      <w:bookmarkEnd w:id="859"/>
      <w:bookmarkEnd w:id="861"/>
    </w:p>
    <w:p>
      <w:pPr>
        <w:pStyle w:val="Style16"/>
        <w:keepNext w:val="0"/>
        <w:keepLines w:val="0"/>
        <w:widowControl w:val="0"/>
        <w:shd w:val="clear" w:color="auto" w:fill="auto"/>
        <w:bidi w:val="0"/>
        <w:spacing w:before="0" w:after="0" w:line="410" w:lineRule="exact"/>
        <w:ind w:left="0" w:right="0" w:firstLine="440"/>
        <w:jc w:val="left"/>
      </w:pPr>
      <w:r>
        <w:rPr>
          <w:color w:val="000000"/>
          <w:spacing w:val="0"/>
          <w:w w:val="100"/>
          <w:position w:val="0"/>
        </w:rPr>
        <w:t>信用风险显著增加的评估及预期信用损失的计算均涉及前瞻性信息。</w:t>
      </w:r>
    </w:p>
    <w:p>
      <w:pPr>
        <w:pStyle w:val="Style16"/>
        <w:keepNext w:val="0"/>
        <w:keepLines w:val="0"/>
        <w:widowControl w:val="0"/>
        <w:shd w:val="clear" w:color="auto" w:fill="auto"/>
        <w:bidi w:val="0"/>
        <w:spacing w:before="0" w:after="0" w:line="406" w:lineRule="exact"/>
        <w:ind w:left="0" w:right="0" w:firstLine="440"/>
        <w:jc w:val="both"/>
      </w:pPr>
      <w:r>
        <w:rPr>
          <w:color w:val="000000"/>
          <w:spacing w:val="0"/>
          <w:w w:val="100"/>
          <w:position w:val="0"/>
        </w:rPr>
        <w:t>对于债券投资，本公司通过进行历史数据分析，识别出影响信用风险及预期信用损失的 关键经济指标。本公司以企业景气指数为</w:t>
      </w:r>
      <w:r>
        <w:rPr>
          <w:rFonts w:ascii="Times New Roman" w:eastAsia="Times New Roman" w:hAnsi="Times New Roman" w:cs="Times New Roman"/>
          <w:color w:val="000000"/>
          <w:spacing w:val="0"/>
          <w:w w:val="100"/>
          <w:position w:val="0"/>
        </w:rPr>
        <w:t>Merton</w:t>
      </w:r>
      <w:r>
        <w:rPr>
          <w:color w:val="000000"/>
          <w:spacing w:val="0"/>
          <w:w w:val="100"/>
          <w:position w:val="0"/>
        </w:rPr>
        <w:t>模型单因子，并将其影响通过</w:t>
      </w:r>
      <w:r>
        <w:rPr>
          <w:rFonts w:ascii="Times New Roman" w:eastAsia="Times New Roman" w:hAnsi="Times New Roman" w:cs="Times New Roman"/>
          <w:color w:val="000000"/>
          <w:spacing w:val="0"/>
          <w:w w:val="100"/>
          <w:position w:val="0"/>
        </w:rPr>
        <w:t>Merton</w:t>
      </w:r>
      <w:r>
        <w:rPr>
          <w:color w:val="000000"/>
          <w:spacing w:val="0"/>
          <w:w w:val="100"/>
          <w:position w:val="0"/>
        </w:rPr>
        <w:t>公式 传导，预测未来经济指标确定预期的违约概率。对于融资类业务，本公司基于对产品特性进 行分析，识别出与融资类业务风险相关的经济指标，以上证指数的</w:t>
      </w:r>
      <w:r>
        <w:rPr>
          <w:rFonts w:ascii="Times New Roman" w:eastAsia="Times New Roman" w:hAnsi="Times New Roman" w:cs="Times New Roman"/>
          <w:color w:val="000000"/>
          <w:spacing w:val="0"/>
          <w:w w:val="100"/>
          <w:position w:val="0"/>
        </w:rPr>
        <w:t>60</w:t>
      </w:r>
      <w:r>
        <w:rPr>
          <w:color w:val="000000"/>
          <w:spacing w:val="0"/>
          <w:w w:val="100"/>
          <w:position w:val="0"/>
        </w:rPr>
        <w:t>交易日涨跌比例作为 系统性因子,将其影响通过</w:t>
      </w:r>
      <w:r>
        <w:rPr>
          <w:rFonts w:ascii="Times New Roman" w:eastAsia="Times New Roman" w:hAnsi="Times New Roman" w:cs="Times New Roman"/>
          <w:color w:val="000000"/>
          <w:spacing w:val="0"/>
          <w:w w:val="100"/>
          <w:position w:val="0"/>
        </w:rPr>
        <w:t>Merton</w:t>
      </w:r>
      <w:r>
        <w:rPr>
          <w:color w:val="000000"/>
          <w:spacing w:val="0"/>
          <w:w w:val="100"/>
          <w:position w:val="0"/>
        </w:rPr>
        <w:t>公式传导，对融资类业务的预期损失进行前瞻性的调整。</w:t>
      </w:r>
    </w:p>
    <w:p>
      <w:pPr>
        <w:pStyle w:val="Style16"/>
        <w:keepNext w:val="0"/>
        <w:keepLines w:val="0"/>
        <w:widowControl w:val="0"/>
        <w:shd w:val="clear" w:color="auto" w:fill="auto"/>
        <w:bidi w:val="0"/>
        <w:spacing w:before="0" w:after="0" w:line="418" w:lineRule="exact"/>
        <w:ind w:left="0" w:right="0" w:firstLine="440"/>
        <w:jc w:val="both"/>
      </w:pPr>
      <w:r>
        <w:rPr>
          <w:color w:val="000000"/>
          <w:spacing w:val="0"/>
          <w:w w:val="100"/>
          <w:position w:val="0"/>
        </w:rPr>
        <w:t>除了提供基本经济情景外，本公司的管理层结合其他可能的情景及情景权重，针对各类 业务分析、设定不同的情景，以确保考虑到指标非线性发展特征。</w:t>
      </w:r>
    </w:p>
    <w:p>
      <w:pPr>
        <w:pStyle w:val="Style16"/>
        <w:keepNext w:val="0"/>
        <w:keepLines w:val="0"/>
        <w:widowControl w:val="0"/>
        <w:shd w:val="clear" w:color="auto" w:fill="auto"/>
        <w:bidi w:val="0"/>
        <w:spacing w:before="0" w:after="0" w:line="411" w:lineRule="exact"/>
        <w:ind w:left="0" w:right="0" w:firstLine="440"/>
        <w:jc w:val="both"/>
      </w:pPr>
      <w:r>
        <w:rPr>
          <w:color w:val="000000"/>
          <w:spacing w:val="0"/>
          <w:w w:val="100"/>
          <w:position w:val="0"/>
        </w:rPr>
        <w:t>本公司认为，对于公司的债券以及融资类资产组合，应当考虑应用</w:t>
      </w:r>
      <w:r>
        <w:rPr>
          <w:rFonts w:ascii="Times New Roman" w:eastAsia="Times New Roman" w:hAnsi="Times New Roman" w:cs="Times New Roman"/>
          <w:color w:val="000000"/>
          <w:spacing w:val="0"/>
          <w:w w:val="100"/>
          <w:position w:val="0"/>
        </w:rPr>
        <w:t>3</w:t>
      </w:r>
      <w:r>
        <w:rPr>
          <w:color w:val="000000"/>
          <w:spacing w:val="0"/>
          <w:w w:val="100"/>
          <w:position w:val="0"/>
        </w:rPr>
        <w:t>种不同情景来恰当 反映关键经济指标发展的非线性特征。本公司结合统计分析及专家判断来确定情景权重，也 同时考虑了各情景所代表的可能结果的范围，目前本公司采用的非基准情景权重之和的违约 概率超过基准情景下违约概率。</w:t>
      </w:r>
    </w:p>
    <w:p>
      <w:pPr>
        <w:pStyle w:val="Style16"/>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本公司以加权的</w:t>
      </w:r>
      <w:r>
        <w:rPr>
          <w:rFonts w:ascii="Times New Roman" w:eastAsia="Times New Roman" w:hAnsi="Times New Roman" w:cs="Times New Roman"/>
          <w:color w:val="000000"/>
          <w:spacing w:val="0"/>
          <w:w w:val="100"/>
          <w:position w:val="0"/>
        </w:rPr>
        <w:t>12</w:t>
      </w:r>
      <w:r>
        <w:rPr>
          <w:color w:val="000000"/>
          <w:spacing w:val="0"/>
          <w:w w:val="100"/>
          <w:position w:val="0"/>
        </w:rPr>
        <w:t>个月预期信用损失（阶段一）或加权的整个存续期预期信用损失（阶 段二及阶段三）计量相关的损失准备。上述加权的信用损失是由各情景下预期信用损失乘以 相应情景的权重计算得出。</w:t>
      </w:r>
    </w:p>
    <w:p>
      <w:pPr>
        <w:pStyle w:val="Style16"/>
        <w:keepNext w:val="0"/>
        <w:keepLines w:val="0"/>
        <w:widowControl w:val="0"/>
        <w:shd w:val="clear" w:color="auto" w:fill="auto"/>
        <w:bidi w:val="0"/>
        <w:spacing w:before="0" w:after="600" w:line="413" w:lineRule="exact"/>
        <w:ind w:left="0" w:right="0" w:firstLine="440"/>
        <w:jc w:val="both"/>
      </w:pPr>
      <w:r>
        <w:rPr>
          <w:color w:val="000000"/>
          <w:spacing w:val="0"/>
          <w:w w:val="100"/>
          <w:position w:val="0"/>
        </w:rPr>
        <w:t>与其他经济预测类似，对预计经济指标和发生可能性的估计具有高度的固有不确定性， 因此实际结果可能同预测存在重大差异。本公司认为这些预测体现了公司对可能结果的最佳 估计。</w:t>
      </w:r>
    </w:p>
    <w:p>
      <w:pPr>
        <w:pStyle w:val="Style51"/>
        <w:keepNext/>
        <w:keepLines/>
        <w:widowControl w:val="0"/>
        <w:numPr>
          <w:ilvl w:val="0"/>
          <w:numId w:val="29"/>
        </w:numPr>
        <w:shd w:val="clear" w:color="auto" w:fill="auto"/>
        <w:bidi w:val="0"/>
        <w:spacing w:before="0" w:after="0"/>
        <w:ind w:left="0" w:right="0" w:firstLine="440"/>
        <w:jc w:val="both"/>
      </w:pPr>
      <w:bookmarkStart w:id="862" w:name="bookmark862"/>
      <w:bookmarkStart w:id="863" w:name="bookmark863"/>
      <w:bookmarkStart w:id="864" w:name="bookmark864"/>
      <w:bookmarkStart w:id="865" w:name="bookmark865"/>
      <w:bookmarkEnd w:id="864"/>
      <w:r>
        <w:rPr>
          <w:color w:val="000000"/>
          <w:spacing w:val="0"/>
          <w:w w:val="100"/>
          <w:position w:val="0"/>
        </w:rPr>
        <w:t>衍生金融工具</w:t>
      </w:r>
      <w:bookmarkEnd w:id="862"/>
      <w:bookmarkEnd w:id="863"/>
      <w:bookmarkEnd w:id="865"/>
    </w:p>
    <w:p>
      <w:pPr>
        <w:pStyle w:val="Style16"/>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本公司使用远期外汇合约、利率掉期和股指期货合约等衍生金融工具分别规避汇率、利 率和证券价格变动等风险。衍生金融工具初始以衍生交易合同签订当日的公允价值进行计量, 并以其公允价值进行后续计量。公允价值为正数的衍生金融工具确认为一项资产，公允价值 为负数的确认为一项负债。公允价值从活跃市场上的公开市场报价中取得（包括最近的市场 交易价格等），或使用估值技术确定（例如：现金流量折现法、期权定价模型等）。本公司对 场外交易的衍生工具作出了信贷估值调整及债务估值调整，以反映交易对手和公司自身的信</w:t>
      </w:r>
    </w:p>
    <w:p>
      <w:pPr>
        <w:pStyle w:val="Style16"/>
        <w:keepNext w:val="0"/>
        <w:keepLines w:val="0"/>
        <w:widowControl w:val="0"/>
        <w:shd w:val="clear" w:color="auto" w:fill="auto"/>
        <w:bidi w:val="0"/>
        <w:spacing w:before="0" w:after="440" w:line="410" w:lineRule="exact"/>
        <w:ind w:left="0" w:right="0" w:firstLine="0"/>
        <w:jc w:val="left"/>
      </w:pPr>
      <w:r>
        <w:rPr>
          <w:color w:val="000000"/>
          <w:spacing w:val="0"/>
          <w:w w:val="100"/>
          <w:position w:val="0"/>
        </w:rPr>
        <w:t>用风险。</w:t>
      </w:r>
    </w:p>
    <w:p>
      <w:pPr>
        <w:pStyle w:val="Style51"/>
        <w:keepNext/>
        <w:keepLines/>
        <w:widowControl w:val="0"/>
        <w:numPr>
          <w:ilvl w:val="0"/>
          <w:numId w:val="29"/>
        </w:numPr>
        <w:shd w:val="clear" w:color="auto" w:fill="auto"/>
        <w:tabs>
          <w:tab w:pos="816" w:val="left"/>
        </w:tabs>
        <w:bidi w:val="0"/>
        <w:spacing w:before="0" w:after="0" w:line="410" w:lineRule="exact"/>
        <w:ind w:left="0" w:right="0" w:firstLine="480"/>
        <w:jc w:val="left"/>
      </w:pPr>
      <w:bookmarkStart w:id="866" w:name="bookmark866"/>
      <w:bookmarkStart w:id="867" w:name="bookmark867"/>
      <w:bookmarkStart w:id="868" w:name="bookmark868"/>
      <w:bookmarkStart w:id="869" w:name="bookmark869"/>
      <w:bookmarkEnd w:id="868"/>
      <w:r>
        <w:rPr>
          <w:color w:val="000000"/>
          <w:spacing w:val="0"/>
          <w:w w:val="100"/>
          <w:position w:val="0"/>
        </w:rPr>
        <w:t>可转换债券</w:t>
      </w:r>
      <w:bookmarkEnd w:id="866"/>
      <w:bookmarkEnd w:id="867"/>
      <w:bookmarkEnd w:id="869"/>
    </w:p>
    <w:p>
      <w:pPr>
        <w:pStyle w:val="Style16"/>
        <w:keepNext w:val="0"/>
        <w:keepLines w:val="0"/>
        <w:widowControl w:val="0"/>
        <w:shd w:val="clear" w:color="auto" w:fill="auto"/>
        <w:bidi w:val="0"/>
        <w:spacing w:before="0" w:after="440" w:line="409" w:lineRule="exact"/>
        <w:ind w:left="0" w:right="0" w:firstLine="480"/>
        <w:jc w:val="both"/>
      </w:pPr>
      <w:r>
        <w:rPr>
          <w:color w:val="000000"/>
          <w:spacing w:val="0"/>
          <w:w w:val="100"/>
          <w:position w:val="0"/>
        </w:rPr>
        <w:t>本公司发行可转换债券时依据条款确定其是否同时包含负债和权益成份。发行的可转换 债券既包含负债也包含权益成份的，在初始确认时将负债和权益成份进行分拆，并分别进行 处理。在进行分拆时，先确定负债成份的公允价值并以此作为其初始确认金额，再按照可转 换债券整体的发行价格扣除负债成份初始确认金额后的金额确定权益成份的初始确认金额。 交易费用在负债成份和权益成份之间按照各自的相对公允价值进行分摊。负债成份作为负债 列示，以摊余成本进行后续计量，直至被撤销、转换或赎回。权益成份作为权益列示，不进 行后续计量。</w:t>
      </w:r>
    </w:p>
    <w:p>
      <w:pPr>
        <w:pStyle w:val="Style51"/>
        <w:keepNext/>
        <w:keepLines/>
        <w:widowControl w:val="0"/>
        <w:numPr>
          <w:ilvl w:val="0"/>
          <w:numId w:val="29"/>
        </w:numPr>
        <w:shd w:val="clear" w:color="auto" w:fill="auto"/>
        <w:tabs>
          <w:tab w:pos="816" w:val="left"/>
        </w:tabs>
        <w:bidi w:val="0"/>
        <w:spacing w:before="0" w:after="0" w:line="410" w:lineRule="exact"/>
        <w:ind w:left="0" w:right="0" w:firstLine="480"/>
        <w:jc w:val="both"/>
      </w:pPr>
      <w:bookmarkStart w:id="870" w:name="bookmark870"/>
      <w:bookmarkStart w:id="871" w:name="bookmark871"/>
      <w:bookmarkStart w:id="872" w:name="bookmark872"/>
      <w:bookmarkStart w:id="873" w:name="bookmark873"/>
      <w:bookmarkEnd w:id="872"/>
      <w:r>
        <w:rPr>
          <w:color w:val="000000"/>
          <w:spacing w:val="0"/>
          <w:w w:val="100"/>
          <w:position w:val="0"/>
        </w:rPr>
        <w:t>金融工具的抵销</w:t>
      </w:r>
      <w:bookmarkEnd w:id="870"/>
      <w:bookmarkEnd w:id="871"/>
      <w:bookmarkEnd w:id="873"/>
    </w:p>
    <w:p>
      <w:pPr>
        <w:pStyle w:val="Style16"/>
        <w:keepNext w:val="0"/>
        <w:keepLines w:val="0"/>
        <w:widowControl w:val="0"/>
        <w:shd w:val="clear" w:color="auto" w:fill="auto"/>
        <w:bidi w:val="0"/>
        <w:spacing w:before="0" w:after="0" w:line="413" w:lineRule="exact"/>
        <w:ind w:left="0" w:right="0" w:firstLine="480"/>
        <w:jc w:val="both"/>
      </w:pPr>
      <w:r>
        <w:rPr>
          <w:color w:val="000000"/>
          <w:spacing w:val="0"/>
          <w:w w:val="100"/>
          <w:position w:val="0"/>
        </w:rPr>
        <w:t>当依法有权抵销债权债务且该法定权利现在是可执行的，同时交易双方准备按净额进行 结算，或同时结清资产和负债时，金融资产和负债以抵销后的净额在财务报表中列示。</w:t>
      </w:r>
    </w:p>
    <w:p>
      <w:pPr>
        <w:pStyle w:val="Style37"/>
        <w:keepNext/>
        <w:keepLines/>
        <w:widowControl w:val="0"/>
        <w:shd w:val="clear" w:color="auto" w:fill="auto"/>
        <w:bidi w:val="0"/>
        <w:spacing w:before="0" w:after="0" w:line="410" w:lineRule="exact"/>
        <w:ind w:left="0" w:right="0" w:firstLine="480"/>
        <w:jc w:val="both"/>
      </w:pPr>
      <w:bookmarkStart w:id="874" w:name="bookmark874"/>
      <w:bookmarkStart w:id="875" w:name="bookmark875"/>
      <w:bookmarkStart w:id="876" w:name="bookmark876"/>
      <w:r>
        <w:rPr>
          <w:color w:val="000000"/>
          <w:spacing w:val="0"/>
          <w:w w:val="100"/>
          <w:position w:val="0"/>
        </w:rPr>
        <w:t>（^一）应收款项</w:t>
      </w:r>
      <w:bookmarkEnd w:id="874"/>
      <w:bookmarkEnd w:id="875"/>
      <w:bookmarkEnd w:id="876"/>
    </w:p>
    <w:p>
      <w:pPr>
        <w:pStyle w:val="Style16"/>
        <w:keepNext w:val="0"/>
        <w:keepLines w:val="0"/>
        <w:widowControl w:val="0"/>
        <w:shd w:val="clear" w:color="auto" w:fill="auto"/>
        <w:bidi w:val="0"/>
        <w:spacing w:before="0" w:after="0" w:line="413" w:lineRule="exact"/>
        <w:ind w:left="0" w:right="0" w:firstLine="480"/>
        <w:jc w:val="both"/>
      </w:pPr>
      <w:r>
        <w:rPr>
          <w:color w:val="000000"/>
          <w:spacing w:val="0"/>
          <w:w w:val="100"/>
          <w:position w:val="0"/>
        </w:rPr>
        <w:t>对于应收款项，本公司视情况采取“一般方法”和“简化方法”计量其坏账准备，由此 形成的损失准备的增加或转回金额，作为减值损失或利得计入当期损益。</w:t>
      </w:r>
    </w:p>
    <w:p>
      <w:pPr>
        <w:pStyle w:val="Style16"/>
        <w:keepNext w:val="0"/>
        <w:keepLines w:val="0"/>
        <w:widowControl w:val="0"/>
        <w:shd w:val="clear" w:color="auto" w:fill="auto"/>
        <w:bidi w:val="0"/>
        <w:spacing w:before="0" w:after="0" w:line="412" w:lineRule="exact"/>
        <w:ind w:left="0" w:right="0" w:firstLine="480"/>
        <w:jc w:val="both"/>
      </w:pPr>
      <w:r>
        <w:rPr>
          <w:color w:val="000000"/>
          <w:spacing w:val="0"/>
          <w:w w:val="100"/>
          <w:position w:val="0"/>
        </w:rPr>
        <w:t>“一般方法”是指考虑应收款项在未来</w:t>
      </w:r>
      <w:r>
        <w:rPr>
          <w:rFonts w:ascii="Times New Roman" w:eastAsia="Times New Roman" w:hAnsi="Times New Roman" w:cs="Times New Roman"/>
          <w:color w:val="000000"/>
          <w:spacing w:val="0"/>
          <w:w w:val="100"/>
          <w:position w:val="0"/>
        </w:rPr>
        <w:t>12</w:t>
      </w:r>
      <w:r>
        <w:rPr>
          <w:color w:val="000000"/>
          <w:spacing w:val="0"/>
          <w:w w:val="100"/>
          <w:position w:val="0"/>
        </w:rPr>
        <w:t>个月的预期信用损失和整个存续期的预期信 用损失。如果应收款项的信用风险自初始确认后已显著增加，本公司按照相当于应收款项整 个存续期内预期信用损失的金额计量其损失准备；如果应收款项的信用风险自初始确认后并 未显著增加，本公司按照相当于该应收款项未来</w:t>
      </w:r>
      <w:r>
        <w:rPr>
          <w:rFonts w:ascii="Times New Roman" w:eastAsia="Times New Roman" w:hAnsi="Times New Roman" w:cs="Times New Roman"/>
          <w:color w:val="000000"/>
          <w:spacing w:val="0"/>
          <w:w w:val="100"/>
          <w:position w:val="0"/>
        </w:rPr>
        <w:t>12</w:t>
      </w:r>
      <w:r>
        <w:rPr>
          <w:color w:val="000000"/>
          <w:spacing w:val="0"/>
          <w:w w:val="100"/>
          <w:position w:val="0"/>
        </w:rPr>
        <w:t>个月内预期信用损失的金额计量其损失 准备。单项计提坏账准备的应收款项本公司采用“一般方法”计量坏账准备。</w:t>
      </w:r>
    </w:p>
    <w:p>
      <w:pPr>
        <w:pStyle w:val="Style16"/>
        <w:keepNext w:val="0"/>
        <w:keepLines w:val="0"/>
        <w:widowControl w:val="0"/>
        <w:shd w:val="clear" w:color="auto" w:fill="auto"/>
        <w:bidi w:val="0"/>
        <w:spacing w:before="0" w:after="120" w:line="408" w:lineRule="exact"/>
        <w:ind w:left="0" w:right="0" w:firstLine="480"/>
        <w:jc w:val="both"/>
      </w:pPr>
      <w:r>
        <w:rPr>
          <w:color w:val="000000"/>
          <w:spacing w:val="0"/>
          <w:w w:val="100"/>
          <w:position w:val="0"/>
        </w:rPr>
        <w:t>对于按信用风险特征组合计提坏账准备应收款项，本公司按“简化方法”计量坏账准备， 即始终按照应收款项整个存续期内预期信用损失的金额计量其坏账准备。</w:t>
      </w:r>
    </w:p>
    <w:p>
      <w:pPr>
        <w:pStyle w:val="Style51"/>
        <w:keepNext/>
        <w:keepLines/>
        <w:widowControl w:val="0"/>
        <w:numPr>
          <w:ilvl w:val="0"/>
          <w:numId w:val="37"/>
        </w:numPr>
        <w:shd w:val="clear" w:color="auto" w:fill="auto"/>
        <w:bidi w:val="0"/>
        <w:spacing w:before="0" w:after="80" w:line="410" w:lineRule="exact"/>
        <w:ind w:left="0" w:right="0" w:firstLine="480"/>
        <w:jc w:val="both"/>
      </w:pPr>
      <w:bookmarkStart w:id="877" w:name="bookmark877"/>
      <w:bookmarkStart w:id="878" w:name="bookmark878"/>
      <w:bookmarkStart w:id="879" w:name="bookmark879"/>
      <w:bookmarkStart w:id="880" w:name="bookmark880"/>
      <w:bookmarkEnd w:id="879"/>
      <w:r>
        <w:rPr>
          <w:color w:val="000000"/>
          <w:spacing w:val="0"/>
          <w:w w:val="100"/>
          <w:position w:val="0"/>
        </w:rPr>
        <w:t>单项计提坏账准备的应收款项：</w:t>
      </w:r>
      <w:bookmarkEnd w:id="877"/>
      <w:bookmarkEnd w:id="878"/>
      <w:bookmarkEnd w:id="880"/>
    </w:p>
    <w:p>
      <w:pPr>
        <w:pStyle w:val="Style16"/>
        <w:keepNext w:val="0"/>
        <w:keepLines w:val="0"/>
        <w:widowControl w:val="0"/>
        <w:shd w:val="clear" w:color="auto" w:fill="auto"/>
        <w:bidi w:val="0"/>
        <w:spacing w:before="0" w:after="360" w:line="410" w:lineRule="exact"/>
        <w:ind w:left="0" w:right="0" w:firstLine="480"/>
        <w:jc w:val="left"/>
      </w:pPr>
      <w:r>
        <w:rPr>
          <w:color w:val="000000"/>
          <w:spacing w:val="0"/>
          <w:w w:val="100"/>
          <w:position w:val="0"/>
        </w:rPr>
        <w:t>报告期，本公司对应收款项坏账准备的确认标准和计提方法如下：</w:t>
      </w:r>
    </w:p>
    <w:p>
      <w:pPr>
        <w:pStyle w:val="Style40"/>
        <w:keepNext w:val="0"/>
        <w:keepLines w:val="0"/>
        <w:widowControl w:val="0"/>
        <w:shd w:val="clear" w:color="auto" w:fill="auto"/>
        <w:bidi w:val="0"/>
        <w:spacing w:before="0" w:after="0" w:line="240" w:lineRule="auto"/>
        <w:ind w:left="571"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）单项金额重大并单独计提坏账准备的应收款项:</w:t>
      </w:r>
    </w:p>
    <w:tbl>
      <w:tblPr>
        <w:tblOverlap w:val="never"/>
        <w:jc w:val="center"/>
        <w:tblLayout w:type="fixed"/>
      </w:tblPr>
      <w:tblGrid>
        <w:gridCol w:w="2750"/>
        <w:gridCol w:w="5760"/>
      </w:tblGrid>
      <w:tr>
        <w:trPr>
          <w:trHeight w:val="75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单项金额重大的判断依据或金额</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标准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应收款项账面余额前五名或占应收账款余额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%以上且在</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sz w:val="18"/>
                <w:szCs w:val="18"/>
              </w:rPr>
              <w:t>万以上 的款项（非证券业务）</w:t>
            </w:r>
          </w:p>
        </w:tc>
      </w:tr>
      <w:tr>
        <w:trPr>
          <w:trHeight w:val="73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单项金额重大的判断依据或金额</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标准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应收款项账面余额在</w:t>
            </w:r>
            <w:r>
              <w:rPr>
                <w:rFonts w:ascii="Times New Roman" w:eastAsia="Times New Roman" w:hAnsi="Times New Roman" w:cs="Times New Roman"/>
                <w:color w:val="000000"/>
                <w:spacing w:val="0"/>
                <w:w w:val="100"/>
                <w:position w:val="0"/>
                <w:sz w:val="18"/>
                <w:szCs w:val="18"/>
              </w:rPr>
              <w:t>500.00</w:t>
            </w:r>
            <w:r>
              <w:rPr>
                <w:color w:val="000000"/>
                <w:spacing w:val="0"/>
                <w:w w:val="100"/>
                <w:position w:val="0"/>
                <w:sz w:val="18"/>
                <w:szCs w:val="18"/>
              </w:rPr>
              <w:t>万以上的款项（证券业务）</w:t>
            </w:r>
          </w:p>
        </w:tc>
      </w:tr>
      <w:tr>
        <w:trPr>
          <w:trHeight w:val="44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单项金额重大并单项计提坏账准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根据其账面价值与预计未来现金流量现值之间差额确认</w:t>
            </w:r>
          </w:p>
        </w:tc>
      </w:tr>
    </w:tbl>
    <w:p>
      <w:pPr>
        <w:sectPr>
          <w:headerReference w:type="default" r:id="rId33"/>
          <w:footerReference w:type="default" r:id="rId34"/>
          <w:footnotePr>
            <w:pos w:val="pageBottom"/>
            <w:numFmt w:val="decimal"/>
            <w:numRestart w:val="continuous"/>
          </w:footnotePr>
          <w:pgSz w:w="11900" w:h="16840"/>
          <w:pgMar w:top="1224" w:right="1606" w:bottom="1489" w:left="1722" w:header="0" w:footer="3" w:gutter="0"/>
          <w:cols w:space="720"/>
          <w:noEndnote/>
          <w:rtlGutter w:val="0"/>
          <w:docGrid w:linePitch="360"/>
        </w:sectPr>
      </w:pPr>
    </w:p>
    <w:p>
      <w:pPr>
        <w:pStyle w:val="Style16"/>
        <w:keepNext w:val="0"/>
        <w:keepLines w:val="0"/>
        <w:widowControl w:val="0"/>
        <w:shd w:val="clear" w:color="auto" w:fill="auto"/>
        <w:bidi w:val="0"/>
        <w:spacing w:before="700" w:after="0" w:line="408" w:lineRule="exact"/>
        <w:ind w:left="0" w:right="0" w:firstLine="480"/>
        <w:jc w:val="left"/>
      </w:pPr>
      <w:bookmarkStart w:id="881" w:name="bookmark881"/>
      <w:r>
        <w:rPr>
          <w:color w:val="000000"/>
          <w:spacing w:val="0"/>
          <w:w w:val="100"/>
          <w:position w:val="0"/>
        </w:rPr>
        <w:t>（</w:t>
      </w:r>
      <w:bookmarkEnd w:id="881"/>
      <w:r>
        <w:rPr>
          <w:rFonts w:ascii="Times New Roman" w:eastAsia="Times New Roman" w:hAnsi="Times New Roman" w:cs="Times New Roman"/>
          <w:color w:val="000000"/>
          <w:spacing w:val="0"/>
          <w:w w:val="100"/>
          <w:position w:val="0"/>
        </w:rPr>
        <w:t>2</w:t>
      </w:r>
      <w:r>
        <w:rPr>
          <w:color w:val="000000"/>
          <w:spacing w:val="0"/>
          <w:w w:val="100"/>
          <w:position w:val="0"/>
        </w:rPr>
        <w:t>）单项金额不重大但单独计提坏账准备的应收款项：</w:t>
      </w:r>
    </w:p>
    <w:p>
      <w:pPr>
        <w:pStyle w:val="Style16"/>
        <w:keepNext w:val="0"/>
        <w:keepLines w:val="0"/>
        <w:widowControl w:val="0"/>
        <w:shd w:val="clear" w:color="auto" w:fill="auto"/>
        <w:bidi w:val="0"/>
        <w:spacing w:before="0" w:after="480" w:line="408" w:lineRule="exact"/>
        <w:ind w:left="0" w:right="0" w:firstLine="480"/>
        <w:jc w:val="left"/>
      </w:pPr>
      <w:r>
        <w:rPr>
          <w:color w:val="000000"/>
          <w:spacing w:val="0"/>
          <w:w w:val="100"/>
          <w:position w:val="0"/>
        </w:rPr>
        <w:t>对单项金额虽不重大，但已有客观证据表明其发生了减值的应收款项，按账龄分析 法计提的坏账准备不能反映实际情况，本公司单独进行减值测试，结合现时情况分析法 确定坏账准备计提的比例。</w:t>
      </w:r>
    </w:p>
    <w:p>
      <w:pPr>
        <w:pStyle w:val="Style51"/>
        <w:keepNext/>
        <w:keepLines/>
        <w:widowControl w:val="0"/>
        <w:numPr>
          <w:ilvl w:val="0"/>
          <w:numId w:val="37"/>
        </w:numPr>
        <w:pBdr>
          <w:bottom w:val="single" w:sz="4" w:space="0" w:color="auto"/>
        </w:pBdr>
        <w:shd w:val="clear" w:color="auto" w:fill="auto"/>
        <w:bidi w:val="0"/>
        <w:spacing w:before="0" w:after="180" w:line="408" w:lineRule="exact"/>
        <w:ind w:left="0" w:right="0" w:firstLine="480"/>
        <w:jc w:val="left"/>
      </w:pPr>
      <w:bookmarkStart w:id="882" w:name="bookmark882"/>
      <w:bookmarkStart w:id="883" w:name="bookmark883"/>
      <w:bookmarkStart w:id="884" w:name="bookmark884"/>
      <w:bookmarkStart w:id="885" w:name="bookmark885"/>
      <w:bookmarkEnd w:id="884"/>
      <w:r>
        <w:rPr>
          <w:color w:val="000000"/>
          <w:spacing w:val="0"/>
          <w:w w:val="100"/>
          <w:position w:val="0"/>
        </w:rPr>
        <w:t>按信用风险特征组合计提坏账准备的应收款项：</w:t>
      </w:r>
      <w:bookmarkEnd w:id="882"/>
      <w:bookmarkEnd w:id="883"/>
      <w:bookmarkEnd w:id="885"/>
    </w:p>
    <w:p>
      <w:pPr>
        <w:pStyle w:val="Style40"/>
        <w:keepNext w:val="0"/>
        <w:keepLines w:val="0"/>
        <w:widowControl w:val="0"/>
        <w:shd w:val="clear" w:color="auto" w:fill="auto"/>
        <w:bidi w:val="0"/>
        <w:spacing w:before="0" w:after="0" w:line="240" w:lineRule="auto"/>
        <w:ind w:left="24" w:right="0" w:firstLine="0"/>
        <w:jc w:val="left"/>
      </w:pPr>
      <w:r>
        <w:rPr>
          <w:color w:val="000000"/>
          <w:spacing w:val="0"/>
          <w:w w:val="100"/>
          <w:position w:val="0"/>
        </w:rPr>
        <w:t>确定组合的依据</w:t>
      </w:r>
    </w:p>
    <w:tbl>
      <w:tblPr>
        <w:tblOverlap w:val="never"/>
        <w:jc w:val="center"/>
        <w:tblLayout w:type="fixed"/>
      </w:tblPr>
      <w:tblGrid>
        <w:gridCol w:w="989"/>
        <w:gridCol w:w="7555"/>
      </w:tblGrid>
      <w:tr>
        <w:trPr>
          <w:trHeight w:val="164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除己单独计提减值准备的应收款项外，公司根据以前年度与之相同或相类似的、具有类 似信用风险特征的应收款项组合的实际损失率为基础，结合现时情况确定本期各项组合 计提坏账准备的比例；集团公司内部往来形成的应收账款和其他应收款不计提减值准 备。（非证券业务）</w:t>
            </w:r>
          </w:p>
        </w:tc>
      </w:tr>
      <w:tr>
        <w:trPr>
          <w:trHeight w:val="163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除己单独计提减值准备的应收款项外，公司根据以前年度与之相同或相类似的、具有类 似信用风险特征的应收款项组合的实际损失率为基础，结合现时情况确定本期各项组合 计提坏账准备的比例；集团公司内部往来形成的应收账款和其他应收款不计提减值准 备。（证券业务）</w:t>
            </w:r>
          </w:p>
        </w:tc>
      </w:tr>
      <w:tr>
        <w:trPr>
          <w:trHeight w:val="1334"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特定款项组合包括应收款项中与证券交易结算相关的款项、与场外期权交易相关的款 项、垫付出租席位的保证金、垫付理财产品的保证金、资产管理及银行理财产品形成的 款项。</w:t>
            </w:r>
          </w:p>
        </w:tc>
      </w:tr>
    </w:tbl>
    <w:p>
      <w:pPr>
        <w:widowControl w:val="0"/>
        <w:spacing w:after="79" w:line="1" w:lineRule="exact"/>
      </w:pPr>
    </w:p>
    <w:p>
      <w:pPr>
        <w:widowControl w:val="0"/>
        <w:spacing w:line="1" w:lineRule="exact"/>
      </w:pPr>
    </w:p>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按组合计提坏账准备的计提方法</w:t>
      </w:r>
    </w:p>
    <w:tbl>
      <w:tblPr>
        <w:tblOverlap w:val="never"/>
        <w:jc w:val="center"/>
        <w:tblLayout w:type="fixed"/>
      </w:tblPr>
      <w:tblGrid>
        <w:gridCol w:w="1003"/>
        <w:gridCol w:w="7565"/>
      </w:tblGrid>
      <w:tr>
        <w:trPr>
          <w:trHeight w:val="42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w:t>
            </w:r>
          </w:p>
        </w:tc>
      </w:tr>
      <w:tr>
        <w:trPr>
          <w:trHeight w:val="523"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根据其风险特征不存在减值风险，不计提坏账准备</w:t>
            </w:r>
          </w:p>
        </w:tc>
      </w:tr>
    </w:tbl>
    <w:p>
      <w:pPr>
        <w:widowControl w:val="0"/>
        <w:spacing w:after="479" w:line="1" w:lineRule="exact"/>
      </w:pPr>
    </w:p>
    <w:p>
      <w:pPr>
        <w:widowControl w:val="0"/>
        <w:spacing w:line="1" w:lineRule="exact"/>
      </w:pPr>
    </w:p>
    <w:p>
      <w:pPr>
        <w:pStyle w:val="Style40"/>
        <w:keepNext w:val="0"/>
        <w:keepLines w:val="0"/>
        <w:widowControl w:val="0"/>
        <w:shd w:val="clear" w:color="auto" w:fill="auto"/>
        <w:bidi w:val="0"/>
        <w:spacing w:before="0" w:after="0" w:line="240" w:lineRule="auto"/>
        <w:ind w:left="461"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1</w:t>
      </w:r>
      <w:r>
        <w:rPr>
          <w:color w:val="000000"/>
          <w:spacing w:val="0"/>
          <w:w w:val="100"/>
          <w:position w:val="0"/>
        </w:rPr>
        <w:t>中，采用账龄分析法计提坏账准备的情况（非证券业务）:</w:t>
      </w:r>
    </w:p>
    <w:tbl>
      <w:tblPr>
        <w:tblOverlap w:val="never"/>
        <w:jc w:val="center"/>
        <w:tblLayout w:type="fixed"/>
      </w:tblPr>
      <w:tblGrid>
        <w:gridCol w:w="3946"/>
        <w:gridCol w:w="2179"/>
        <w:gridCol w:w="2386"/>
      </w:tblGrid>
      <w:tr>
        <w:trPr>
          <w:trHeight w:val="52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应收账款计提比例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其他应收款计提比例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个月以内（含</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个月至</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个月（含</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个月至</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r>
      <w:tr>
        <w:trPr>
          <w:trHeight w:val="427"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年（含</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w:t>
            </w:r>
          </w:p>
        </w:tc>
      </w:tr>
    </w:tbl>
    <w:p>
      <w:pPr>
        <w:widowControl w:val="0"/>
        <w:spacing w:line="1" w:lineRule="exact"/>
      </w:pPr>
    </w:p>
    <w:tbl>
      <w:tblPr>
        <w:tblOverlap w:val="never"/>
        <w:jc w:val="center"/>
        <w:tblLayout w:type="fixed"/>
      </w:tblPr>
      <w:tblGrid>
        <w:gridCol w:w="3946"/>
        <w:gridCol w:w="2184"/>
        <w:gridCol w:w="2381"/>
      </w:tblGrid>
      <w:tr>
        <w:trPr>
          <w:trHeight w:val="42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年至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年（含</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w:t>
            </w:r>
          </w:p>
        </w:tc>
      </w:tr>
      <w:tr>
        <w:trPr>
          <w:trHeight w:val="44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年以上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r>
    </w:tbl>
    <w:p>
      <w:pPr>
        <w:widowControl w:val="0"/>
        <w:spacing w:after="359" w:line="1" w:lineRule="exact"/>
      </w:pPr>
    </w:p>
    <w:p>
      <w:pPr>
        <w:widowControl w:val="0"/>
        <w:spacing w:line="1" w:lineRule="exact"/>
      </w:pPr>
    </w:p>
    <w:p>
      <w:pPr>
        <w:pStyle w:val="Style40"/>
        <w:keepNext w:val="0"/>
        <w:keepLines w:val="0"/>
        <w:widowControl w:val="0"/>
        <w:shd w:val="clear" w:color="auto" w:fill="auto"/>
        <w:bidi w:val="0"/>
        <w:spacing w:before="0" w:after="0" w:line="240" w:lineRule="auto"/>
        <w:ind w:left="461"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2</w:t>
      </w:r>
      <w:r>
        <w:rPr>
          <w:color w:val="000000"/>
          <w:spacing w:val="0"/>
          <w:w w:val="100"/>
          <w:position w:val="0"/>
        </w:rPr>
        <w:t>中，采用账龄分析法计提坏账准备的情况（证券业务）:</w:t>
      </w:r>
    </w:p>
    <w:tbl>
      <w:tblPr>
        <w:tblOverlap w:val="never"/>
        <w:jc w:val="center"/>
        <w:tblLayout w:type="fixed"/>
      </w:tblPr>
      <w:tblGrid>
        <w:gridCol w:w="3926"/>
        <w:gridCol w:w="2170"/>
        <w:gridCol w:w="2414"/>
      </w:tblGrid>
      <w:tr>
        <w:trPr>
          <w:trHeight w:val="52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应收账款计提比例（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其他应收款计提比例（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0.5</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r>
      <w:tr>
        <w:trPr>
          <w:trHeight w:val="44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年以上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w:t>
            </w:r>
          </w:p>
        </w:tc>
      </w:tr>
    </w:tbl>
    <w:p>
      <w:pPr>
        <w:widowControl w:val="0"/>
        <w:spacing w:after="159" w:line="1" w:lineRule="exact"/>
      </w:pPr>
    </w:p>
    <w:p>
      <w:pPr>
        <w:pStyle w:val="Style37"/>
        <w:keepNext/>
        <w:keepLines/>
        <w:widowControl w:val="0"/>
        <w:shd w:val="clear" w:color="auto" w:fill="auto"/>
        <w:bidi w:val="0"/>
        <w:spacing w:before="0" w:after="80" w:line="410" w:lineRule="exact"/>
        <w:ind w:left="0" w:right="0" w:firstLine="480"/>
        <w:jc w:val="both"/>
      </w:pPr>
      <w:bookmarkStart w:id="886" w:name="bookmark886"/>
      <w:bookmarkStart w:id="887" w:name="bookmark887"/>
      <w:bookmarkStart w:id="888" w:name="bookmark888"/>
      <w:r>
        <w:rPr>
          <w:color w:val="000000"/>
          <w:spacing w:val="0"/>
          <w:w w:val="100"/>
          <w:position w:val="0"/>
        </w:rPr>
        <w:t>（十二）存货</w:t>
      </w:r>
      <w:bookmarkEnd w:id="886"/>
      <w:bookmarkEnd w:id="887"/>
      <w:bookmarkEnd w:id="888"/>
    </w:p>
    <w:p>
      <w:pPr>
        <w:pStyle w:val="Style51"/>
        <w:keepNext/>
        <w:keepLines/>
        <w:widowControl w:val="0"/>
        <w:numPr>
          <w:ilvl w:val="0"/>
          <w:numId w:val="39"/>
        </w:numPr>
        <w:shd w:val="clear" w:color="auto" w:fill="auto"/>
        <w:tabs>
          <w:tab w:pos="829" w:val="left"/>
        </w:tabs>
        <w:bidi w:val="0"/>
        <w:spacing w:before="0" w:after="0" w:line="410" w:lineRule="exact"/>
        <w:ind w:left="0" w:right="0" w:firstLine="480"/>
        <w:jc w:val="both"/>
      </w:pPr>
      <w:bookmarkStart w:id="889" w:name="bookmark889"/>
      <w:bookmarkStart w:id="890" w:name="bookmark890"/>
      <w:bookmarkStart w:id="891" w:name="bookmark891"/>
      <w:bookmarkStart w:id="892" w:name="bookmark892"/>
      <w:bookmarkEnd w:id="891"/>
      <w:r>
        <w:rPr>
          <w:color w:val="000000"/>
          <w:spacing w:val="0"/>
          <w:w w:val="100"/>
          <w:position w:val="0"/>
        </w:rPr>
        <w:t>存货的分类</w:t>
      </w:r>
      <w:bookmarkEnd w:id="889"/>
      <w:bookmarkEnd w:id="890"/>
      <w:bookmarkEnd w:id="892"/>
    </w:p>
    <w:p>
      <w:pPr>
        <w:pStyle w:val="Style16"/>
        <w:keepNext w:val="0"/>
        <w:keepLines w:val="0"/>
        <w:widowControl w:val="0"/>
        <w:shd w:val="clear" w:color="auto" w:fill="auto"/>
        <w:bidi w:val="0"/>
        <w:spacing w:before="0" w:after="0" w:line="410" w:lineRule="exact"/>
        <w:ind w:left="0" w:right="0" w:firstLine="480"/>
        <w:jc w:val="left"/>
      </w:pPr>
      <w:r>
        <w:rPr>
          <w:color w:val="000000"/>
          <w:spacing w:val="0"/>
          <w:w w:val="100"/>
          <w:position w:val="0"/>
        </w:rPr>
        <w:t>存货分类为：原材料、周转材料、库存商品、在产品、发出商品、委托加工物资等。</w:t>
      </w:r>
    </w:p>
    <w:p>
      <w:pPr>
        <w:pStyle w:val="Style51"/>
        <w:keepNext/>
        <w:keepLines/>
        <w:widowControl w:val="0"/>
        <w:numPr>
          <w:ilvl w:val="0"/>
          <w:numId w:val="39"/>
        </w:numPr>
        <w:shd w:val="clear" w:color="auto" w:fill="auto"/>
        <w:tabs>
          <w:tab w:pos="838" w:val="left"/>
        </w:tabs>
        <w:bidi w:val="0"/>
        <w:spacing w:before="0" w:after="0" w:line="410" w:lineRule="exact"/>
        <w:ind w:left="0" w:right="0" w:firstLine="480"/>
        <w:jc w:val="both"/>
      </w:pPr>
      <w:bookmarkStart w:id="893" w:name="bookmark893"/>
      <w:bookmarkStart w:id="894" w:name="bookmark894"/>
      <w:bookmarkStart w:id="895" w:name="bookmark895"/>
      <w:bookmarkStart w:id="896" w:name="bookmark896"/>
      <w:bookmarkEnd w:id="895"/>
      <w:r>
        <w:rPr>
          <w:color w:val="000000"/>
          <w:spacing w:val="0"/>
          <w:w w:val="100"/>
          <w:position w:val="0"/>
        </w:rPr>
        <w:t>存货的计价方法</w:t>
      </w:r>
      <w:bookmarkEnd w:id="893"/>
      <w:bookmarkEnd w:id="894"/>
      <w:bookmarkEnd w:id="896"/>
    </w:p>
    <w:p>
      <w:pPr>
        <w:pStyle w:val="Style16"/>
        <w:keepNext w:val="0"/>
        <w:keepLines w:val="0"/>
        <w:widowControl w:val="0"/>
        <w:shd w:val="clear" w:color="auto" w:fill="auto"/>
        <w:bidi w:val="0"/>
        <w:spacing w:before="0" w:after="0" w:line="410" w:lineRule="exact"/>
        <w:ind w:left="0" w:right="0" w:firstLine="480"/>
        <w:jc w:val="both"/>
      </w:pPr>
      <w:r>
        <w:rPr>
          <w:color w:val="000000"/>
          <w:spacing w:val="0"/>
          <w:w w:val="100"/>
          <w:position w:val="0"/>
        </w:rPr>
        <w:t>存货发出时按加权平均法计价。</w:t>
      </w:r>
    </w:p>
    <w:p>
      <w:pPr>
        <w:pStyle w:val="Style51"/>
        <w:keepNext/>
        <w:keepLines/>
        <w:widowControl w:val="0"/>
        <w:numPr>
          <w:ilvl w:val="0"/>
          <w:numId w:val="39"/>
        </w:numPr>
        <w:shd w:val="clear" w:color="auto" w:fill="auto"/>
        <w:tabs>
          <w:tab w:pos="838" w:val="left"/>
        </w:tabs>
        <w:bidi w:val="0"/>
        <w:spacing w:before="0" w:after="0" w:line="410" w:lineRule="exact"/>
        <w:ind w:left="0" w:right="0" w:firstLine="480"/>
        <w:jc w:val="both"/>
      </w:pPr>
      <w:bookmarkStart w:id="897" w:name="bookmark897"/>
      <w:bookmarkStart w:id="898" w:name="bookmark898"/>
      <w:bookmarkStart w:id="899" w:name="bookmark899"/>
      <w:bookmarkStart w:id="900" w:name="bookmark900"/>
      <w:bookmarkEnd w:id="899"/>
      <w:r>
        <w:rPr>
          <w:color w:val="000000"/>
          <w:spacing w:val="0"/>
          <w:w w:val="100"/>
          <w:position w:val="0"/>
        </w:rPr>
        <w:t>存货可变现净值的确定依据及存货跌价准备的计提方法</w:t>
      </w:r>
      <w:bookmarkEnd w:id="897"/>
      <w:bookmarkEnd w:id="898"/>
      <w:bookmarkEnd w:id="900"/>
    </w:p>
    <w:p>
      <w:pPr>
        <w:pStyle w:val="Style16"/>
        <w:keepNext w:val="0"/>
        <w:keepLines w:val="0"/>
        <w:widowControl w:val="0"/>
        <w:shd w:val="clear" w:color="auto" w:fill="auto"/>
        <w:bidi w:val="0"/>
        <w:spacing w:before="0" w:after="0" w:line="410" w:lineRule="exact"/>
        <w:ind w:left="0" w:right="0" w:firstLine="480"/>
        <w:jc w:val="both"/>
      </w:pPr>
      <w:r>
        <w:rPr>
          <w:color w:val="000000"/>
          <w:spacing w:val="0"/>
          <w:w w:val="100"/>
          <w:position w:val="0"/>
        </w:rPr>
        <w:t>产成品、库存商品和用于出售的材料等直接用于出售的商品存货，在正常生产经营过程 中，以该存货的估计售价减去估计的销售费用和相关税费后的金额，确定其可变现净值；需 要经过加工的材料存货，在正常生产经营过程中，以所生产的产成品的估计售价减去至完工 时估计将要发生的成本、估计的销售费用和相关税费后的金额，确定其可变现净值；为执行 销售合同或者劳务合同而持有的存货，其可变现净值以合同价格为基础计算，若持有存货的 数量多于销售合同订购数量的，超出部分的存货的可变现净值以一般销售价格为基础计算。</w:t>
      </w:r>
    </w:p>
    <w:p>
      <w:pPr>
        <w:pStyle w:val="Style16"/>
        <w:keepNext w:val="0"/>
        <w:keepLines w:val="0"/>
        <w:widowControl w:val="0"/>
        <w:shd w:val="clear" w:color="auto" w:fill="auto"/>
        <w:bidi w:val="0"/>
        <w:spacing w:before="0" w:after="0" w:line="408" w:lineRule="exact"/>
        <w:ind w:left="0" w:right="0" w:firstLine="480"/>
        <w:jc w:val="both"/>
      </w:pPr>
      <w:r>
        <w:rPr>
          <w:color w:val="000000"/>
          <w:spacing w:val="0"/>
          <w:w w:val="100"/>
          <w:position w:val="0"/>
        </w:rPr>
        <w:t>期末按照单个存货项目计提存货跌价准备；但对于数量繁多、单价较低的存货，按照存 货类别计提存货跌价准备；与在同一地区生产和销售的产品系列相关、具有相同或类似最终 用途或目的，且难以与其他项目分开计量的存货，则合并计提存货跌价准备。</w:t>
      </w:r>
    </w:p>
    <w:p>
      <w:pPr>
        <w:pStyle w:val="Style16"/>
        <w:keepNext w:val="0"/>
        <w:keepLines w:val="0"/>
        <w:widowControl w:val="0"/>
        <w:shd w:val="clear" w:color="auto" w:fill="auto"/>
        <w:bidi w:val="0"/>
        <w:spacing w:before="0" w:after="0" w:line="418" w:lineRule="exact"/>
        <w:ind w:left="0" w:right="0" w:firstLine="480"/>
        <w:jc w:val="both"/>
      </w:pPr>
      <w:r>
        <w:rPr>
          <w:color w:val="000000"/>
          <w:spacing w:val="0"/>
          <w:w w:val="100"/>
          <w:position w:val="0"/>
        </w:rPr>
        <w:t>除有明确证据表明资产负债表日市场价格异常外，存货项目的可变现净值以资产负债表 日市场价格为基础确定。</w:t>
      </w:r>
    </w:p>
    <w:p>
      <w:pPr>
        <w:pStyle w:val="Style16"/>
        <w:keepNext w:val="0"/>
        <w:keepLines w:val="0"/>
        <w:widowControl w:val="0"/>
        <w:shd w:val="clear" w:color="auto" w:fill="auto"/>
        <w:bidi w:val="0"/>
        <w:spacing w:before="0" w:after="0" w:line="410" w:lineRule="exact"/>
        <w:ind w:left="0" w:right="0" w:firstLine="480"/>
        <w:jc w:val="both"/>
      </w:pPr>
      <w:r>
        <w:rPr>
          <w:color w:val="000000"/>
          <w:spacing w:val="0"/>
          <w:w w:val="100"/>
          <w:position w:val="0"/>
        </w:rPr>
        <w:t>本期期末存货项目的可变现净值以资产负债表日市场价格为基础确定。</w:t>
      </w:r>
    </w:p>
    <w:p>
      <w:pPr>
        <w:pStyle w:val="Style51"/>
        <w:keepNext/>
        <w:keepLines/>
        <w:widowControl w:val="0"/>
        <w:numPr>
          <w:ilvl w:val="0"/>
          <w:numId w:val="39"/>
        </w:numPr>
        <w:shd w:val="clear" w:color="auto" w:fill="auto"/>
        <w:tabs>
          <w:tab w:pos="838" w:val="left"/>
        </w:tabs>
        <w:bidi w:val="0"/>
        <w:spacing w:before="0" w:after="0" w:line="410" w:lineRule="exact"/>
        <w:ind w:left="0" w:right="0" w:firstLine="480"/>
        <w:jc w:val="both"/>
      </w:pPr>
      <w:bookmarkStart w:id="901" w:name="bookmark901"/>
      <w:bookmarkStart w:id="902" w:name="bookmark902"/>
      <w:bookmarkStart w:id="903" w:name="bookmark903"/>
      <w:bookmarkStart w:id="904" w:name="bookmark904"/>
      <w:bookmarkEnd w:id="903"/>
      <w:r>
        <w:rPr>
          <w:color w:val="000000"/>
          <w:spacing w:val="0"/>
          <w:w w:val="100"/>
          <w:position w:val="0"/>
        </w:rPr>
        <w:t>存货的盘存制度</w:t>
      </w:r>
      <w:bookmarkEnd w:id="901"/>
      <w:bookmarkEnd w:id="902"/>
      <w:bookmarkEnd w:id="904"/>
    </w:p>
    <w:p>
      <w:pPr>
        <w:pStyle w:val="Style16"/>
        <w:keepNext w:val="0"/>
        <w:keepLines w:val="0"/>
        <w:widowControl w:val="0"/>
        <w:shd w:val="clear" w:color="auto" w:fill="auto"/>
        <w:bidi w:val="0"/>
        <w:spacing w:before="0" w:after="0" w:line="410" w:lineRule="exact"/>
        <w:ind w:left="0" w:right="0" w:firstLine="480"/>
        <w:jc w:val="both"/>
      </w:pPr>
      <w:r>
        <w:rPr>
          <w:color w:val="000000"/>
          <w:spacing w:val="0"/>
          <w:w w:val="100"/>
          <w:position w:val="0"/>
        </w:rPr>
        <w:t>采用永续盘存制</w:t>
      </w:r>
    </w:p>
    <w:p>
      <w:pPr>
        <w:pStyle w:val="Style51"/>
        <w:keepNext/>
        <w:keepLines/>
        <w:widowControl w:val="0"/>
        <w:numPr>
          <w:ilvl w:val="0"/>
          <w:numId w:val="39"/>
        </w:numPr>
        <w:shd w:val="clear" w:color="auto" w:fill="auto"/>
        <w:tabs>
          <w:tab w:pos="838" w:val="left"/>
        </w:tabs>
        <w:bidi w:val="0"/>
        <w:spacing w:before="0" w:after="0" w:line="410" w:lineRule="exact"/>
        <w:ind w:left="0" w:right="0" w:firstLine="480"/>
        <w:jc w:val="both"/>
      </w:pPr>
      <w:bookmarkStart w:id="905" w:name="bookmark905"/>
      <w:bookmarkStart w:id="906" w:name="bookmark906"/>
      <w:bookmarkStart w:id="907" w:name="bookmark907"/>
      <w:bookmarkStart w:id="908" w:name="bookmark908"/>
      <w:bookmarkEnd w:id="907"/>
      <w:r>
        <w:rPr>
          <w:color w:val="000000"/>
          <w:spacing w:val="0"/>
          <w:w w:val="100"/>
          <w:position w:val="0"/>
        </w:rPr>
        <w:t>低值易耗品和包装物的摊销方法</w:t>
      </w:r>
      <w:bookmarkEnd w:id="905"/>
      <w:bookmarkEnd w:id="906"/>
      <w:bookmarkEnd w:id="908"/>
    </w:p>
    <w:p>
      <w:pPr>
        <w:pStyle w:val="Style16"/>
        <w:keepNext w:val="0"/>
        <w:keepLines w:val="0"/>
        <w:widowControl w:val="0"/>
        <w:shd w:val="clear" w:color="auto" w:fill="auto"/>
        <w:bidi w:val="0"/>
        <w:spacing w:before="0" w:after="0" w:line="410" w:lineRule="exact"/>
        <w:ind w:left="0" w:right="0" w:firstLine="480"/>
        <w:jc w:val="both"/>
      </w:pPr>
      <w:bookmarkStart w:id="909" w:name="bookmark909"/>
      <w:r>
        <w:rPr>
          <w:color w:val="000000"/>
          <w:spacing w:val="0"/>
          <w:w w:val="100"/>
          <w:position w:val="0"/>
        </w:rPr>
        <w:t>（</w:t>
      </w:r>
      <w:bookmarkEnd w:id="909"/>
      <w:r>
        <w:rPr>
          <w:rFonts w:ascii="Times New Roman" w:eastAsia="Times New Roman" w:hAnsi="Times New Roman" w:cs="Times New Roman"/>
          <w:color w:val="000000"/>
          <w:spacing w:val="0"/>
          <w:w w:val="100"/>
          <w:position w:val="0"/>
        </w:rPr>
        <w:t>1</w:t>
      </w:r>
      <w:r>
        <w:rPr>
          <w:color w:val="000000"/>
          <w:spacing w:val="0"/>
          <w:w w:val="100"/>
          <w:position w:val="0"/>
        </w:rPr>
        <w:t>）低值易耗品采用一次转销法</w:t>
      </w:r>
    </w:p>
    <w:p>
      <w:pPr>
        <w:pStyle w:val="Style16"/>
        <w:keepNext w:val="0"/>
        <w:keepLines w:val="0"/>
        <w:widowControl w:val="0"/>
        <w:shd w:val="clear" w:color="auto" w:fill="auto"/>
        <w:bidi w:val="0"/>
        <w:spacing w:before="0" w:after="360" w:line="468" w:lineRule="exact"/>
        <w:ind w:left="0" w:right="0" w:firstLine="360"/>
        <w:jc w:val="left"/>
      </w:pPr>
      <w:bookmarkStart w:id="910" w:name="bookmark910"/>
      <w:r>
        <w:rPr>
          <w:color w:val="000000"/>
          <w:spacing w:val="0"/>
          <w:w w:val="100"/>
          <w:position w:val="0"/>
        </w:rPr>
        <w:t>（</w:t>
      </w:r>
      <w:bookmarkEnd w:id="910"/>
      <w:r>
        <w:rPr>
          <w:rFonts w:ascii="Times New Roman" w:eastAsia="Times New Roman" w:hAnsi="Times New Roman" w:cs="Times New Roman"/>
          <w:color w:val="000000"/>
          <w:spacing w:val="0"/>
          <w:w w:val="100"/>
          <w:position w:val="0"/>
        </w:rPr>
        <w:t>2</w:t>
      </w:r>
      <w:r>
        <w:rPr>
          <w:color w:val="000000"/>
          <w:spacing w:val="0"/>
          <w:w w:val="100"/>
          <w:position w:val="0"/>
        </w:rPr>
        <w:t>）包装物采用一次转销法</w:t>
      </w:r>
    </w:p>
    <w:p>
      <w:pPr>
        <w:pStyle w:val="Style37"/>
        <w:keepNext/>
        <w:keepLines/>
        <w:widowControl w:val="0"/>
        <w:shd w:val="clear" w:color="auto" w:fill="auto"/>
        <w:bidi w:val="0"/>
        <w:spacing w:before="0" w:after="0" w:line="468" w:lineRule="exact"/>
        <w:ind w:left="0" w:right="0" w:firstLine="360"/>
        <w:jc w:val="left"/>
      </w:pPr>
      <w:bookmarkStart w:id="911" w:name="bookmark911"/>
      <w:bookmarkStart w:id="912" w:name="bookmark912"/>
      <w:bookmarkStart w:id="913" w:name="bookmark913"/>
      <w:r>
        <w:rPr>
          <w:color w:val="000000"/>
          <w:spacing w:val="0"/>
          <w:w w:val="100"/>
          <w:position w:val="0"/>
        </w:rPr>
        <w:t>（十三）持有待售</w:t>
      </w:r>
      <w:bookmarkEnd w:id="911"/>
      <w:bookmarkEnd w:id="912"/>
      <w:bookmarkEnd w:id="913"/>
    </w:p>
    <w:p>
      <w:pPr>
        <w:pStyle w:val="Style16"/>
        <w:keepNext w:val="0"/>
        <w:keepLines w:val="0"/>
        <w:widowControl w:val="0"/>
        <w:shd w:val="clear" w:color="auto" w:fill="auto"/>
        <w:bidi w:val="0"/>
        <w:spacing w:before="0" w:after="0" w:line="468" w:lineRule="exact"/>
        <w:ind w:left="0" w:right="0" w:firstLine="360"/>
        <w:jc w:val="left"/>
      </w:pPr>
      <w:r>
        <w:rPr>
          <w:color w:val="000000"/>
          <w:spacing w:val="0"/>
          <w:w w:val="100"/>
          <w:position w:val="0"/>
        </w:rPr>
        <w:t>本公司将同时满足下列条件的非流动资产或处置组确认为持有待售组成部分：</w:t>
      </w:r>
    </w:p>
    <w:p>
      <w:pPr>
        <w:pStyle w:val="Style16"/>
        <w:keepNext w:val="0"/>
        <w:keepLines w:val="0"/>
        <w:widowControl w:val="0"/>
        <w:shd w:val="clear" w:color="auto" w:fill="auto"/>
        <w:tabs>
          <w:tab w:pos="835" w:val="left"/>
        </w:tabs>
        <w:bidi w:val="0"/>
        <w:spacing w:before="0" w:after="40" w:line="468" w:lineRule="exact"/>
        <w:ind w:left="0" w:right="0" w:firstLine="360"/>
        <w:jc w:val="left"/>
      </w:pPr>
      <w:bookmarkStart w:id="914" w:name="bookmark914"/>
      <w:r>
        <w:rPr>
          <w:color w:val="000000"/>
          <w:spacing w:val="0"/>
          <w:w w:val="100"/>
          <w:position w:val="0"/>
        </w:rPr>
        <w:t>（</w:t>
      </w:r>
      <w:bookmarkEnd w:id="914"/>
      <w:r>
        <w:rPr>
          <w:rFonts w:ascii="Times New Roman" w:eastAsia="Times New Roman" w:hAnsi="Times New Roman" w:cs="Times New Roman"/>
          <w:color w:val="000000"/>
          <w:spacing w:val="0"/>
          <w:w w:val="100"/>
          <w:position w:val="0"/>
        </w:rPr>
        <w:t>1</w:t>
      </w:r>
      <w:r>
        <w:rPr>
          <w:color w:val="000000"/>
          <w:spacing w:val="0"/>
          <w:w w:val="100"/>
          <w:position w:val="0"/>
        </w:rPr>
        <w:t>）</w:t>
        <w:tab/>
        <w:t>根据类似交易中出售此类资产或处置组的惯例，在当前状况下即可立即出售；</w:t>
      </w:r>
    </w:p>
    <w:p>
      <w:pPr>
        <w:pStyle w:val="Style16"/>
        <w:keepNext w:val="0"/>
        <w:keepLines w:val="0"/>
        <w:widowControl w:val="0"/>
        <w:shd w:val="clear" w:color="auto" w:fill="auto"/>
        <w:tabs>
          <w:tab w:pos="1007" w:val="left"/>
        </w:tabs>
        <w:bidi w:val="0"/>
        <w:spacing w:before="0" w:after="0" w:line="410" w:lineRule="exact"/>
        <w:ind w:left="0" w:right="0" w:firstLine="420"/>
        <w:jc w:val="both"/>
      </w:pPr>
      <w:bookmarkStart w:id="915" w:name="bookmark915"/>
      <w:r>
        <w:rPr>
          <w:color w:val="000000"/>
          <w:spacing w:val="0"/>
          <w:w w:val="100"/>
          <w:position w:val="0"/>
        </w:rPr>
        <w:t>（</w:t>
      </w:r>
      <w:bookmarkEnd w:id="915"/>
      <w:r>
        <w:rPr>
          <w:rFonts w:ascii="Times New Roman" w:eastAsia="Times New Roman" w:hAnsi="Times New Roman" w:cs="Times New Roman"/>
          <w:color w:val="000000"/>
          <w:spacing w:val="0"/>
          <w:w w:val="100"/>
          <w:position w:val="0"/>
        </w:rPr>
        <w:t>2</w:t>
      </w:r>
      <w:r>
        <w:rPr>
          <w:color w:val="000000"/>
          <w:spacing w:val="0"/>
          <w:w w:val="100"/>
          <w:position w:val="0"/>
        </w:rPr>
        <w:t>）</w:t>
        <w:tab/>
        <w:t>出售极可能发生，即本公司已经就一项出售计划作出决议且获得确定的购买承诺， 预计出售将在一年内完成。有关规定要求本公司相关权力机构或者监管部门批准后方可出售 的，已经获得批准。</w:t>
      </w:r>
    </w:p>
    <w:p>
      <w:pPr>
        <w:pStyle w:val="Style37"/>
        <w:keepNext/>
        <w:keepLines/>
        <w:widowControl w:val="0"/>
        <w:shd w:val="clear" w:color="auto" w:fill="auto"/>
        <w:bidi w:val="0"/>
        <w:spacing w:before="0" w:after="140" w:line="468" w:lineRule="exact"/>
        <w:ind w:left="0" w:right="0" w:firstLine="420"/>
        <w:jc w:val="both"/>
      </w:pPr>
      <w:bookmarkStart w:id="916" w:name="bookmark916"/>
      <w:bookmarkStart w:id="917" w:name="bookmark917"/>
      <w:bookmarkStart w:id="918" w:name="bookmark918"/>
      <w:r>
        <w:rPr>
          <w:color w:val="000000"/>
          <w:spacing w:val="0"/>
          <w:w w:val="100"/>
          <w:position w:val="0"/>
        </w:rPr>
        <w:t>（十四）长期股权投资</w:t>
      </w:r>
      <w:bookmarkEnd w:id="916"/>
      <w:bookmarkEnd w:id="917"/>
      <w:bookmarkEnd w:id="918"/>
    </w:p>
    <w:p>
      <w:pPr>
        <w:pStyle w:val="Style51"/>
        <w:keepNext/>
        <w:keepLines/>
        <w:widowControl w:val="0"/>
        <w:numPr>
          <w:ilvl w:val="0"/>
          <w:numId w:val="41"/>
        </w:numPr>
        <w:shd w:val="clear" w:color="auto" w:fill="auto"/>
        <w:tabs>
          <w:tab w:pos="757" w:val="left"/>
        </w:tabs>
        <w:bidi w:val="0"/>
        <w:spacing w:before="0" w:after="0" w:line="410" w:lineRule="exact"/>
        <w:ind w:left="0" w:right="0" w:firstLine="360"/>
        <w:jc w:val="left"/>
      </w:pPr>
      <w:bookmarkStart w:id="919" w:name="bookmark919"/>
      <w:bookmarkStart w:id="920" w:name="bookmark920"/>
      <w:bookmarkStart w:id="921" w:name="bookmark921"/>
      <w:bookmarkStart w:id="922" w:name="bookmark922"/>
      <w:bookmarkEnd w:id="921"/>
      <w:r>
        <w:rPr>
          <w:color w:val="000000"/>
          <w:spacing w:val="0"/>
          <w:w w:val="100"/>
          <w:position w:val="0"/>
        </w:rPr>
        <w:t>共同控制、重大影响的判断标准</w:t>
      </w:r>
      <w:bookmarkEnd w:id="919"/>
      <w:bookmarkEnd w:id="920"/>
      <w:bookmarkEnd w:id="922"/>
    </w:p>
    <w:p>
      <w:pPr>
        <w:pStyle w:val="Style16"/>
        <w:keepNext w:val="0"/>
        <w:keepLines w:val="0"/>
        <w:widowControl w:val="0"/>
        <w:shd w:val="clear" w:color="auto" w:fill="auto"/>
        <w:bidi w:val="0"/>
        <w:spacing w:before="0" w:after="40" w:line="410" w:lineRule="exact"/>
        <w:ind w:left="0" w:right="0" w:firstLine="420"/>
        <w:jc w:val="left"/>
      </w:pPr>
      <w:r>
        <w:rPr>
          <w:color w:val="000000"/>
          <w:spacing w:val="0"/>
          <w:w w:val="100"/>
          <w:position w:val="0"/>
        </w:rPr>
        <w:t>共同控制，是指按照相关约定对某项安排所共有的控制，并且该安排的相关活动必 须经过分享控制权的参与方一致同意后才能决策。本公司与其他合营方一同对被投资单 位实施共同控制且对被投资单位净资产享有权利的，被投资单位为本公司的合营企业。</w:t>
      </w:r>
    </w:p>
    <w:p>
      <w:pPr>
        <w:pStyle w:val="Style16"/>
        <w:keepNext w:val="0"/>
        <w:keepLines w:val="0"/>
        <w:widowControl w:val="0"/>
        <w:shd w:val="clear" w:color="auto" w:fill="auto"/>
        <w:bidi w:val="0"/>
        <w:spacing w:before="0" w:after="40" w:line="413" w:lineRule="exact"/>
        <w:ind w:left="0" w:right="0" w:firstLine="420"/>
        <w:jc w:val="left"/>
      </w:pPr>
      <w:r>
        <w:rPr>
          <w:color w:val="000000"/>
          <w:spacing w:val="0"/>
          <w:w w:val="100"/>
          <w:position w:val="0"/>
        </w:rPr>
        <w:t>重大影响，是指对一个企业的财务和经营决策有参与决策的权力，但并不能够控制 或者与其他方一起共同控制这些政策的制定。本公司能够对被投资单位施加重大影响的， 被投资单位为本公司联营企业。</w:t>
      </w:r>
    </w:p>
    <w:p>
      <w:pPr>
        <w:pStyle w:val="Style51"/>
        <w:keepNext/>
        <w:keepLines/>
        <w:widowControl w:val="0"/>
        <w:numPr>
          <w:ilvl w:val="0"/>
          <w:numId w:val="41"/>
        </w:numPr>
        <w:shd w:val="clear" w:color="auto" w:fill="auto"/>
        <w:tabs>
          <w:tab w:pos="757" w:val="left"/>
        </w:tabs>
        <w:bidi w:val="0"/>
        <w:spacing w:before="0" w:after="40" w:line="468" w:lineRule="exact"/>
        <w:ind w:left="0" w:right="0" w:firstLine="360"/>
        <w:jc w:val="left"/>
      </w:pPr>
      <w:bookmarkStart w:id="923" w:name="bookmark923"/>
      <w:bookmarkStart w:id="924" w:name="bookmark924"/>
      <w:bookmarkStart w:id="925" w:name="bookmark925"/>
      <w:bookmarkStart w:id="926" w:name="bookmark926"/>
      <w:bookmarkEnd w:id="925"/>
      <w:r>
        <w:rPr>
          <w:color w:val="000000"/>
          <w:spacing w:val="0"/>
          <w:w w:val="100"/>
          <w:position w:val="0"/>
        </w:rPr>
        <w:t>初始投资成本的确定</w:t>
      </w:r>
      <w:bookmarkEnd w:id="923"/>
      <w:bookmarkEnd w:id="924"/>
      <w:bookmarkEnd w:id="926"/>
    </w:p>
    <w:p>
      <w:pPr>
        <w:pStyle w:val="Style16"/>
        <w:keepNext w:val="0"/>
        <w:keepLines w:val="0"/>
        <w:widowControl w:val="0"/>
        <w:shd w:val="clear" w:color="auto" w:fill="auto"/>
        <w:tabs>
          <w:tab w:pos="835" w:val="left"/>
        </w:tabs>
        <w:bidi w:val="0"/>
        <w:spacing w:before="0" w:after="40" w:line="468" w:lineRule="exact"/>
        <w:ind w:left="0" w:right="0" w:firstLine="360"/>
        <w:jc w:val="left"/>
      </w:pPr>
      <w:bookmarkStart w:id="927" w:name="bookmark927"/>
      <w:r>
        <w:rPr>
          <w:color w:val="000000"/>
          <w:spacing w:val="0"/>
          <w:w w:val="100"/>
          <w:position w:val="0"/>
        </w:rPr>
        <w:t>（</w:t>
      </w:r>
      <w:bookmarkEnd w:id="927"/>
      <w:r>
        <w:rPr>
          <w:rFonts w:ascii="Times New Roman" w:eastAsia="Times New Roman" w:hAnsi="Times New Roman" w:cs="Times New Roman"/>
          <w:color w:val="000000"/>
          <w:spacing w:val="0"/>
          <w:w w:val="100"/>
          <w:position w:val="0"/>
        </w:rPr>
        <w:t>1</w:t>
      </w:r>
      <w:r>
        <w:rPr>
          <w:color w:val="000000"/>
          <w:spacing w:val="0"/>
          <w:w w:val="100"/>
          <w:position w:val="0"/>
        </w:rPr>
        <w:t>）</w:t>
        <w:tab/>
        <w:t>企业合并形成的长期股权投资</w:t>
      </w:r>
    </w:p>
    <w:p>
      <w:pPr>
        <w:pStyle w:val="Style16"/>
        <w:keepNext w:val="0"/>
        <w:keepLines w:val="0"/>
        <w:widowControl w:val="0"/>
        <w:shd w:val="clear" w:color="auto" w:fill="auto"/>
        <w:bidi w:val="0"/>
        <w:spacing w:before="0" w:after="40" w:line="468" w:lineRule="exact"/>
        <w:ind w:left="0" w:right="0" w:firstLine="420"/>
        <w:jc w:val="both"/>
      </w:pPr>
      <w:r>
        <w:rPr>
          <w:color w:val="000000"/>
          <w:spacing w:val="0"/>
          <w:w w:val="100"/>
          <w:position w:val="0"/>
        </w:rPr>
        <w:t>同一控制下的企业合并：公司以支付现金、转让非现金资产或承担债务方式以及以发 行权益性证券作为合并对价的，在合并日按照取得被合并方所有者权益在最终控制方合并 财务报表中的账面价值的份额作为长期股权投资的初始投资成本。因追加投资等原因能够 对同一控制下的被投资单位实施控制的，在合并日根据合并后应享有被合并方净资产在最 终控制方合并财务报表中的账面价值的份额，确定长期股权投资的初始投资成本。合并日 长期股权投资的初始投资成本，与达到合并前的长期股权投资账面价值加上合并日进一步 取得股份新支付对价的账面价值之和的差额，调整股本溢价，股本溢价不足冲减的，冲减 留存收益。</w:t>
      </w:r>
    </w:p>
    <w:p>
      <w:pPr>
        <w:pStyle w:val="Style16"/>
        <w:keepNext w:val="0"/>
        <w:keepLines w:val="0"/>
        <w:widowControl w:val="0"/>
        <w:shd w:val="clear" w:color="auto" w:fill="auto"/>
        <w:bidi w:val="0"/>
        <w:spacing w:before="0" w:after="40" w:line="470" w:lineRule="exact"/>
        <w:ind w:left="0" w:right="0" w:firstLine="420"/>
        <w:jc w:val="both"/>
      </w:pPr>
      <w:r>
        <w:rPr>
          <w:color w:val="000000"/>
          <w:spacing w:val="0"/>
          <w:w w:val="100"/>
          <w:position w:val="0"/>
        </w:rPr>
        <w:t>非同一控制下的企业合并：公司按照购买日确定的合并成本作为长期股权投资的初始 投资成本。因追加投资等原因能够对非同一控制下的被投资单位实施控制的，按照原持有 的股权投资账面价值加上新增投资成本之和，作为改按成本法核算的初始投资成本。</w:t>
      </w:r>
    </w:p>
    <w:p>
      <w:pPr>
        <w:pStyle w:val="Style16"/>
        <w:keepNext w:val="0"/>
        <w:keepLines w:val="0"/>
        <w:widowControl w:val="0"/>
        <w:shd w:val="clear" w:color="auto" w:fill="auto"/>
        <w:tabs>
          <w:tab w:pos="835" w:val="left"/>
        </w:tabs>
        <w:bidi w:val="0"/>
        <w:spacing w:before="0" w:after="40" w:line="468" w:lineRule="exact"/>
        <w:ind w:left="0" w:right="0" w:firstLine="360"/>
        <w:jc w:val="left"/>
      </w:pPr>
      <w:bookmarkStart w:id="928" w:name="bookmark928"/>
      <w:r>
        <w:rPr>
          <w:color w:val="000000"/>
          <w:spacing w:val="0"/>
          <w:w w:val="100"/>
          <w:position w:val="0"/>
        </w:rPr>
        <w:t>（</w:t>
      </w:r>
      <w:bookmarkEnd w:id="928"/>
      <w:r>
        <w:rPr>
          <w:rFonts w:ascii="Times New Roman" w:eastAsia="Times New Roman" w:hAnsi="Times New Roman" w:cs="Times New Roman"/>
          <w:color w:val="000000"/>
          <w:spacing w:val="0"/>
          <w:w w:val="100"/>
          <w:position w:val="0"/>
        </w:rPr>
        <w:t>2</w:t>
      </w:r>
      <w:r>
        <w:rPr>
          <w:color w:val="000000"/>
          <w:spacing w:val="0"/>
          <w:w w:val="100"/>
          <w:position w:val="0"/>
        </w:rPr>
        <w:t>）</w:t>
        <w:tab/>
        <w:t>其他方式取得的长期股权投资</w:t>
      </w:r>
    </w:p>
    <w:p>
      <w:pPr>
        <w:pStyle w:val="Style16"/>
        <w:keepNext w:val="0"/>
        <w:keepLines w:val="0"/>
        <w:widowControl w:val="0"/>
        <w:shd w:val="clear" w:color="auto" w:fill="auto"/>
        <w:bidi w:val="0"/>
        <w:spacing w:before="0" w:after="0" w:line="410" w:lineRule="exact"/>
        <w:ind w:left="0" w:right="0" w:firstLine="360"/>
        <w:jc w:val="left"/>
      </w:pPr>
      <w:r>
        <w:rPr>
          <w:color w:val="000000"/>
          <w:spacing w:val="0"/>
          <w:w w:val="100"/>
          <w:position w:val="0"/>
        </w:rPr>
        <w:t>以支付现金方式取得的长期股权投资，按照实际支付的购买价款作为初始投资成本。</w:t>
      </w:r>
    </w:p>
    <w:p>
      <w:pPr>
        <w:pStyle w:val="Style16"/>
        <w:keepNext w:val="0"/>
        <w:keepLines w:val="0"/>
        <w:widowControl w:val="0"/>
        <w:shd w:val="clear" w:color="auto" w:fill="auto"/>
        <w:bidi w:val="0"/>
        <w:spacing w:before="0" w:after="0" w:line="470" w:lineRule="exact"/>
        <w:ind w:left="0" w:right="0" w:firstLine="420"/>
        <w:jc w:val="both"/>
      </w:pPr>
      <w:r>
        <w:rPr>
          <w:color w:val="000000"/>
          <w:spacing w:val="0"/>
          <w:w w:val="100"/>
          <w:position w:val="0"/>
        </w:rPr>
        <w:t>以发行权益性证券取得的长期股权投资，按照发行权益性证券的公允价值作为初始投 资成本。</w:t>
      </w:r>
    </w:p>
    <w:p>
      <w:pPr>
        <w:pStyle w:val="Style16"/>
        <w:keepNext w:val="0"/>
        <w:keepLines w:val="0"/>
        <w:widowControl w:val="0"/>
        <w:shd w:val="clear" w:color="auto" w:fill="auto"/>
        <w:bidi w:val="0"/>
        <w:spacing w:before="0" w:after="80" w:line="468" w:lineRule="exact"/>
        <w:ind w:left="0" w:right="0" w:firstLine="420"/>
        <w:jc w:val="both"/>
      </w:pPr>
      <w:r>
        <w:rPr>
          <w:color w:val="000000"/>
          <w:spacing w:val="0"/>
          <w:w w:val="100"/>
          <w:position w:val="0"/>
        </w:rPr>
        <w:t>在非货币性资产交换具备商业实质和换入资产或换出资产的公允价值能够可靠计量的 前提下，非货币性资产交换换入的长期股权投资以换出资产的公允价值和应支付的相关税 费确定其初始投资成本，除非有确凿证据表明换入资产的公允价值更加可靠；不满足上述 前提的非货币性资产交换，以换出资产的账面价值和应支付的相关税费作为换入长期股权 投资的初始投资成本。</w:t>
      </w:r>
    </w:p>
    <w:p>
      <w:pPr>
        <w:pStyle w:val="Style16"/>
        <w:keepNext w:val="0"/>
        <w:keepLines w:val="0"/>
        <w:widowControl w:val="0"/>
        <w:shd w:val="clear" w:color="auto" w:fill="auto"/>
        <w:bidi w:val="0"/>
        <w:spacing w:before="0" w:after="80" w:line="410" w:lineRule="exact"/>
        <w:ind w:left="0" w:right="0" w:firstLine="360"/>
        <w:jc w:val="left"/>
      </w:pPr>
      <w:r>
        <w:rPr>
          <w:color w:val="000000"/>
          <w:spacing w:val="0"/>
          <w:w w:val="100"/>
          <w:position w:val="0"/>
        </w:rPr>
        <w:t>通过债务重组取得的长期股权投资，其初始投资成本按照公允价值为基础确定。</w:t>
      </w:r>
    </w:p>
    <w:p>
      <w:pPr>
        <w:pStyle w:val="Style51"/>
        <w:keepNext/>
        <w:keepLines/>
        <w:widowControl w:val="0"/>
        <w:numPr>
          <w:ilvl w:val="0"/>
          <w:numId w:val="41"/>
        </w:numPr>
        <w:shd w:val="clear" w:color="auto" w:fill="auto"/>
        <w:bidi w:val="0"/>
        <w:spacing w:before="0" w:after="80" w:line="410" w:lineRule="exact"/>
        <w:ind w:left="0" w:right="0" w:firstLine="360"/>
        <w:jc w:val="left"/>
      </w:pPr>
      <w:bookmarkStart w:id="929" w:name="bookmark929"/>
      <w:bookmarkStart w:id="930" w:name="bookmark930"/>
      <w:bookmarkStart w:id="931" w:name="bookmark931"/>
      <w:bookmarkStart w:id="932" w:name="bookmark932"/>
      <w:bookmarkEnd w:id="931"/>
      <w:r>
        <w:rPr>
          <w:color w:val="000000"/>
          <w:spacing w:val="0"/>
          <w:w w:val="100"/>
          <w:position w:val="0"/>
        </w:rPr>
        <w:t>后续计量及损益确认方法</w:t>
      </w:r>
      <w:bookmarkEnd w:id="929"/>
      <w:bookmarkEnd w:id="930"/>
      <w:bookmarkEnd w:id="932"/>
    </w:p>
    <w:p>
      <w:pPr>
        <w:pStyle w:val="Style16"/>
        <w:keepNext w:val="0"/>
        <w:keepLines w:val="0"/>
        <w:widowControl w:val="0"/>
        <w:shd w:val="clear" w:color="auto" w:fill="auto"/>
        <w:tabs>
          <w:tab w:pos="812" w:val="left"/>
        </w:tabs>
        <w:bidi w:val="0"/>
        <w:spacing w:before="0" w:after="0" w:line="415" w:lineRule="exact"/>
        <w:ind w:left="0" w:right="0" w:firstLine="360"/>
        <w:jc w:val="left"/>
      </w:pPr>
      <w:bookmarkStart w:id="933" w:name="bookmark933"/>
      <w:r>
        <w:rPr>
          <w:color w:val="000000"/>
          <w:spacing w:val="0"/>
          <w:w w:val="100"/>
          <w:position w:val="0"/>
        </w:rPr>
        <w:t>（</w:t>
      </w:r>
      <w:bookmarkEnd w:id="933"/>
      <w:r>
        <w:rPr>
          <w:rFonts w:ascii="Times New Roman" w:eastAsia="Times New Roman" w:hAnsi="Times New Roman" w:cs="Times New Roman"/>
          <w:color w:val="000000"/>
          <w:spacing w:val="0"/>
          <w:w w:val="100"/>
          <w:position w:val="0"/>
        </w:rPr>
        <w:t>1</w:t>
      </w:r>
      <w:r>
        <w:rPr>
          <w:color w:val="000000"/>
          <w:spacing w:val="0"/>
          <w:w w:val="100"/>
          <w:position w:val="0"/>
        </w:rPr>
        <w:t>）</w:t>
        <w:tab/>
        <w:t>成本法核算的长期股权投资</w:t>
      </w:r>
    </w:p>
    <w:p>
      <w:pPr>
        <w:pStyle w:val="Style16"/>
        <w:keepNext w:val="0"/>
        <w:keepLines w:val="0"/>
        <w:widowControl w:val="0"/>
        <w:shd w:val="clear" w:color="auto" w:fill="auto"/>
        <w:bidi w:val="0"/>
        <w:spacing w:before="0" w:after="80" w:line="415" w:lineRule="exact"/>
        <w:ind w:left="0" w:right="0" w:firstLine="420"/>
        <w:jc w:val="left"/>
      </w:pPr>
      <w:r>
        <w:rPr>
          <w:color w:val="000000"/>
          <w:spacing w:val="0"/>
          <w:w w:val="100"/>
          <w:position w:val="0"/>
        </w:rPr>
        <w:t>公司对子公司的长期股权投资，采用成本法核算。除取得投资时实际支付的价款或 对价中包含的已宣告但尚未发放的现金股利或利润外，公司按照享有被投资单位宣告发 放的现金股利或利润确认当期投资收益。</w:t>
      </w:r>
    </w:p>
    <w:p>
      <w:pPr>
        <w:pStyle w:val="Style16"/>
        <w:keepNext w:val="0"/>
        <w:keepLines w:val="0"/>
        <w:widowControl w:val="0"/>
        <w:shd w:val="clear" w:color="auto" w:fill="auto"/>
        <w:tabs>
          <w:tab w:pos="812" w:val="left"/>
        </w:tabs>
        <w:bidi w:val="0"/>
        <w:spacing w:before="0" w:after="0" w:line="410" w:lineRule="exact"/>
        <w:ind w:left="0" w:right="0" w:firstLine="360"/>
        <w:jc w:val="left"/>
      </w:pPr>
      <w:bookmarkStart w:id="934" w:name="bookmark934"/>
      <w:r>
        <w:rPr>
          <w:color w:val="000000"/>
          <w:spacing w:val="0"/>
          <w:w w:val="100"/>
          <w:position w:val="0"/>
        </w:rPr>
        <w:t>（</w:t>
      </w:r>
      <w:bookmarkEnd w:id="934"/>
      <w:r>
        <w:rPr>
          <w:rFonts w:ascii="Times New Roman" w:eastAsia="Times New Roman" w:hAnsi="Times New Roman" w:cs="Times New Roman"/>
          <w:color w:val="000000"/>
          <w:spacing w:val="0"/>
          <w:w w:val="100"/>
          <w:position w:val="0"/>
        </w:rPr>
        <w:t>2</w:t>
      </w:r>
      <w:r>
        <w:rPr>
          <w:color w:val="000000"/>
          <w:spacing w:val="0"/>
          <w:w w:val="100"/>
          <w:position w:val="0"/>
        </w:rPr>
        <w:t>）</w:t>
        <w:tab/>
        <w:t>权益法核算的长期股权投资</w:t>
      </w:r>
    </w:p>
    <w:p>
      <w:pPr>
        <w:pStyle w:val="Style16"/>
        <w:keepNext w:val="0"/>
        <w:keepLines w:val="0"/>
        <w:widowControl w:val="0"/>
        <w:shd w:val="clear" w:color="auto" w:fill="auto"/>
        <w:bidi w:val="0"/>
        <w:spacing w:before="0" w:after="0" w:line="410" w:lineRule="exact"/>
        <w:ind w:left="0" w:right="0" w:firstLine="420"/>
        <w:jc w:val="both"/>
      </w:pPr>
      <w:r>
        <w:rPr>
          <w:color w:val="000000"/>
          <w:spacing w:val="0"/>
          <w:w w:val="100"/>
          <w:position w:val="0"/>
        </w:rPr>
        <w:t>对联营企业和合营企业的长期股权投资，采用权益法核算。初始投资成本大于投资 时应享有被投资单位可辨认净资产公允价值份额的差额，不调整长期股权投资的初始投 资成本；初始投资成本小于投资时应享有被投资单位可辨认净资产公允价值份额的差额， 计入当期损益。</w:t>
      </w:r>
    </w:p>
    <w:p>
      <w:pPr>
        <w:pStyle w:val="Style16"/>
        <w:keepNext w:val="0"/>
        <w:keepLines w:val="0"/>
        <w:widowControl w:val="0"/>
        <w:shd w:val="clear" w:color="auto" w:fill="auto"/>
        <w:bidi w:val="0"/>
        <w:spacing w:before="0" w:after="0" w:line="409" w:lineRule="exact"/>
        <w:ind w:left="0" w:right="0" w:firstLine="420"/>
        <w:jc w:val="both"/>
      </w:pPr>
      <w:r>
        <w:rPr>
          <w:color w:val="000000"/>
          <w:spacing w:val="0"/>
          <w:w w:val="100"/>
          <w:position w:val="0"/>
        </w:rPr>
        <w:t>公司按照应享有或应分担的被投资单位实现的净损益和其他综合收益的份额，分别 确认投资收益和其他综合收益，同时调整长期股权投资的账面价值；按照被投资单位宣 告分派的利润或现金股利计算应享有的部分，相应减少长期股权投资的账面价值；对于 被投资单位除净损益、其他综合收益和利润分配以外所有者权益的其他变动，调整长期 股权投资的账面价值并计入所有者权益。</w:t>
      </w:r>
    </w:p>
    <w:p>
      <w:pPr>
        <w:pStyle w:val="Style16"/>
        <w:keepNext w:val="0"/>
        <w:keepLines w:val="0"/>
        <w:widowControl w:val="0"/>
        <w:shd w:val="clear" w:color="auto" w:fill="auto"/>
        <w:bidi w:val="0"/>
        <w:spacing w:before="0" w:after="0" w:line="410" w:lineRule="exact"/>
        <w:ind w:left="0" w:right="0" w:firstLine="420"/>
        <w:jc w:val="both"/>
      </w:pPr>
      <w:r>
        <w:rPr>
          <w:color w:val="000000"/>
          <w:spacing w:val="0"/>
          <w:w w:val="100"/>
          <w:position w:val="0"/>
        </w:rPr>
        <w:t>在确认应享有被投资单位净损益的份额时，以取得投资时被投资单位可辨认净资产的 公允价值为基础，并按照公司的会计政策及会计期间，对被投资单位的净利润进行调整后 确认。在持有投资期间，被投资单位编制合并财务报表的，以合并财务报表中的净利润、 其他综合收益和其他所有者权益变动中归属于被投资单位的金额为基础进行核算。</w:t>
      </w:r>
    </w:p>
    <w:p>
      <w:pPr>
        <w:pStyle w:val="Style16"/>
        <w:keepNext w:val="0"/>
        <w:keepLines w:val="0"/>
        <w:widowControl w:val="0"/>
        <w:shd w:val="clear" w:color="auto" w:fill="auto"/>
        <w:bidi w:val="0"/>
        <w:spacing w:before="0" w:after="0" w:line="410" w:lineRule="exact"/>
        <w:ind w:left="0" w:right="0" w:firstLine="360"/>
        <w:jc w:val="left"/>
      </w:pPr>
      <w:r>
        <w:rPr>
          <w:color w:val="000000"/>
          <w:spacing w:val="0"/>
          <w:w w:val="100"/>
          <w:position w:val="0"/>
        </w:rPr>
        <w:t xml:space="preserve">公司与联营企业、合营企业之间发生的未实现内部交易损益按照应享有的比例计算归 </w:t>
      </w:r>
      <w:r>
        <w:rPr>
          <w:color w:val="000000"/>
          <w:spacing w:val="0"/>
          <w:w w:val="100"/>
          <w:position w:val="0"/>
        </w:rPr>
        <w:t>属于公司的部分，予以抵销，在此基础上确认投资收益。与被投资单位发生的未实现内部 交易损失，属于资产减值损失的，全额确认。</w:t>
      </w:r>
    </w:p>
    <w:p>
      <w:pPr>
        <w:pStyle w:val="Style16"/>
        <w:keepNext w:val="0"/>
        <w:keepLines w:val="0"/>
        <w:widowControl w:val="0"/>
        <w:shd w:val="clear" w:color="auto" w:fill="auto"/>
        <w:bidi w:val="0"/>
        <w:spacing w:before="0" w:after="40" w:line="409" w:lineRule="exact"/>
        <w:ind w:left="0" w:right="0" w:firstLine="440"/>
        <w:jc w:val="both"/>
      </w:pPr>
      <w:r>
        <w:rPr>
          <w:color w:val="000000"/>
          <w:spacing w:val="0"/>
          <w:w w:val="100"/>
          <w:position w:val="0"/>
        </w:rPr>
        <w:t>在公司确认应分担被投资单位发生的亏损时，按照以下顺序进行处理：首先，冲减 长期股权投资的账面价值。其次，长期股权投资的账面价值不足以冲减的，以其他实质 上构成对被投资单位净投资的长期权益账面价值为限继续确认投资损失，冲减长期应收 项目等的账面价值。最后，经过上述处理，按照投资合同或协议约定企业仍承担额外义 务的，按预计承担的义务确认预计负债，计入当期投资损失。</w:t>
      </w:r>
    </w:p>
    <w:p>
      <w:pPr>
        <w:pStyle w:val="Style16"/>
        <w:keepNext w:val="0"/>
        <w:keepLines w:val="0"/>
        <w:widowControl w:val="0"/>
        <w:shd w:val="clear" w:color="auto" w:fill="auto"/>
        <w:bidi w:val="0"/>
        <w:spacing w:before="0" w:after="40" w:line="408" w:lineRule="exact"/>
        <w:ind w:left="0" w:right="0" w:firstLine="440"/>
        <w:jc w:val="both"/>
      </w:pPr>
      <w:bookmarkStart w:id="935" w:name="bookmark935"/>
      <w:r>
        <w:rPr>
          <w:color w:val="000000"/>
          <w:spacing w:val="0"/>
          <w:w w:val="100"/>
          <w:position w:val="0"/>
        </w:rPr>
        <w:t>（</w:t>
      </w:r>
      <w:bookmarkEnd w:id="935"/>
      <w:r>
        <w:rPr>
          <w:rFonts w:ascii="Times New Roman" w:eastAsia="Times New Roman" w:hAnsi="Times New Roman" w:cs="Times New Roman"/>
          <w:color w:val="000000"/>
          <w:spacing w:val="0"/>
          <w:w w:val="100"/>
          <w:position w:val="0"/>
        </w:rPr>
        <w:t>3</w:t>
      </w:r>
      <w:r>
        <w:rPr>
          <w:color w:val="000000"/>
          <w:spacing w:val="0"/>
          <w:w w:val="100"/>
          <w:position w:val="0"/>
        </w:rPr>
        <w:t>）长期股权投资的处置</w:t>
      </w:r>
    </w:p>
    <w:p>
      <w:pPr>
        <w:pStyle w:val="Style16"/>
        <w:keepNext w:val="0"/>
        <w:keepLines w:val="0"/>
        <w:widowControl w:val="0"/>
        <w:shd w:val="clear" w:color="auto" w:fill="auto"/>
        <w:bidi w:val="0"/>
        <w:spacing w:before="0" w:after="40" w:line="408" w:lineRule="exact"/>
        <w:ind w:left="0" w:right="0" w:firstLine="440"/>
        <w:jc w:val="left"/>
      </w:pPr>
      <w:r>
        <w:rPr>
          <w:color w:val="000000"/>
          <w:spacing w:val="0"/>
          <w:w w:val="100"/>
          <w:position w:val="0"/>
        </w:rPr>
        <w:t>处置长期股权投资，其账面价值与实际取得价款的差额，计入当期损益。</w:t>
      </w:r>
    </w:p>
    <w:p>
      <w:pPr>
        <w:pStyle w:val="Style16"/>
        <w:keepNext w:val="0"/>
        <w:keepLines w:val="0"/>
        <w:widowControl w:val="0"/>
        <w:shd w:val="clear" w:color="auto" w:fill="auto"/>
        <w:bidi w:val="0"/>
        <w:spacing w:before="0" w:after="40" w:line="408" w:lineRule="exact"/>
        <w:ind w:left="0" w:right="0" w:firstLine="440"/>
        <w:jc w:val="both"/>
      </w:pPr>
      <w:r>
        <w:rPr>
          <w:color w:val="000000"/>
          <w:spacing w:val="0"/>
          <w:w w:val="100"/>
          <w:position w:val="0"/>
        </w:rPr>
        <w:t>采用权益法核算的长期股权投资，在处置该项投资时，采用与被投资单位直接处置相关 资产或负债相同的基础，按相应比例对原计入其他综合收益的部分进行会计处理。因被投资 单位除净损益、其他综合收益和利润分配以外的其他所有者权益变动而确认的所有者权益， 按比例结转入当期损益，由于被投资方重新计量设定受益计划净负债或净资产变动而产生的 其他综合收益除外。</w:t>
      </w:r>
    </w:p>
    <w:p>
      <w:pPr>
        <w:pStyle w:val="Style16"/>
        <w:keepNext w:val="0"/>
        <w:keepLines w:val="0"/>
        <w:widowControl w:val="0"/>
        <w:shd w:val="clear" w:color="auto" w:fill="auto"/>
        <w:bidi w:val="0"/>
        <w:spacing w:before="0" w:after="40" w:line="409" w:lineRule="exact"/>
        <w:ind w:left="0" w:right="0" w:firstLine="440"/>
        <w:jc w:val="both"/>
      </w:pPr>
      <w:r>
        <w:rPr>
          <w:color w:val="000000"/>
          <w:spacing w:val="0"/>
          <w:w w:val="100"/>
          <w:position w:val="0"/>
        </w:rPr>
        <w:t>因处置部分股权投资等原因丧失了对被投资单位的共同控制或重大影响的，处置后的剩 余股权改按金融工具确认和计量准则核算，其在丧失共同控制或重大影响之日的公允价值与 账面价值之间的差额计入当期损益。原股权投资因采用权益法核算而确认的其他综合收益， 在终止采用权益法核算时采用与被投资单位直接处置相关资产或负债相同的基础进行会计 处理。因被投资方除净损益、其他综合收益和利润分配以外的其他所有者权益变动而确认的 所有者权益，在终止采用权益法核算时全部转入当期损益。</w:t>
      </w:r>
    </w:p>
    <w:p>
      <w:pPr>
        <w:pStyle w:val="Style16"/>
        <w:keepNext w:val="0"/>
        <w:keepLines w:val="0"/>
        <w:widowControl w:val="0"/>
        <w:shd w:val="clear" w:color="auto" w:fill="auto"/>
        <w:bidi w:val="0"/>
        <w:spacing w:before="0" w:after="40" w:line="408" w:lineRule="exact"/>
        <w:ind w:left="0" w:right="0" w:firstLine="440"/>
        <w:jc w:val="both"/>
      </w:pPr>
      <w:r>
        <w:rPr>
          <w:color w:val="000000"/>
          <w:spacing w:val="0"/>
          <w:w w:val="100"/>
          <w:position w:val="0"/>
        </w:rPr>
        <w:t>因处置部分股权投资、因其他投资方对子公司增资而导致本公司持股比例下降等原因丧 失了对被投资单位控制权的，在编制个别财务报表时，剩余股权能够对被投资单位实施共同 控制或重大影响的，改按权益法核算，并对该剩余股权视同自取得时即采用权益法核算进行 调整；剩余股权不能对被投资单位实施共同控制或施加重大影响的，改按金融工具确认和计 量准则的有关规定进行会计处理，其在丧失控制之日的公允价值与账面价值间的差额计入当 期损益。</w:t>
      </w:r>
    </w:p>
    <w:p>
      <w:pPr>
        <w:pStyle w:val="Style16"/>
        <w:keepNext w:val="0"/>
        <w:keepLines w:val="0"/>
        <w:widowControl w:val="0"/>
        <w:shd w:val="clear" w:color="auto" w:fill="auto"/>
        <w:bidi w:val="0"/>
        <w:spacing w:before="0" w:after="40" w:line="406" w:lineRule="exact"/>
        <w:ind w:left="0" w:right="0" w:firstLine="440"/>
        <w:jc w:val="both"/>
      </w:pPr>
      <w:r>
        <w:rPr>
          <w:color w:val="000000"/>
          <w:spacing w:val="0"/>
          <w:w w:val="100"/>
          <w:position w:val="0"/>
        </w:rPr>
        <w:t>处置的股权是因追加投资等原因通过企业合并取得的，在编制个别财务报表时，处置后 的剩余股权采用成本法或权益法核算的，购买日之前持有的股权投资因采用权益法核算而确 认的其他综合收益和其他所有者权益按比例结转；处置后的剩余股权改按金融工具确认和计 量准则进行会计处理的，其他综合收益和其他所有者权益全部结转。</w:t>
      </w:r>
    </w:p>
    <w:p>
      <w:pPr>
        <w:pStyle w:val="Style37"/>
        <w:keepNext/>
        <w:keepLines/>
        <w:widowControl w:val="0"/>
        <w:shd w:val="clear" w:color="auto" w:fill="auto"/>
        <w:bidi w:val="0"/>
        <w:spacing w:before="0" w:after="40" w:line="408" w:lineRule="exact"/>
        <w:ind w:left="0" w:right="0" w:firstLine="440"/>
        <w:jc w:val="both"/>
      </w:pPr>
      <w:bookmarkStart w:id="936" w:name="bookmark936"/>
      <w:bookmarkStart w:id="937" w:name="bookmark937"/>
      <w:bookmarkStart w:id="938" w:name="bookmark938"/>
      <w:r>
        <w:rPr>
          <w:color w:val="000000"/>
          <w:spacing w:val="0"/>
          <w:w w:val="100"/>
          <w:position w:val="0"/>
        </w:rPr>
        <w:t>（十五）投资性房地产</w:t>
      </w:r>
      <w:bookmarkEnd w:id="936"/>
      <w:bookmarkEnd w:id="937"/>
      <w:bookmarkEnd w:id="938"/>
    </w:p>
    <w:p>
      <w:pPr>
        <w:pStyle w:val="Style16"/>
        <w:keepNext w:val="0"/>
        <w:keepLines w:val="0"/>
        <w:widowControl w:val="0"/>
        <w:shd w:val="clear" w:color="auto" w:fill="auto"/>
        <w:bidi w:val="0"/>
        <w:spacing w:before="0" w:after="40" w:line="408" w:lineRule="exact"/>
        <w:ind w:left="0" w:right="0" w:firstLine="440"/>
        <w:jc w:val="both"/>
      </w:pPr>
      <w:r>
        <w:rPr>
          <w:color w:val="000000"/>
          <w:spacing w:val="0"/>
          <w:w w:val="100"/>
          <w:position w:val="0"/>
        </w:rPr>
        <w:t>投资性房地产是指为赚取租金或资本增值，或两者兼有而持有的房地产，包括已出租的 土地使用权、持有并准备增值后转让的土地使用权、已出租的建筑物（含自行建造或开发活 动完成后用于出租的建筑物以及正在建造或开发过程中将来用于出租的建筑物）。</w:t>
      </w:r>
    </w:p>
    <w:p>
      <w:pPr>
        <w:pStyle w:val="Style16"/>
        <w:keepNext w:val="0"/>
        <w:keepLines w:val="0"/>
        <w:widowControl w:val="0"/>
        <w:shd w:val="clear" w:color="auto" w:fill="auto"/>
        <w:bidi w:val="0"/>
        <w:spacing w:before="0" w:after="0" w:line="408" w:lineRule="exact"/>
        <w:ind w:left="0" w:right="0" w:firstLine="440"/>
        <w:jc w:val="both"/>
      </w:pPr>
      <w:r>
        <w:rPr>
          <w:color w:val="000000"/>
          <w:spacing w:val="0"/>
          <w:w w:val="100"/>
          <w:position w:val="0"/>
        </w:rPr>
        <w:t xml:space="preserve">公司对现有投资性房地产采用成本模式计量。对按照成本模式计量的投资性房地产一出 </w:t>
      </w:r>
      <w:r>
        <w:rPr>
          <w:color w:val="000000"/>
          <w:spacing w:val="0"/>
          <w:w w:val="100"/>
          <w:position w:val="0"/>
        </w:rPr>
        <w:t>租用建筑物采用与本公司固定资产相同的折旧政策，出租用土地使用权按与无形资产相同的 摊销政策执行。</w:t>
      </w:r>
    </w:p>
    <w:p>
      <w:pPr>
        <w:pStyle w:val="Style37"/>
        <w:keepNext/>
        <w:keepLines/>
        <w:widowControl w:val="0"/>
        <w:shd w:val="clear" w:color="auto" w:fill="auto"/>
        <w:bidi w:val="0"/>
        <w:spacing w:before="0" w:after="220" w:line="438" w:lineRule="exact"/>
        <w:ind w:left="0" w:right="0" w:firstLine="460"/>
        <w:jc w:val="both"/>
      </w:pPr>
      <w:bookmarkStart w:id="939" w:name="bookmark939"/>
      <w:bookmarkStart w:id="940" w:name="bookmark940"/>
      <w:bookmarkStart w:id="941" w:name="bookmark941"/>
      <w:r>
        <w:rPr>
          <w:color w:val="000000"/>
          <w:spacing w:val="0"/>
          <w:w w:val="100"/>
          <w:position w:val="0"/>
        </w:rPr>
        <w:t>（十六）固定资产</w:t>
      </w:r>
      <w:bookmarkEnd w:id="939"/>
      <w:bookmarkEnd w:id="940"/>
      <w:bookmarkEnd w:id="941"/>
    </w:p>
    <w:p>
      <w:pPr>
        <w:pStyle w:val="Style51"/>
        <w:keepNext/>
        <w:keepLines/>
        <w:widowControl w:val="0"/>
        <w:numPr>
          <w:ilvl w:val="0"/>
          <w:numId w:val="43"/>
        </w:numPr>
        <w:shd w:val="clear" w:color="auto" w:fill="auto"/>
        <w:tabs>
          <w:tab w:pos="881" w:val="left"/>
        </w:tabs>
        <w:bidi w:val="0"/>
        <w:spacing w:before="0" w:after="0" w:line="456" w:lineRule="auto"/>
        <w:ind w:left="0" w:right="0" w:firstLine="460"/>
        <w:jc w:val="left"/>
      </w:pPr>
      <w:bookmarkStart w:id="942" w:name="bookmark942"/>
      <w:bookmarkStart w:id="943" w:name="bookmark943"/>
      <w:bookmarkStart w:id="944" w:name="bookmark944"/>
      <w:bookmarkStart w:id="945" w:name="bookmark945"/>
      <w:bookmarkEnd w:id="944"/>
      <w:r>
        <w:rPr>
          <w:color w:val="000000"/>
          <w:spacing w:val="0"/>
          <w:w w:val="100"/>
          <w:position w:val="0"/>
        </w:rPr>
        <w:t>固定资产确认条件</w:t>
      </w:r>
      <w:bookmarkEnd w:id="942"/>
      <w:bookmarkEnd w:id="943"/>
      <w:bookmarkEnd w:id="945"/>
    </w:p>
    <w:p>
      <w:pPr>
        <w:pStyle w:val="Style16"/>
        <w:keepNext w:val="0"/>
        <w:keepLines w:val="0"/>
        <w:widowControl w:val="0"/>
        <w:shd w:val="clear" w:color="auto" w:fill="auto"/>
        <w:bidi w:val="0"/>
        <w:spacing w:before="0" w:after="0" w:line="413" w:lineRule="exact"/>
        <w:ind w:left="0" w:right="0" w:firstLine="460"/>
        <w:jc w:val="both"/>
      </w:pPr>
      <w:r>
        <w:rPr>
          <w:color w:val="000000"/>
          <w:spacing w:val="0"/>
          <w:w w:val="100"/>
          <w:position w:val="0"/>
        </w:rPr>
        <w:t>固定资产指为生产商品、提供劳务、出租或经营管理而持有，并且使用寿命超过一个会 计年度的有形资产。固定资产在同时满足下列条件时予以确认：</w:t>
      </w:r>
    </w:p>
    <w:p>
      <w:pPr>
        <w:pStyle w:val="Style16"/>
        <w:keepNext w:val="0"/>
        <w:keepLines w:val="0"/>
        <w:widowControl w:val="0"/>
        <w:shd w:val="clear" w:color="auto" w:fill="auto"/>
        <w:tabs>
          <w:tab w:pos="948" w:val="left"/>
        </w:tabs>
        <w:bidi w:val="0"/>
        <w:spacing w:before="0" w:after="0" w:line="438" w:lineRule="exact"/>
        <w:ind w:left="0" w:right="0" w:firstLine="460"/>
        <w:jc w:val="left"/>
      </w:pPr>
      <w:bookmarkStart w:id="946" w:name="bookmark946"/>
      <w:r>
        <w:rPr>
          <w:color w:val="000000"/>
          <w:spacing w:val="0"/>
          <w:w w:val="100"/>
          <w:position w:val="0"/>
        </w:rPr>
        <w:t>（</w:t>
      </w:r>
      <w:bookmarkEnd w:id="946"/>
      <w:r>
        <w:rPr>
          <w:rFonts w:ascii="Times New Roman" w:eastAsia="Times New Roman" w:hAnsi="Times New Roman" w:cs="Times New Roman"/>
          <w:color w:val="000000"/>
          <w:spacing w:val="0"/>
          <w:w w:val="100"/>
          <w:position w:val="0"/>
        </w:rPr>
        <w:t>1</w:t>
      </w:r>
      <w:r>
        <w:rPr>
          <w:color w:val="000000"/>
          <w:spacing w:val="0"/>
          <w:w w:val="100"/>
          <w:position w:val="0"/>
        </w:rPr>
        <w:t>）</w:t>
        <w:tab/>
        <w:t>与该固定资产有关的经济利益很可能流入企业；</w:t>
      </w:r>
    </w:p>
    <w:p>
      <w:pPr>
        <w:pStyle w:val="Style16"/>
        <w:keepNext w:val="0"/>
        <w:keepLines w:val="0"/>
        <w:widowControl w:val="0"/>
        <w:shd w:val="clear" w:color="auto" w:fill="auto"/>
        <w:tabs>
          <w:tab w:pos="948" w:val="left"/>
        </w:tabs>
        <w:bidi w:val="0"/>
        <w:spacing w:before="0" w:after="220" w:line="438" w:lineRule="exact"/>
        <w:ind w:left="0" w:right="0" w:firstLine="460"/>
        <w:jc w:val="left"/>
      </w:pPr>
      <w:bookmarkStart w:id="947" w:name="bookmark947"/>
      <w:r>
        <w:rPr>
          <w:color w:val="000000"/>
          <w:spacing w:val="0"/>
          <w:w w:val="100"/>
          <w:position w:val="0"/>
        </w:rPr>
        <w:t>（</w:t>
      </w:r>
      <w:bookmarkEnd w:id="947"/>
      <w:r>
        <w:rPr>
          <w:rFonts w:ascii="Times New Roman" w:eastAsia="Times New Roman" w:hAnsi="Times New Roman" w:cs="Times New Roman"/>
          <w:color w:val="000000"/>
          <w:spacing w:val="0"/>
          <w:w w:val="100"/>
          <w:position w:val="0"/>
        </w:rPr>
        <w:t>2</w:t>
      </w:r>
      <w:r>
        <w:rPr>
          <w:color w:val="000000"/>
          <w:spacing w:val="0"/>
          <w:w w:val="100"/>
          <w:position w:val="0"/>
        </w:rPr>
        <w:t>）</w:t>
        <w:tab/>
        <w:t>该固定资产的成本能够可靠地计量。</w:t>
      </w:r>
    </w:p>
    <w:p>
      <w:pPr>
        <w:pStyle w:val="Style51"/>
        <w:keepNext/>
        <w:keepLines/>
        <w:widowControl w:val="0"/>
        <w:numPr>
          <w:ilvl w:val="0"/>
          <w:numId w:val="43"/>
        </w:numPr>
        <w:shd w:val="clear" w:color="auto" w:fill="auto"/>
        <w:tabs>
          <w:tab w:pos="881" w:val="left"/>
        </w:tabs>
        <w:bidi w:val="0"/>
        <w:spacing w:before="0" w:after="0" w:line="456" w:lineRule="auto"/>
        <w:ind w:left="0" w:right="0" w:firstLine="460"/>
        <w:jc w:val="left"/>
      </w:pPr>
      <w:bookmarkStart w:id="948" w:name="bookmark948"/>
      <w:bookmarkStart w:id="949" w:name="bookmark949"/>
      <w:bookmarkStart w:id="950" w:name="bookmark950"/>
      <w:bookmarkStart w:id="951" w:name="bookmark951"/>
      <w:bookmarkEnd w:id="950"/>
      <w:r>
        <w:rPr>
          <w:color w:val="000000"/>
          <w:spacing w:val="0"/>
          <w:w w:val="100"/>
          <w:position w:val="0"/>
        </w:rPr>
        <w:t>固定资产初始计量</w:t>
      </w:r>
      <w:bookmarkEnd w:id="948"/>
      <w:bookmarkEnd w:id="949"/>
      <w:bookmarkEnd w:id="951"/>
    </w:p>
    <w:p>
      <w:pPr>
        <w:pStyle w:val="Style16"/>
        <w:keepNext w:val="0"/>
        <w:keepLines w:val="0"/>
        <w:widowControl w:val="0"/>
        <w:shd w:val="clear" w:color="auto" w:fill="auto"/>
        <w:bidi w:val="0"/>
        <w:spacing w:before="0" w:after="0" w:line="438" w:lineRule="exact"/>
        <w:ind w:left="0" w:right="0" w:firstLine="460"/>
        <w:jc w:val="left"/>
      </w:pPr>
      <w:r>
        <w:rPr>
          <w:color w:val="000000"/>
          <w:spacing w:val="0"/>
          <w:w w:val="100"/>
          <w:position w:val="0"/>
        </w:rPr>
        <w:t>本公司固定资产按成本进行初始计量。</w:t>
      </w:r>
    </w:p>
    <w:p>
      <w:pPr>
        <w:pStyle w:val="Style16"/>
        <w:keepNext w:val="0"/>
        <w:keepLines w:val="0"/>
        <w:widowControl w:val="0"/>
        <w:shd w:val="clear" w:color="auto" w:fill="auto"/>
        <w:tabs>
          <w:tab w:pos="992" w:val="left"/>
        </w:tabs>
        <w:bidi w:val="0"/>
        <w:spacing w:before="0" w:after="0" w:line="438" w:lineRule="exact"/>
        <w:ind w:left="0" w:right="0" w:firstLine="460"/>
        <w:jc w:val="both"/>
      </w:pPr>
      <w:bookmarkStart w:id="952" w:name="bookmark952"/>
      <w:r>
        <w:rPr>
          <w:color w:val="000000"/>
          <w:spacing w:val="0"/>
          <w:w w:val="100"/>
          <w:position w:val="0"/>
        </w:rPr>
        <w:t>（</w:t>
      </w:r>
      <w:bookmarkEnd w:id="952"/>
      <w:r>
        <w:rPr>
          <w:rFonts w:ascii="Arial" w:eastAsia="Arial" w:hAnsi="Arial" w:cs="Arial"/>
          <w:color w:val="000000"/>
          <w:spacing w:val="0"/>
          <w:w w:val="100"/>
          <w:position w:val="0"/>
          <w:sz w:val="17"/>
          <w:szCs w:val="17"/>
        </w:rPr>
        <w:t>1</w:t>
      </w:r>
      <w:r>
        <w:rPr>
          <w:color w:val="000000"/>
          <w:spacing w:val="0"/>
          <w:w w:val="100"/>
          <w:position w:val="0"/>
        </w:rPr>
        <w:t>）</w:t>
        <w:tab/>
        <w:t>外购的固定资产的成本包括买价、进口关税等相关税费，以及为使固定资产达到 预定可使用状态前所发生的可直接归属于该资产的其他支出。</w:t>
      </w:r>
    </w:p>
    <w:p>
      <w:pPr>
        <w:pStyle w:val="Style16"/>
        <w:keepNext w:val="0"/>
        <w:keepLines w:val="0"/>
        <w:widowControl w:val="0"/>
        <w:shd w:val="clear" w:color="auto" w:fill="auto"/>
        <w:tabs>
          <w:tab w:pos="982" w:val="left"/>
        </w:tabs>
        <w:bidi w:val="0"/>
        <w:spacing w:before="0" w:after="0" w:line="438" w:lineRule="exact"/>
        <w:ind w:left="0" w:right="0" w:firstLine="460"/>
        <w:jc w:val="both"/>
      </w:pPr>
      <w:bookmarkStart w:id="953" w:name="bookmark953"/>
      <w:r>
        <w:rPr>
          <w:color w:val="000000"/>
          <w:spacing w:val="0"/>
          <w:w w:val="100"/>
          <w:position w:val="0"/>
        </w:rPr>
        <w:t>（</w:t>
      </w:r>
      <w:bookmarkEnd w:id="953"/>
      <w:r>
        <w:rPr>
          <w:rFonts w:ascii="Arial" w:eastAsia="Arial" w:hAnsi="Arial" w:cs="Arial"/>
          <w:color w:val="000000"/>
          <w:spacing w:val="0"/>
          <w:w w:val="100"/>
          <w:position w:val="0"/>
          <w:sz w:val="17"/>
          <w:szCs w:val="17"/>
        </w:rPr>
        <w:t>2</w:t>
      </w:r>
      <w:r>
        <w:rPr>
          <w:color w:val="000000"/>
          <w:spacing w:val="0"/>
          <w:w w:val="100"/>
          <w:position w:val="0"/>
        </w:rPr>
        <w:t>）</w:t>
        <w:tab/>
        <w:t>自行建造固定资产的成本，由建造该项资产达到预定可使用状态前所发生的必要 支出构成。</w:t>
      </w:r>
    </w:p>
    <w:p>
      <w:pPr>
        <w:pStyle w:val="Style16"/>
        <w:keepNext w:val="0"/>
        <w:keepLines w:val="0"/>
        <w:widowControl w:val="0"/>
        <w:shd w:val="clear" w:color="auto" w:fill="auto"/>
        <w:tabs>
          <w:tab w:pos="997" w:val="left"/>
        </w:tabs>
        <w:bidi w:val="0"/>
        <w:spacing w:before="0" w:after="0" w:line="438" w:lineRule="exact"/>
        <w:ind w:left="0" w:right="0" w:firstLine="460"/>
        <w:jc w:val="both"/>
      </w:pPr>
      <w:bookmarkStart w:id="954" w:name="bookmark954"/>
      <w:r>
        <w:rPr>
          <w:color w:val="000000"/>
          <w:spacing w:val="0"/>
          <w:w w:val="100"/>
          <w:position w:val="0"/>
        </w:rPr>
        <w:t>（</w:t>
      </w:r>
      <w:bookmarkEnd w:id="954"/>
      <w:r>
        <w:rPr>
          <w:rFonts w:ascii="Arial" w:eastAsia="Arial" w:hAnsi="Arial" w:cs="Arial"/>
          <w:color w:val="000000"/>
          <w:spacing w:val="0"/>
          <w:w w:val="100"/>
          <w:position w:val="0"/>
          <w:sz w:val="17"/>
          <w:szCs w:val="17"/>
        </w:rPr>
        <w:t>3</w:t>
      </w:r>
      <w:r>
        <w:rPr>
          <w:color w:val="000000"/>
          <w:spacing w:val="0"/>
          <w:w w:val="100"/>
          <w:position w:val="0"/>
        </w:rPr>
        <w:t>）</w:t>
        <w:tab/>
        <w:t>投资者投入的固定资产，按投资合同或协议约定的价值作为入账价值，但合同或 协议约定价值不公允的按公允价值入账。</w:t>
      </w:r>
    </w:p>
    <w:p>
      <w:pPr>
        <w:pStyle w:val="Style16"/>
        <w:keepNext w:val="0"/>
        <w:keepLines w:val="0"/>
        <w:widowControl w:val="0"/>
        <w:shd w:val="clear" w:color="auto" w:fill="auto"/>
        <w:tabs>
          <w:tab w:pos="987" w:val="left"/>
        </w:tabs>
        <w:bidi w:val="0"/>
        <w:spacing w:before="0" w:after="220" w:line="438" w:lineRule="exact"/>
        <w:ind w:left="0" w:right="0" w:firstLine="460"/>
        <w:jc w:val="both"/>
      </w:pPr>
      <w:bookmarkStart w:id="955" w:name="bookmark955"/>
      <w:r>
        <w:rPr>
          <w:color w:val="000000"/>
          <w:spacing w:val="0"/>
          <w:w w:val="100"/>
          <w:position w:val="0"/>
        </w:rPr>
        <w:t>（</w:t>
      </w:r>
      <w:bookmarkEnd w:id="955"/>
      <w:r>
        <w:rPr>
          <w:rFonts w:ascii="Times New Roman" w:eastAsia="Times New Roman" w:hAnsi="Times New Roman" w:cs="Times New Roman"/>
          <w:color w:val="000000"/>
          <w:spacing w:val="0"/>
          <w:w w:val="100"/>
          <w:position w:val="0"/>
        </w:rPr>
        <w:t>4</w:t>
      </w:r>
      <w:r>
        <w:rPr>
          <w:color w:val="000000"/>
          <w:spacing w:val="0"/>
          <w:w w:val="100"/>
          <w:position w:val="0"/>
        </w:rPr>
        <w:t>）</w:t>
        <w:tab/>
        <w:t>购买固定资产的价款超过正常信用条件延期支付，实质上具有融资性质的，固定 资产的成本以购买价款的现值为基础确定。实际支付的价款与购买价款的现值之间的差额, 除应予资本化的以外，在信用期间内计入当期损益。</w:t>
      </w:r>
    </w:p>
    <w:p>
      <w:pPr>
        <w:pStyle w:val="Style51"/>
        <w:keepNext/>
        <w:keepLines/>
        <w:widowControl w:val="0"/>
        <w:numPr>
          <w:ilvl w:val="0"/>
          <w:numId w:val="43"/>
        </w:numPr>
        <w:shd w:val="clear" w:color="auto" w:fill="auto"/>
        <w:tabs>
          <w:tab w:pos="881" w:val="left"/>
        </w:tabs>
        <w:bidi w:val="0"/>
        <w:spacing w:before="0" w:after="0" w:line="456" w:lineRule="auto"/>
        <w:ind w:left="0" w:right="0" w:firstLine="460"/>
        <w:jc w:val="both"/>
      </w:pPr>
      <w:bookmarkStart w:id="956" w:name="bookmark956"/>
      <w:bookmarkStart w:id="957" w:name="bookmark957"/>
      <w:bookmarkStart w:id="958" w:name="bookmark958"/>
      <w:bookmarkStart w:id="959" w:name="bookmark959"/>
      <w:bookmarkEnd w:id="958"/>
      <w:r>
        <w:rPr>
          <w:color w:val="000000"/>
          <w:spacing w:val="0"/>
          <w:w w:val="100"/>
          <w:position w:val="0"/>
        </w:rPr>
        <w:t>固定资产后续计量</w:t>
      </w:r>
      <w:bookmarkEnd w:id="956"/>
      <w:bookmarkEnd w:id="957"/>
      <w:bookmarkEnd w:id="959"/>
    </w:p>
    <w:p>
      <w:pPr>
        <w:pStyle w:val="Style16"/>
        <w:keepNext w:val="0"/>
        <w:keepLines w:val="0"/>
        <w:widowControl w:val="0"/>
        <w:shd w:val="clear" w:color="auto" w:fill="auto"/>
        <w:bidi w:val="0"/>
        <w:spacing w:before="0" w:after="0" w:line="438" w:lineRule="exact"/>
        <w:ind w:left="0" w:right="0" w:firstLine="460"/>
        <w:jc w:val="both"/>
      </w:pPr>
      <w:bookmarkStart w:id="960" w:name="bookmark960"/>
      <w:r>
        <w:rPr>
          <w:color w:val="000000"/>
          <w:spacing w:val="0"/>
          <w:w w:val="100"/>
          <w:position w:val="0"/>
        </w:rPr>
        <w:t>（</w:t>
      </w:r>
      <w:bookmarkEnd w:id="960"/>
      <w:r>
        <w:rPr>
          <w:rFonts w:ascii="Times New Roman" w:eastAsia="Times New Roman" w:hAnsi="Times New Roman" w:cs="Times New Roman"/>
          <w:color w:val="000000"/>
          <w:spacing w:val="0"/>
          <w:w w:val="100"/>
          <w:position w:val="0"/>
        </w:rPr>
        <w:t>1</w:t>
      </w:r>
      <w:r>
        <w:rPr>
          <w:color w:val="000000"/>
          <w:spacing w:val="0"/>
          <w:w w:val="100"/>
          <w:position w:val="0"/>
        </w:rPr>
        <w:t>）固定资产折旧</w:t>
      </w:r>
    </w:p>
    <w:p>
      <w:pPr>
        <w:pStyle w:val="Style16"/>
        <w:keepNext w:val="0"/>
        <w:keepLines w:val="0"/>
        <w:widowControl w:val="0"/>
        <w:shd w:val="clear" w:color="auto" w:fill="auto"/>
        <w:bidi w:val="0"/>
        <w:spacing w:before="0" w:after="0" w:line="408" w:lineRule="exact"/>
        <w:ind w:left="0" w:right="0" w:firstLine="460"/>
        <w:jc w:val="both"/>
      </w:pPr>
      <w:r>
        <w:rPr>
          <w:color w:val="000000"/>
          <w:spacing w:val="0"/>
          <w:w w:val="100"/>
          <w:position w:val="0"/>
        </w:rPr>
        <w:t>固定资产折旧采用年限平均法分类计提，根据固定资产类别、预计使用寿命和预计净残 值率确定折旧率。如固定资产各组成部分的使用寿命不同或者以不同方式为企业提供经济利 益，则选择不同折旧率或折旧方法，分别计提折旧。</w:t>
      </w:r>
    </w:p>
    <w:p>
      <w:pPr>
        <w:pStyle w:val="Style16"/>
        <w:keepNext w:val="0"/>
        <w:keepLines w:val="0"/>
        <w:widowControl w:val="0"/>
        <w:shd w:val="clear" w:color="auto" w:fill="auto"/>
        <w:bidi w:val="0"/>
        <w:spacing w:before="0" w:after="220" w:line="408" w:lineRule="exact"/>
        <w:ind w:left="0" w:right="0" w:firstLine="460"/>
        <w:jc w:val="both"/>
      </w:pPr>
      <w:r>
        <w:rPr>
          <w:color w:val="000000"/>
          <w:spacing w:val="0"/>
          <w:w w:val="100"/>
          <w:position w:val="0"/>
        </w:rPr>
        <w:t xml:space="preserve">融资租赁方式租入的固定资产，能合理确定租赁期届满时将会取得租赁资产所有权的， 在租赁资产尚可使用年限内计提折旧；无法合理确定租赁期届满时能够取得租赁资产所有权 </w:t>
      </w:r>
      <w:r>
        <w:rPr>
          <w:color w:val="000000"/>
          <w:spacing w:val="0"/>
          <w:w w:val="100"/>
          <w:position w:val="0"/>
        </w:rPr>
        <w:t>的，在租赁期与租赁资产尚可使用年限两者中较短的期间内计提折旧。</w:t>
      </w:r>
    </w:p>
    <w:p>
      <w:pPr>
        <w:pStyle w:val="Style16"/>
        <w:keepNext w:val="0"/>
        <w:keepLines w:val="0"/>
        <w:widowControl w:val="0"/>
        <w:shd w:val="clear" w:color="auto" w:fill="auto"/>
        <w:bidi w:val="0"/>
        <w:spacing w:before="0" w:after="160" w:line="240" w:lineRule="auto"/>
        <w:ind w:left="0" w:right="0" w:firstLine="460"/>
        <w:jc w:val="left"/>
      </w:pPr>
      <w:r>
        <w:rPr>
          <w:color w:val="000000"/>
          <w:spacing w:val="0"/>
          <w:w w:val="100"/>
          <w:position w:val="0"/>
        </w:rPr>
        <w:t>各类固定资产折旧方法、折旧年限、残值率和年折旧率如下：</w:t>
      </w:r>
    </w:p>
    <w:tbl>
      <w:tblPr>
        <w:tblOverlap w:val="never"/>
        <w:jc w:val="center"/>
        <w:tblLayout w:type="fixed"/>
      </w:tblPr>
      <w:tblGrid>
        <w:gridCol w:w="2030"/>
        <w:gridCol w:w="2098"/>
        <w:gridCol w:w="2102"/>
        <w:gridCol w:w="2126"/>
      </w:tblGrid>
      <w:tr>
        <w:trPr>
          <w:trHeight w:val="38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类别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80" w:right="0" w:firstLine="0"/>
              <w:jc w:val="center"/>
              <w:rPr>
                <w:sz w:val="18"/>
                <w:szCs w:val="18"/>
              </w:rPr>
            </w:pPr>
            <w:r>
              <w:rPr>
                <w:color w:val="000000"/>
                <w:spacing w:val="0"/>
                <w:w w:val="100"/>
                <w:position w:val="0"/>
                <w:sz w:val="18"/>
                <w:szCs w:val="18"/>
              </w:rPr>
              <w:t>折旧年限（年）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残值率（</w:t>
            </w:r>
            <w:r>
              <w:rPr>
                <w:rFonts w:ascii="Arial Narrow" w:eastAsia="Arial Narrow" w:hAnsi="Arial Narrow" w:cs="Arial Narrow"/>
                <w:color w:val="000000"/>
                <w:spacing w:val="0"/>
                <w:w w:val="100"/>
                <w:position w:val="0"/>
                <w:sz w:val="18"/>
                <w:szCs w:val="18"/>
              </w:rPr>
              <w:t>%</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 w:right="0" w:firstLine="0"/>
              <w:jc w:val="center"/>
              <w:rPr>
                <w:sz w:val="18"/>
                <w:szCs w:val="18"/>
              </w:rPr>
            </w:pPr>
            <w:r>
              <w:rPr>
                <w:color w:val="000000"/>
                <w:spacing w:val="0"/>
                <w:w w:val="100"/>
                <w:position w:val="0"/>
                <w:sz w:val="18"/>
                <w:szCs w:val="18"/>
              </w:rPr>
              <w:t>年折旧率（</w:t>
            </w:r>
            <w:r>
              <w:rPr>
                <w:rFonts w:ascii="Arial Narrow" w:eastAsia="Arial Narrow" w:hAnsi="Arial Narrow" w:cs="Arial Narrow"/>
                <w:color w:val="000000"/>
                <w:spacing w:val="0"/>
                <w:w w:val="100"/>
                <w:position w:val="0"/>
                <w:sz w:val="18"/>
                <w:szCs w:val="18"/>
              </w:rPr>
              <w:t>%</w:t>
            </w:r>
            <w:r>
              <w:rPr>
                <w:color w:val="000000"/>
                <w:spacing w:val="0"/>
                <w:w w:val="100"/>
                <w:position w:val="0"/>
                <w:sz w:val="18"/>
                <w:szCs w:val="18"/>
              </w:rPr>
              <w:t>）</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2.25-4.85</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运输设备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11.25-19.40</w:t>
            </w:r>
          </w:p>
        </w:tc>
      </w:tr>
      <w:tr>
        <w:trPr>
          <w:trHeight w:val="432"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电子及机器设备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9-32.33</w:t>
            </w:r>
          </w:p>
        </w:tc>
      </w:tr>
    </w:tbl>
    <w:p>
      <w:pPr>
        <w:widowControl w:val="0"/>
        <w:spacing w:line="1" w:lineRule="exact"/>
      </w:pPr>
    </w:p>
    <w:tbl>
      <w:tblPr>
        <w:tblOverlap w:val="never"/>
        <w:jc w:val="center"/>
        <w:tblLayout w:type="fixed"/>
      </w:tblPr>
      <w:tblGrid>
        <w:gridCol w:w="2030"/>
        <w:gridCol w:w="2098"/>
        <w:gridCol w:w="2102"/>
        <w:gridCol w:w="2126"/>
      </w:tblGrid>
      <w:tr>
        <w:trPr>
          <w:trHeight w:val="38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类别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80" w:right="0" w:firstLine="0"/>
              <w:jc w:val="center"/>
              <w:rPr>
                <w:sz w:val="18"/>
                <w:szCs w:val="18"/>
              </w:rPr>
            </w:pPr>
            <w:r>
              <w:rPr>
                <w:color w:val="000000"/>
                <w:spacing w:val="0"/>
                <w:w w:val="100"/>
                <w:position w:val="0"/>
                <w:sz w:val="18"/>
                <w:szCs w:val="18"/>
              </w:rPr>
              <w:t>折旧年限（年）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残值率（</w:t>
            </w:r>
            <w:r>
              <w:rPr>
                <w:rFonts w:ascii="Arial Narrow" w:eastAsia="Arial Narrow" w:hAnsi="Arial Narrow" w:cs="Arial Narrow"/>
                <w:color w:val="000000"/>
                <w:spacing w:val="0"/>
                <w:w w:val="100"/>
                <w:position w:val="0"/>
                <w:sz w:val="18"/>
                <w:szCs w:val="18"/>
              </w:rPr>
              <w:t>%</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 w:right="0" w:firstLine="0"/>
              <w:jc w:val="center"/>
              <w:rPr>
                <w:sz w:val="18"/>
                <w:szCs w:val="18"/>
              </w:rPr>
            </w:pPr>
            <w:r>
              <w:rPr>
                <w:color w:val="000000"/>
                <w:spacing w:val="0"/>
                <w:w w:val="100"/>
                <w:position w:val="0"/>
                <w:sz w:val="18"/>
                <w:szCs w:val="18"/>
              </w:rPr>
              <w:t>年折旧率（</w:t>
            </w:r>
            <w:r>
              <w:rPr>
                <w:rFonts w:ascii="Arial Narrow" w:eastAsia="Arial Narrow" w:hAnsi="Arial Narrow" w:cs="Arial Narrow"/>
                <w:color w:val="000000"/>
                <w:spacing w:val="0"/>
                <w:w w:val="100"/>
                <w:position w:val="0"/>
                <w:sz w:val="18"/>
                <w:szCs w:val="18"/>
              </w:rPr>
              <w:t>%</w:t>
            </w:r>
            <w:r>
              <w:rPr>
                <w:color w:val="000000"/>
                <w:spacing w:val="0"/>
                <w:w w:val="100"/>
                <w:position w:val="0"/>
                <w:sz w:val="18"/>
                <w:szCs w:val="18"/>
              </w:rPr>
              <w:t>）</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检测设备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w:t>
            </w:r>
          </w:p>
        </w:tc>
      </w:tr>
      <w:tr>
        <w:trPr>
          <w:trHeight w:val="39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办公设备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7.50-19.40</w:t>
            </w:r>
          </w:p>
        </w:tc>
      </w:tr>
      <w:tr>
        <w:trPr>
          <w:trHeight w:val="432"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工装模具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w:t>
            </w:r>
          </w:p>
        </w:tc>
      </w:tr>
    </w:tbl>
    <w:p>
      <w:pPr>
        <w:widowControl w:val="0"/>
        <w:spacing w:after="139" w:line="1" w:lineRule="exact"/>
      </w:pPr>
    </w:p>
    <w:p>
      <w:pPr>
        <w:pStyle w:val="Style51"/>
        <w:keepNext/>
        <w:keepLines/>
        <w:widowControl w:val="0"/>
        <w:numPr>
          <w:ilvl w:val="0"/>
          <w:numId w:val="43"/>
        </w:numPr>
        <w:shd w:val="clear" w:color="auto" w:fill="auto"/>
        <w:bidi w:val="0"/>
        <w:spacing w:before="0" w:after="0" w:line="409" w:lineRule="exact"/>
        <w:ind w:left="0" w:right="0" w:firstLine="460"/>
        <w:jc w:val="both"/>
      </w:pPr>
      <w:bookmarkStart w:id="961" w:name="bookmark961"/>
      <w:bookmarkStart w:id="962" w:name="bookmark962"/>
      <w:bookmarkStart w:id="963" w:name="bookmark963"/>
      <w:bookmarkStart w:id="964" w:name="bookmark964"/>
      <w:bookmarkEnd w:id="963"/>
      <w:r>
        <w:rPr>
          <w:color w:val="000000"/>
          <w:spacing w:val="0"/>
          <w:w w:val="100"/>
          <w:position w:val="0"/>
        </w:rPr>
        <w:t>融资租入固定资产的认定依据、计价和折旧方法</w:t>
      </w:r>
      <w:bookmarkEnd w:id="961"/>
      <w:bookmarkEnd w:id="962"/>
      <w:bookmarkEnd w:id="964"/>
    </w:p>
    <w:p>
      <w:pPr>
        <w:pStyle w:val="Style16"/>
        <w:keepNext w:val="0"/>
        <w:keepLines w:val="0"/>
        <w:widowControl w:val="0"/>
        <w:shd w:val="clear" w:color="auto" w:fill="auto"/>
        <w:bidi w:val="0"/>
        <w:spacing w:before="0" w:after="0" w:line="409" w:lineRule="exact"/>
        <w:ind w:left="0" w:right="0" w:firstLine="460"/>
        <w:jc w:val="both"/>
      </w:pPr>
      <w:r>
        <w:rPr>
          <w:color w:val="000000"/>
          <w:spacing w:val="0"/>
          <w:w w:val="100"/>
          <w:position w:val="0"/>
        </w:rPr>
        <w:t>当本公司租入的固定资产符合下列一项或数项标准时，确认为融资租入固定资产：</w:t>
      </w:r>
    </w:p>
    <w:p>
      <w:pPr>
        <w:pStyle w:val="Style16"/>
        <w:keepNext w:val="0"/>
        <w:keepLines w:val="0"/>
        <w:widowControl w:val="0"/>
        <w:shd w:val="clear" w:color="auto" w:fill="auto"/>
        <w:tabs>
          <w:tab w:pos="948" w:val="left"/>
        </w:tabs>
        <w:bidi w:val="0"/>
        <w:spacing w:before="0" w:after="0" w:line="409" w:lineRule="exact"/>
        <w:ind w:left="0" w:right="0" w:firstLine="460"/>
        <w:jc w:val="both"/>
      </w:pPr>
      <w:bookmarkStart w:id="965" w:name="bookmark965"/>
      <w:r>
        <w:rPr>
          <w:color w:val="000000"/>
          <w:spacing w:val="0"/>
          <w:w w:val="100"/>
          <w:position w:val="0"/>
        </w:rPr>
        <w:t>（</w:t>
      </w:r>
      <w:bookmarkEnd w:id="965"/>
      <w:r>
        <w:rPr>
          <w:rFonts w:ascii="Times New Roman" w:eastAsia="Times New Roman" w:hAnsi="Times New Roman" w:cs="Times New Roman"/>
          <w:color w:val="000000"/>
          <w:spacing w:val="0"/>
          <w:w w:val="100"/>
          <w:position w:val="0"/>
        </w:rPr>
        <w:t>1</w:t>
      </w:r>
      <w:r>
        <w:rPr>
          <w:color w:val="000000"/>
          <w:spacing w:val="0"/>
          <w:w w:val="100"/>
          <w:position w:val="0"/>
        </w:rPr>
        <w:t>）</w:t>
        <w:tab/>
        <w:t>在租赁期届满时，租赁资产的所有权转移给本公司。</w:t>
      </w:r>
    </w:p>
    <w:p>
      <w:pPr>
        <w:pStyle w:val="Style16"/>
        <w:keepNext w:val="0"/>
        <w:keepLines w:val="0"/>
        <w:widowControl w:val="0"/>
        <w:shd w:val="clear" w:color="auto" w:fill="auto"/>
        <w:tabs>
          <w:tab w:pos="1021" w:val="left"/>
        </w:tabs>
        <w:bidi w:val="0"/>
        <w:spacing w:before="0" w:after="0" w:line="437" w:lineRule="exact"/>
        <w:ind w:left="0" w:right="0" w:firstLine="460"/>
        <w:jc w:val="both"/>
      </w:pPr>
      <w:bookmarkStart w:id="966" w:name="bookmark966"/>
      <w:r>
        <w:rPr>
          <w:color w:val="000000"/>
          <w:spacing w:val="0"/>
          <w:w w:val="100"/>
          <w:position w:val="0"/>
        </w:rPr>
        <w:t>（</w:t>
      </w:r>
      <w:bookmarkEnd w:id="966"/>
      <w:r>
        <w:rPr>
          <w:rFonts w:ascii="Times New Roman" w:eastAsia="Times New Roman" w:hAnsi="Times New Roman" w:cs="Times New Roman"/>
          <w:color w:val="000000"/>
          <w:spacing w:val="0"/>
          <w:w w:val="100"/>
          <w:position w:val="0"/>
        </w:rPr>
        <w:t>2</w:t>
      </w:r>
      <w:r>
        <w:rPr>
          <w:color w:val="000000"/>
          <w:spacing w:val="0"/>
          <w:w w:val="100"/>
          <w:position w:val="0"/>
        </w:rPr>
        <w:t>）</w:t>
        <w:tab/>
        <w:t>本公司有购买租赁资产的选择权，所订立的购买价款预计将远低于行使选择权时 租赁资产的公允价值，因而在租赁开始日就可以合理确定本公司将会行使这种选择权。</w:t>
      </w:r>
    </w:p>
    <w:p>
      <w:pPr>
        <w:pStyle w:val="Style16"/>
        <w:keepNext w:val="0"/>
        <w:keepLines w:val="0"/>
        <w:widowControl w:val="0"/>
        <w:shd w:val="clear" w:color="auto" w:fill="auto"/>
        <w:tabs>
          <w:tab w:pos="948" w:val="left"/>
        </w:tabs>
        <w:bidi w:val="0"/>
        <w:spacing w:before="0" w:after="0" w:line="427" w:lineRule="exact"/>
        <w:ind w:left="0" w:right="0" w:firstLine="460"/>
        <w:jc w:val="both"/>
      </w:pPr>
      <w:bookmarkStart w:id="967" w:name="bookmark967"/>
      <w:r>
        <w:rPr>
          <w:color w:val="000000"/>
          <w:spacing w:val="0"/>
          <w:w w:val="100"/>
          <w:position w:val="0"/>
        </w:rPr>
        <w:t>（</w:t>
      </w:r>
      <w:bookmarkEnd w:id="967"/>
      <w:r>
        <w:rPr>
          <w:rFonts w:ascii="Times New Roman" w:eastAsia="Times New Roman" w:hAnsi="Times New Roman" w:cs="Times New Roman"/>
          <w:color w:val="000000"/>
          <w:spacing w:val="0"/>
          <w:w w:val="100"/>
          <w:position w:val="0"/>
        </w:rPr>
        <w:t>3</w:t>
      </w:r>
      <w:r>
        <w:rPr>
          <w:color w:val="000000"/>
          <w:spacing w:val="0"/>
          <w:w w:val="100"/>
          <w:position w:val="0"/>
        </w:rPr>
        <w:t>）</w:t>
        <w:tab/>
        <w:t>即使资产的所有权不转移，但租赁期占租赁资产使用寿命的大部分。</w:t>
      </w:r>
    </w:p>
    <w:p>
      <w:pPr>
        <w:pStyle w:val="Style16"/>
        <w:keepNext w:val="0"/>
        <w:keepLines w:val="0"/>
        <w:widowControl w:val="0"/>
        <w:shd w:val="clear" w:color="auto" w:fill="auto"/>
        <w:tabs>
          <w:tab w:pos="1011" w:val="left"/>
        </w:tabs>
        <w:bidi w:val="0"/>
        <w:spacing w:before="0" w:after="0" w:line="427" w:lineRule="exact"/>
        <w:ind w:left="0" w:right="0" w:firstLine="460"/>
        <w:jc w:val="both"/>
      </w:pPr>
      <w:bookmarkStart w:id="968" w:name="bookmark968"/>
      <w:r>
        <w:rPr>
          <w:color w:val="000000"/>
          <w:spacing w:val="0"/>
          <w:w w:val="100"/>
          <w:position w:val="0"/>
        </w:rPr>
        <w:t>（</w:t>
      </w:r>
      <w:bookmarkEnd w:id="968"/>
      <w:r>
        <w:rPr>
          <w:rFonts w:ascii="Times New Roman" w:eastAsia="Times New Roman" w:hAnsi="Times New Roman" w:cs="Times New Roman"/>
          <w:color w:val="000000"/>
          <w:spacing w:val="0"/>
          <w:w w:val="100"/>
          <w:position w:val="0"/>
        </w:rPr>
        <w:t>4</w:t>
      </w:r>
      <w:r>
        <w:rPr>
          <w:color w:val="000000"/>
          <w:spacing w:val="0"/>
          <w:w w:val="100"/>
          <w:position w:val="0"/>
        </w:rPr>
        <w:t>）</w:t>
        <w:tab/>
        <w:t>本公司在租赁开始日的最低租赁付款额现值，几乎相当于租赁开始日租赁资产公 允价值。</w:t>
      </w:r>
    </w:p>
    <w:p>
      <w:pPr>
        <w:pStyle w:val="Style16"/>
        <w:keepNext w:val="0"/>
        <w:keepLines w:val="0"/>
        <w:widowControl w:val="0"/>
        <w:shd w:val="clear" w:color="auto" w:fill="auto"/>
        <w:bidi w:val="0"/>
        <w:spacing w:before="0" w:after="140" w:line="418" w:lineRule="exact"/>
        <w:ind w:left="0" w:right="0" w:firstLine="460"/>
        <w:jc w:val="both"/>
      </w:pPr>
      <w:r>
        <w:rPr>
          <w:color w:val="000000"/>
          <w:spacing w:val="0"/>
          <w:w w:val="100"/>
          <w:position w:val="0"/>
        </w:rPr>
        <w:t>公司在承租开始日，将租赁资产公允价值与最低租赁付款额现值两者中较低者作为租入 资产的入账价值，将最低租赁付款额作为长期应付款的入账价值，其差额作为未确认的融资 费。</w:t>
      </w:r>
    </w:p>
    <w:p>
      <w:pPr>
        <w:pStyle w:val="Style37"/>
        <w:keepNext/>
        <w:keepLines/>
        <w:widowControl w:val="0"/>
        <w:shd w:val="clear" w:color="auto" w:fill="auto"/>
        <w:bidi w:val="0"/>
        <w:spacing w:before="0" w:after="140" w:line="409" w:lineRule="exact"/>
        <w:ind w:left="0" w:right="0" w:firstLine="460"/>
        <w:jc w:val="both"/>
      </w:pPr>
      <w:bookmarkStart w:id="969" w:name="bookmark969"/>
      <w:bookmarkStart w:id="970" w:name="bookmark970"/>
      <w:bookmarkStart w:id="971" w:name="bookmark971"/>
      <w:r>
        <w:rPr>
          <w:color w:val="000000"/>
          <w:spacing w:val="0"/>
          <w:w w:val="100"/>
          <w:position w:val="0"/>
        </w:rPr>
        <w:t>（十七）在建工程</w:t>
      </w:r>
      <w:bookmarkEnd w:id="969"/>
      <w:bookmarkEnd w:id="970"/>
      <w:bookmarkEnd w:id="971"/>
    </w:p>
    <w:p>
      <w:pPr>
        <w:pStyle w:val="Style16"/>
        <w:keepNext w:val="0"/>
        <w:keepLines w:val="0"/>
        <w:widowControl w:val="0"/>
        <w:shd w:val="clear" w:color="auto" w:fill="auto"/>
        <w:bidi w:val="0"/>
        <w:spacing w:before="0" w:after="140" w:line="409" w:lineRule="exact"/>
        <w:ind w:left="0" w:right="0" w:firstLine="460"/>
        <w:jc w:val="both"/>
      </w:pPr>
      <w:r>
        <w:rPr>
          <w:color w:val="000000"/>
          <w:spacing w:val="0"/>
          <w:w w:val="100"/>
          <w:position w:val="0"/>
        </w:rPr>
        <w:t>在建工程项目按建造该项资产达到预定可使用状态前所发生的必要支出，作为固定资产 的入账价值。所建造的固定资产在工程已达到预定可使用状态，但尚未办理竣工决算的，自 达到预定可使用状态之日起，根据工程预算、造价或者工程实际成本等，按估计的价值转入 固定资产，并按本公司固定资产折旧政策计提固定资产的折旧，待办理竣工决算后，再按实 际成本调整原来的暂估价值，但不调整原己计提的折旧额。</w:t>
      </w:r>
    </w:p>
    <w:p>
      <w:pPr>
        <w:pStyle w:val="Style37"/>
        <w:keepNext/>
        <w:keepLines/>
        <w:widowControl w:val="0"/>
        <w:shd w:val="clear" w:color="auto" w:fill="auto"/>
        <w:bidi w:val="0"/>
        <w:spacing w:before="0" w:after="140" w:line="409" w:lineRule="exact"/>
        <w:ind w:left="0" w:right="0" w:firstLine="460"/>
        <w:jc w:val="both"/>
      </w:pPr>
      <w:bookmarkStart w:id="972" w:name="bookmark972"/>
      <w:bookmarkStart w:id="973" w:name="bookmark973"/>
      <w:bookmarkStart w:id="974" w:name="bookmark974"/>
      <w:r>
        <w:rPr>
          <w:color w:val="000000"/>
          <w:spacing w:val="0"/>
          <w:w w:val="100"/>
          <w:position w:val="0"/>
        </w:rPr>
        <w:t>（十八）借款费用</w:t>
      </w:r>
      <w:bookmarkEnd w:id="972"/>
      <w:bookmarkEnd w:id="973"/>
      <w:bookmarkEnd w:id="974"/>
    </w:p>
    <w:p>
      <w:pPr>
        <w:pStyle w:val="Style51"/>
        <w:keepNext/>
        <w:keepLines/>
        <w:widowControl w:val="0"/>
        <w:numPr>
          <w:ilvl w:val="0"/>
          <w:numId w:val="45"/>
        </w:numPr>
        <w:shd w:val="clear" w:color="auto" w:fill="auto"/>
        <w:bidi w:val="0"/>
        <w:spacing w:before="0" w:after="0" w:line="409" w:lineRule="exact"/>
        <w:ind w:left="0" w:right="0" w:firstLine="460"/>
        <w:jc w:val="both"/>
      </w:pPr>
      <w:bookmarkStart w:id="975" w:name="bookmark975"/>
      <w:bookmarkStart w:id="976" w:name="bookmark976"/>
      <w:bookmarkStart w:id="977" w:name="bookmark977"/>
      <w:bookmarkStart w:id="978" w:name="bookmark978"/>
      <w:bookmarkEnd w:id="977"/>
      <w:r>
        <w:rPr>
          <w:color w:val="000000"/>
          <w:spacing w:val="0"/>
          <w:w w:val="100"/>
          <w:position w:val="0"/>
        </w:rPr>
        <w:t>借款费用资本化的确认原则</w:t>
      </w:r>
      <w:bookmarkEnd w:id="975"/>
      <w:bookmarkEnd w:id="976"/>
      <w:bookmarkEnd w:id="978"/>
    </w:p>
    <w:p>
      <w:pPr>
        <w:pStyle w:val="Style16"/>
        <w:keepNext w:val="0"/>
        <w:keepLines w:val="0"/>
        <w:widowControl w:val="0"/>
        <w:shd w:val="clear" w:color="auto" w:fill="auto"/>
        <w:bidi w:val="0"/>
        <w:spacing w:before="0" w:after="0" w:line="409" w:lineRule="exact"/>
        <w:ind w:left="0" w:right="0" w:firstLine="460"/>
        <w:jc w:val="both"/>
      </w:pPr>
      <w:r>
        <w:rPr>
          <w:color w:val="000000"/>
          <w:spacing w:val="0"/>
          <w:w w:val="100"/>
          <w:position w:val="0"/>
        </w:rPr>
        <w:t>本公司发生的借款费用，可直接归属于符合资本化条件的资产的购建或者生产的，予以 资本化，计入相关资产成本；其他借款费用，在发生时根据其发生额确认为费用，计入当期 损益。</w:t>
      </w:r>
    </w:p>
    <w:p>
      <w:pPr>
        <w:pStyle w:val="Style16"/>
        <w:keepNext w:val="0"/>
        <w:keepLines w:val="0"/>
        <w:widowControl w:val="0"/>
        <w:shd w:val="clear" w:color="auto" w:fill="auto"/>
        <w:bidi w:val="0"/>
        <w:spacing w:before="0" w:after="0" w:line="409" w:lineRule="exact"/>
        <w:ind w:left="0" w:right="0" w:firstLine="460"/>
        <w:jc w:val="both"/>
      </w:pPr>
      <w:r>
        <w:rPr>
          <w:color w:val="000000"/>
          <w:spacing w:val="0"/>
          <w:w w:val="100"/>
          <w:position w:val="0"/>
        </w:rPr>
        <w:t>符合资本化条件的资产，是指需要经过相当长时间的购建或者生产活动才能达到预定可 使用或者可销售状态的固定资产、投资性房地产和存货等资产。</w:t>
      </w:r>
    </w:p>
    <w:p>
      <w:pPr>
        <w:pStyle w:val="Style16"/>
        <w:keepNext w:val="0"/>
        <w:keepLines w:val="0"/>
        <w:widowControl w:val="0"/>
        <w:shd w:val="clear" w:color="auto" w:fill="auto"/>
        <w:bidi w:val="0"/>
        <w:spacing w:before="0" w:after="0" w:line="409" w:lineRule="exact"/>
        <w:ind w:left="0" w:right="0" w:firstLine="460"/>
        <w:jc w:val="both"/>
      </w:pPr>
      <w:r>
        <w:rPr>
          <w:color w:val="000000"/>
          <w:spacing w:val="0"/>
          <w:w w:val="100"/>
          <w:position w:val="0"/>
        </w:rPr>
        <w:t>借款费用同时满足下列条件时开始资本化：</w:t>
      </w:r>
    </w:p>
    <w:p>
      <w:pPr>
        <w:pStyle w:val="Style16"/>
        <w:keepNext w:val="0"/>
        <w:keepLines w:val="0"/>
        <w:widowControl w:val="0"/>
        <w:shd w:val="clear" w:color="auto" w:fill="auto"/>
        <w:tabs>
          <w:tab w:pos="1021" w:val="left"/>
        </w:tabs>
        <w:bidi w:val="0"/>
        <w:spacing w:before="0" w:after="0" w:line="409" w:lineRule="exact"/>
        <w:ind w:left="0" w:right="0" w:firstLine="460"/>
        <w:jc w:val="both"/>
      </w:pPr>
      <w:bookmarkStart w:id="979" w:name="bookmark979"/>
      <w:r>
        <w:rPr>
          <w:color w:val="000000"/>
          <w:spacing w:val="0"/>
          <w:w w:val="100"/>
          <w:position w:val="0"/>
        </w:rPr>
        <w:t>（</w:t>
      </w:r>
      <w:bookmarkEnd w:id="979"/>
      <w:r>
        <w:rPr>
          <w:rFonts w:ascii="Times New Roman" w:eastAsia="Times New Roman" w:hAnsi="Times New Roman" w:cs="Times New Roman"/>
          <w:color w:val="000000"/>
          <w:spacing w:val="0"/>
          <w:w w:val="100"/>
          <w:position w:val="0"/>
        </w:rPr>
        <w:t>1</w:t>
      </w:r>
      <w:r>
        <w:rPr>
          <w:color w:val="000000"/>
          <w:spacing w:val="0"/>
          <w:w w:val="100"/>
          <w:position w:val="0"/>
        </w:rPr>
        <w:t>）</w:t>
        <w:tab/>
        <w:t>资产支出已经发生，资产支出包括为购建或者生产符合资本化条件的资产而以支 付现金、转移非现金资产或者承担带息债务形式发生的支出；</w:t>
      </w:r>
    </w:p>
    <w:p>
      <w:pPr>
        <w:pStyle w:val="Style16"/>
        <w:keepNext w:val="0"/>
        <w:keepLines w:val="0"/>
        <w:widowControl w:val="0"/>
        <w:shd w:val="clear" w:color="auto" w:fill="auto"/>
        <w:tabs>
          <w:tab w:pos="948" w:val="left"/>
        </w:tabs>
        <w:bidi w:val="0"/>
        <w:spacing w:before="0" w:after="140" w:line="409" w:lineRule="exact"/>
        <w:ind w:left="0" w:right="0" w:firstLine="460"/>
        <w:jc w:val="both"/>
      </w:pPr>
      <w:bookmarkStart w:id="980" w:name="bookmark980"/>
      <w:r>
        <w:rPr>
          <w:color w:val="000000"/>
          <w:spacing w:val="0"/>
          <w:w w:val="100"/>
          <w:position w:val="0"/>
        </w:rPr>
        <w:t>（</w:t>
      </w:r>
      <w:bookmarkEnd w:id="980"/>
      <w:r>
        <w:rPr>
          <w:rFonts w:ascii="Times New Roman" w:eastAsia="Times New Roman" w:hAnsi="Times New Roman" w:cs="Times New Roman"/>
          <w:color w:val="000000"/>
          <w:spacing w:val="0"/>
          <w:w w:val="100"/>
          <w:position w:val="0"/>
        </w:rPr>
        <w:t>2</w:t>
      </w:r>
      <w:r>
        <w:rPr>
          <w:color w:val="000000"/>
          <w:spacing w:val="0"/>
          <w:w w:val="100"/>
          <w:position w:val="0"/>
        </w:rPr>
        <w:t>）</w:t>
        <w:tab/>
        <w:t>借款费用已经发生；</w:t>
      </w:r>
    </w:p>
    <w:p>
      <w:pPr>
        <w:pStyle w:val="Style16"/>
        <w:keepNext w:val="0"/>
        <w:keepLines w:val="0"/>
        <w:widowControl w:val="0"/>
        <w:numPr>
          <w:ilvl w:val="0"/>
          <w:numId w:val="47"/>
        </w:numPr>
        <w:shd w:val="clear" w:color="auto" w:fill="auto"/>
        <w:bidi w:val="0"/>
        <w:spacing w:before="0" w:after="160" w:line="408" w:lineRule="exact"/>
        <w:ind w:left="0" w:right="0" w:firstLine="440"/>
        <w:jc w:val="both"/>
      </w:pPr>
      <w:bookmarkStart w:id="981" w:name="bookmark981"/>
      <w:bookmarkEnd w:id="981"/>
      <w:r>
        <w:rPr>
          <w:color w:val="000000"/>
          <w:spacing w:val="0"/>
          <w:w w:val="100"/>
          <w:position w:val="0"/>
        </w:rPr>
        <w:t>为使资产达到预定可使用或者可销售状态所必要的购建或者生产活动已经开始。</w:t>
      </w:r>
    </w:p>
    <w:p>
      <w:pPr>
        <w:pStyle w:val="Style51"/>
        <w:keepNext/>
        <w:keepLines/>
        <w:widowControl w:val="0"/>
        <w:numPr>
          <w:ilvl w:val="0"/>
          <w:numId w:val="45"/>
        </w:numPr>
        <w:shd w:val="clear" w:color="auto" w:fill="auto"/>
        <w:tabs>
          <w:tab w:pos="797" w:val="left"/>
        </w:tabs>
        <w:bidi w:val="0"/>
        <w:spacing w:before="0" w:after="0" w:line="410" w:lineRule="exact"/>
        <w:ind w:left="0" w:right="0" w:firstLine="440"/>
        <w:jc w:val="both"/>
      </w:pPr>
      <w:bookmarkStart w:id="982" w:name="bookmark982"/>
      <w:bookmarkStart w:id="983" w:name="bookmark983"/>
      <w:bookmarkStart w:id="984" w:name="bookmark984"/>
      <w:bookmarkStart w:id="985" w:name="bookmark985"/>
      <w:bookmarkEnd w:id="984"/>
      <w:r>
        <w:rPr>
          <w:color w:val="000000"/>
          <w:spacing w:val="0"/>
          <w:w w:val="100"/>
          <w:position w:val="0"/>
        </w:rPr>
        <w:t>借款费用资本化期间</w:t>
      </w:r>
      <w:bookmarkEnd w:id="982"/>
      <w:bookmarkEnd w:id="983"/>
      <w:bookmarkEnd w:id="985"/>
    </w:p>
    <w:p>
      <w:pPr>
        <w:pStyle w:val="Style16"/>
        <w:keepNext w:val="0"/>
        <w:keepLines w:val="0"/>
        <w:widowControl w:val="0"/>
        <w:shd w:val="clear" w:color="auto" w:fill="auto"/>
        <w:bidi w:val="0"/>
        <w:spacing w:before="0" w:after="0" w:line="410" w:lineRule="exact"/>
        <w:ind w:left="0" w:right="0" w:firstLine="440"/>
        <w:jc w:val="both"/>
      </w:pPr>
      <w:r>
        <w:rPr>
          <w:color w:val="000000"/>
          <w:spacing w:val="0"/>
          <w:w w:val="100"/>
          <w:position w:val="0"/>
        </w:rPr>
        <w:t>资本化期间，指从借款费用开始资本化时点到停止资本化时点的期间，借款费用暂停资 本化的期间不包括在内。</w:t>
      </w:r>
    </w:p>
    <w:p>
      <w:pPr>
        <w:pStyle w:val="Style16"/>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当购建或者生产符合资本化条件的资产达到预定可使用或者可销售状态时，借款费用停 止资本化。</w:t>
      </w:r>
    </w:p>
    <w:p>
      <w:pPr>
        <w:pStyle w:val="Style16"/>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当购建或者生产符合资本化条件的资产中部分项目分别完工且可单独使用时，该部分资 产借款费用停止资本化。</w:t>
      </w:r>
    </w:p>
    <w:p>
      <w:pPr>
        <w:pStyle w:val="Style16"/>
        <w:keepNext w:val="0"/>
        <w:keepLines w:val="0"/>
        <w:widowControl w:val="0"/>
        <w:shd w:val="clear" w:color="auto" w:fill="auto"/>
        <w:bidi w:val="0"/>
        <w:spacing w:before="0" w:after="160" w:line="410" w:lineRule="exact"/>
        <w:ind w:left="0" w:right="0" w:firstLine="440"/>
        <w:jc w:val="both"/>
      </w:pPr>
      <w:r>
        <w:rPr>
          <w:color w:val="000000"/>
          <w:spacing w:val="0"/>
          <w:w w:val="100"/>
          <w:position w:val="0"/>
        </w:rPr>
        <w:t>购建或者生产的资产的各部分分别完工，但必须等到整体完工后才可使用或可对外销售 的，在该资产整体完工时停止借款费用资本化。</w:t>
      </w:r>
    </w:p>
    <w:p>
      <w:pPr>
        <w:pStyle w:val="Style51"/>
        <w:keepNext/>
        <w:keepLines/>
        <w:widowControl w:val="0"/>
        <w:numPr>
          <w:ilvl w:val="0"/>
          <w:numId w:val="45"/>
        </w:numPr>
        <w:shd w:val="clear" w:color="auto" w:fill="auto"/>
        <w:tabs>
          <w:tab w:pos="797" w:val="left"/>
        </w:tabs>
        <w:bidi w:val="0"/>
        <w:spacing w:before="0" w:after="0" w:line="414" w:lineRule="exact"/>
        <w:ind w:left="0" w:right="0" w:firstLine="440"/>
        <w:jc w:val="both"/>
      </w:pPr>
      <w:bookmarkStart w:id="986" w:name="bookmark986"/>
      <w:bookmarkStart w:id="987" w:name="bookmark987"/>
      <w:bookmarkStart w:id="988" w:name="bookmark988"/>
      <w:bookmarkStart w:id="989" w:name="bookmark989"/>
      <w:bookmarkEnd w:id="988"/>
      <w:r>
        <w:rPr>
          <w:color w:val="000000"/>
          <w:spacing w:val="0"/>
          <w:w w:val="100"/>
          <w:position w:val="0"/>
        </w:rPr>
        <w:t>暂停资本化期间</w:t>
      </w:r>
      <w:bookmarkEnd w:id="986"/>
      <w:bookmarkEnd w:id="987"/>
      <w:bookmarkEnd w:id="989"/>
    </w:p>
    <w:p>
      <w:pPr>
        <w:pStyle w:val="Style16"/>
        <w:keepNext w:val="0"/>
        <w:keepLines w:val="0"/>
        <w:widowControl w:val="0"/>
        <w:shd w:val="clear" w:color="auto" w:fill="auto"/>
        <w:bidi w:val="0"/>
        <w:spacing w:before="0" w:after="160" w:line="414" w:lineRule="exact"/>
        <w:ind w:left="0" w:right="0" w:firstLine="440"/>
        <w:jc w:val="both"/>
      </w:pPr>
      <w:r>
        <w:rPr>
          <w:color w:val="000000"/>
          <w:spacing w:val="0"/>
          <w:w w:val="100"/>
          <w:position w:val="0"/>
        </w:rPr>
        <w:t>符合资本化条件的资产在购建或生产过程中发生的非正常中断、且中断时间连续超过</w:t>
      </w:r>
      <w:r>
        <w:rPr>
          <w:rFonts w:ascii="Times New Roman" w:eastAsia="Times New Roman" w:hAnsi="Times New Roman" w:cs="Times New Roman"/>
          <w:color w:val="000000"/>
          <w:spacing w:val="0"/>
          <w:w w:val="100"/>
          <w:position w:val="0"/>
        </w:rPr>
        <w:t xml:space="preserve">3 </w:t>
      </w:r>
      <w:r>
        <w:rPr>
          <w:color w:val="000000"/>
          <w:spacing w:val="0"/>
          <w:w w:val="100"/>
          <w:position w:val="0"/>
        </w:rPr>
        <w:t>个月的，则借款费用暂停资本化；该项中断如是所购建或生产的符合资本化条件的资产达到 预定可使用状态或者可销售状态必要的程序，则借款费用继续资本化。在中断期间发生的借 款费用确认为当期损益，直至资产的购建或者生产活动重新开始后借款费用继续资本化。</w:t>
      </w:r>
    </w:p>
    <w:p>
      <w:pPr>
        <w:pStyle w:val="Style51"/>
        <w:keepNext/>
        <w:keepLines/>
        <w:widowControl w:val="0"/>
        <w:numPr>
          <w:ilvl w:val="0"/>
          <w:numId w:val="45"/>
        </w:numPr>
        <w:shd w:val="clear" w:color="auto" w:fill="auto"/>
        <w:tabs>
          <w:tab w:pos="797" w:val="left"/>
        </w:tabs>
        <w:bidi w:val="0"/>
        <w:spacing w:before="0" w:after="0" w:line="408" w:lineRule="exact"/>
        <w:ind w:left="0" w:right="0" w:firstLine="440"/>
        <w:jc w:val="both"/>
      </w:pPr>
      <w:bookmarkStart w:id="990" w:name="bookmark990"/>
      <w:bookmarkStart w:id="991" w:name="bookmark991"/>
      <w:bookmarkStart w:id="992" w:name="bookmark992"/>
      <w:bookmarkStart w:id="993" w:name="bookmark993"/>
      <w:bookmarkEnd w:id="992"/>
      <w:r>
        <w:rPr>
          <w:color w:val="000000"/>
          <w:spacing w:val="0"/>
          <w:w w:val="100"/>
          <w:position w:val="0"/>
        </w:rPr>
        <w:t>借款费用资本化金额的计算方法</w:t>
      </w:r>
      <w:bookmarkEnd w:id="990"/>
      <w:bookmarkEnd w:id="991"/>
      <w:bookmarkEnd w:id="993"/>
    </w:p>
    <w:p>
      <w:pPr>
        <w:pStyle w:val="Style16"/>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对于为购建或者生产符合资本化条件的资产而借入的专门借款，以专门借款当期实际发 生的借款费用，减去尚未动用的借款资金存入银行取得的利息收入或进行暂时性投资取得的 投资收益后的金额，来确定借款费用的资本化金额。</w:t>
      </w:r>
    </w:p>
    <w:p>
      <w:pPr>
        <w:pStyle w:val="Style16"/>
        <w:keepNext w:val="0"/>
        <w:keepLines w:val="0"/>
        <w:widowControl w:val="0"/>
        <w:shd w:val="clear" w:color="auto" w:fill="auto"/>
        <w:bidi w:val="0"/>
        <w:spacing w:before="0" w:after="160" w:line="408" w:lineRule="exact"/>
        <w:ind w:left="0" w:right="0" w:firstLine="440"/>
        <w:jc w:val="both"/>
      </w:pPr>
      <w:r>
        <w:rPr>
          <w:color w:val="000000"/>
          <w:spacing w:val="0"/>
          <w:w w:val="100"/>
          <w:position w:val="0"/>
        </w:rPr>
        <w:t>对于为购建或者生产符合资本化条件的资产而占用的一般借款，根据累计资产支出超过 专门借款部分的资产支出加权平均数乘以所占用一般借款的资本化率，计算确定一般借款应 予资本化的借款费用金额。资本化率根据一般借款加权平均利率计算确定。</w:t>
      </w:r>
    </w:p>
    <w:p>
      <w:pPr>
        <w:pStyle w:val="Style37"/>
        <w:keepNext/>
        <w:keepLines/>
        <w:widowControl w:val="0"/>
        <w:shd w:val="clear" w:color="auto" w:fill="auto"/>
        <w:bidi w:val="0"/>
        <w:spacing w:before="0" w:after="160" w:line="408" w:lineRule="exact"/>
        <w:ind w:left="0" w:right="0" w:firstLine="440"/>
        <w:jc w:val="both"/>
      </w:pPr>
      <w:bookmarkStart w:id="994" w:name="bookmark994"/>
      <w:bookmarkStart w:id="995" w:name="bookmark995"/>
      <w:bookmarkStart w:id="996" w:name="bookmark996"/>
      <w:r>
        <w:rPr>
          <w:color w:val="000000"/>
          <w:spacing w:val="0"/>
          <w:w w:val="100"/>
          <w:position w:val="0"/>
        </w:rPr>
        <w:t>(十九)无形资产与开发支出</w:t>
      </w:r>
      <w:bookmarkEnd w:id="994"/>
      <w:bookmarkEnd w:id="995"/>
      <w:bookmarkEnd w:id="996"/>
    </w:p>
    <w:p>
      <w:pPr>
        <w:pStyle w:val="Style51"/>
        <w:keepNext/>
        <w:keepLines/>
        <w:widowControl w:val="0"/>
        <w:numPr>
          <w:ilvl w:val="0"/>
          <w:numId w:val="49"/>
        </w:numPr>
        <w:shd w:val="clear" w:color="auto" w:fill="auto"/>
        <w:bidi w:val="0"/>
        <w:spacing w:before="0" w:after="0" w:line="408" w:lineRule="exact"/>
        <w:ind w:left="0" w:right="0" w:firstLine="440"/>
        <w:jc w:val="both"/>
      </w:pPr>
      <w:bookmarkStart w:id="1000" w:name="bookmark1000"/>
      <w:bookmarkStart w:id="997" w:name="bookmark997"/>
      <w:bookmarkStart w:id="998" w:name="bookmark998"/>
      <w:bookmarkStart w:id="999" w:name="bookmark999"/>
      <w:bookmarkEnd w:id="999"/>
      <w:r>
        <w:rPr>
          <w:color w:val="000000"/>
          <w:spacing w:val="0"/>
          <w:w w:val="100"/>
          <w:position w:val="0"/>
        </w:rPr>
        <w:t>无形资产的初始计量</w:t>
      </w:r>
      <w:bookmarkEnd w:id="1000"/>
      <w:bookmarkEnd w:id="997"/>
      <w:bookmarkEnd w:id="998"/>
    </w:p>
    <w:p>
      <w:pPr>
        <w:pStyle w:val="Style16"/>
        <w:keepNext w:val="0"/>
        <w:keepLines w:val="0"/>
        <w:widowControl w:val="0"/>
        <w:shd w:val="clear" w:color="auto" w:fill="auto"/>
        <w:bidi w:val="0"/>
        <w:spacing w:before="0" w:after="40" w:line="408" w:lineRule="exact"/>
        <w:ind w:left="0" w:right="0" w:firstLine="440"/>
        <w:jc w:val="both"/>
      </w:pPr>
      <w:r>
        <w:rPr>
          <w:color w:val="000000"/>
          <w:spacing w:val="0"/>
          <w:w w:val="100"/>
          <w:position w:val="0"/>
        </w:rPr>
        <w:t>外购无形资产的成本，包括购买价款、相关税费以及直接归属于使该项资产达到预定用 途所发生的其他支出。购买无形资产的价款超过正常信用条件延期支付，实质上具有融资性 质的，无形资产的成本以购买价款的现值为基础确定。</w:t>
      </w:r>
    </w:p>
    <w:p>
      <w:pPr>
        <w:pStyle w:val="Style16"/>
        <w:keepNext w:val="0"/>
        <w:keepLines w:val="0"/>
        <w:widowControl w:val="0"/>
        <w:shd w:val="clear" w:color="auto" w:fill="auto"/>
        <w:bidi w:val="0"/>
        <w:spacing w:before="0" w:after="0" w:line="343" w:lineRule="exact"/>
        <w:ind w:left="0" w:right="0" w:firstLine="440"/>
        <w:jc w:val="both"/>
      </w:pPr>
      <w:r>
        <w:rPr>
          <w:color w:val="000000"/>
          <w:spacing w:val="0"/>
          <w:w w:val="100"/>
          <w:position w:val="0"/>
        </w:rPr>
        <w:t xml:space="preserve">债务重组取得债务人用以抵债的无形资产，以该无形资产的公允价值为基础确定其入账 价值，并将重组债务的账面价值与该用以抵债的无形资产公允价值之间的差额，计入当期损 </w:t>
      </w:r>
      <w:r>
        <w:rPr>
          <w:color w:val="000000"/>
          <w:spacing w:val="0"/>
          <w:w w:val="100"/>
          <w:position w:val="0"/>
          <w:u w:val="single"/>
        </w:rPr>
        <w:t>、</w:t>
      </w:r>
      <w:r>
        <w:rPr>
          <w:i/>
          <w:iCs/>
          <w:color w:val="000000"/>
          <w:spacing w:val="0"/>
          <w:w w:val="100"/>
          <w:position w:val="0"/>
          <w:u w:val="single"/>
        </w:rPr>
        <w:t>八</w:t>
      </w:r>
    </w:p>
    <w:p>
      <w:pPr>
        <w:pStyle w:val="Style16"/>
        <w:keepNext w:val="0"/>
        <w:keepLines w:val="0"/>
        <w:widowControl w:val="0"/>
        <w:shd w:val="clear" w:color="auto" w:fill="auto"/>
        <w:bidi w:val="0"/>
        <w:spacing w:before="0" w:after="40" w:line="403" w:lineRule="exact"/>
        <w:ind w:left="0" w:right="0" w:firstLine="0"/>
        <w:jc w:val="left"/>
      </w:pPr>
      <w:r>
        <w:rPr>
          <w:color w:val="000000"/>
          <w:spacing w:val="0"/>
          <w:w w:val="100"/>
          <w:position w:val="0"/>
        </w:rPr>
        <w:t>益。</w:t>
      </w:r>
    </w:p>
    <w:p>
      <w:pPr>
        <w:pStyle w:val="Style16"/>
        <w:keepNext w:val="0"/>
        <w:keepLines w:val="0"/>
        <w:widowControl w:val="0"/>
        <w:shd w:val="clear" w:color="auto" w:fill="auto"/>
        <w:bidi w:val="0"/>
        <w:spacing w:before="0" w:after="0" w:line="403" w:lineRule="exact"/>
        <w:ind w:left="0" w:right="0" w:firstLine="440"/>
        <w:jc w:val="both"/>
      </w:pPr>
      <w:r>
        <w:rPr>
          <w:color w:val="000000"/>
          <w:spacing w:val="0"/>
          <w:w w:val="100"/>
          <w:position w:val="0"/>
        </w:rPr>
        <w:t xml:space="preserve">在非货币性资产交换具备商业实质且换入资产或换出资产的公允价值能够可靠计量的 前提下，非货币性资产交换换入的无形资产以换出资产的公允价值为基础确定其入账价值, </w:t>
      </w:r>
      <w:r>
        <w:rPr>
          <w:color w:val="000000"/>
          <w:spacing w:val="0"/>
          <w:w w:val="100"/>
          <w:position w:val="0"/>
        </w:rPr>
        <w:t>除非有确凿证据表明换入资产的公允价值更加可靠；不满足上述前提的非货币性资产交换, 以换出资产的账面价值和应支付的相关税费作为换入无形资产的成本，不确认损益。</w:t>
      </w:r>
    </w:p>
    <w:p>
      <w:pPr>
        <w:pStyle w:val="Style16"/>
        <w:keepNext w:val="0"/>
        <w:keepLines w:val="0"/>
        <w:widowControl w:val="0"/>
        <w:shd w:val="clear" w:color="auto" w:fill="auto"/>
        <w:bidi w:val="0"/>
        <w:spacing w:before="0" w:after="0" w:line="409" w:lineRule="exact"/>
        <w:ind w:left="0" w:right="0" w:firstLine="460"/>
        <w:jc w:val="both"/>
      </w:pPr>
      <w:r>
        <w:rPr>
          <w:color w:val="000000"/>
          <w:spacing w:val="0"/>
          <w:w w:val="100"/>
          <w:position w:val="0"/>
        </w:rPr>
        <w:t>以同一控制下的企业吸收合并方式取得的无形资产按被合并方的账面价值确定其入账 价值；以非同一控制下的企业吸收合并方式取得的无形资产按公允价值确定其入账价值。</w:t>
      </w:r>
    </w:p>
    <w:p>
      <w:pPr>
        <w:pStyle w:val="Style16"/>
        <w:keepNext w:val="0"/>
        <w:keepLines w:val="0"/>
        <w:widowControl w:val="0"/>
        <w:shd w:val="clear" w:color="auto" w:fill="auto"/>
        <w:bidi w:val="0"/>
        <w:spacing w:before="0" w:after="320" w:line="409" w:lineRule="exact"/>
        <w:ind w:left="0" w:right="0" w:firstLine="460"/>
        <w:jc w:val="both"/>
      </w:pPr>
      <w:r>
        <w:rPr>
          <w:color w:val="000000"/>
          <w:spacing w:val="0"/>
          <w:w w:val="100"/>
          <w:position w:val="0"/>
        </w:rPr>
        <w:t>内部自行开发的无形资产，其成本包括：开发该无形资产时耗用的材料、劳务成本、注 册费、在开发过程中使用的其他专利权和特许权的摊销以及满足资本化条件的利息费用，以 及为使该无形资产达到预定用途前所发生的其他直接费用。</w:t>
      </w:r>
    </w:p>
    <w:p>
      <w:pPr>
        <w:pStyle w:val="Style51"/>
        <w:keepNext/>
        <w:keepLines/>
        <w:widowControl w:val="0"/>
        <w:numPr>
          <w:ilvl w:val="0"/>
          <w:numId w:val="49"/>
        </w:numPr>
        <w:shd w:val="clear" w:color="auto" w:fill="auto"/>
        <w:bidi w:val="0"/>
        <w:spacing w:before="0" w:after="0" w:line="432" w:lineRule="auto"/>
        <w:ind w:left="0" w:right="0" w:firstLine="460"/>
        <w:jc w:val="both"/>
      </w:pPr>
      <w:bookmarkStart w:id="1001" w:name="bookmark1001"/>
      <w:bookmarkStart w:id="1002" w:name="bookmark1002"/>
      <w:bookmarkStart w:id="1003" w:name="bookmark1003"/>
      <w:bookmarkStart w:id="1004" w:name="bookmark1004"/>
      <w:bookmarkEnd w:id="1003"/>
      <w:r>
        <w:rPr>
          <w:color w:val="000000"/>
          <w:spacing w:val="0"/>
          <w:w w:val="100"/>
          <w:position w:val="0"/>
        </w:rPr>
        <w:t>无形资产的后续计量</w:t>
      </w:r>
      <w:bookmarkEnd w:id="1001"/>
      <w:bookmarkEnd w:id="1002"/>
      <w:bookmarkEnd w:id="1004"/>
    </w:p>
    <w:p>
      <w:pPr>
        <w:pStyle w:val="Style16"/>
        <w:keepNext w:val="0"/>
        <w:keepLines w:val="0"/>
        <w:widowControl w:val="0"/>
        <w:shd w:val="clear" w:color="auto" w:fill="auto"/>
        <w:bidi w:val="0"/>
        <w:spacing w:before="0" w:after="0" w:line="413" w:lineRule="exact"/>
        <w:ind w:left="0" w:right="0" w:firstLine="460"/>
        <w:jc w:val="both"/>
      </w:pPr>
      <w:r>
        <w:rPr>
          <w:color w:val="000000"/>
          <w:spacing w:val="0"/>
          <w:w w:val="100"/>
          <w:position w:val="0"/>
        </w:rPr>
        <w:t>本公司在取得无形资产时分析判断其使用寿命，划分为使用寿命有限和使用寿命不确定 的无形资产。</w:t>
      </w:r>
    </w:p>
    <w:p>
      <w:pPr>
        <w:pStyle w:val="Style16"/>
        <w:keepNext w:val="0"/>
        <w:keepLines w:val="0"/>
        <w:widowControl w:val="0"/>
        <w:shd w:val="clear" w:color="auto" w:fill="auto"/>
        <w:bidi w:val="0"/>
        <w:spacing w:before="0" w:after="160" w:line="413" w:lineRule="exact"/>
        <w:ind w:left="0" w:right="0" w:firstLine="460"/>
        <w:jc w:val="both"/>
      </w:pPr>
      <w:bookmarkStart w:id="1005" w:name="bookmark1005"/>
      <w:r>
        <w:rPr>
          <w:color w:val="000000"/>
          <w:spacing w:val="0"/>
          <w:w w:val="100"/>
          <w:position w:val="0"/>
        </w:rPr>
        <w:t>（</w:t>
      </w:r>
      <w:bookmarkEnd w:id="1005"/>
      <w:r>
        <w:rPr>
          <w:rFonts w:ascii="Times New Roman" w:eastAsia="Times New Roman" w:hAnsi="Times New Roman" w:cs="Times New Roman"/>
          <w:color w:val="000000"/>
          <w:spacing w:val="0"/>
          <w:w w:val="100"/>
          <w:position w:val="0"/>
        </w:rPr>
        <w:t>1</w:t>
      </w:r>
      <w:r>
        <w:rPr>
          <w:color w:val="000000"/>
          <w:spacing w:val="0"/>
          <w:w w:val="100"/>
          <w:position w:val="0"/>
        </w:rPr>
        <w:t>）使用寿命有限的无形资产</w:t>
      </w:r>
    </w:p>
    <w:p>
      <w:pPr>
        <w:pStyle w:val="Style16"/>
        <w:keepNext w:val="0"/>
        <w:keepLines w:val="0"/>
        <w:widowControl w:val="0"/>
        <w:shd w:val="clear" w:color="auto" w:fill="auto"/>
        <w:bidi w:val="0"/>
        <w:spacing w:before="0" w:after="160" w:line="240" w:lineRule="auto"/>
        <w:ind w:left="0" w:right="0" w:firstLine="460"/>
        <w:jc w:val="both"/>
      </w:pPr>
      <w:r>
        <w:rPr>
          <w:color w:val="000000"/>
          <w:spacing w:val="0"/>
          <w:w w:val="100"/>
          <w:position w:val="0"/>
        </w:rPr>
        <w:t>对于使用寿命有限的无形资产，在为企业带来经济利益的期限内按直线法摊销。使用寿</w:t>
      </w:r>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rPr>
        <w:t>命有限的无形资产预计寿命及依据如下：</w:t>
      </w:r>
    </w:p>
    <w:tbl>
      <w:tblPr>
        <w:tblOverlap w:val="never"/>
        <w:jc w:val="center"/>
        <w:tblLayout w:type="fixed"/>
      </w:tblPr>
      <w:tblGrid>
        <w:gridCol w:w="2851"/>
        <w:gridCol w:w="1872"/>
        <w:gridCol w:w="3773"/>
      </w:tblGrid>
      <w:tr>
        <w:trPr>
          <w:trHeight w:val="37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预计使用寿命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依据</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50</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土地使用权证规定的使用年限</w:t>
            </w:r>
          </w:p>
        </w:tc>
      </w:tr>
      <w:tr>
        <w:trPr>
          <w:trHeight w:val="39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商标注册费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10</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 w:right="0" w:firstLine="0"/>
              <w:jc w:val="center"/>
            </w:pPr>
            <w:r>
              <w:rPr>
                <w:color w:val="000000"/>
                <w:spacing w:val="0"/>
                <w:w w:val="100"/>
                <w:position w:val="0"/>
              </w:rPr>
              <w:t>合同、行业情况及企业历史经验</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特许经营权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10</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w:t>
            </w:r>
          </w:p>
        </w:tc>
      </w:tr>
      <w:tr>
        <w:trPr>
          <w:trHeight w:val="432"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10</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w:t>
            </w:r>
          </w:p>
        </w:tc>
      </w:tr>
    </w:tbl>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每年度终了，对使用寿命有限的无形资产的使用寿命及摊销方法进行复核。经复核，本</w:t>
      </w:r>
    </w:p>
    <w:p>
      <w:pPr>
        <w:widowControl w:val="0"/>
        <w:spacing w:after="159" w:line="1" w:lineRule="exact"/>
      </w:pPr>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rPr>
        <w:t>年期末无形资产的使用寿命及摊销方法与以前估计未有不同。</w:t>
      </w:r>
    </w:p>
    <w:p>
      <w:pPr>
        <w:pStyle w:val="Style16"/>
        <w:keepNext w:val="0"/>
        <w:keepLines w:val="0"/>
        <w:widowControl w:val="0"/>
        <w:shd w:val="clear" w:color="auto" w:fill="auto"/>
        <w:bidi w:val="0"/>
        <w:spacing w:before="0" w:after="220" w:line="240" w:lineRule="auto"/>
        <w:ind w:left="0" w:right="0" w:firstLine="460"/>
        <w:jc w:val="left"/>
      </w:pPr>
      <w:bookmarkStart w:id="1006" w:name="bookmark1006"/>
      <w:r>
        <w:rPr>
          <w:color w:val="000000"/>
          <w:spacing w:val="0"/>
          <w:w w:val="100"/>
          <w:position w:val="0"/>
        </w:rPr>
        <w:t>（</w:t>
      </w:r>
      <w:bookmarkEnd w:id="1006"/>
      <w:r>
        <w:rPr>
          <w:rFonts w:ascii="Times New Roman" w:eastAsia="Times New Roman" w:hAnsi="Times New Roman" w:cs="Times New Roman"/>
          <w:color w:val="000000"/>
          <w:spacing w:val="0"/>
          <w:w w:val="100"/>
          <w:position w:val="0"/>
        </w:rPr>
        <w:t>2</w:t>
      </w:r>
      <w:r>
        <w:rPr>
          <w:color w:val="000000"/>
          <w:spacing w:val="0"/>
          <w:w w:val="100"/>
          <w:position w:val="0"/>
        </w:rPr>
        <w:t>）使用寿命不确定的无形资产</w:t>
      </w:r>
    </w:p>
    <w:p>
      <w:pPr>
        <w:pStyle w:val="Style16"/>
        <w:keepNext w:val="0"/>
        <w:keepLines w:val="0"/>
        <w:widowControl w:val="0"/>
        <w:shd w:val="clear" w:color="auto" w:fill="auto"/>
        <w:bidi w:val="0"/>
        <w:spacing w:before="0" w:after="160" w:line="240" w:lineRule="auto"/>
        <w:ind w:left="0" w:right="0" w:firstLine="460"/>
        <w:jc w:val="left"/>
      </w:pPr>
      <w:r>
        <w:rPr>
          <w:color w:val="000000"/>
          <w:spacing w:val="0"/>
          <w:w w:val="100"/>
          <w:position w:val="0"/>
        </w:rPr>
        <w:t>每期末，对使用寿命不确定的无形资产的使用寿命进行复核。</w:t>
      </w:r>
    </w:p>
    <w:p>
      <w:pPr>
        <w:pStyle w:val="Style16"/>
        <w:keepNext w:val="0"/>
        <w:keepLines w:val="0"/>
        <w:widowControl w:val="0"/>
        <w:shd w:val="clear" w:color="auto" w:fill="auto"/>
        <w:bidi w:val="0"/>
        <w:spacing w:before="0" w:after="160" w:line="240" w:lineRule="auto"/>
        <w:ind w:left="0" w:right="0" w:firstLine="460"/>
        <w:jc w:val="left"/>
      </w:pPr>
      <w:r>
        <w:rPr>
          <w:color w:val="000000"/>
          <w:spacing w:val="0"/>
          <w:w w:val="100"/>
          <w:position w:val="0"/>
        </w:rPr>
        <w:t>经复核，该类无形资产的使用寿命仍为不确定，则在下一会计期间继续作为使用寿命不</w:t>
      </w:r>
    </w:p>
    <w:tbl>
      <w:tblPr>
        <w:tblOverlap w:val="never"/>
        <w:jc w:val="center"/>
        <w:tblLayout w:type="fixed"/>
      </w:tblPr>
      <w:tblGrid>
        <w:gridCol w:w="2314"/>
        <w:gridCol w:w="6130"/>
      </w:tblGrid>
      <w:tr>
        <w:trPr>
          <w:trHeight w:val="408" w:hRule="exact"/>
        </w:trPr>
        <w:tc>
          <w:tcPr>
            <w:gridSpan w:val="2"/>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确定的无形资产核算。</w:t>
            </w:r>
          </w:p>
        </w:tc>
      </w:tr>
      <w:tr>
        <w:trPr>
          <w:trHeight w:val="36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使用寿命不确定的依据</w:t>
            </w:r>
          </w:p>
        </w:tc>
      </w:tr>
      <w:tr>
        <w:trPr>
          <w:trHeight w:val="39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交易席位费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席位使用无期限的限制</w:t>
            </w:r>
          </w:p>
        </w:tc>
      </w:tr>
      <w:tr>
        <w:trPr>
          <w:trHeight w:val="432"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期货会员资格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会员资格使用无期限的限制</w:t>
            </w:r>
          </w:p>
        </w:tc>
      </w:tr>
    </w:tbl>
    <w:p>
      <w:pPr>
        <w:pStyle w:val="Style40"/>
        <w:keepNext w:val="0"/>
        <w:keepLines w:val="0"/>
        <w:widowControl w:val="0"/>
        <w:shd w:val="clear" w:color="auto" w:fill="auto"/>
        <w:bidi w:val="0"/>
        <w:spacing w:before="0" w:after="0" w:line="240" w:lineRule="auto"/>
        <w:ind w:left="442" w:right="0" w:firstLine="0"/>
        <w:jc w:val="left"/>
      </w:pPr>
      <w:bookmarkStart w:id="1007" w:name="bookmark1007"/>
      <w:r>
        <w:rPr>
          <w:rFonts w:ascii="Times New Roman" w:eastAsia="Times New Roman" w:hAnsi="Times New Roman" w:cs="Times New Roman"/>
          <w:b/>
          <w:bCs/>
          <w:color w:val="000000"/>
          <w:spacing w:val="0"/>
          <w:w w:val="100"/>
          <w:position w:val="0"/>
        </w:rPr>
        <w:t>3</w:t>
      </w:r>
      <w:r>
        <w:rPr>
          <w:b/>
          <w:bCs/>
          <w:color w:val="000000"/>
          <w:spacing w:val="0"/>
          <w:w w:val="100"/>
          <w:position w:val="0"/>
        </w:rPr>
        <w:t>.</w:t>
      </w:r>
      <w:r>
        <w:rPr>
          <w:b/>
          <w:bCs/>
          <w:color w:val="000000"/>
          <w:spacing w:val="0"/>
          <w:w w:val="100"/>
          <w:position w:val="0"/>
        </w:rPr>
        <w:t>划分公司内部研究开发项目的研究阶段和开发阶段具体标准</w:t>
      </w:r>
      <w:bookmarkEnd w:id="1007"/>
    </w:p>
    <w:p>
      <w:pPr>
        <w:widowControl w:val="0"/>
        <w:spacing w:after="219" w:line="1" w:lineRule="exact"/>
      </w:pPr>
    </w:p>
    <w:p>
      <w:pPr>
        <w:pStyle w:val="Style16"/>
        <w:keepNext w:val="0"/>
        <w:keepLines w:val="0"/>
        <w:widowControl w:val="0"/>
        <w:shd w:val="clear" w:color="auto" w:fill="auto"/>
        <w:bidi w:val="0"/>
        <w:spacing w:before="0" w:after="220" w:line="240" w:lineRule="auto"/>
        <w:ind w:left="0" w:right="0" w:firstLine="460"/>
        <w:jc w:val="left"/>
      </w:pPr>
      <w:r>
        <w:rPr>
          <w:color w:val="000000"/>
          <w:spacing w:val="0"/>
          <w:w w:val="100"/>
          <w:position w:val="0"/>
        </w:rPr>
        <w:t>公司内部研究开发项目的支出分为研究阶段支出和开发阶段支出。</w:t>
      </w:r>
    </w:p>
    <w:p>
      <w:pPr>
        <w:pStyle w:val="Style16"/>
        <w:keepNext w:val="0"/>
        <w:keepLines w:val="0"/>
        <w:widowControl w:val="0"/>
        <w:shd w:val="clear" w:color="auto" w:fill="auto"/>
        <w:bidi w:val="0"/>
        <w:spacing w:before="0" w:after="220" w:line="240" w:lineRule="auto"/>
        <w:ind w:left="0" w:right="0" w:firstLine="460"/>
        <w:jc w:val="left"/>
      </w:pPr>
      <w:r>
        <w:rPr>
          <w:color w:val="000000"/>
          <w:spacing w:val="0"/>
          <w:w w:val="100"/>
          <w:position w:val="0"/>
        </w:rPr>
        <w:t xml:space="preserve">研究阶段：为获取并理解新的科学或技术知识等而进行的独创性的有计划调查、研究活 </w:t>
      </w:r>
      <w:r>
        <w:rPr>
          <w:color w:val="000000"/>
          <w:spacing w:val="0"/>
          <w:w w:val="100"/>
          <w:position w:val="0"/>
        </w:rPr>
        <w:t>动的阶段。</w:t>
      </w:r>
    </w:p>
    <w:p>
      <w:pPr>
        <w:pStyle w:val="Style16"/>
        <w:keepNext w:val="0"/>
        <w:keepLines w:val="0"/>
        <w:widowControl w:val="0"/>
        <w:shd w:val="clear" w:color="auto" w:fill="auto"/>
        <w:bidi w:val="0"/>
        <w:spacing w:before="0" w:after="200" w:line="240" w:lineRule="auto"/>
        <w:ind w:left="0" w:right="0" w:firstLine="460"/>
        <w:jc w:val="both"/>
      </w:pPr>
      <w:r>
        <w:rPr>
          <w:color w:val="000000"/>
          <w:spacing w:val="0"/>
          <w:w w:val="100"/>
          <w:position w:val="0"/>
        </w:rPr>
        <w:t xml:space="preserve">开发阶段:在进行商业性生产或使用前,将研究成果或其他知识应用于某项计划或设计, </w:t>
      </w:r>
      <w:r>
        <w:rPr>
          <w:color w:val="000000"/>
          <w:spacing w:val="0"/>
          <w:w w:val="100"/>
          <w:position w:val="0"/>
        </w:rPr>
        <w:t>以生产出新的或具有实质性改进的材料、装置、产品等活动的阶段。</w:t>
      </w:r>
    </w:p>
    <w:p>
      <w:pPr>
        <w:pStyle w:val="Style51"/>
        <w:keepNext/>
        <w:keepLines/>
        <w:widowControl w:val="0"/>
        <w:numPr>
          <w:ilvl w:val="0"/>
          <w:numId w:val="41"/>
        </w:numPr>
        <w:shd w:val="clear" w:color="auto" w:fill="auto"/>
        <w:bidi w:val="0"/>
        <w:spacing w:before="0" w:after="0" w:line="427" w:lineRule="auto"/>
        <w:ind w:left="0" w:right="0" w:firstLine="440"/>
        <w:jc w:val="both"/>
      </w:pPr>
      <w:bookmarkStart w:id="1008" w:name="bookmark1008"/>
      <w:bookmarkStart w:id="1009" w:name="bookmark1009"/>
      <w:bookmarkStart w:id="1010" w:name="bookmark1010"/>
      <w:bookmarkStart w:id="1011" w:name="bookmark1011"/>
      <w:bookmarkEnd w:id="1010"/>
      <w:r>
        <w:rPr>
          <w:color w:val="000000"/>
          <w:spacing w:val="0"/>
          <w:w w:val="100"/>
          <w:position w:val="0"/>
        </w:rPr>
        <w:t>开发阶段支出符合资本化的具体标准</w:t>
      </w:r>
      <w:bookmarkEnd w:id="1008"/>
      <w:bookmarkEnd w:id="1009"/>
      <w:bookmarkEnd w:id="1011"/>
    </w:p>
    <w:p>
      <w:pPr>
        <w:pStyle w:val="Style16"/>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内部研究开发项目开发阶段的支出，同时满足下列条件时确认为无形资产：</w:t>
      </w:r>
    </w:p>
    <w:p>
      <w:pPr>
        <w:pStyle w:val="Style16"/>
        <w:keepNext w:val="0"/>
        <w:keepLines w:val="0"/>
        <w:widowControl w:val="0"/>
        <w:numPr>
          <w:ilvl w:val="0"/>
          <w:numId w:val="51"/>
        </w:numPr>
        <w:shd w:val="clear" w:color="auto" w:fill="auto"/>
        <w:tabs>
          <w:tab w:pos="903" w:val="left"/>
        </w:tabs>
        <w:bidi w:val="0"/>
        <w:spacing w:before="0" w:after="0" w:line="409" w:lineRule="exact"/>
        <w:ind w:left="0" w:right="0" w:firstLine="440"/>
        <w:jc w:val="both"/>
      </w:pPr>
      <w:bookmarkStart w:id="1012" w:name="bookmark1012"/>
      <w:bookmarkEnd w:id="1012"/>
      <w:r>
        <w:rPr>
          <w:color w:val="000000"/>
          <w:spacing w:val="0"/>
          <w:w w:val="100"/>
          <w:position w:val="0"/>
        </w:rPr>
        <w:t>完成该无形资产以使其能够使用或出售在技术上具有可行性；</w:t>
      </w:r>
    </w:p>
    <w:p>
      <w:pPr>
        <w:pStyle w:val="Style16"/>
        <w:keepNext w:val="0"/>
        <w:keepLines w:val="0"/>
        <w:widowControl w:val="0"/>
        <w:numPr>
          <w:ilvl w:val="0"/>
          <w:numId w:val="51"/>
        </w:numPr>
        <w:shd w:val="clear" w:color="auto" w:fill="auto"/>
        <w:tabs>
          <w:tab w:pos="903" w:val="left"/>
        </w:tabs>
        <w:bidi w:val="0"/>
        <w:spacing w:before="0" w:after="0" w:line="409" w:lineRule="exact"/>
        <w:ind w:left="0" w:right="0" w:firstLine="440"/>
        <w:jc w:val="both"/>
      </w:pPr>
      <w:bookmarkStart w:id="1013" w:name="bookmark1013"/>
      <w:bookmarkEnd w:id="1013"/>
      <w:r>
        <w:rPr>
          <w:color w:val="000000"/>
          <w:spacing w:val="0"/>
          <w:w w:val="100"/>
          <w:position w:val="0"/>
        </w:rPr>
        <w:t>具有完成该无形资产并使用或出售的意图；</w:t>
      </w:r>
    </w:p>
    <w:p>
      <w:pPr>
        <w:pStyle w:val="Style16"/>
        <w:keepNext w:val="0"/>
        <w:keepLines w:val="0"/>
        <w:widowControl w:val="0"/>
        <w:numPr>
          <w:ilvl w:val="0"/>
          <w:numId w:val="51"/>
        </w:numPr>
        <w:shd w:val="clear" w:color="auto" w:fill="auto"/>
        <w:tabs>
          <w:tab w:pos="996" w:val="left"/>
        </w:tabs>
        <w:bidi w:val="0"/>
        <w:spacing w:before="0" w:after="0" w:line="422" w:lineRule="exact"/>
        <w:ind w:left="0" w:right="0" w:firstLine="440"/>
        <w:jc w:val="both"/>
      </w:pPr>
      <w:bookmarkStart w:id="1014" w:name="bookmark1014"/>
      <w:bookmarkEnd w:id="1014"/>
      <w:r>
        <w:rPr>
          <w:color w:val="000000"/>
          <w:spacing w:val="0"/>
          <w:w w:val="100"/>
          <w:position w:val="0"/>
        </w:rPr>
        <w:t>无形资产产生经济利益的方式，包括能够证明运用该无形资产生产的产品存在市 场或无形资产自身存在市场，无形资产将在内部使用的，能够证明其有用性；</w:t>
      </w:r>
    </w:p>
    <w:p>
      <w:pPr>
        <w:pStyle w:val="Style16"/>
        <w:keepNext w:val="0"/>
        <w:keepLines w:val="0"/>
        <w:widowControl w:val="0"/>
        <w:numPr>
          <w:ilvl w:val="0"/>
          <w:numId w:val="51"/>
        </w:numPr>
        <w:shd w:val="clear" w:color="auto" w:fill="auto"/>
        <w:bidi w:val="0"/>
        <w:spacing w:before="0" w:after="0" w:line="403" w:lineRule="exact"/>
        <w:ind w:left="0" w:right="0" w:firstLine="440"/>
        <w:jc w:val="both"/>
      </w:pPr>
      <w:bookmarkStart w:id="1015" w:name="bookmark1015"/>
      <w:bookmarkEnd w:id="1015"/>
      <w:r>
        <w:rPr>
          <w:color w:val="000000"/>
          <w:spacing w:val="0"/>
          <w:w w:val="100"/>
          <w:position w:val="0"/>
        </w:rPr>
        <w:t xml:space="preserve"> 有足够的技术、财务资源和其他资源支持，以完成该无形资产的开发，并有能力 使用或出售该无形资产；</w:t>
      </w:r>
    </w:p>
    <w:p>
      <w:pPr>
        <w:pStyle w:val="Style16"/>
        <w:keepNext w:val="0"/>
        <w:keepLines w:val="0"/>
        <w:widowControl w:val="0"/>
        <w:numPr>
          <w:ilvl w:val="0"/>
          <w:numId w:val="51"/>
        </w:numPr>
        <w:shd w:val="clear" w:color="auto" w:fill="auto"/>
        <w:tabs>
          <w:tab w:pos="903" w:val="left"/>
        </w:tabs>
        <w:bidi w:val="0"/>
        <w:spacing w:before="0" w:after="0" w:line="409" w:lineRule="exact"/>
        <w:ind w:left="0" w:right="0" w:firstLine="440"/>
        <w:jc w:val="both"/>
      </w:pPr>
      <w:bookmarkStart w:id="1016" w:name="bookmark1016"/>
      <w:bookmarkEnd w:id="1016"/>
      <w:r>
        <w:rPr>
          <w:color w:val="000000"/>
          <w:spacing w:val="0"/>
          <w:w w:val="100"/>
          <w:position w:val="0"/>
        </w:rPr>
        <w:t>归属于该无形资产开发阶段的支出能够可靠地计量。</w:t>
      </w:r>
    </w:p>
    <w:p>
      <w:pPr>
        <w:pStyle w:val="Style16"/>
        <w:keepNext w:val="0"/>
        <w:keepLines w:val="0"/>
        <w:widowControl w:val="0"/>
        <w:shd w:val="clear" w:color="auto" w:fill="auto"/>
        <w:bidi w:val="0"/>
        <w:spacing w:before="0" w:after="0" w:line="403" w:lineRule="exact"/>
        <w:ind w:left="0" w:right="0" w:firstLine="440"/>
        <w:jc w:val="both"/>
      </w:pPr>
      <w:r>
        <w:rPr>
          <w:color w:val="000000"/>
          <w:spacing w:val="0"/>
          <w:w w:val="100"/>
          <w:position w:val="0"/>
        </w:rPr>
        <w:t>开发阶段的支出，若不满足上列条件的，于发生时计入当期损益。研究阶段的支出，在 发生时计入当期损益。</w:t>
      </w:r>
    </w:p>
    <w:p>
      <w:pPr>
        <w:pStyle w:val="Style37"/>
        <w:keepNext/>
        <w:keepLines/>
        <w:widowControl w:val="0"/>
        <w:shd w:val="clear" w:color="auto" w:fill="auto"/>
        <w:bidi w:val="0"/>
        <w:spacing w:before="0" w:after="0" w:line="409" w:lineRule="exact"/>
        <w:ind w:left="0" w:right="0" w:firstLine="440"/>
        <w:jc w:val="both"/>
      </w:pPr>
      <w:bookmarkStart w:id="1017" w:name="bookmark1017"/>
      <w:bookmarkStart w:id="1018" w:name="bookmark1018"/>
      <w:bookmarkStart w:id="1019" w:name="bookmark1019"/>
      <w:r>
        <w:rPr>
          <w:color w:val="000000"/>
          <w:spacing w:val="0"/>
          <w:w w:val="100"/>
          <w:position w:val="0"/>
        </w:rPr>
        <w:t>(二十)长期资产减值</w:t>
      </w:r>
      <w:bookmarkEnd w:id="1017"/>
      <w:bookmarkEnd w:id="1018"/>
      <w:bookmarkEnd w:id="1019"/>
    </w:p>
    <w:p>
      <w:pPr>
        <w:pStyle w:val="Style16"/>
        <w:keepNext w:val="0"/>
        <w:keepLines w:val="0"/>
        <w:widowControl w:val="0"/>
        <w:shd w:val="clear" w:color="auto" w:fill="auto"/>
        <w:bidi w:val="0"/>
        <w:spacing w:before="0" w:after="0" w:line="409" w:lineRule="exact"/>
        <w:ind w:left="0" w:right="0" w:firstLine="440"/>
        <w:jc w:val="both"/>
      </w:pPr>
      <w:r>
        <w:rPr>
          <w:color w:val="000000"/>
          <w:spacing w:val="0"/>
          <w:w w:val="100"/>
          <w:position w:val="0"/>
        </w:rPr>
        <w:t>股权投资、固定资产、在建工程、使用寿命有限的无形资产等长期资产，于资产负债表 日存在减值迹象的,进行减值测试。减值测试结果表明资产的可收回金额低于其账面价值的， 按其差额计提减值准备并计入减值损失。可收回金额为资产的公允价值减去处置费用后的净 额与资产预计未来现金流量的现值两者之间的较高者。资产减值准备按单项资产为基础计算 并确认，如果难以对单项资产的可收回金额进行估计的，以该资产所属的资产组确定资产组 的可收回金额。资产组是能够独立产生现金流入的最小资产组合。</w:t>
      </w:r>
    </w:p>
    <w:p>
      <w:pPr>
        <w:pStyle w:val="Style16"/>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商誉和使用寿命不确定的无形资产至少在每年年度终了进行减值测试。</w:t>
      </w:r>
    </w:p>
    <w:p>
      <w:pPr>
        <w:pStyle w:val="Style16"/>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本公司进行商誉减值测试，对于因企业合并形成的商誉的账面价值，自购买日起按照合 理的方法分摊至相关的资产组;难以分摊至相关的资产组的，将其分摊至相关的资产组组合。 在将商誉的账面价值分摊至相关的资产组或者资产组组合时，按照各资产组或者资产组组合 的公允价值占相关资产组或者资产组组合公允价值总额的比例进行分摊。公允价值难以可靠 计量的，按照各资产组或者资产组组合的账面价值占相关资产组或者资产组组合账面价值总 额的比例进行分摊。</w:t>
      </w:r>
    </w:p>
    <w:p>
      <w:pPr>
        <w:pStyle w:val="Style16"/>
        <w:keepNext w:val="0"/>
        <w:keepLines w:val="0"/>
        <w:widowControl w:val="0"/>
        <w:shd w:val="clear" w:color="auto" w:fill="auto"/>
        <w:bidi w:val="0"/>
        <w:spacing w:before="0" w:after="200" w:line="410" w:lineRule="exact"/>
        <w:ind w:left="0" w:right="0" w:firstLine="440"/>
        <w:jc w:val="both"/>
      </w:pPr>
      <w:r>
        <w:rPr>
          <w:color w:val="000000"/>
          <w:spacing w:val="0"/>
          <w:w w:val="100"/>
          <w:position w:val="0"/>
        </w:rPr>
        <w:t>在对包含商誉的相关资产组或者资产组组合进行减值测试时，如与商誉相关的资产组或 者资产组组合存在减值迹象的，先对不包含商誉的资产组或者资产组组合进行减值测试，计 算可收回金额，并与相关账面价值相比较，确认相应的减值损失。再对包含商誉的资产组或 者资产组组合进行减值测试，比较这些相关资产组或者资产组组合的账面价值(包括所分摊 的商誉的账面价值部分)与其可收回金额，如相关资产组或者资产组组合的可收回金额低于 其账面价值的，确认商誉的减值损失。</w:t>
      </w:r>
    </w:p>
    <w:p>
      <w:pPr>
        <w:pStyle w:val="Style16"/>
        <w:keepNext w:val="0"/>
        <w:keepLines w:val="0"/>
        <w:widowControl w:val="0"/>
        <w:shd w:val="clear" w:color="auto" w:fill="auto"/>
        <w:bidi w:val="0"/>
        <w:spacing w:before="0" w:after="0" w:line="240" w:lineRule="auto"/>
        <w:ind w:left="0" w:right="0" w:firstLine="440"/>
        <w:jc w:val="both"/>
      </w:pPr>
      <w:r>
        <w:rPr>
          <w:color w:val="000000"/>
          <w:spacing w:val="0"/>
          <w:w w:val="100"/>
          <w:position w:val="0"/>
        </w:rPr>
        <w:t>上述资产减值损失一经确认，在以后会计期间不予转回。</w:t>
      </w:r>
    </w:p>
    <w:p>
      <w:pPr>
        <w:pStyle w:val="Style37"/>
        <w:keepNext/>
        <w:keepLines/>
        <w:widowControl w:val="0"/>
        <w:shd w:val="clear" w:color="auto" w:fill="auto"/>
        <w:bidi w:val="0"/>
        <w:spacing w:before="0" w:after="0" w:line="413" w:lineRule="exact"/>
        <w:ind w:left="0" w:right="0" w:firstLine="420"/>
        <w:jc w:val="left"/>
      </w:pPr>
      <w:bookmarkStart w:id="1020" w:name="bookmark1020"/>
      <w:bookmarkStart w:id="1021" w:name="bookmark1021"/>
      <w:bookmarkStart w:id="1022" w:name="bookmark1022"/>
      <w:r>
        <w:rPr>
          <w:color w:val="000000"/>
          <w:spacing w:val="0"/>
          <w:w w:val="100"/>
          <w:position w:val="0"/>
        </w:rPr>
        <w:t>（二十一）长期待摊费用</w:t>
      </w:r>
      <w:bookmarkEnd w:id="1020"/>
      <w:bookmarkEnd w:id="1021"/>
      <w:bookmarkEnd w:id="1022"/>
    </w:p>
    <w:p>
      <w:pPr>
        <w:pStyle w:val="Style16"/>
        <w:keepNext w:val="0"/>
        <w:keepLines w:val="0"/>
        <w:widowControl w:val="0"/>
        <w:shd w:val="clear" w:color="auto" w:fill="auto"/>
        <w:bidi w:val="0"/>
        <w:spacing w:before="0" w:after="200" w:line="413" w:lineRule="exact"/>
        <w:ind w:left="0" w:right="0" w:firstLine="440"/>
        <w:jc w:val="both"/>
      </w:pPr>
      <w:r>
        <w:rPr>
          <w:color w:val="000000"/>
          <w:spacing w:val="0"/>
          <w:w w:val="100"/>
          <w:position w:val="0"/>
        </w:rPr>
        <w:t>长期待摊费用为已经发生但应由本期和以后各期负担的分摊期限在一年以上的各项费 用。</w:t>
      </w:r>
    </w:p>
    <w:p>
      <w:pPr>
        <w:pStyle w:val="Style51"/>
        <w:keepNext/>
        <w:keepLines/>
        <w:widowControl w:val="0"/>
        <w:numPr>
          <w:ilvl w:val="0"/>
          <w:numId w:val="53"/>
        </w:numPr>
        <w:shd w:val="clear" w:color="auto" w:fill="auto"/>
        <w:tabs>
          <w:tab w:pos="789" w:val="left"/>
        </w:tabs>
        <w:bidi w:val="0"/>
        <w:spacing w:before="0" w:after="0" w:line="432" w:lineRule="auto"/>
        <w:ind w:left="0" w:right="0" w:firstLine="440"/>
        <w:jc w:val="both"/>
      </w:pPr>
      <w:bookmarkStart w:id="1023" w:name="bookmark1023"/>
      <w:bookmarkStart w:id="1024" w:name="bookmark1024"/>
      <w:bookmarkStart w:id="1025" w:name="bookmark1025"/>
      <w:bookmarkStart w:id="1026" w:name="bookmark1026"/>
      <w:bookmarkEnd w:id="1025"/>
      <w:r>
        <w:rPr>
          <w:color w:val="000000"/>
          <w:spacing w:val="0"/>
          <w:w w:val="100"/>
          <w:position w:val="0"/>
        </w:rPr>
        <w:t>摊销方法</w:t>
      </w:r>
      <w:bookmarkEnd w:id="1023"/>
      <w:bookmarkEnd w:id="1024"/>
      <w:bookmarkEnd w:id="1026"/>
    </w:p>
    <w:p>
      <w:pPr>
        <w:pStyle w:val="Style16"/>
        <w:keepNext w:val="0"/>
        <w:keepLines w:val="0"/>
        <w:widowControl w:val="0"/>
        <w:shd w:val="clear" w:color="auto" w:fill="auto"/>
        <w:bidi w:val="0"/>
        <w:spacing w:before="0" w:after="200" w:line="422" w:lineRule="exact"/>
        <w:ind w:left="0" w:right="0" w:firstLine="440"/>
        <w:jc w:val="both"/>
      </w:pPr>
      <w:r>
        <w:rPr>
          <w:color w:val="000000"/>
          <w:spacing w:val="0"/>
          <w:w w:val="100"/>
          <w:position w:val="0"/>
        </w:rPr>
        <w:t>长期待摊费用在受益期内平均摊销。</w:t>
      </w:r>
    </w:p>
    <w:p>
      <w:pPr>
        <w:pStyle w:val="Style51"/>
        <w:keepNext/>
        <w:keepLines/>
        <w:widowControl w:val="0"/>
        <w:numPr>
          <w:ilvl w:val="0"/>
          <w:numId w:val="53"/>
        </w:numPr>
        <w:shd w:val="clear" w:color="auto" w:fill="auto"/>
        <w:tabs>
          <w:tab w:pos="798" w:val="left"/>
        </w:tabs>
        <w:bidi w:val="0"/>
        <w:spacing w:before="0" w:after="0" w:line="442" w:lineRule="auto"/>
        <w:ind w:left="0" w:right="0" w:firstLine="440"/>
        <w:jc w:val="both"/>
      </w:pPr>
      <w:bookmarkStart w:id="1027" w:name="bookmark1027"/>
      <w:bookmarkStart w:id="1028" w:name="bookmark1028"/>
      <w:bookmarkStart w:id="1029" w:name="bookmark1029"/>
      <w:bookmarkStart w:id="1030" w:name="bookmark1030"/>
      <w:bookmarkEnd w:id="1029"/>
      <w:r>
        <w:rPr>
          <w:color w:val="000000"/>
          <w:spacing w:val="0"/>
          <w:w w:val="100"/>
          <w:position w:val="0"/>
        </w:rPr>
        <w:t>摊销年限</w:t>
      </w:r>
      <w:bookmarkEnd w:id="1027"/>
      <w:bookmarkEnd w:id="1028"/>
      <w:bookmarkEnd w:id="1030"/>
    </w:p>
    <w:p>
      <w:pPr>
        <w:pStyle w:val="Style16"/>
        <w:keepNext w:val="0"/>
        <w:keepLines w:val="0"/>
        <w:widowControl w:val="0"/>
        <w:shd w:val="clear" w:color="auto" w:fill="auto"/>
        <w:bidi w:val="0"/>
        <w:spacing w:before="0" w:after="0" w:line="422" w:lineRule="exact"/>
        <w:ind w:left="0" w:right="0" w:firstLine="440"/>
        <w:jc w:val="both"/>
      </w:pPr>
      <w:r>
        <w:rPr>
          <w:color w:val="000000"/>
          <w:spacing w:val="0"/>
          <w:w w:val="100"/>
          <w:position w:val="0"/>
        </w:rPr>
        <w:t>长期待摊费用摊销年限为</w:t>
      </w:r>
      <w:r>
        <w:rPr>
          <w:rFonts w:ascii="Times New Roman" w:eastAsia="Times New Roman" w:hAnsi="Times New Roman" w:cs="Times New Roman"/>
          <w:color w:val="000000"/>
          <w:spacing w:val="0"/>
          <w:w w:val="100"/>
          <w:position w:val="0"/>
        </w:rPr>
        <w:t>3</w:t>
      </w:r>
      <w:r>
        <w:rPr>
          <w:color w:val="000000"/>
          <w:spacing w:val="0"/>
          <w:w w:val="100"/>
          <w:position w:val="0"/>
        </w:rPr>
        <w:t>-</w:t>
      </w:r>
      <w:r>
        <w:rPr>
          <w:rFonts w:ascii="Times New Roman" w:eastAsia="Times New Roman" w:hAnsi="Times New Roman" w:cs="Times New Roman"/>
          <w:color w:val="000000"/>
          <w:spacing w:val="0"/>
          <w:w w:val="100"/>
          <w:position w:val="0"/>
        </w:rPr>
        <w:t>10</w:t>
      </w:r>
      <w:r>
        <w:rPr>
          <w:color w:val="000000"/>
          <w:spacing w:val="0"/>
          <w:w w:val="100"/>
          <w:position w:val="0"/>
        </w:rPr>
        <w:t>年，对不能使以后会计期间受益的长期待摊费用项目， 其摊余价值全部计入当期损益。</w:t>
      </w:r>
    </w:p>
    <w:p>
      <w:pPr>
        <w:pStyle w:val="Style37"/>
        <w:keepNext/>
        <w:keepLines/>
        <w:widowControl w:val="0"/>
        <w:shd w:val="clear" w:color="auto" w:fill="auto"/>
        <w:bidi w:val="0"/>
        <w:spacing w:before="0" w:after="0" w:line="413" w:lineRule="exact"/>
        <w:ind w:left="0" w:right="0" w:firstLine="440"/>
        <w:jc w:val="both"/>
      </w:pPr>
      <w:bookmarkStart w:id="1031" w:name="bookmark1031"/>
      <w:bookmarkStart w:id="1032" w:name="bookmark1032"/>
      <w:bookmarkStart w:id="1033" w:name="bookmark1033"/>
      <w:r>
        <w:rPr>
          <w:color w:val="000000"/>
          <w:spacing w:val="0"/>
          <w:w w:val="100"/>
          <w:position w:val="0"/>
        </w:rPr>
        <w:t>（二十二）合同负债</w:t>
      </w:r>
      <w:bookmarkEnd w:id="1031"/>
      <w:bookmarkEnd w:id="1032"/>
      <w:bookmarkEnd w:id="1033"/>
    </w:p>
    <w:p>
      <w:pPr>
        <w:pStyle w:val="Style16"/>
        <w:keepNext w:val="0"/>
        <w:keepLines w:val="0"/>
        <w:widowControl w:val="0"/>
        <w:shd w:val="clear" w:color="auto" w:fill="auto"/>
        <w:bidi w:val="0"/>
        <w:spacing w:before="0" w:after="0" w:line="413" w:lineRule="exact"/>
        <w:ind w:left="0" w:right="0" w:firstLine="420"/>
        <w:jc w:val="left"/>
      </w:pPr>
      <w:r>
        <w:rPr>
          <w:color w:val="000000"/>
          <w:spacing w:val="0"/>
          <w:w w:val="100"/>
          <w:position w:val="0"/>
        </w:rPr>
        <w:t>本公司将已收或应收客户对价而应向客户转让商品的义务部分确认为合同负债。</w:t>
      </w:r>
    </w:p>
    <w:p>
      <w:pPr>
        <w:pStyle w:val="Style37"/>
        <w:keepNext/>
        <w:keepLines/>
        <w:widowControl w:val="0"/>
        <w:shd w:val="clear" w:color="auto" w:fill="auto"/>
        <w:bidi w:val="0"/>
        <w:spacing w:before="0" w:after="120" w:line="413" w:lineRule="exact"/>
        <w:ind w:left="0" w:right="0" w:firstLine="420"/>
        <w:jc w:val="left"/>
      </w:pPr>
      <w:bookmarkStart w:id="1034" w:name="bookmark1034"/>
      <w:bookmarkStart w:id="1035" w:name="bookmark1035"/>
      <w:bookmarkStart w:id="1036" w:name="bookmark1036"/>
      <w:r>
        <w:rPr>
          <w:color w:val="000000"/>
          <w:spacing w:val="0"/>
          <w:w w:val="100"/>
          <w:position w:val="0"/>
        </w:rPr>
        <w:t>（二十三）职工薪酬</w:t>
      </w:r>
      <w:bookmarkEnd w:id="1034"/>
      <w:bookmarkEnd w:id="1035"/>
      <w:bookmarkEnd w:id="1036"/>
    </w:p>
    <w:p>
      <w:pPr>
        <w:pStyle w:val="Style51"/>
        <w:keepNext/>
        <w:keepLines/>
        <w:widowControl w:val="0"/>
        <w:numPr>
          <w:ilvl w:val="0"/>
          <w:numId w:val="55"/>
        </w:numPr>
        <w:shd w:val="clear" w:color="auto" w:fill="auto"/>
        <w:tabs>
          <w:tab w:pos="783" w:val="left"/>
        </w:tabs>
        <w:bidi w:val="0"/>
        <w:spacing w:before="0" w:after="0" w:line="408" w:lineRule="exact"/>
        <w:ind w:left="0" w:right="0" w:firstLine="420"/>
        <w:jc w:val="left"/>
      </w:pPr>
      <w:bookmarkStart w:id="1037" w:name="bookmark1037"/>
      <w:bookmarkStart w:id="1038" w:name="bookmark1038"/>
      <w:bookmarkStart w:id="1039" w:name="bookmark1039"/>
      <w:bookmarkStart w:id="1040" w:name="bookmark1040"/>
      <w:bookmarkEnd w:id="1039"/>
      <w:r>
        <w:rPr>
          <w:color w:val="000000"/>
          <w:spacing w:val="0"/>
          <w:w w:val="100"/>
          <w:position w:val="0"/>
        </w:rPr>
        <w:t>短期薪酬的会计处理方法</w:t>
      </w:r>
      <w:bookmarkEnd w:id="1037"/>
      <w:bookmarkEnd w:id="1038"/>
      <w:bookmarkEnd w:id="1040"/>
    </w:p>
    <w:p>
      <w:pPr>
        <w:pStyle w:val="Style16"/>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本公司在职工为本公司提供服务的会计期间，将实际发生的短期薪酬确认为负债，并计 入当期损益或相关资产成本。</w:t>
      </w:r>
    </w:p>
    <w:p>
      <w:pPr>
        <w:pStyle w:val="Style16"/>
        <w:keepNext w:val="0"/>
        <w:keepLines w:val="0"/>
        <w:widowControl w:val="0"/>
        <w:shd w:val="clear" w:color="auto" w:fill="auto"/>
        <w:bidi w:val="0"/>
        <w:spacing w:before="0" w:after="120" w:line="410" w:lineRule="exact"/>
        <w:ind w:left="0" w:right="0" w:firstLine="440"/>
        <w:jc w:val="both"/>
      </w:pPr>
      <w:r>
        <w:rPr>
          <w:color w:val="000000"/>
          <w:spacing w:val="0"/>
          <w:w w:val="100"/>
          <w:position w:val="0"/>
        </w:rPr>
        <w:t>本公司为职工缴纳的社会保险费和住房公积金，以及按规定提取的工会经费和职工教育 经费，在职工为本公司提供服务的会计期间，根据规定的计提基础和计提比例计算确定相应 的职工薪酬金额。职工福利费为非货币性福利的，如能够可靠计量的，按照公允价值计量。</w:t>
      </w:r>
    </w:p>
    <w:p>
      <w:pPr>
        <w:pStyle w:val="Style51"/>
        <w:keepNext/>
        <w:keepLines/>
        <w:widowControl w:val="0"/>
        <w:numPr>
          <w:ilvl w:val="0"/>
          <w:numId w:val="55"/>
        </w:numPr>
        <w:shd w:val="clear" w:color="auto" w:fill="auto"/>
        <w:tabs>
          <w:tab w:pos="794" w:val="left"/>
        </w:tabs>
        <w:bidi w:val="0"/>
        <w:spacing w:before="0" w:after="120" w:line="413" w:lineRule="exact"/>
        <w:ind w:left="0" w:right="0" w:firstLine="440"/>
        <w:jc w:val="both"/>
      </w:pPr>
      <w:bookmarkStart w:id="1041" w:name="bookmark1041"/>
      <w:bookmarkStart w:id="1042" w:name="bookmark1042"/>
      <w:bookmarkStart w:id="1043" w:name="bookmark1043"/>
      <w:bookmarkStart w:id="1044" w:name="bookmark1044"/>
      <w:bookmarkEnd w:id="1043"/>
      <w:r>
        <w:rPr>
          <w:color w:val="000000"/>
          <w:spacing w:val="0"/>
          <w:w w:val="100"/>
          <w:position w:val="0"/>
        </w:rPr>
        <w:t>离职后福利的会计处理方法</w:t>
      </w:r>
      <w:bookmarkEnd w:id="1041"/>
      <w:bookmarkEnd w:id="1042"/>
      <w:bookmarkEnd w:id="1044"/>
    </w:p>
    <w:p>
      <w:pPr>
        <w:pStyle w:val="Style16"/>
        <w:keepNext w:val="0"/>
        <w:keepLines w:val="0"/>
        <w:widowControl w:val="0"/>
        <w:shd w:val="clear" w:color="auto" w:fill="auto"/>
        <w:tabs>
          <w:tab w:pos="928" w:val="left"/>
        </w:tabs>
        <w:bidi w:val="0"/>
        <w:spacing w:before="0" w:after="0" w:line="416" w:lineRule="exact"/>
        <w:ind w:left="0" w:right="0" w:firstLine="440"/>
        <w:jc w:val="both"/>
      </w:pPr>
      <w:bookmarkStart w:id="1045" w:name="bookmark1045"/>
      <w:r>
        <w:rPr>
          <w:color w:val="000000"/>
          <w:spacing w:val="0"/>
          <w:w w:val="100"/>
          <w:position w:val="0"/>
        </w:rPr>
        <w:t>（</w:t>
      </w:r>
      <w:bookmarkEnd w:id="1045"/>
      <w:r>
        <w:rPr>
          <w:rFonts w:ascii="Times New Roman" w:eastAsia="Times New Roman" w:hAnsi="Times New Roman" w:cs="Times New Roman"/>
          <w:color w:val="000000"/>
          <w:spacing w:val="0"/>
          <w:w w:val="100"/>
          <w:position w:val="0"/>
        </w:rPr>
        <w:t>1</w:t>
      </w:r>
      <w:r>
        <w:rPr>
          <w:color w:val="000000"/>
          <w:spacing w:val="0"/>
          <w:w w:val="100"/>
          <w:position w:val="0"/>
        </w:rPr>
        <w:t>）</w:t>
        <w:tab/>
        <w:t>设定提存计划</w:t>
      </w:r>
    </w:p>
    <w:p>
      <w:pPr>
        <w:pStyle w:val="Style16"/>
        <w:keepNext w:val="0"/>
        <w:keepLines w:val="0"/>
        <w:widowControl w:val="0"/>
        <w:shd w:val="clear" w:color="auto" w:fill="auto"/>
        <w:bidi w:val="0"/>
        <w:spacing w:before="0" w:after="0" w:line="416" w:lineRule="exact"/>
        <w:ind w:left="0" w:right="0" w:firstLine="440"/>
        <w:jc w:val="both"/>
      </w:pPr>
      <w:r>
        <w:rPr>
          <w:color w:val="000000"/>
          <w:spacing w:val="0"/>
          <w:w w:val="100"/>
          <w:position w:val="0"/>
        </w:rPr>
        <w:t>本公司按当地政府的相关规定为职工缴纳基本养老保险和失业保险，在职工为本公司提 供服务的会计期间，按以当地规定的缴纳基数和比例计算应缴纳金额，确认为负债，并计入 当期损益或相关资产成本。</w:t>
      </w:r>
    </w:p>
    <w:p>
      <w:pPr>
        <w:pStyle w:val="Style16"/>
        <w:keepNext w:val="0"/>
        <w:keepLines w:val="0"/>
        <w:widowControl w:val="0"/>
        <w:shd w:val="clear" w:color="auto" w:fill="auto"/>
        <w:bidi w:val="0"/>
        <w:spacing w:before="0" w:after="120" w:line="416" w:lineRule="exact"/>
        <w:ind w:left="0" w:right="0" w:firstLine="440"/>
        <w:jc w:val="both"/>
      </w:pPr>
      <w:r>
        <w:rPr>
          <w:color w:val="000000"/>
          <w:spacing w:val="0"/>
          <w:w w:val="100"/>
          <w:position w:val="0"/>
        </w:rPr>
        <w:t>除基本养老保险外，本公司还依据国家企业年金制度的相关政策建立了企业年金缴费制 度。（补充养老保险）/企业年金计划。本公司按职工工资总额的一定比例向当地社会保险机 构缴费/年金计划缴费，相应支出计入当期损益或相关资产成本。</w:t>
      </w:r>
    </w:p>
    <w:p>
      <w:pPr>
        <w:pStyle w:val="Style16"/>
        <w:keepNext w:val="0"/>
        <w:keepLines w:val="0"/>
        <w:widowControl w:val="0"/>
        <w:shd w:val="clear" w:color="auto" w:fill="auto"/>
        <w:tabs>
          <w:tab w:pos="928" w:val="left"/>
        </w:tabs>
        <w:bidi w:val="0"/>
        <w:spacing w:before="0" w:after="0" w:line="413" w:lineRule="exact"/>
        <w:ind w:left="0" w:right="0" w:firstLine="440"/>
        <w:jc w:val="both"/>
      </w:pPr>
      <w:bookmarkStart w:id="1046" w:name="bookmark1046"/>
      <w:r>
        <w:rPr>
          <w:color w:val="000000"/>
          <w:spacing w:val="0"/>
          <w:w w:val="100"/>
          <w:position w:val="0"/>
        </w:rPr>
        <w:t>（</w:t>
      </w:r>
      <w:bookmarkEnd w:id="1046"/>
      <w:r>
        <w:rPr>
          <w:rFonts w:ascii="Times New Roman" w:eastAsia="Times New Roman" w:hAnsi="Times New Roman" w:cs="Times New Roman"/>
          <w:color w:val="000000"/>
          <w:spacing w:val="0"/>
          <w:w w:val="100"/>
          <w:position w:val="0"/>
        </w:rPr>
        <w:t>2</w:t>
      </w:r>
      <w:r>
        <w:rPr>
          <w:color w:val="000000"/>
          <w:spacing w:val="0"/>
          <w:w w:val="100"/>
          <w:position w:val="0"/>
        </w:rPr>
        <w:t>）</w:t>
        <w:tab/>
        <w:t>设定受益计划</w:t>
      </w:r>
    </w:p>
    <w:p>
      <w:pPr>
        <w:pStyle w:val="Style16"/>
        <w:keepNext w:val="0"/>
        <w:keepLines w:val="0"/>
        <w:widowControl w:val="0"/>
        <w:shd w:val="clear" w:color="auto" w:fill="auto"/>
        <w:bidi w:val="0"/>
        <w:spacing w:before="0" w:after="0" w:line="413" w:lineRule="exact"/>
        <w:ind w:left="0" w:right="0" w:firstLine="440"/>
        <w:jc w:val="both"/>
      </w:pPr>
      <w:r>
        <w:rPr>
          <w:color w:val="000000"/>
          <w:spacing w:val="0"/>
          <w:w w:val="100"/>
          <w:position w:val="0"/>
        </w:rPr>
        <w:t>本公司根据预期累计福利单位法确定的公式将设定受益计划产生的福利义务归属于职 工提供服务的期间，并计入当期损益或相关资产成本。</w:t>
      </w:r>
    </w:p>
    <w:p>
      <w:pPr>
        <w:pStyle w:val="Style16"/>
        <w:keepNext w:val="0"/>
        <w:keepLines w:val="0"/>
        <w:widowControl w:val="0"/>
        <w:shd w:val="clear" w:color="auto" w:fill="auto"/>
        <w:bidi w:val="0"/>
        <w:spacing w:before="0" w:after="200" w:line="406" w:lineRule="exact"/>
        <w:ind w:left="0" w:right="0" w:firstLine="440"/>
        <w:jc w:val="both"/>
      </w:pPr>
      <w:r>
        <w:rPr>
          <w:color w:val="000000"/>
          <w:spacing w:val="0"/>
          <w:w w:val="100"/>
          <w:position w:val="0"/>
        </w:rPr>
        <w:t>设定受益计划义务现值减去设定受益计划资产公允价值所形成的赤字或盈余确认为一 项设定受益计划净负债或净资产。设定受益计划存在盈余的，本公司以设定受益计划的盈余 和资产上限两项的孰低者计量设定受益计划净资产。</w:t>
      </w:r>
    </w:p>
    <w:p>
      <w:pPr>
        <w:pStyle w:val="Style16"/>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所有设定受益计划义务，包括预期在职工提供服务的年度报告期间结束后的十二个月内 </w:t>
      </w:r>
      <w:r>
        <w:rPr>
          <w:color w:val="000000"/>
          <w:spacing w:val="0"/>
          <w:w w:val="100"/>
          <w:position w:val="0"/>
        </w:rPr>
        <w:t>支付的义务，根据资产负债表日与设定受益计划义务期限和币种相匹配的国债或活跃市场上 的高质量公司债券的市场收益率予以折现。</w:t>
      </w:r>
    </w:p>
    <w:p>
      <w:pPr>
        <w:pStyle w:val="Style16"/>
        <w:keepNext w:val="0"/>
        <w:keepLines w:val="0"/>
        <w:widowControl w:val="0"/>
        <w:shd w:val="clear" w:color="auto" w:fill="auto"/>
        <w:bidi w:val="0"/>
        <w:spacing w:before="0" w:after="0" w:line="408" w:lineRule="exact"/>
        <w:ind w:left="0" w:right="0" w:firstLine="440"/>
        <w:jc w:val="left"/>
      </w:pPr>
      <w:r>
        <w:rPr>
          <w:color w:val="000000"/>
          <w:spacing w:val="0"/>
          <w:w w:val="100"/>
          <w:position w:val="0"/>
        </w:rPr>
        <w:t>设定受益计划产生的服务成本和设定受益计划净负债或净资产的利息净额计入当期损 益或相关资产成本；重新计量设定受益计划净负债或净资产所产生的变动计入其他综合收益, 并且在后续会计期间不转回至损益，在原设定受益计划终止时在权益范围内将原计入其他综 合收益的部分全部结转至未分配利润。</w:t>
      </w:r>
    </w:p>
    <w:p>
      <w:pPr>
        <w:pStyle w:val="Style16"/>
        <w:keepNext w:val="0"/>
        <w:keepLines w:val="0"/>
        <w:widowControl w:val="0"/>
        <w:shd w:val="clear" w:color="auto" w:fill="auto"/>
        <w:bidi w:val="0"/>
        <w:spacing w:before="0" w:after="120" w:line="413" w:lineRule="exact"/>
        <w:ind w:left="0" w:right="0" w:firstLine="440"/>
        <w:jc w:val="left"/>
      </w:pPr>
      <w:r>
        <w:rPr>
          <w:color w:val="000000"/>
          <w:spacing w:val="0"/>
          <w:w w:val="100"/>
          <w:position w:val="0"/>
        </w:rPr>
        <w:t>在设定受益计划结算时，按在结算日确定的设定受益计划义务现值和结算价格两者的差 额，确认结算利得或损失。</w:t>
      </w:r>
    </w:p>
    <w:p>
      <w:pPr>
        <w:pStyle w:val="Style51"/>
        <w:keepNext/>
        <w:keepLines/>
        <w:widowControl w:val="0"/>
        <w:numPr>
          <w:ilvl w:val="0"/>
          <w:numId w:val="55"/>
        </w:numPr>
        <w:shd w:val="clear" w:color="auto" w:fill="auto"/>
        <w:bidi w:val="0"/>
        <w:spacing w:before="0" w:after="0" w:line="413" w:lineRule="exact"/>
        <w:ind w:left="0" w:right="0" w:firstLine="440"/>
        <w:jc w:val="left"/>
      </w:pPr>
      <w:bookmarkStart w:id="1047" w:name="bookmark1047"/>
      <w:bookmarkStart w:id="1048" w:name="bookmark1048"/>
      <w:bookmarkStart w:id="1049" w:name="bookmark1049"/>
      <w:bookmarkStart w:id="1050" w:name="bookmark1050"/>
      <w:bookmarkEnd w:id="1049"/>
      <w:r>
        <w:rPr>
          <w:color w:val="000000"/>
          <w:spacing w:val="0"/>
          <w:w w:val="100"/>
          <w:position w:val="0"/>
        </w:rPr>
        <w:t>辞退福利的会计处理方法</w:t>
      </w:r>
      <w:bookmarkEnd w:id="1047"/>
      <w:bookmarkEnd w:id="1048"/>
      <w:bookmarkEnd w:id="1050"/>
    </w:p>
    <w:p>
      <w:pPr>
        <w:pStyle w:val="Style16"/>
        <w:keepNext w:val="0"/>
        <w:keepLines w:val="0"/>
        <w:widowControl w:val="0"/>
        <w:shd w:val="clear" w:color="auto" w:fill="auto"/>
        <w:bidi w:val="0"/>
        <w:spacing w:before="0" w:after="0" w:line="413" w:lineRule="exact"/>
        <w:ind w:left="0" w:right="0" w:firstLine="440"/>
        <w:jc w:val="left"/>
      </w:pPr>
      <w:r>
        <w:rPr>
          <w:color w:val="000000"/>
          <w:spacing w:val="0"/>
          <w:w w:val="100"/>
          <w:position w:val="0"/>
        </w:rPr>
        <w:t>本公司在不能单方面撤回因解除劳动关系计划或裁减建议所提供的辞退福利时，或确认 与涉及支付辞退福利的重组相关的成本或费用时（两者孰早），确认辞退福利产生的职工薪 酬负债，并计入当期损益。</w:t>
      </w:r>
    </w:p>
    <w:p>
      <w:pPr>
        <w:pStyle w:val="Style37"/>
        <w:keepNext/>
        <w:keepLines/>
        <w:widowControl w:val="0"/>
        <w:shd w:val="clear" w:color="auto" w:fill="auto"/>
        <w:bidi w:val="0"/>
        <w:spacing w:before="0" w:after="220" w:line="413" w:lineRule="exact"/>
        <w:ind w:left="0" w:right="0" w:firstLine="440"/>
        <w:jc w:val="left"/>
      </w:pPr>
      <w:bookmarkStart w:id="1051" w:name="bookmark1051"/>
      <w:bookmarkStart w:id="1052" w:name="bookmark1052"/>
      <w:bookmarkStart w:id="1053" w:name="bookmark1053"/>
      <w:r>
        <w:rPr>
          <w:color w:val="000000"/>
          <w:spacing w:val="0"/>
          <w:w w:val="100"/>
          <w:position w:val="0"/>
        </w:rPr>
        <w:t>（二十四）预计负债</w:t>
      </w:r>
      <w:bookmarkEnd w:id="1051"/>
      <w:bookmarkEnd w:id="1052"/>
      <w:bookmarkEnd w:id="1053"/>
    </w:p>
    <w:p>
      <w:pPr>
        <w:pStyle w:val="Style51"/>
        <w:keepNext/>
        <w:keepLines/>
        <w:widowControl w:val="0"/>
        <w:numPr>
          <w:ilvl w:val="0"/>
          <w:numId w:val="57"/>
        </w:numPr>
        <w:shd w:val="clear" w:color="auto" w:fill="auto"/>
        <w:tabs>
          <w:tab w:pos="789" w:val="left"/>
        </w:tabs>
        <w:bidi w:val="0"/>
        <w:spacing w:before="0" w:after="0" w:line="427" w:lineRule="auto"/>
        <w:ind w:left="0" w:right="0" w:firstLine="440"/>
        <w:jc w:val="left"/>
      </w:pPr>
      <w:bookmarkStart w:id="1054" w:name="bookmark1054"/>
      <w:bookmarkStart w:id="1055" w:name="bookmark1055"/>
      <w:bookmarkStart w:id="1056" w:name="bookmark1056"/>
      <w:bookmarkStart w:id="1057" w:name="bookmark1057"/>
      <w:bookmarkEnd w:id="1056"/>
      <w:r>
        <w:rPr>
          <w:color w:val="000000"/>
          <w:spacing w:val="0"/>
          <w:w w:val="100"/>
          <w:position w:val="0"/>
        </w:rPr>
        <w:t>预计负债的确认标准</w:t>
      </w:r>
      <w:bookmarkEnd w:id="1054"/>
      <w:bookmarkEnd w:id="1055"/>
      <w:bookmarkEnd w:id="1057"/>
    </w:p>
    <w:p>
      <w:pPr>
        <w:pStyle w:val="Style16"/>
        <w:keepNext w:val="0"/>
        <w:keepLines w:val="0"/>
        <w:widowControl w:val="0"/>
        <w:shd w:val="clear" w:color="auto" w:fill="auto"/>
        <w:bidi w:val="0"/>
        <w:spacing w:before="0" w:after="0" w:line="408" w:lineRule="exact"/>
        <w:ind w:left="0" w:right="0" w:firstLine="440"/>
        <w:jc w:val="left"/>
      </w:pPr>
      <w:r>
        <w:rPr>
          <w:color w:val="000000"/>
          <w:spacing w:val="0"/>
          <w:w w:val="100"/>
          <w:position w:val="0"/>
        </w:rPr>
        <w:t>与或有事项相关的义务同时满足下列条件时，本公司确认为预计负债：</w:t>
      </w:r>
    </w:p>
    <w:p>
      <w:pPr>
        <w:pStyle w:val="Style16"/>
        <w:keepNext w:val="0"/>
        <w:keepLines w:val="0"/>
        <w:widowControl w:val="0"/>
        <w:shd w:val="clear" w:color="auto" w:fill="auto"/>
        <w:bidi w:val="0"/>
        <w:spacing w:before="0" w:after="0" w:line="408" w:lineRule="exact"/>
        <w:ind w:left="0" w:right="0" w:firstLine="440"/>
        <w:jc w:val="left"/>
      </w:pPr>
      <w:r>
        <w:rPr>
          <w:color w:val="000000"/>
          <w:spacing w:val="0"/>
          <w:w w:val="100"/>
          <w:position w:val="0"/>
        </w:rPr>
        <w:t>该义务是本公司承担的现时义务；</w:t>
      </w:r>
    </w:p>
    <w:p>
      <w:pPr>
        <w:pStyle w:val="Style16"/>
        <w:keepNext w:val="0"/>
        <w:keepLines w:val="0"/>
        <w:widowControl w:val="0"/>
        <w:shd w:val="clear" w:color="auto" w:fill="auto"/>
        <w:bidi w:val="0"/>
        <w:spacing w:before="0" w:after="0" w:line="408" w:lineRule="exact"/>
        <w:ind w:left="0" w:right="0" w:firstLine="440"/>
        <w:jc w:val="left"/>
      </w:pPr>
      <w:r>
        <w:rPr>
          <w:color w:val="000000"/>
          <w:spacing w:val="0"/>
          <w:w w:val="100"/>
          <w:position w:val="0"/>
        </w:rPr>
        <w:t>履行该义务很可能导致经济利益流出本公司；</w:t>
      </w:r>
    </w:p>
    <w:p>
      <w:pPr>
        <w:pStyle w:val="Style16"/>
        <w:keepNext w:val="0"/>
        <w:keepLines w:val="0"/>
        <w:widowControl w:val="0"/>
        <w:shd w:val="clear" w:color="auto" w:fill="auto"/>
        <w:bidi w:val="0"/>
        <w:spacing w:before="0" w:after="220" w:line="408" w:lineRule="exact"/>
        <w:ind w:left="0" w:right="0" w:firstLine="440"/>
        <w:jc w:val="left"/>
      </w:pPr>
      <w:r>
        <w:rPr>
          <w:color w:val="000000"/>
          <w:spacing w:val="0"/>
          <w:w w:val="100"/>
          <w:position w:val="0"/>
        </w:rPr>
        <w:t>该义务的金额能够可靠地计量。</w:t>
      </w:r>
    </w:p>
    <w:p>
      <w:pPr>
        <w:pStyle w:val="Style51"/>
        <w:keepNext/>
        <w:keepLines/>
        <w:widowControl w:val="0"/>
        <w:numPr>
          <w:ilvl w:val="0"/>
          <w:numId w:val="59"/>
        </w:numPr>
        <w:shd w:val="clear" w:color="auto" w:fill="auto"/>
        <w:tabs>
          <w:tab w:pos="798" w:val="left"/>
        </w:tabs>
        <w:bidi w:val="0"/>
        <w:spacing w:before="0" w:after="0" w:line="427" w:lineRule="auto"/>
        <w:ind w:left="0" w:right="0" w:firstLine="440"/>
        <w:jc w:val="left"/>
      </w:pPr>
      <w:bookmarkStart w:id="1058" w:name="bookmark1058"/>
      <w:bookmarkStart w:id="1059" w:name="bookmark1059"/>
      <w:bookmarkStart w:id="1060" w:name="bookmark1060"/>
      <w:bookmarkStart w:id="1061" w:name="bookmark1061"/>
      <w:bookmarkEnd w:id="1060"/>
      <w:r>
        <w:rPr>
          <w:color w:val="000000"/>
          <w:spacing w:val="0"/>
          <w:w w:val="100"/>
          <w:position w:val="0"/>
        </w:rPr>
        <w:t>预计负债的计量方法</w:t>
      </w:r>
      <w:bookmarkEnd w:id="1058"/>
      <w:bookmarkEnd w:id="1059"/>
      <w:bookmarkEnd w:id="1061"/>
    </w:p>
    <w:p>
      <w:pPr>
        <w:pStyle w:val="Style16"/>
        <w:keepNext w:val="0"/>
        <w:keepLines w:val="0"/>
        <w:widowControl w:val="0"/>
        <w:shd w:val="clear" w:color="auto" w:fill="auto"/>
        <w:bidi w:val="0"/>
        <w:spacing w:before="0" w:after="0" w:line="408" w:lineRule="exact"/>
        <w:ind w:left="0" w:right="0" w:firstLine="440"/>
        <w:jc w:val="left"/>
      </w:pPr>
      <w:r>
        <w:rPr>
          <w:color w:val="000000"/>
          <w:spacing w:val="0"/>
          <w:w w:val="100"/>
          <w:position w:val="0"/>
        </w:rPr>
        <w:t>本公司预计负债按履行相关现时义务所需的支出的最佳估计数进行初始计量。</w:t>
      </w:r>
    </w:p>
    <w:p>
      <w:pPr>
        <w:pStyle w:val="Style16"/>
        <w:keepNext w:val="0"/>
        <w:keepLines w:val="0"/>
        <w:widowControl w:val="0"/>
        <w:shd w:val="clear" w:color="auto" w:fill="auto"/>
        <w:bidi w:val="0"/>
        <w:spacing w:before="0" w:after="0" w:line="408" w:lineRule="exact"/>
        <w:ind w:left="0" w:right="0" w:firstLine="440"/>
        <w:jc w:val="left"/>
      </w:pPr>
      <w:r>
        <w:rPr>
          <w:color w:val="000000"/>
          <w:spacing w:val="0"/>
          <w:w w:val="100"/>
          <w:position w:val="0"/>
        </w:rPr>
        <w:t>本公司在确定最佳估计数时，综合考虑与或有事项有关的风险、不确定性和货币时间价 值等因素。对于货币时间价值影响重大的，通过对相关未来现金流出进行折现后确定最佳估 计数。</w:t>
      </w:r>
    </w:p>
    <w:p>
      <w:pPr>
        <w:pStyle w:val="Style16"/>
        <w:keepNext w:val="0"/>
        <w:keepLines w:val="0"/>
        <w:widowControl w:val="0"/>
        <w:shd w:val="clear" w:color="auto" w:fill="auto"/>
        <w:bidi w:val="0"/>
        <w:spacing w:before="0" w:after="0" w:line="408" w:lineRule="exact"/>
        <w:ind w:left="0" w:right="0" w:firstLine="440"/>
        <w:jc w:val="left"/>
      </w:pPr>
      <w:r>
        <w:rPr>
          <w:color w:val="000000"/>
          <w:spacing w:val="0"/>
          <w:w w:val="100"/>
          <w:position w:val="0"/>
        </w:rPr>
        <w:t>最佳估计数分别以下情况处理：</w:t>
      </w:r>
    </w:p>
    <w:p>
      <w:pPr>
        <w:pStyle w:val="Style16"/>
        <w:keepNext w:val="0"/>
        <w:keepLines w:val="0"/>
        <w:widowControl w:val="0"/>
        <w:shd w:val="clear" w:color="auto" w:fill="auto"/>
        <w:bidi w:val="0"/>
        <w:spacing w:before="0" w:after="0" w:line="413" w:lineRule="exact"/>
        <w:ind w:left="0" w:right="0" w:firstLine="440"/>
        <w:jc w:val="left"/>
      </w:pPr>
      <w:r>
        <w:rPr>
          <w:color w:val="000000"/>
          <w:spacing w:val="0"/>
          <w:w w:val="100"/>
          <w:position w:val="0"/>
        </w:rPr>
        <w:t>所需支出存在一个连续范围（或区间），且该范围内各种结果发生的可能性相同的，则 最佳估计数按照该范围的中间值即上下限金额的平均数确定。</w:t>
      </w:r>
    </w:p>
    <w:p>
      <w:pPr>
        <w:pStyle w:val="Style16"/>
        <w:keepNext w:val="0"/>
        <w:keepLines w:val="0"/>
        <w:widowControl w:val="0"/>
        <w:shd w:val="clear" w:color="auto" w:fill="auto"/>
        <w:bidi w:val="0"/>
        <w:spacing w:before="0" w:after="0" w:line="408" w:lineRule="exact"/>
        <w:ind w:left="0" w:right="0" w:firstLine="440"/>
        <w:jc w:val="left"/>
      </w:pPr>
      <w:r>
        <w:rPr>
          <w:color w:val="000000"/>
          <w:spacing w:val="0"/>
          <w:w w:val="100"/>
          <w:position w:val="0"/>
        </w:rPr>
        <w:t>所需支出不存在一个连续范围（或区间），或虽然存在一个连续范围但该范围内各种结 果发生的可能性不相同的，如或有事项涉及单个项目的，则最佳估计数按照最可能发生金额 确定；如或有事项涉及多个项目的，则最佳估计数按各种可能结果及相关概率计算确定。</w:t>
      </w:r>
    </w:p>
    <w:p>
      <w:pPr>
        <w:pStyle w:val="Style16"/>
        <w:keepNext w:val="0"/>
        <w:keepLines w:val="0"/>
        <w:widowControl w:val="0"/>
        <w:shd w:val="clear" w:color="auto" w:fill="auto"/>
        <w:bidi w:val="0"/>
        <w:spacing w:before="0" w:after="0" w:line="408" w:lineRule="exact"/>
        <w:ind w:left="0" w:right="0" w:firstLine="440"/>
        <w:jc w:val="left"/>
      </w:pPr>
      <w:r>
        <w:rPr>
          <w:color w:val="000000"/>
          <w:spacing w:val="0"/>
          <w:w w:val="100"/>
          <w:position w:val="0"/>
        </w:rPr>
        <w:t>本公司清偿预计负债所需支出全部或部分预期由第三方补偿的，补偿金额在基本确定能 够收到时，作为资产单独确认，确认的补偿金额不超过预计负债的账面价值。</w:t>
      </w:r>
    </w:p>
    <w:p>
      <w:pPr>
        <w:pStyle w:val="Style37"/>
        <w:keepNext/>
        <w:keepLines/>
        <w:widowControl w:val="0"/>
        <w:shd w:val="clear" w:color="auto" w:fill="auto"/>
        <w:bidi w:val="0"/>
        <w:spacing w:before="0" w:after="0" w:line="408" w:lineRule="exact"/>
        <w:ind w:left="0" w:right="0" w:firstLine="420"/>
        <w:jc w:val="left"/>
      </w:pPr>
      <w:bookmarkStart w:id="1062" w:name="bookmark1062"/>
      <w:bookmarkStart w:id="1063" w:name="bookmark1063"/>
      <w:bookmarkStart w:id="1064" w:name="bookmark1064"/>
      <w:r>
        <w:rPr>
          <w:color w:val="000000"/>
          <w:spacing w:val="0"/>
          <w:w w:val="100"/>
          <w:position w:val="0"/>
        </w:rPr>
        <w:t>（二十五）股份支付</w:t>
      </w:r>
      <w:bookmarkEnd w:id="1062"/>
      <w:bookmarkEnd w:id="1063"/>
      <w:bookmarkEnd w:id="1064"/>
    </w:p>
    <w:p>
      <w:pPr>
        <w:pStyle w:val="Style51"/>
        <w:keepNext/>
        <w:keepLines/>
        <w:widowControl w:val="0"/>
        <w:numPr>
          <w:ilvl w:val="0"/>
          <w:numId w:val="61"/>
        </w:numPr>
        <w:shd w:val="clear" w:color="auto" w:fill="auto"/>
        <w:tabs>
          <w:tab w:pos="756" w:val="left"/>
        </w:tabs>
        <w:bidi w:val="0"/>
        <w:spacing w:before="0" w:after="0" w:line="408" w:lineRule="exact"/>
        <w:ind w:left="0" w:right="0" w:firstLine="420"/>
        <w:jc w:val="left"/>
      </w:pPr>
      <w:bookmarkStart w:id="1065" w:name="bookmark1065"/>
      <w:bookmarkStart w:id="1066" w:name="bookmark1066"/>
      <w:bookmarkStart w:id="1067" w:name="bookmark1067"/>
      <w:bookmarkStart w:id="1068" w:name="bookmark1068"/>
      <w:bookmarkEnd w:id="1067"/>
      <w:r>
        <w:rPr>
          <w:color w:val="000000"/>
          <w:spacing w:val="0"/>
          <w:w w:val="100"/>
          <w:position w:val="0"/>
        </w:rPr>
        <w:t>股份支付的种类</w:t>
      </w:r>
      <w:bookmarkEnd w:id="1065"/>
      <w:bookmarkEnd w:id="1066"/>
      <w:bookmarkEnd w:id="1068"/>
    </w:p>
    <w:p>
      <w:pPr>
        <w:pStyle w:val="Style16"/>
        <w:keepNext w:val="0"/>
        <w:keepLines w:val="0"/>
        <w:widowControl w:val="0"/>
        <w:shd w:val="clear" w:color="auto" w:fill="auto"/>
        <w:bidi w:val="0"/>
        <w:spacing w:before="0" w:after="0" w:line="408" w:lineRule="exact"/>
        <w:ind w:left="0" w:right="0" w:firstLine="420"/>
        <w:jc w:val="left"/>
      </w:pPr>
      <w:r>
        <w:rPr>
          <w:color w:val="000000"/>
          <w:spacing w:val="0"/>
          <w:w w:val="100"/>
          <w:position w:val="0"/>
        </w:rPr>
        <w:t>本公司的股份支付分为以权益结算的股份支付和以现金结算的股份支付。</w:t>
      </w:r>
    </w:p>
    <w:p>
      <w:pPr>
        <w:pStyle w:val="Style51"/>
        <w:keepNext/>
        <w:keepLines/>
        <w:widowControl w:val="0"/>
        <w:numPr>
          <w:ilvl w:val="0"/>
          <w:numId w:val="61"/>
        </w:numPr>
        <w:shd w:val="clear" w:color="auto" w:fill="auto"/>
        <w:tabs>
          <w:tab w:pos="756" w:val="left"/>
        </w:tabs>
        <w:bidi w:val="0"/>
        <w:spacing w:before="0" w:after="0" w:line="408" w:lineRule="exact"/>
        <w:ind w:left="0" w:right="0" w:firstLine="420"/>
        <w:jc w:val="left"/>
      </w:pPr>
      <w:bookmarkStart w:id="1069" w:name="bookmark1069"/>
      <w:bookmarkStart w:id="1070" w:name="bookmark1070"/>
      <w:bookmarkStart w:id="1071" w:name="bookmark1071"/>
      <w:bookmarkStart w:id="1072" w:name="bookmark1072"/>
      <w:bookmarkEnd w:id="1071"/>
      <w:r>
        <w:rPr>
          <w:color w:val="000000"/>
          <w:spacing w:val="0"/>
          <w:w w:val="100"/>
          <w:position w:val="0"/>
        </w:rPr>
        <w:t>以权益结算的股份支付及权益工具</w:t>
      </w:r>
      <w:bookmarkEnd w:id="1069"/>
      <w:bookmarkEnd w:id="1070"/>
      <w:bookmarkEnd w:id="1072"/>
    </w:p>
    <w:p>
      <w:pPr>
        <w:pStyle w:val="Style16"/>
        <w:keepNext w:val="0"/>
        <w:keepLines w:val="0"/>
        <w:widowControl w:val="0"/>
        <w:shd w:val="clear" w:color="auto" w:fill="auto"/>
        <w:bidi w:val="0"/>
        <w:spacing w:before="0" w:after="0" w:line="408" w:lineRule="exact"/>
        <w:ind w:left="0" w:right="0" w:firstLine="440"/>
        <w:jc w:val="both"/>
      </w:pPr>
      <w:r>
        <w:rPr>
          <w:color w:val="000000"/>
          <w:spacing w:val="0"/>
          <w:w w:val="100"/>
          <w:position w:val="0"/>
        </w:rPr>
        <w:t>以权益结算的股份支付换取职工提供服务的，以授予职工权益工具的公允价值计量。本 公司以限制性股票进行股份支付的，职工出资认购股票，股票在达到解锁条件并解锁前不得 上市流通或转让；如果最终股权激励计划规定的解锁条件未能达到，则本公司按照事先约定 的价格回购股票。本公司取得职工认购限制性股票支付的款项时，按照取得的认股款确认股 本和资本公积（股本溢价），同时就回购义务全额确认一项负债并确认库存股。在等待期内 每个资产负债表日，本公司根据最新取得的可行权职工人数变动、是否达到规定业绩条件等 后续信息对可行权权益工具数量作出最佳估计，以此为基础，按照授予日的公允价值，将当 期取得的服务计入相关成本或费用，相应增加资本公积。在可行权日之后不再对已确认的相 关成本或费用和所有者权益总额进行调整。但授予后立即可行权的，在授予日按照公允价值 计入相关成本或费用，相应增加资本公积。</w:t>
      </w:r>
    </w:p>
    <w:p>
      <w:pPr>
        <w:pStyle w:val="Style16"/>
        <w:keepNext w:val="0"/>
        <w:keepLines w:val="0"/>
        <w:widowControl w:val="0"/>
        <w:shd w:val="clear" w:color="auto" w:fill="auto"/>
        <w:bidi w:val="0"/>
        <w:spacing w:before="0" w:after="0" w:line="413" w:lineRule="exact"/>
        <w:ind w:left="0" w:right="0" w:firstLine="440"/>
        <w:jc w:val="both"/>
      </w:pPr>
      <w:r>
        <w:rPr>
          <w:color w:val="000000"/>
          <w:spacing w:val="0"/>
          <w:w w:val="100"/>
          <w:position w:val="0"/>
        </w:rPr>
        <w:t>对于最终未能行权的股份支付，不确认成本或费用，除非行权条件是市场条件或非可行 权条件，此时无论是否满足市场条件或非可行权条件，只要满足所有可行权条件中的非市场 条件，即视为可行权。</w:t>
      </w:r>
    </w:p>
    <w:p>
      <w:pPr>
        <w:pStyle w:val="Style16"/>
        <w:keepNext w:val="0"/>
        <w:keepLines w:val="0"/>
        <w:widowControl w:val="0"/>
        <w:shd w:val="clear" w:color="auto" w:fill="auto"/>
        <w:bidi w:val="0"/>
        <w:spacing w:before="0" w:after="0" w:line="406" w:lineRule="exact"/>
        <w:ind w:left="0" w:right="0" w:firstLine="440"/>
        <w:jc w:val="both"/>
      </w:pPr>
      <w:r>
        <w:rPr>
          <w:color w:val="000000"/>
          <w:spacing w:val="0"/>
          <w:w w:val="100"/>
          <w:position w:val="0"/>
        </w:rPr>
        <w:t>如果修改了以权益结算的股份支付的条款，至少按照未修改条款的情况确认取得的服务。 此外，任何增加所授予权益工具公允价值的修改，或在修改日对职工有利的变更，均确认取 得服务的增加。</w:t>
      </w:r>
    </w:p>
    <w:p>
      <w:pPr>
        <w:pStyle w:val="Style16"/>
        <w:keepNext w:val="0"/>
        <w:keepLines w:val="0"/>
        <w:widowControl w:val="0"/>
        <w:shd w:val="clear" w:color="auto" w:fill="auto"/>
        <w:bidi w:val="0"/>
        <w:spacing w:before="0" w:after="0" w:line="412" w:lineRule="exact"/>
        <w:ind w:left="0" w:right="0" w:firstLine="440"/>
        <w:jc w:val="both"/>
      </w:pPr>
      <w:r>
        <w:rPr>
          <w:color w:val="000000"/>
          <w:spacing w:val="0"/>
          <w:w w:val="100"/>
          <w:position w:val="0"/>
        </w:rPr>
        <w:t>如果取消了以权益结算的股份支付，则于取消日作为加速行权处理，立即确认尚未确认 的金额。职工或其他方能够选择满足非可行权条件但在等待期内未满足的，作为取消以权益 结算的股份支付处理。但是，如果授予新的权益工具，并在新权益工具授予日认定所授予的 新权益工具是用于替代被取消的权益工具的，则以与处理原权益工具条款和条件修改相同的 方式，对所授予的替代权益工具进行处理。</w:t>
      </w:r>
    </w:p>
    <w:p>
      <w:pPr>
        <w:pStyle w:val="Style51"/>
        <w:keepNext/>
        <w:keepLines/>
        <w:widowControl w:val="0"/>
        <w:numPr>
          <w:ilvl w:val="0"/>
          <w:numId w:val="61"/>
        </w:numPr>
        <w:shd w:val="clear" w:color="auto" w:fill="auto"/>
        <w:tabs>
          <w:tab w:pos="756" w:val="left"/>
        </w:tabs>
        <w:bidi w:val="0"/>
        <w:spacing w:before="0" w:after="0" w:line="408" w:lineRule="exact"/>
        <w:ind w:left="0" w:right="0" w:firstLine="440"/>
        <w:jc w:val="both"/>
      </w:pPr>
      <w:bookmarkStart w:id="1073" w:name="bookmark1073"/>
      <w:bookmarkStart w:id="1074" w:name="bookmark1074"/>
      <w:bookmarkStart w:id="1075" w:name="bookmark1075"/>
      <w:bookmarkStart w:id="1076" w:name="bookmark1076"/>
      <w:bookmarkEnd w:id="1075"/>
      <w:r>
        <w:rPr>
          <w:color w:val="000000"/>
          <w:spacing w:val="0"/>
          <w:w w:val="100"/>
          <w:position w:val="0"/>
        </w:rPr>
        <w:t>以现金结算的股份支付及权益工具</w:t>
      </w:r>
      <w:bookmarkEnd w:id="1073"/>
      <w:bookmarkEnd w:id="1074"/>
      <w:bookmarkEnd w:id="1076"/>
    </w:p>
    <w:p>
      <w:pPr>
        <w:pStyle w:val="Style16"/>
        <w:keepNext w:val="0"/>
        <w:keepLines w:val="0"/>
        <w:widowControl w:val="0"/>
        <w:shd w:val="clear" w:color="auto" w:fill="auto"/>
        <w:bidi w:val="0"/>
        <w:spacing w:before="0" w:after="200" w:line="406" w:lineRule="exact"/>
        <w:ind w:left="0" w:right="0" w:firstLine="440"/>
        <w:jc w:val="both"/>
      </w:pPr>
      <w:r>
        <w:rPr>
          <w:color w:val="000000"/>
          <w:spacing w:val="0"/>
          <w:w w:val="100"/>
          <w:position w:val="0"/>
        </w:rPr>
        <w:t xml:space="preserve">以现金结算的股份支付，按照本公司承担的以股份或其他权益工具为基础计算确定的负 债的公允价值计量。授予后立即可行权的，在授予日以承担负债的公允价值计入成本或费用， 相应增加负债；完成等待期内的服务或达到规定业绩条件才可行权的，在等待期内以对可行权 情况的最佳估计为基础，按照承担负债的公允价值，将当期取得的服务计入相关成本或费用，增 加相应负债。在相关负债结算前的每个资产负债表日以及结算日，对负债的公允价值重新计量， </w:t>
      </w:r>
      <w:r>
        <w:rPr>
          <w:color w:val="000000"/>
          <w:spacing w:val="0"/>
          <w:w w:val="100"/>
          <w:position w:val="0"/>
        </w:rPr>
        <w:t>其变动计入当期损益。</w:t>
      </w:r>
    </w:p>
    <w:p>
      <w:pPr>
        <w:pStyle w:val="Style37"/>
        <w:keepNext/>
        <w:keepLines/>
        <w:widowControl w:val="0"/>
        <w:shd w:val="clear" w:color="auto" w:fill="auto"/>
        <w:bidi w:val="0"/>
        <w:spacing w:before="0" w:after="0" w:line="240" w:lineRule="auto"/>
        <w:ind w:left="0" w:right="0" w:firstLine="420"/>
        <w:jc w:val="left"/>
      </w:pPr>
      <w:bookmarkStart w:id="1077" w:name="bookmark1077"/>
      <w:bookmarkStart w:id="1078" w:name="bookmark1078"/>
      <w:bookmarkStart w:id="1079" w:name="bookmark1079"/>
      <w:r>
        <w:rPr>
          <w:color w:val="000000"/>
          <w:spacing w:val="0"/>
          <w:w w:val="100"/>
          <w:position w:val="0"/>
        </w:rPr>
        <w:t>（二十六）收入</w:t>
      </w:r>
      <w:bookmarkEnd w:id="1077"/>
      <w:bookmarkEnd w:id="1078"/>
      <w:bookmarkEnd w:id="1079"/>
    </w:p>
    <w:p>
      <w:pPr>
        <w:pStyle w:val="Style16"/>
        <w:keepNext w:val="0"/>
        <w:keepLines w:val="0"/>
        <w:widowControl w:val="0"/>
        <w:shd w:val="clear" w:color="auto" w:fill="auto"/>
        <w:bidi w:val="0"/>
        <w:spacing w:before="0" w:after="0" w:line="418" w:lineRule="exact"/>
        <w:ind w:left="0" w:right="0" w:firstLine="420"/>
        <w:jc w:val="both"/>
      </w:pPr>
      <w:r>
        <w:rPr>
          <w:b/>
          <w:bCs/>
          <w:color w:val="000000"/>
          <w:spacing w:val="0"/>
          <w:w w:val="100"/>
          <w:position w:val="0"/>
        </w:rPr>
        <w:t>自</w:t>
      </w:r>
      <w:r>
        <w:rPr>
          <w:rFonts w:ascii="Times New Roman" w:eastAsia="Times New Roman" w:hAnsi="Times New Roman" w:cs="Times New Roman"/>
          <w:b/>
          <w:bCs/>
          <w:color w:val="000000"/>
          <w:spacing w:val="0"/>
          <w:w w:val="100"/>
          <w:position w:val="0"/>
        </w:rPr>
        <w:t>2020</w:t>
      </w:r>
      <w:r>
        <w:rPr>
          <w:b/>
          <w:bCs/>
          <w:color w:val="000000"/>
          <w:spacing w:val="0"/>
          <w:w w:val="100"/>
          <w:position w:val="0"/>
        </w:rPr>
        <w:t>年</w:t>
      </w:r>
      <w:r>
        <w:rPr>
          <w:rFonts w:ascii="Times New Roman" w:eastAsia="Times New Roman" w:hAnsi="Times New Roman" w:cs="Times New Roman"/>
          <w:b/>
          <w:bCs/>
          <w:color w:val="000000"/>
          <w:spacing w:val="0"/>
          <w:w w:val="100"/>
          <w:position w:val="0"/>
        </w:rPr>
        <w:t>1</w:t>
      </w:r>
      <w:r>
        <w:rPr>
          <w:b/>
          <w:bCs/>
          <w:color w:val="000000"/>
          <w:spacing w:val="0"/>
          <w:w w:val="100"/>
          <w:position w:val="0"/>
        </w:rPr>
        <w:t>月</w:t>
      </w:r>
      <w:r>
        <w:rPr>
          <w:rFonts w:ascii="Times New Roman" w:eastAsia="Times New Roman" w:hAnsi="Times New Roman" w:cs="Times New Roman"/>
          <w:b/>
          <w:bCs/>
          <w:color w:val="000000"/>
          <w:spacing w:val="0"/>
          <w:w w:val="100"/>
          <w:position w:val="0"/>
        </w:rPr>
        <w:t>1</w:t>
      </w:r>
      <w:r>
        <w:rPr>
          <w:b/>
          <w:bCs/>
          <w:color w:val="000000"/>
          <w:spacing w:val="0"/>
          <w:w w:val="100"/>
          <w:position w:val="0"/>
        </w:rPr>
        <w:t>日起适用的会计政策：</w:t>
      </w:r>
    </w:p>
    <w:p>
      <w:pPr>
        <w:pStyle w:val="Style16"/>
        <w:keepNext w:val="0"/>
        <w:keepLines w:val="0"/>
        <w:widowControl w:val="0"/>
        <w:shd w:val="clear" w:color="auto" w:fill="auto"/>
        <w:bidi w:val="0"/>
        <w:spacing w:before="0" w:after="0" w:line="408" w:lineRule="exact"/>
        <w:ind w:left="0" w:right="0" w:firstLine="420"/>
        <w:jc w:val="both"/>
      </w:pPr>
      <w:r>
        <w:rPr>
          <w:color w:val="000000"/>
          <w:spacing w:val="0"/>
          <w:w w:val="100"/>
          <w:position w:val="0"/>
        </w:rPr>
        <w:t>收入是本公司在日常活动中形成的、会导致股东权益增加且与股东投入资本无关的经济 利益的总流入。</w:t>
      </w:r>
    </w:p>
    <w:p>
      <w:pPr>
        <w:pStyle w:val="Style16"/>
        <w:keepNext w:val="0"/>
        <w:keepLines w:val="0"/>
        <w:widowControl w:val="0"/>
        <w:shd w:val="clear" w:color="auto" w:fill="auto"/>
        <w:bidi w:val="0"/>
        <w:spacing w:before="0" w:after="0" w:line="406" w:lineRule="exact"/>
        <w:ind w:left="0" w:right="0" w:firstLine="420"/>
        <w:jc w:val="both"/>
      </w:pPr>
      <w:r>
        <w:rPr>
          <w:color w:val="000000"/>
          <w:spacing w:val="0"/>
          <w:w w:val="100"/>
          <w:position w:val="0"/>
        </w:rPr>
        <w:t>本公司在履行了合同中的履约义务，即在客户取得相关商品或服务控制权时确认收入。 取得相关商品或服务的控制权，是指能够主导该商品的使用或该服务的提供并从中获得几乎 全部的经济利益。</w:t>
      </w:r>
    </w:p>
    <w:p>
      <w:pPr>
        <w:pStyle w:val="Style16"/>
        <w:keepNext w:val="0"/>
        <w:keepLines w:val="0"/>
        <w:widowControl w:val="0"/>
        <w:shd w:val="clear" w:color="auto" w:fill="auto"/>
        <w:bidi w:val="0"/>
        <w:spacing w:before="0" w:after="0" w:line="451" w:lineRule="exact"/>
        <w:ind w:left="0" w:right="0" w:firstLine="420"/>
        <w:jc w:val="both"/>
      </w:pPr>
      <w:r>
        <w:rPr>
          <w:color w:val="000000"/>
          <w:spacing w:val="0"/>
          <w:w w:val="100"/>
          <w:position w:val="0"/>
        </w:rPr>
        <w:t>企业与客户之间的合同同时满足下列条件时，公司在客户取得相关商品控制权时确认收 入：</w:t>
      </w:r>
    </w:p>
    <w:p>
      <w:pPr>
        <w:pStyle w:val="Style16"/>
        <w:keepNext w:val="0"/>
        <w:keepLines w:val="0"/>
        <w:widowControl w:val="0"/>
        <w:shd w:val="clear" w:color="auto" w:fill="auto"/>
        <w:tabs>
          <w:tab w:pos="898" w:val="left"/>
        </w:tabs>
        <w:bidi w:val="0"/>
        <w:spacing w:before="0" w:after="0" w:line="451" w:lineRule="exact"/>
        <w:ind w:left="0" w:right="0" w:firstLine="420"/>
        <w:jc w:val="both"/>
      </w:pPr>
      <w:bookmarkStart w:id="1080" w:name="bookmark1080"/>
      <w:r>
        <w:rPr>
          <w:color w:val="000000"/>
          <w:spacing w:val="0"/>
          <w:w w:val="100"/>
          <w:position w:val="0"/>
        </w:rPr>
        <w:t>（</w:t>
      </w:r>
      <w:bookmarkEnd w:id="1080"/>
      <w:r>
        <w:rPr>
          <w:rFonts w:ascii="Times New Roman" w:eastAsia="Times New Roman" w:hAnsi="Times New Roman" w:cs="Times New Roman"/>
          <w:color w:val="000000"/>
          <w:spacing w:val="0"/>
          <w:w w:val="100"/>
          <w:position w:val="0"/>
        </w:rPr>
        <w:t>1</w:t>
      </w:r>
      <w:r>
        <w:rPr>
          <w:color w:val="000000"/>
          <w:spacing w:val="0"/>
          <w:w w:val="100"/>
          <w:position w:val="0"/>
        </w:rPr>
        <w:t>）</w:t>
        <w:tab/>
        <w:t>合同各方已批准合同并承诺将履行各自义务；</w:t>
      </w:r>
    </w:p>
    <w:p>
      <w:pPr>
        <w:pStyle w:val="Style16"/>
        <w:keepNext w:val="0"/>
        <w:keepLines w:val="0"/>
        <w:widowControl w:val="0"/>
        <w:shd w:val="clear" w:color="auto" w:fill="auto"/>
        <w:tabs>
          <w:tab w:pos="898" w:val="left"/>
        </w:tabs>
        <w:bidi w:val="0"/>
        <w:spacing w:before="0" w:after="0" w:line="451" w:lineRule="exact"/>
        <w:ind w:left="0" w:right="0" w:firstLine="420"/>
        <w:jc w:val="both"/>
      </w:pPr>
      <w:bookmarkStart w:id="1081" w:name="bookmark1081"/>
      <w:r>
        <w:rPr>
          <w:color w:val="000000"/>
          <w:spacing w:val="0"/>
          <w:w w:val="100"/>
          <w:position w:val="0"/>
        </w:rPr>
        <w:t>（</w:t>
      </w:r>
      <w:bookmarkEnd w:id="1081"/>
      <w:r>
        <w:rPr>
          <w:rFonts w:ascii="Times New Roman" w:eastAsia="Times New Roman" w:hAnsi="Times New Roman" w:cs="Times New Roman"/>
          <w:color w:val="000000"/>
          <w:spacing w:val="0"/>
          <w:w w:val="100"/>
          <w:position w:val="0"/>
        </w:rPr>
        <w:t>2</w:t>
      </w:r>
      <w:r>
        <w:rPr>
          <w:color w:val="000000"/>
          <w:spacing w:val="0"/>
          <w:w w:val="100"/>
          <w:position w:val="0"/>
        </w:rPr>
        <w:t>）</w:t>
        <w:tab/>
        <w:t>该合同明确了合同各方与所转让商品或提供劳务相关的权力和义务；</w:t>
      </w:r>
    </w:p>
    <w:p>
      <w:pPr>
        <w:pStyle w:val="Style16"/>
        <w:keepNext w:val="0"/>
        <w:keepLines w:val="0"/>
        <w:widowControl w:val="0"/>
        <w:shd w:val="clear" w:color="auto" w:fill="auto"/>
        <w:tabs>
          <w:tab w:pos="898" w:val="left"/>
        </w:tabs>
        <w:bidi w:val="0"/>
        <w:spacing w:before="0" w:after="0" w:line="451" w:lineRule="exact"/>
        <w:ind w:left="0" w:right="0" w:firstLine="420"/>
        <w:jc w:val="both"/>
      </w:pPr>
      <w:bookmarkStart w:id="1082" w:name="bookmark1082"/>
      <w:r>
        <w:rPr>
          <w:color w:val="000000"/>
          <w:spacing w:val="0"/>
          <w:w w:val="100"/>
          <w:position w:val="0"/>
        </w:rPr>
        <w:t>（</w:t>
      </w:r>
      <w:bookmarkEnd w:id="1082"/>
      <w:r>
        <w:rPr>
          <w:rFonts w:ascii="Times New Roman" w:eastAsia="Times New Roman" w:hAnsi="Times New Roman" w:cs="Times New Roman"/>
          <w:color w:val="000000"/>
          <w:spacing w:val="0"/>
          <w:w w:val="100"/>
          <w:position w:val="0"/>
        </w:rPr>
        <w:t>3</w:t>
      </w:r>
      <w:r>
        <w:rPr>
          <w:color w:val="000000"/>
          <w:spacing w:val="0"/>
          <w:w w:val="100"/>
          <w:position w:val="0"/>
        </w:rPr>
        <w:t>）</w:t>
        <w:tab/>
        <w:t>该合同有明确的与转让商品或提供劳务相关的支付条款；</w:t>
      </w:r>
    </w:p>
    <w:p>
      <w:pPr>
        <w:pStyle w:val="Style16"/>
        <w:keepNext w:val="0"/>
        <w:keepLines w:val="0"/>
        <w:widowControl w:val="0"/>
        <w:shd w:val="clear" w:color="auto" w:fill="auto"/>
        <w:bidi w:val="0"/>
        <w:spacing w:before="0" w:after="0" w:line="422" w:lineRule="exact"/>
        <w:ind w:left="0" w:right="0" w:firstLine="420"/>
        <w:jc w:val="both"/>
      </w:pPr>
      <w:bookmarkStart w:id="1083" w:name="bookmark1083"/>
      <w:r>
        <w:rPr>
          <w:color w:val="000000"/>
          <w:spacing w:val="0"/>
          <w:w w:val="100"/>
          <w:position w:val="0"/>
        </w:rPr>
        <w:t>（</w:t>
      </w:r>
      <w:bookmarkEnd w:id="1083"/>
      <w:r>
        <w:rPr>
          <w:rFonts w:ascii="Times New Roman" w:eastAsia="Times New Roman" w:hAnsi="Times New Roman" w:cs="Times New Roman"/>
          <w:color w:val="000000"/>
          <w:spacing w:val="0"/>
          <w:w w:val="100"/>
          <w:position w:val="0"/>
        </w:rPr>
        <w:t>4</w:t>
      </w:r>
      <w:r>
        <w:rPr>
          <w:color w:val="000000"/>
          <w:spacing w:val="0"/>
          <w:w w:val="100"/>
          <w:position w:val="0"/>
        </w:rPr>
        <w:t>） 该合同具有商业实质，即履行该合同将改变企业未来现金流量的风险、时间分布或 金额；</w:t>
      </w:r>
    </w:p>
    <w:p>
      <w:pPr>
        <w:pStyle w:val="Style16"/>
        <w:keepNext w:val="0"/>
        <w:keepLines w:val="0"/>
        <w:widowControl w:val="0"/>
        <w:shd w:val="clear" w:color="auto" w:fill="auto"/>
        <w:tabs>
          <w:tab w:pos="898" w:val="left"/>
        </w:tabs>
        <w:bidi w:val="0"/>
        <w:spacing w:before="0" w:after="0" w:line="422" w:lineRule="exact"/>
        <w:ind w:left="0" w:right="0" w:firstLine="420"/>
        <w:jc w:val="both"/>
      </w:pPr>
      <w:bookmarkStart w:id="1084" w:name="bookmark1084"/>
      <w:r>
        <w:rPr>
          <w:color w:val="000000"/>
          <w:spacing w:val="0"/>
          <w:w w:val="100"/>
          <w:position w:val="0"/>
        </w:rPr>
        <w:t>（</w:t>
      </w:r>
      <w:bookmarkEnd w:id="1084"/>
      <w:r>
        <w:rPr>
          <w:rFonts w:ascii="Times New Roman" w:eastAsia="Times New Roman" w:hAnsi="Times New Roman" w:cs="Times New Roman"/>
          <w:color w:val="000000"/>
          <w:spacing w:val="0"/>
          <w:w w:val="100"/>
          <w:position w:val="0"/>
        </w:rPr>
        <w:t>5</w:t>
      </w:r>
      <w:r>
        <w:rPr>
          <w:color w:val="000000"/>
          <w:spacing w:val="0"/>
          <w:w w:val="100"/>
          <w:position w:val="0"/>
        </w:rPr>
        <w:t>）</w:t>
        <w:tab/>
        <w:t>本公司因向客户转让商品或提供劳务而有权取得的对价很可能收回。</w:t>
      </w:r>
    </w:p>
    <w:p>
      <w:pPr>
        <w:pStyle w:val="Style16"/>
        <w:keepNext w:val="0"/>
        <w:keepLines w:val="0"/>
        <w:widowControl w:val="0"/>
        <w:shd w:val="clear" w:color="auto" w:fill="auto"/>
        <w:bidi w:val="0"/>
        <w:spacing w:before="0" w:after="0" w:line="406" w:lineRule="exact"/>
        <w:ind w:left="0" w:right="0" w:firstLine="420"/>
        <w:jc w:val="both"/>
      </w:pPr>
      <w:r>
        <w:rPr>
          <w:color w:val="000000"/>
          <w:spacing w:val="0"/>
          <w:w w:val="100"/>
          <w:position w:val="0"/>
        </w:rPr>
        <w:t>对于不符合上述条件的，只有在不再负有向客户转让商品或提供劳务的剩余义务，且已 向客户收取的对价无需退回时，才能将以收取的对价确认为收入；否则，应将已收取的对价 作为负债处理。没有商业实质的非货币性资产交换，不确认收入。</w:t>
      </w:r>
    </w:p>
    <w:p>
      <w:pPr>
        <w:pStyle w:val="Style16"/>
        <w:keepNext w:val="0"/>
        <w:keepLines w:val="0"/>
        <w:widowControl w:val="0"/>
        <w:shd w:val="clear" w:color="auto" w:fill="auto"/>
        <w:bidi w:val="0"/>
        <w:spacing w:before="0" w:after="0" w:line="418" w:lineRule="exact"/>
        <w:ind w:left="0" w:right="0" w:firstLine="420"/>
        <w:jc w:val="both"/>
      </w:pPr>
      <w:r>
        <w:rPr>
          <w:color w:val="000000"/>
          <w:spacing w:val="0"/>
          <w:w w:val="100"/>
          <w:position w:val="0"/>
        </w:rPr>
        <w:t>满足下列条件之一的，本公司按照履约进度，在一段时间内确认收入：</w:t>
      </w:r>
    </w:p>
    <w:p>
      <w:pPr>
        <w:pStyle w:val="Style16"/>
        <w:keepNext w:val="0"/>
        <w:keepLines w:val="0"/>
        <w:widowControl w:val="0"/>
        <w:shd w:val="clear" w:color="auto" w:fill="auto"/>
        <w:tabs>
          <w:tab w:pos="898" w:val="left"/>
        </w:tabs>
        <w:bidi w:val="0"/>
        <w:spacing w:before="0" w:after="0" w:line="418" w:lineRule="exact"/>
        <w:ind w:left="0" w:right="0" w:firstLine="420"/>
        <w:jc w:val="both"/>
      </w:pPr>
      <w:bookmarkStart w:id="1085" w:name="bookmark1085"/>
      <w:r>
        <w:rPr>
          <w:color w:val="000000"/>
          <w:spacing w:val="0"/>
          <w:w w:val="100"/>
          <w:position w:val="0"/>
        </w:rPr>
        <w:t>（</w:t>
      </w:r>
      <w:bookmarkEnd w:id="1085"/>
      <w:r>
        <w:rPr>
          <w:rFonts w:ascii="Times New Roman" w:eastAsia="Times New Roman" w:hAnsi="Times New Roman" w:cs="Times New Roman"/>
          <w:color w:val="000000"/>
          <w:spacing w:val="0"/>
          <w:w w:val="100"/>
          <w:position w:val="0"/>
        </w:rPr>
        <w:t>1</w:t>
      </w:r>
      <w:r>
        <w:rPr>
          <w:color w:val="000000"/>
          <w:spacing w:val="0"/>
          <w:w w:val="100"/>
          <w:position w:val="0"/>
        </w:rPr>
        <w:t>）</w:t>
        <w:tab/>
        <w:t>客户在企业履约的同时即取得并消耗企业履约所带来的经济利益。</w:t>
      </w:r>
    </w:p>
    <w:p>
      <w:pPr>
        <w:pStyle w:val="Style16"/>
        <w:keepNext w:val="0"/>
        <w:keepLines w:val="0"/>
        <w:widowControl w:val="0"/>
        <w:shd w:val="clear" w:color="auto" w:fill="auto"/>
        <w:tabs>
          <w:tab w:pos="898" w:val="left"/>
        </w:tabs>
        <w:bidi w:val="0"/>
        <w:spacing w:before="0" w:after="0" w:line="418" w:lineRule="exact"/>
        <w:ind w:left="0" w:right="0" w:firstLine="420"/>
        <w:jc w:val="both"/>
      </w:pPr>
      <w:bookmarkStart w:id="1086" w:name="bookmark1086"/>
      <w:r>
        <w:rPr>
          <w:color w:val="000000"/>
          <w:spacing w:val="0"/>
          <w:w w:val="100"/>
          <w:position w:val="0"/>
        </w:rPr>
        <w:t>（</w:t>
      </w:r>
      <w:bookmarkEnd w:id="1086"/>
      <w:r>
        <w:rPr>
          <w:rFonts w:ascii="Times New Roman" w:eastAsia="Times New Roman" w:hAnsi="Times New Roman" w:cs="Times New Roman"/>
          <w:color w:val="000000"/>
          <w:spacing w:val="0"/>
          <w:w w:val="100"/>
          <w:position w:val="0"/>
        </w:rPr>
        <w:t>2</w:t>
      </w:r>
      <w:r>
        <w:rPr>
          <w:color w:val="000000"/>
          <w:spacing w:val="0"/>
          <w:w w:val="100"/>
          <w:position w:val="0"/>
        </w:rPr>
        <w:t>）</w:t>
        <w:tab/>
        <w:t>客户能够控制企业履约过程中在建的商品。</w:t>
      </w:r>
    </w:p>
    <w:p>
      <w:pPr>
        <w:pStyle w:val="Style16"/>
        <w:keepNext w:val="0"/>
        <w:keepLines w:val="0"/>
        <w:widowControl w:val="0"/>
        <w:shd w:val="clear" w:color="auto" w:fill="auto"/>
        <w:tabs>
          <w:tab w:pos="1002" w:val="left"/>
        </w:tabs>
        <w:bidi w:val="0"/>
        <w:spacing w:before="0" w:after="0" w:line="422" w:lineRule="exact"/>
        <w:ind w:left="0" w:right="0" w:firstLine="420"/>
        <w:jc w:val="both"/>
      </w:pPr>
      <w:bookmarkStart w:id="1087" w:name="bookmark1087"/>
      <w:r>
        <w:rPr>
          <w:color w:val="000000"/>
          <w:spacing w:val="0"/>
          <w:w w:val="100"/>
          <w:position w:val="0"/>
        </w:rPr>
        <w:t>（</w:t>
      </w:r>
      <w:bookmarkEnd w:id="1087"/>
      <w:r>
        <w:rPr>
          <w:rFonts w:ascii="Times New Roman" w:eastAsia="Times New Roman" w:hAnsi="Times New Roman" w:cs="Times New Roman"/>
          <w:color w:val="000000"/>
          <w:spacing w:val="0"/>
          <w:w w:val="100"/>
          <w:position w:val="0"/>
        </w:rPr>
        <w:t>3</w:t>
      </w:r>
      <w:r>
        <w:rPr>
          <w:color w:val="000000"/>
          <w:spacing w:val="0"/>
          <w:w w:val="100"/>
          <w:position w:val="0"/>
        </w:rPr>
        <w:t>）</w:t>
        <w:tab/>
        <w:t>企业履约过程中所产出的商品具有不可替代用途，且该企业在整个合同期间内有权 就累计至今已完成的履约部分收取款项。</w:t>
      </w:r>
    </w:p>
    <w:p>
      <w:pPr>
        <w:pStyle w:val="Style16"/>
        <w:keepNext w:val="0"/>
        <w:keepLines w:val="0"/>
        <w:widowControl w:val="0"/>
        <w:shd w:val="clear" w:color="auto" w:fill="auto"/>
        <w:bidi w:val="0"/>
        <w:spacing w:before="0" w:after="0" w:line="422" w:lineRule="exact"/>
        <w:ind w:left="0" w:right="0" w:firstLine="420"/>
        <w:jc w:val="both"/>
      </w:pPr>
      <w:r>
        <w:rPr>
          <w:color w:val="000000"/>
          <w:spacing w:val="0"/>
          <w:w w:val="100"/>
          <w:position w:val="0"/>
        </w:rPr>
        <w:t>否则，本公司在客户取得相关商品或服务控制权的时点确认收入。</w:t>
      </w:r>
    </w:p>
    <w:p>
      <w:pPr>
        <w:pStyle w:val="Style16"/>
        <w:keepNext w:val="0"/>
        <w:keepLines w:val="0"/>
        <w:widowControl w:val="0"/>
        <w:shd w:val="clear" w:color="auto" w:fill="auto"/>
        <w:bidi w:val="0"/>
        <w:spacing w:before="0" w:after="0" w:line="422" w:lineRule="exact"/>
        <w:ind w:left="0" w:right="0" w:firstLine="420"/>
        <w:jc w:val="both"/>
      </w:pPr>
      <w:r>
        <w:rPr>
          <w:color w:val="000000"/>
          <w:spacing w:val="0"/>
          <w:w w:val="100"/>
          <w:position w:val="0"/>
        </w:rPr>
        <w:t>对于在某一时点履行的履约义务，在判断客户是否已取得商品或服务控制权时，本公司 会考虑下列迹象：</w:t>
      </w:r>
    </w:p>
    <w:p>
      <w:pPr>
        <w:pStyle w:val="Style16"/>
        <w:keepNext w:val="0"/>
        <w:keepLines w:val="0"/>
        <w:widowControl w:val="0"/>
        <w:shd w:val="clear" w:color="auto" w:fill="auto"/>
        <w:tabs>
          <w:tab w:pos="1002" w:val="left"/>
        </w:tabs>
        <w:bidi w:val="0"/>
        <w:spacing w:before="0" w:after="0" w:line="413" w:lineRule="exact"/>
        <w:ind w:left="0" w:right="0" w:firstLine="420"/>
        <w:jc w:val="both"/>
      </w:pPr>
      <w:bookmarkStart w:id="1088" w:name="bookmark1088"/>
      <w:r>
        <w:rPr>
          <w:color w:val="000000"/>
          <w:spacing w:val="0"/>
          <w:w w:val="100"/>
          <w:position w:val="0"/>
        </w:rPr>
        <w:t>（</w:t>
      </w:r>
      <w:bookmarkEnd w:id="1088"/>
      <w:r>
        <w:rPr>
          <w:rFonts w:ascii="Times New Roman" w:eastAsia="Times New Roman" w:hAnsi="Times New Roman" w:cs="Times New Roman"/>
          <w:color w:val="000000"/>
          <w:spacing w:val="0"/>
          <w:w w:val="100"/>
          <w:position w:val="0"/>
        </w:rPr>
        <w:t>1</w:t>
      </w:r>
      <w:r>
        <w:rPr>
          <w:color w:val="000000"/>
          <w:spacing w:val="0"/>
          <w:w w:val="100"/>
          <w:position w:val="0"/>
        </w:rPr>
        <w:t>）</w:t>
        <w:tab/>
        <w:t>本公司就该商品或服务事项享有现时收款权利，即客户就该商品或服务负有现时付 款义务；</w:t>
      </w:r>
    </w:p>
    <w:p>
      <w:pPr>
        <w:pStyle w:val="Style16"/>
        <w:keepNext w:val="0"/>
        <w:keepLines w:val="0"/>
        <w:widowControl w:val="0"/>
        <w:shd w:val="clear" w:color="auto" w:fill="auto"/>
        <w:tabs>
          <w:tab w:pos="898" w:val="left"/>
        </w:tabs>
        <w:bidi w:val="0"/>
        <w:spacing w:before="0" w:after="0" w:line="413" w:lineRule="exact"/>
        <w:ind w:left="0" w:right="0" w:firstLine="420"/>
        <w:jc w:val="both"/>
      </w:pPr>
      <w:bookmarkStart w:id="1089" w:name="bookmark1089"/>
      <w:r>
        <w:rPr>
          <w:color w:val="000000"/>
          <w:spacing w:val="0"/>
          <w:w w:val="100"/>
          <w:position w:val="0"/>
        </w:rPr>
        <w:t>（</w:t>
      </w:r>
      <w:bookmarkEnd w:id="1089"/>
      <w:r>
        <w:rPr>
          <w:rFonts w:ascii="Times New Roman" w:eastAsia="Times New Roman" w:hAnsi="Times New Roman" w:cs="Times New Roman"/>
          <w:color w:val="000000"/>
          <w:spacing w:val="0"/>
          <w:w w:val="100"/>
          <w:position w:val="0"/>
        </w:rPr>
        <w:t>2</w:t>
      </w:r>
      <w:r>
        <w:rPr>
          <w:color w:val="000000"/>
          <w:spacing w:val="0"/>
          <w:w w:val="100"/>
          <w:position w:val="0"/>
        </w:rPr>
        <w:t>）</w:t>
        <w:tab/>
        <w:t>本公司已将该商品实物转移给客户，即客户已实际占有该商品；</w:t>
      </w:r>
    </w:p>
    <w:p>
      <w:pPr>
        <w:pStyle w:val="Style16"/>
        <w:keepNext w:val="0"/>
        <w:keepLines w:val="0"/>
        <w:widowControl w:val="0"/>
        <w:shd w:val="clear" w:color="auto" w:fill="auto"/>
        <w:bidi w:val="0"/>
        <w:spacing w:before="0" w:after="0" w:line="418" w:lineRule="exact"/>
        <w:ind w:left="0" w:right="0" w:firstLine="420"/>
        <w:jc w:val="both"/>
      </w:pPr>
      <w:bookmarkStart w:id="1090" w:name="bookmark1090"/>
      <w:r>
        <w:rPr>
          <w:color w:val="000000"/>
          <w:spacing w:val="0"/>
          <w:w w:val="100"/>
          <w:position w:val="0"/>
        </w:rPr>
        <w:t>（</w:t>
      </w:r>
      <w:bookmarkEnd w:id="1090"/>
      <w:r>
        <w:rPr>
          <w:rFonts w:ascii="Times New Roman" w:eastAsia="Times New Roman" w:hAnsi="Times New Roman" w:cs="Times New Roman"/>
          <w:color w:val="000000"/>
          <w:spacing w:val="0"/>
          <w:w w:val="100"/>
          <w:position w:val="0"/>
        </w:rPr>
        <w:t>3</w:t>
      </w:r>
      <w:r>
        <w:rPr>
          <w:color w:val="000000"/>
          <w:spacing w:val="0"/>
          <w:w w:val="100"/>
          <w:position w:val="0"/>
        </w:rPr>
        <w:t>） 本公司已按合同条款提供全部或阶段性服务，客户已接受该服务；</w:t>
      </w:r>
    </w:p>
    <w:p>
      <w:pPr>
        <w:pStyle w:val="Style16"/>
        <w:keepNext w:val="0"/>
        <w:keepLines w:val="0"/>
        <w:widowControl w:val="0"/>
        <w:shd w:val="clear" w:color="auto" w:fill="auto"/>
        <w:tabs>
          <w:tab w:pos="898" w:val="left"/>
        </w:tabs>
        <w:bidi w:val="0"/>
        <w:spacing w:before="0" w:after="0" w:line="418" w:lineRule="exact"/>
        <w:ind w:left="0" w:right="0" w:firstLine="420"/>
        <w:jc w:val="both"/>
      </w:pPr>
      <w:bookmarkStart w:id="1091" w:name="bookmark1091"/>
      <w:r>
        <w:rPr>
          <w:color w:val="000000"/>
          <w:spacing w:val="0"/>
          <w:w w:val="100"/>
          <w:position w:val="0"/>
        </w:rPr>
        <w:t>（</w:t>
      </w:r>
      <w:bookmarkEnd w:id="1091"/>
      <w:r>
        <w:rPr>
          <w:rFonts w:ascii="Times New Roman" w:eastAsia="Times New Roman" w:hAnsi="Times New Roman" w:cs="Times New Roman"/>
          <w:color w:val="000000"/>
          <w:spacing w:val="0"/>
          <w:w w:val="100"/>
          <w:position w:val="0"/>
        </w:rPr>
        <w:t>4</w:t>
      </w:r>
      <w:r>
        <w:rPr>
          <w:color w:val="000000"/>
          <w:spacing w:val="0"/>
          <w:w w:val="100"/>
          <w:position w:val="0"/>
        </w:rPr>
        <w:t>）</w:t>
        <w:tab/>
        <w:t>其他表明客户已取得商品控制权已实质获得服务的迹象。</w:t>
      </w:r>
    </w:p>
    <w:p>
      <w:pPr>
        <w:pStyle w:val="Style16"/>
        <w:keepNext w:val="0"/>
        <w:keepLines w:val="0"/>
        <w:widowControl w:val="0"/>
        <w:shd w:val="clear" w:color="auto" w:fill="auto"/>
        <w:bidi w:val="0"/>
        <w:spacing w:before="0" w:after="220" w:line="408" w:lineRule="exact"/>
        <w:ind w:left="0" w:right="0" w:firstLine="420"/>
        <w:jc w:val="both"/>
      </w:pPr>
      <w:r>
        <w:rPr>
          <w:color w:val="000000"/>
          <w:spacing w:val="0"/>
          <w:w w:val="100"/>
          <w:position w:val="0"/>
        </w:rPr>
        <w:t xml:space="preserve">本公司已经取得无条件收款权的部分，确认为应收账款，其余部分确认为合同资产，并 对应收账款和合同资产以预期信用损失为基础确认损失准备；如果本公司已收或应收的合同 </w:t>
      </w:r>
      <w:r>
        <w:rPr>
          <w:color w:val="000000"/>
          <w:spacing w:val="0"/>
          <w:w w:val="100"/>
          <w:position w:val="0"/>
        </w:rPr>
        <w:t>价款超过已完成的劳务，则将超过部分确认为合同负债。</w:t>
      </w:r>
    </w:p>
    <w:p>
      <w:pPr>
        <w:pStyle w:val="Style16"/>
        <w:keepNext w:val="0"/>
        <w:keepLines w:val="0"/>
        <w:widowControl w:val="0"/>
        <w:shd w:val="clear" w:color="auto" w:fill="auto"/>
        <w:bidi w:val="0"/>
        <w:spacing w:before="0" w:after="120" w:line="430" w:lineRule="auto"/>
        <w:ind w:left="0" w:right="0" w:firstLine="360"/>
        <w:jc w:val="both"/>
      </w:pPr>
      <w:r>
        <w:rPr>
          <w:rFonts w:ascii="Times New Roman" w:eastAsia="Times New Roman" w:hAnsi="Times New Roman" w:cs="Times New Roman"/>
          <w:b/>
          <w:bCs/>
          <w:color w:val="000000"/>
          <w:spacing w:val="0"/>
          <w:w w:val="100"/>
          <w:position w:val="0"/>
        </w:rPr>
        <w:t>2020</w:t>
      </w:r>
      <w:r>
        <w:rPr>
          <w:b/>
          <w:bCs/>
          <w:color w:val="000000"/>
          <w:spacing w:val="0"/>
          <w:w w:val="100"/>
          <w:position w:val="0"/>
        </w:rPr>
        <w:t>年</w:t>
      </w:r>
      <w:r>
        <w:rPr>
          <w:rFonts w:ascii="Times New Roman" w:eastAsia="Times New Roman" w:hAnsi="Times New Roman" w:cs="Times New Roman"/>
          <w:b/>
          <w:bCs/>
          <w:color w:val="000000"/>
          <w:spacing w:val="0"/>
          <w:w w:val="100"/>
          <w:position w:val="0"/>
        </w:rPr>
        <w:t>1</w:t>
      </w:r>
      <w:r>
        <w:rPr>
          <w:b/>
          <w:bCs/>
          <w:color w:val="000000"/>
          <w:spacing w:val="0"/>
          <w:w w:val="100"/>
          <w:position w:val="0"/>
        </w:rPr>
        <w:t>月</w:t>
      </w:r>
      <w:r>
        <w:rPr>
          <w:rFonts w:ascii="Times New Roman" w:eastAsia="Times New Roman" w:hAnsi="Times New Roman" w:cs="Times New Roman"/>
          <w:b/>
          <w:bCs/>
          <w:color w:val="000000"/>
          <w:spacing w:val="0"/>
          <w:w w:val="100"/>
          <w:position w:val="0"/>
        </w:rPr>
        <w:t>1</w:t>
      </w:r>
      <w:r>
        <w:rPr>
          <w:b/>
          <w:bCs/>
          <w:color w:val="000000"/>
          <w:spacing w:val="0"/>
          <w:w w:val="100"/>
          <w:position w:val="0"/>
        </w:rPr>
        <w:t>日前适用的会计政策：</w:t>
      </w:r>
    </w:p>
    <w:p>
      <w:pPr>
        <w:pStyle w:val="Style51"/>
        <w:keepNext/>
        <w:keepLines/>
        <w:widowControl w:val="0"/>
        <w:numPr>
          <w:ilvl w:val="0"/>
          <w:numId w:val="63"/>
        </w:numPr>
        <w:shd w:val="clear" w:color="auto" w:fill="auto"/>
        <w:tabs>
          <w:tab w:pos="694" w:val="left"/>
        </w:tabs>
        <w:bidi w:val="0"/>
        <w:spacing w:before="0" w:after="0" w:line="442" w:lineRule="auto"/>
        <w:ind w:left="0" w:right="0" w:firstLine="360"/>
        <w:jc w:val="both"/>
      </w:pPr>
      <w:bookmarkStart w:id="1092" w:name="bookmark1092"/>
      <w:bookmarkStart w:id="1093" w:name="bookmark1093"/>
      <w:bookmarkStart w:id="1094" w:name="bookmark1094"/>
      <w:bookmarkStart w:id="1095" w:name="bookmark1095"/>
      <w:bookmarkEnd w:id="1094"/>
      <w:r>
        <w:rPr>
          <w:color w:val="000000"/>
          <w:spacing w:val="0"/>
          <w:w w:val="100"/>
          <w:position w:val="0"/>
        </w:rPr>
        <w:t>销售商品收入确认的一般原则：</w:t>
      </w:r>
      <w:bookmarkEnd w:id="1092"/>
      <w:bookmarkEnd w:id="1093"/>
      <w:bookmarkEnd w:id="1095"/>
    </w:p>
    <w:p>
      <w:pPr>
        <w:pStyle w:val="Style16"/>
        <w:keepNext w:val="0"/>
        <w:keepLines w:val="0"/>
        <w:widowControl w:val="0"/>
        <w:shd w:val="clear" w:color="auto" w:fill="auto"/>
        <w:tabs>
          <w:tab w:pos="838" w:val="left"/>
        </w:tabs>
        <w:bidi w:val="0"/>
        <w:spacing w:before="0" w:after="0" w:line="422" w:lineRule="exact"/>
        <w:ind w:left="0" w:right="0" w:firstLine="360"/>
        <w:jc w:val="both"/>
      </w:pPr>
      <w:bookmarkStart w:id="1096" w:name="bookmark1096"/>
      <w:r>
        <w:rPr>
          <w:color w:val="000000"/>
          <w:spacing w:val="0"/>
          <w:w w:val="100"/>
          <w:position w:val="0"/>
        </w:rPr>
        <w:t>（</w:t>
      </w:r>
      <w:bookmarkEnd w:id="1096"/>
      <w:r>
        <w:rPr>
          <w:rFonts w:ascii="Times New Roman" w:eastAsia="Times New Roman" w:hAnsi="Times New Roman" w:cs="Times New Roman"/>
          <w:color w:val="000000"/>
          <w:spacing w:val="0"/>
          <w:w w:val="100"/>
          <w:position w:val="0"/>
        </w:rPr>
        <w:t>1</w:t>
      </w:r>
      <w:r>
        <w:rPr>
          <w:color w:val="000000"/>
          <w:spacing w:val="0"/>
          <w:w w:val="100"/>
          <w:position w:val="0"/>
        </w:rPr>
        <w:t>）</w:t>
        <w:tab/>
        <w:t>本公司已将商品所有权上的主要风险和报酬转移给购货方；</w:t>
      </w:r>
    </w:p>
    <w:p>
      <w:pPr>
        <w:pStyle w:val="Style16"/>
        <w:keepNext w:val="0"/>
        <w:keepLines w:val="0"/>
        <w:widowControl w:val="0"/>
        <w:shd w:val="clear" w:color="auto" w:fill="auto"/>
        <w:tabs>
          <w:tab w:pos="949" w:val="left"/>
        </w:tabs>
        <w:bidi w:val="0"/>
        <w:spacing w:before="0" w:after="0" w:line="422" w:lineRule="exact"/>
        <w:ind w:left="360" w:right="0" w:firstLine="40"/>
        <w:jc w:val="both"/>
      </w:pPr>
      <w:bookmarkStart w:id="1097" w:name="bookmark1097"/>
      <w:r>
        <w:rPr>
          <w:color w:val="000000"/>
          <w:spacing w:val="0"/>
          <w:w w:val="100"/>
          <w:position w:val="0"/>
        </w:rPr>
        <w:t>（</w:t>
      </w:r>
      <w:bookmarkEnd w:id="1097"/>
      <w:r>
        <w:rPr>
          <w:rFonts w:ascii="Times New Roman" w:eastAsia="Times New Roman" w:hAnsi="Times New Roman" w:cs="Times New Roman"/>
          <w:color w:val="000000"/>
          <w:spacing w:val="0"/>
          <w:w w:val="100"/>
          <w:position w:val="0"/>
        </w:rPr>
        <w:t>2</w:t>
      </w:r>
      <w:r>
        <w:rPr>
          <w:color w:val="000000"/>
          <w:spacing w:val="0"/>
          <w:w w:val="100"/>
          <w:position w:val="0"/>
        </w:rPr>
        <w:t>）</w:t>
        <w:tab/>
        <w:t>本公司既没有保留通常与所有权相联系的继续管理权，也没有对已售出的商品实施 有效控制；</w:t>
      </w:r>
    </w:p>
    <w:p>
      <w:pPr>
        <w:pStyle w:val="Style16"/>
        <w:keepNext w:val="0"/>
        <w:keepLines w:val="0"/>
        <w:widowControl w:val="0"/>
        <w:shd w:val="clear" w:color="auto" w:fill="auto"/>
        <w:tabs>
          <w:tab w:pos="878" w:val="left"/>
        </w:tabs>
        <w:bidi w:val="0"/>
        <w:spacing w:before="0" w:after="0" w:line="422" w:lineRule="exact"/>
        <w:ind w:left="360" w:right="0" w:firstLine="40"/>
        <w:jc w:val="both"/>
      </w:pPr>
      <w:bookmarkStart w:id="1098" w:name="bookmark1098"/>
      <w:r>
        <w:rPr>
          <w:color w:val="000000"/>
          <w:spacing w:val="0"/>
          <w:w w:val="100"/>
          <w:position w:val="0"/>
        </w:rPr>
        <w:t>（</w:t>
      </w:r>
      <w:bookmarkEnd w:id="1098"/>
      <w:r>
        <w:rPr>
          <w:rFonts w:ascii="Times New Roman" w:eastAsia="Times New Roman" w:hAnsi="Times New Roman" w:cs="Times New Roman"/>
          <w:color w:val="000000"/>
          <w:spacing w:val="0"/>
          <w:w w:val="100"/>
          <w:position w:val="0"/>
        </w:rPr>
        <w:t>3</w:t>
      </w:r>
      <w:r>
        <w:rPr>
          <w:color w:val="000000"/>
          <w:spacing w:val="0"/>
          <w:w w:val="100"/>
          <w:position w:val="0"/>
        </w:rPr>
        <w:t>）</w:t>
        <w:tab/>
        <w:t>收入的金额能够可靠地计量；</w:t>
      </w:r>
    </w:p>
    <w:p>
      <w:pPr>
        <w:pStyle w:val="Style16"/>
        <w:keepNext w:val="0"/>
        <w:keepLines w:val="0"/>
        <w:widowControl w:val="0"/>
        <w:shd w:val="clear" w:color="auto" w:fill="auto"/>
        <w:tabs>
          <w:tab w:pos="878" w:val="left"/>
        </w:tabs>
        <w:bidi w:val="0"/>
        <w:spacing w:before="0" w:after="0" w:line="410" w:lineRule="exact"/>
        <w:ind w:left="360" w:right="0" w:firstLine="40"/>
        <w:jc w:val="both"/>
      </w:pPr>
      <w:bookmarkStart w:id="1099" w:name="bookmark1099"/>
      <w:r>
        <w:rPr>
          <w:color w:val="000000"/>
          <w:spacing w:val="0"/>
          <w:w w:val="100"/>
          <w:position w:val="0"/>
        </w:rPr>
        <w:t>（</w:t>
      </w:r>
      <w:bookmarkEnd w:id="1099"/>
      <w:r>
        <w:rPr>
          <w:rFonts w:ascii="Times New Roman" w:eastAsia="Times New Roman" w:hAnsi="Times New Roman" w:cs="Times New Roman"/>
          <w:color w:val="000000"/>
          <w:spacing w:val="0"/>
          <w:w w:val="100"/>
          <w:position w:val="0"/>
        </w:rPr>
        <w:t>4</w:t>
      </w:r>
      <w:r>
        <w:rPr>
          <w:color w:val="000000"/>
          <w:spacing w:val="0"/>
          <w:w w:val="100"/>
          <w:position w:val="0"/>
        </w:rPr>
        <w:t>）</w:t>
        <w:tab/>
        <w:t>相关的经济利益很可能流入本公司；</w:t>
      </w:r>
    </w:p>
    <w:p>
      <w:pPr>
        <w:pStyle w:val="Style16"/>
        <w:keepNext w:val="0"/>
        <w:keepLines w:val="0"/>
        <w:widowControl w:val="0"/>
        <w:shd w:val="clear" w:color="auto" w:fill="auto"/>
        <w:tabs>
          <w:tab w:pos="878" w:val="left"/>
        </w:tabs>
        <w:bidi w:val="0"/>
        <w:spacing w:before="0" w:after="0" w:line="410" w:lineRule="exact"/>
        <w:ind w:left="360" w:right="0" w:firstLine="40"/>
        <w:jc w:val="both"/>
      </w:pPr>
      <w:bookmarkStart w:id="1100" w:name="bookmark1100"/>
      <w:r>
        <w:rPr>
          <w:color w:val="000000"/>
          <w:spacing w:val="0"/>
          <w:w w:val="100"/>
          <w:position w:val="0"/>
        </w:rPr>
        <w:t>（</w:t>
      </w:r>
      <w:bookmarkEnd w:id="1100"/>
      <w:r>
        <w:rPr>
          <w:rFonts w:ascii="Times New Roman" w:eastAsia="Times New Roman" w:hAnsi="Times New Roman" w:cs="Times New Roman"/>
          <w:color w:val="000000"/>
          <w:spacing w:val="0"/>
          <w:w w:val="100"/>
          <w:position w:val="0"/>
        </w:rPr>
        <w:t>5</w:t>
      </w:r>
      <w:r>
        <w:rPr>
          <w:color w:val="000000"/>
          <w:spacing w:val="0"/>
          <w:w w:val="100"/>
          <w:position w:val="0"/>
        </w:rPr>
        <w:t>）</w:t>
        <w:tab/>
        <w:t>相关的、己发生或将发生的成本能够可靠地计量。</w:t>
      </w:r>
    </w:p>
    <w:p>
      <w:pPr>
        <w:pStyle w:val="Style16"/>
        <w:keepNext w:val="0"/>
        <w:keepLines w:val="0"/>
        <w:widowControl w:val="0"/>
        <w:shd w:val="clear" w:color="auto" w:fill="auto"/>
        <w:bidi w:val="0"/>
        <w:spacing w:before="0" w:after="0" w:line="418" w:lineRule="exact"/>
        <w:ind w:left="0" w:right="0"/>
        <w:jc w:val="both"/>
      </w:pPr>
      <w:r>
        <w:rPr>
          <w:color w:val="000000"/>
          <w:spacing w:val="0"/>
          <w:w w:val="100"/>
          <w:position w:val="0"/>
        </w:rPr>
        <w:t>内销：公司产品运往客户指定地点，交付客户并取得客户验收确认，价格已经确定，取 得货款或索取货款的依据。</w:t>
      </w:r>
    </w:p>
    <w:p>
      <w:pPr>
        <w:pStyle w:val="Style16"/>
        <w:keepNext w:val="0"/>
        <w:keepLines w:val="0"/>
        <w:widowControl w:val="0"/>
        <w:shd w:val="clear" w:color="auto" w:fill="auto"/>
        <w:bidi w:val="0"/>
        <w:spacing w:before="0" w:after="0" w:line="408" w:lineRule="exact"/>
        <w:ind w:left="0" w:right="0"/>
        <w:jc w:val="both"/>
      </w:pPr>
      <w:r>
        <w:rPr>
          <w:color w:val="000000"/>
          <w:spacing w:val="0"/>
          <w:w w:val="100"/>
          <w:position w:val="0"/>
        </w:rPr>
        <w:t>自营出口：出口专用发票已开出；已收款或取得索取货款的依据；已完成报关手续；海 关已在相关的《出口货物报关单》、《出口收汇核销单》上盖章确认；指定港船上交货，货物 越过船舷（合同约定按离岸价成交）。</w:t>
      </w:r>
    </w:p>
    <w:p>
      <w:pPr>
        <w:pStyle w:val="Style16"/>
        <w:keepNext w:val="0"/>
        <w:keepLines w:val="0"/>
        <w:widowControl w:val="0"/>
        <w:shd w:val="clear" w:color="auto" w:fill="auto"/>
        <w:bidi w:val="0"/>
        <w:spacing w:before="0" w:after="0" w:line="408" w:lineRule="exact"/>
        <w:ind w:left="0" w:right="0"/>
        <w:jc w:val="both"/>
      </w:pPr>
      <w:r>
        <w:rPr>
          <w:color w:val="000000"/>
          <w:spacing w:val="0"/>
          <w:w w:val="100"/>
          <w:position w:val="0"/>
        </w:rPr>
        <w:t>本公司按照从购货方已收或应收的合同或协议价款确定销售商品收入金额，但已收或应 收的合同或协议价款不公允的除外。</w:t>
      </w:r>
    </w:p>
    <w:p>
      <w:pPr>
        <w:pStyle w:val="Style16"/>
        <w:keepNext w:val="0"/>
        <w:keepLines w:val="0"/>
        <w:widowControl w:val="0"/>
        <w:shd w:val="clear" w:color="auto" w:fill="auto"/>
        <w:bidi w:val="0"/>
        <w:spacing w:before="0" w:after="300" w:line="408" w:lineRule="exact"/>
        <w:ind w:left="0" w:right="0"/>
        <w:jc w:val="both"/>
      </w:pPr>
      <w:r>
        <w:rPr>
          <w:color w:val="000000"/>
          <w:spacing w:val="0"/>
          <w:w w:val="100"/>
          <w:position w:val="0"/>
        </w:rPr>
        <w:t>合同或协议价款的收取采用递延方式，实质上具有融资性质的，应当按照应收的合同或 协议价款的公允价值确定销售商品收入金额。应收的合同或协议价款与其公允价值之间的差 额，应当在合同或协议期间内采用实际利率法进行摊销，计入当期损益。</w:t>
      </w:r>
    </w:p>
    <w:p>
      <w:pPr>
        <w:pStyle w:val="Style51"/>
        <w:keepNext/>
        <w:keepLines/>
        <w:widowControl w:val="0"/>
        <w:numPr>
          <w:ilvl w:val="0"/>
          <w:numId w:val="63"/>
        </w:numPr>
        <w:shd w:val="clear" w:color="auto" w:fill="auto"/>
        <w:tabs>
          <w:tab w:pos="744" w:val="left"/>
        </w:tabs>
        <w:bidi w:val="0"/>
        <w:spacing w:before="0" w:after="0"/>
        <w:ind w:left="0" w:right="0" w:firstLine="400"/>
        <w:jc w:val="both"/>
      </w:pPr>
      <w:bookmarkStart w:id="1101" w:name="bookmark1101"/>
      <w:bookmarkStart w:id="1102" w:name="bookmark1102"/>
      <w:bookmarkStart w:id="1103" w:name="bookmark1103"/>
      <w:bookmarkStart w:id="1104" w:name="bookmark1104"/>
      <w:bookmarkEnd w:id="1103"/>
      <w:r>
        <w:rPr>
          <w:color w:val="000000"/>
          <w:spacing w:val="0"/>
          <w:w w:val="100"/>
          <w:position w:val="0"/>
        </w:rPr>
        <w:t>提供服务收入确认和计量原则</w:t>
      </w:r>
      <w:bookmarkEnd w:id="1101"/>
      <w:bookmarkEnd w:id="1102"/>
      <w:bookmarkEnd w:id="1104"/>
    </w:p>
    <w:p>
      <w:pPr>
        <w:pStyle w:val="Style16"/>
        <w:keepNext w:val="0"/>
        <w:keepLines w:val="0"/>
        <w:widowControl w:val="0"/>
        <w:shd w:val="clear" w:color="auto" w:fill="auto"/>
        <w:bidi w:val="0"/>
        <w:spacing w:before="0" w:after="0" w:line="410" w:lineRule="exact"/>
        <w:ind w:left="0" w:right="0"/>
        <w:jc w:val="both"/>
      </w:pPr>
      <w:r>
        <w:rPr>
          <w:color w:val="000000"/>
          <w:spacing w:val="0"/>
          <w:w w:val="100"/>
          <w:position w:val="0"/>
        </w:rPr>
        <w:t>各项收入同时满足下列条件的，才能予以确认：</w:t>
      </w:r>
    </w:p>
    <w:p>
      <w:pPr>
        <w:pStyle w:val="Style16"/>
        <w:keepNext w:val="0"/>
        <w:keepLines w:val="0"/>
        <w:widowControl w:val="0"/>
        <w:shd w:val="clear" w:color="auto" w:fill="auto"/>
        <w:bidi w:val="0"/>
        <w:spacing w:before="0" w:after="0" w:line="413" w:lineRule="exact"/>
        <w:ind w:left="0" w:right="0"/>
        <w:jc w:val="both"/>
      </w:pPr>
      <w:r>
        <w:rPr>
          <w:color w:val="000000"/>
          <w:spacing w:val="0"/>
          <w:w w:val="100"/>
          <w:position w:val="0"/>
        </w:rPr>
        <w:t>提供的相关服务完成；收入的金额能够可靠地计量；相关的经济利益很可能流入企业。 具体如下：</w:t>
      </w:r>
    </w:p>
    <w:p>
      <w:pPr>
        <w:pStyle w:val="Style16"/>
        <w:keepNext w:val="0"/>
        <w:keepLines w:val="0"/>
        <w:widowControl w:val="0"/>
        <w:shd w:val="clear" w:color="auto" w:fill="auto"/>
        <w:bidi w:val="0"/>
        <w:spacing w:before="0" w:after="0" w:line="410" w:lineRule="exact"/>
        <w:ind w:left="0" w:right="0" w:firstLine="36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）经纪业务手续费收入</w:t>
      </w:r>
    </w:p>
    <w:p>
      <w:pPr>
        <w:pStyle w:val="Style16"/>
        <w:keepNext w:val="0"/>
        <w:keepLines w:val="0"/>
        <w:widowControl w:val="0"/>
        <w:shd w:val="clear" w:color="auto" w:fill="auto"/>
        <w:bidi w:val="0"/>
        <w:spacing w:before="0" w:after="0" w:line="410" w:lineRule="exact"/>
        <w:ind w:left="0" w:right="0" w:firstLine="360"/>
        <w:jc w:val="both"/>
      </w:pPr>
      <w:r>
        <w:rPr>
          <w:color w:val="000000"/>
          <w:spacing w:val="0"/>
          <w:w w:val="100"/>
          <w:position w:val="0"/>
        </w:rPr>
        <w:t>代理买卖证券手续费收入：于代理买卖证券交易日予以确认。</w:t>
      </w:r>
    </w:p>
    <w:p>
      <w:pPr>
        <w:pStyle w:val="Style16"/>
        <w:keepNext w:val="0"/>
        <w:keepLines w:val="0"/>
        <w:widowControl w:val="0"/>
        <w:shd w:val="clear" w:color="auto" w:fill="auto"/>
        <w:bidi w:val="0"/>
        <w:spacing w:before="0" w:after="120" w:line="408" w:lineRule="exact"/>
        <w:ind w:left="0" w:right="0"/>
        <w:jc w:val="both"/>
      </w:pPr>
      <w:r>
        <w:rPr>
          <w:color w:val="000000"/>
          <w:spacing w:val="0"/>
          <w:w w:val="100"/>
          <w:position w:val="0"/>
        </w:rPr>
        <w:t>代理兑付债券手续费收入：于代理兑付证券业务完成且实际收讫价款或取得收款证据时 予以确认。</w:t>
      </w:r>
    </w:p>
    <w:p>
      <w:pPr>
        <w:pStyle w:val="Style16"/>
        <w:keepNext w:val="0"/>
        <w:keepLines w:val="0"/>
        <w:widowControl w:val="0"/>
        <w:shd w:val="clear" w:color="auto" w:fill="auto"/>
        <w:bidi w:val="0"/>
        <w:spacing w:before="0" w:after="0" w:line="410"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）投资银行业务手续费收入</w:t>
      </w:r>
    </w:p>
    <w:p>
      <w:pPr>
        <w:pStyle w:val="Style16"/>
        <w:keepNext w:val="0"/>
        <w:keepLines w:val="0"/>
        <w:widowControl w:val="0"/>
        <w:shd w:val="clear" w:color="auto" w:fill="auto"/>
        <w:bidi w:val="0"/>
        <w:spacing w:before="0" w:after="0" w:line="410" w:lineRule="exact"/>
        <w:ind w:left="0" w:right="0"/>
        <w:jc w:val="both"/>
      </w:pPr>
      <w:r>
        <w:rPr>
          <w:color w:val="000000"/>
          <w:spacing w:val="0"/>
          <w:w w:val="100"/>
          <w:position w:val="0"/>
        </w:rPr>
        <w:t>证券承销收入：在承销业务提供的相关服务完成时确认为收入。</w:t>
      </w:r>
    </w:p>
    <w:p>
      <w:pPr>
        <w:pStyle w:val="Style16"/>
        <w:keepNext w:val="0"/>
        <w:keepLines w:val="0"/>
        <w:widowControl w:val="0"/>
        <w:shd w:val="clear" w:color="auto" w:fill="auto"/>
        <w:bidi w:val="0"/>
        <w:spacing w:before="0" w:after="300" w:line="410" w:lineRule="exact"/>
        <w:ind w:left="0" w:right="0" w:firstLine="360"/>
        <w:jc w:val="both"/>
      </w:pPr>
      <w:r>
        <w:rPr>
          <w:color w:val="000000"/>
          <w:spacing w:val="0"/>
          <w:w w:val="100"/>
          <w:position w:val="0"/>
        </w:rPr>
        <w:t>证券保荐业务收入和财务顾问收入：于各项业务提供的相关服务完成时确认收入。</w:t>
      </w:r>
    </w:p>
    <w:p>
      <w:pPr>
        <w:pStyle w:val="Style16"/>
        <w:keepNext w:val="0"/>
        <w:keepLines w:val="0"/>
        <w:widowControl w:val="0"/>
        <w:shd w:val="clear" w:color="auto" w:fill="auto"/>
        <w:bidi w:val="0"/>
        <w:spacing w:before="0" w:after="0" w:line="240" w:lineRule="auto"/>
        <w:ind w:left="0" w:right="0" w:firstLine="640"/>
        <w:jc w:val="both"/>
      </w:pPr>
      <w:bookmarkStart w:id="1105" w:name="bookmark1105"/>
      <w:r>
        <w:rPr>
          <w:rFonts w:ascii="Times New Roman" w:eastAsia="Times New Roman" w:hAnsi="Times New Roman" w:cs="Times New Roman"/>
          <w:color w:val="000000"/>
          <w:spacing w:val="0"/>
          <w:w w:val="100"/>
          <w:position w:val="0"/>
        </w:rPr>
        <w:t>3</w:t>
      </w:r>
      <w:bookmarkEnd w:id="1105"/>
      <w:r>
        <w:rPr>
          <w:color w:val="000000"/>
          <w:spacing w:val="0"/>
          <w:w w:val="100"/>
          <w:position w:val="0"/>
        </w:rPr>
        <w:t>）资产管理业务手续费收入</w:t>
      </w:r>
    </w:p>
    <w:p>
      <w:pPr>
        <w:pStyle w:val="Style16"/>
        <w:keepNext w:val="0"/>
        <w:keepLines w:val="0"/>
        <w:widowControl w:val="0"/>
        <w:shd w:val="clear" w:color="auto" w:fill="auto"/>
        <w:bidi w:val="0"/>
        <w:spacing w:before="0" w:after="0" w:line="410" w:lineRule="exact"/>
        <w:ind w:left="0" w:right="0" w:firstLine="420"/>
        <w:jc w:val="left"/>
      </w:pPr>
      <w:r>
        <w:rPr>
          <w:color w:val="000000"/>
          <w:spacing w:val="0"/>
          <w:w w:val="100"/>
          <w:position w:val="0"/>
        </w:rPr>
        <w:t>受托客户资产管理业务收入在相关服务提供后，按合同约定方式确认当期收入或损失。</w:t>
      </w:r>
    </w:p>
    <w:p>
      <w:pPr>
        <w:pStyle w:val="Style16"/>
        <w:keepNext w:val="0"/>
        <w:keepLines w:val="0"/>
        <w:widowControl w:val="0"/>
        <w:shd w:val="clear" w:color="auto" w:fill="auto"/>
        <w:tabs>
          <w:tab w:pos="908" w:val="left"/>
        </w:tabs>
        <w:bidi w:val="0"/>
        <w:spacing w:before="0" w:after="120" w:line="410" w:lineRule="exact"/>
        <w:ind w:left="0" w:right="0" w:firstLine="420"/>
        <w:jc w:val="left"/>
      </w:pPr>
      <w:bookmarkStart w:id="1106" w:name="bookmark1106"/>
      <w:r>
        <w:rPr>
          <w:color w:val="000000"/>
          <w:spacing w:val="0"/>
          <w:w w:val="100"/>
          <w:position w:val="0"/>
        </w:rPr>
        <w:t>（</w:t>
      </w:r>
      <w:bookmarkEnd w:id="1106"/>
      <w:r>
        <w:rPr>
          <w:rFonts w:ascii="Times New Roman" w:eastAsia="Times New Roman" w:hAnsi="Times New Roman" w:cs="Times New Roman"/>
          <w:color w:val="000000"/>
          <w:spacing w:val="0"/>
          <w:w w:val="100"/>
          <w:position w:val="0"/>
        </w:rPr>
        <w:t>4</w:t>
      </w:r>
      <w:r>
        <w:rPr>
          <w:color w:val="000000"/>
          <w:spacing w:val="0"/>
          <w:w w:val="100"/>
          <w:position w:val="0"/>
        </w:rPr>
        <w:t>）</w:t>
        <w:tab/>
        <w:t>投资咨询业务收入</w:t>
      </w:r>
    </w:p>
    <w:p>
      <w:pPr>
        <w:pStyle w:val="Style16"/>
        <w:keepNext w:val="0"/>
        <w:keepLines w:val="0"/>
        <w:widowControl w:val="0"/>
        <w:shd w:val="clear" w:color="auto" w:fill="auto"/>
        <w:bidi w:val="0"/>
        <w:spacing w:before="0" w:after="0" w:line="317" w:lineRule="exact"/>
        <w:ind w:left="0" w:right="0" w:firstLine="420"/>
        <w:jc w:val="both"/>
      </w:pPr>
      <w:r>
        <w:rPr>
          <w:color w:val="000000"/>
          <w:spacing w:val="0"/>
          <w:w w:val="100"/>
          <w:position w:val="0"/>
        </w:rPr>
        <w:t>在与交易相关的经济利益能够流入企业，收入的金额能够可靠地计量时，按合同或协议 规定确认为收入。</w:t>
      </w:r>
    </w:p>
    <w:p>
      <w:pPr>
        <w:pStyle w:val="Style16"/>
        <w:keepNext w:val="0"/>
        <w:keepLines w:val="0"/>
        <w:widowControl w:val="0"/>
        <w:shd w:val="clear" w:color="auto" w:fill="auto"/>
        <w:tabs>
          <w:tab w:pos="908" w:val="left"/>
        </w:tabs>
        <w:bidi w:val="0"/>
        <w:spacing w:before="0" w:after="120" w:line="410" w:lineRule="exact"/>
        <w:ind w:left="0" w:right="0" w:firstLine="420"/>
        <w:jc w:val="both"/>
      </w:pPr>
      <w:bookmarkStart w:id="1107" w:name="bookmark1107"/>
      <w:r>
        <w:rPr>
          <w:color w:val="000000"/>
          <w:spacing w:val="0"/>
          <w:w w:val="100"/>
          <w:position w:val="0"/>
        </w:rPr>
        <w:t>（</w:t>
      </w:r>
      <w:bookmarkEnd w:id="1107"/>
      <w:r>
        <w:rPr>
          <w:rFonts w:ascii="Times New Roman" w:eastAsia="Times New Roman" w:hAnsi="Times New Roman" w:cs="Times New Roman"/>
          <w:color w:val="000000"/>
          <w:spacing w:val="0"/>
          <w:w w:val="100"/>
          <w:position w:val="0"/>
        </w:rPr>
        <w:t>5</w:t>
      </w:r>
      <w:r>
        <w:rPr>
          <w:color w:val="000000"/>
          <w:spacing w:val="0"/>
          <w:w w:val="100"/>
          <w:position w:val="0"/>
        </w:rPr>
        <w:t>）</w:t>
        <w:tab/>
        <w:t>推介信托业务咨询服务收入</w:t>
      </w:r>
    </w:p>
    <w:p>
      <w:pPr>
        <w:pStyle w:val="Style16"/>
        <w:keepNext w:val="0"/>
        <w:keepLines w:val="0"/>
        <w:widowControl w:val="0"/>
        <w:shd w:val="clear" w:color="auto" w:fill="auto"/>
        <w:bidi w:val="0"/>
        <w:spacing w:before="0" w:after="0" w:line="317" w:lineRule="exact"/>
        <w:ind w:left="0" w:right="0" w:firstLine="420"/>
        <w:jc w:val="both"/>
      </w:pPr>
      <w:r>
        <w:rPr>
          <w:color w:val="000000"/>
          <w:spacing w:val="0"/>
          <w:w w:val="100"/>
          <w:position w:val="0"/>
        </w:rPr>
        <w:t>已按推介信托业务合同内容提供推介服务，收入的金额能够可靠地计量，相关的经济利 益能够流入企业时确认为收入。</w:t>
      </w:r>
    </w:p>
    <w:p>
      <w:pPr>
        <w:pStyle w:val="Style16"/>
        <w:keepNext w:val="0"/>
        <w:keepLines w:val="0"/>
        <w:widowControl w:val="0"/>
        <w:shd w:val="clear" w:color="auto" w:fill="auto"/>
        <w:tabs>
          <w:tab w:pos="908" w:val="left"/>
        </w:tabs>
        <w:bidi w:val="0"/>
        <w:spacing w:before="0" w:after="0" w:line="317" w:lineRule="exact"/>
        <w:ind w:left="0" w:right="0" w:firstLine="420"/>
        <w:jc w:val="both"/>
      </w:pPr>
      <w:bookmarkStart w:id="1108" w:name="bookmark1108"/>
      <w:r>
        <w:rPr>
          <w:color w:val="000000"/>
          <w:spacing w:val="0"/>
          <w:w w:val="100"/>
          <w:position w:val="0"/>
        </w:rPr>
        <w:t>（</w:t>
      </w:r>
      <w:bookmarkEnd w:id="1108"/>
      <w:r>
        <w:rPr>
          <w:rFonts w:ascii="Times New Roman" w:eastAsia="Times New Roman" w:hAnsi="Times New Roman" w:cs="Times New Roman"/>
          <w:color w:val="000000"/>
          <w:spacing w:val="0"/>
          <w:w w:val="100"/>
          <w:position w:val="0"/>
        </w:rPr>
        <w:t>6</w:t>
      </w:r>
      <w:r>
        <w:rPr>
          <w:color w:val="000000"/>
          <w:spacing w:val="0"/>
          <w:w w:val="100"/>
          <w:position w:val="0"/>
        </w:rPr>
        <w:t>）</w:t>
        <w:tab/>
        <w:t>利息收入</w:t>
      </w:r>
    </w:p>
    <w:p>
      <w:pPr>
        <w:pStyle w:val="Style16"/>
        <w:keepNext w:val="0"/>
        <w:keepLines w:val="0"/>
        <w:widowControl w:val="0"/>
        <w:shd w:val="clear" w:color="auto" w:fill="auto"/>
        <w:bidi w:val="0"/>
        <w:spacing w:before="0" w:after="0" w:line="410" w:lineRule="exact"/>
        <w:ind w:left="0" w:right="0" w:firstLine="420"/>
        <w:jc w:val="both"/>
      </w:pPr>
      <w:r>
        <w:rPr>
          <w:color w:val="000000"/>
          <w:spacing w:val="0"/>
          <w:w w:val="100"/>
          <w:position w:val="0"/>
        </w:rPr>
        <w:t>在与交易相关的经济利益能够流入企业，收入的金额能够可靠地计量时，按资金使用时 间和实际利率确认利息收入；融资融券业务根据与客户合约的约定，按出借资金或证券的时 间和约定利率确认收入；买入返售证券收入在当期到期返售的，按返售价格与买入成本之间 的实际差额确认为当期收入，在当期没有到期的，期末按权责发生制原则计提利息，确认为 当期收入。</w:t>
      </w:r>
    </w:p>
    <w:p>
      <w:pPr>
        <w:pStyle w:val="Style16"/>
        <w:keepNext w:val="0"/>
        <w:keepLines w:val="0"/>
        <w:widowControl w:val="0"/>
        <w:shd w:val="clear" w:color="auto" w:fill="auto"/>
        <w:tabs>
          <w:tab w:pos="908" w:val="left"/>
        </w:tabs>
        <w:bidi w:val="0"/>
        <w:spacing w:before="0" w:after="0" w:line="410" w:lineRule="exact"/>
        <w:ind w:left="0" w:right="0" w:firstLine="420"/>
        <w:jc w:val="both"/>
      </w:pPr>
      <w:bookmarkStart w:id="1109" w:name="bookmark1109"/>
      <w:r>
        <w:rPr>
          <w:color w:val="000000"/>
          <w:spacing w:val="0"/>
          <w:w w:val="100"/>
          <w:position w:val="0"/>
        </w:rPr>
        <w:t>（</w:t>
      </w:r>
      <w:bookmarkEnd w:id="1109"/>
      <w:r>
        <w:rPr>
          <w:rFonts w:ascii="Times New Roman" w:eastAsia="Times New Roman" w:hAnsi="Times New Roman" w:cs="Times New Roman"/>
          <w:color w:val="000000"/>
          <w:spacing w:val="0"/>
          <w:w w:val="100"/>
          <w:position w:val="0"/>
        </w:rPr>
        <w:t>7</w:t>
      </w:r>
      <w:r>
        <w:rPr>
          <w:color w:val="000000"/>
          <w:spacing w:val="0"/>
          <w:w w:val="100"/>
          <w:position w:val="0"/>
        </w:rPr>
        <w:t>）</w:t>
        <w:tab/>
        <w:t>其他业务收入</w:t>
      </w:r>
    </w:p>
    <w:p>
      <w:pPr>
        <w:pStyle w:val="Style16"/>
        <w:keepNext w:val="0"/>
        <w:keepLines w:val="0"/>
        <w:widowControl w:val="0"/>
        <w:shd w:val="clear" w:color="auto" w:fill="auto"/>
        <w:bidi w:val="0"/>
        <w:spacing w:before="0" w:after="0" w:line="410" w:lineRule="exact"/>
        <w:ind w:left="0" w:right="0" w:firstLine="420"/>
        <w:jc w:val="left"/>
      </w:pPr>
      <w:r>
        <w:rPr>
          <w:color w:val="000000"/>
          <w:spacing w:val="0"/>
          <w:w w:val="100"/>
          <w:position w:val="0"/>
        </w:rPr>
        <w:t>其他业务收入以合同到期结算时或提供服务时确认为收入。</w:t>
      </w:r>
    </w:p>
    <w:p>
      <w:pPr>
        <w:pStyle w:val="Style16"/>
        <w:keepNext w:val="0"/>
        <w:keepLines w:val="0"/>
        <w:widowControl w:val="0"/>
        <w:shd w:val="clear" w:color="auto" w:fill="auto"/>
        <w:tabs>
          <w:tab w:pos="908" w:val="left"/>
        </w:tabs>
        <w:bidi w:val="0"/>
        <w:spacing w:before="0" w:after="0" w:line="410" w:lineRule="exact"/>
        <w:ind w:left="0" w:right="0" w:firstLine="420"/>
        <w:jc w:val="left"/>
      </w:pPr>
      <w:bookmarkStart w:id="1110" w:name="bookmark1110"/>
      <w:r>
        <w:rPr>
          <w:color w:val="000000"/>
          <w:spacing w:val="0"/>
          <w:w w:val="100"/>
          <w:position w:val="0"/>
        </w:rPr>
        <w:t>（</w:t>
      </w:r>
      <w:bookmarkEnd w:id="1110"/>
      <w:r>
        <w:rPr>
          <w:rFonts w:ascii="Times New Roman" w:eastAsia="Times New Roman" w:hAnsi="Times New Roman" w:cs="Times New Roman"/>
          <w:color w:val="000000"/>
          <w:spacing w:val="0"/>
          <w:w w:val="100"/>
          <w:position w:val="0"/>
        </w:rPr>
        <w:t>8</w:t>
      </w:r>
      <w:r>
        <w:rPr>
          <w:color w:val="000000"/>
          <w:spacing w:val="0"/>
          <w:w w:val="100"/>
          <w:position w:val="0"/>
        </w:rPr>
        <w:t>）</w:t>
        <w:tab/>
        <w:t>投资收益</w:t>
      </w:r>
    </w:p>
    <w:p>
      <w:pPr>
        <w:pStyle w:val="Style16"/>
        <w:keepNext w:val="0"/>
        <w:keepLines w:val="0"/>
        <w:widowControl w:val="0"/>
        <w:shd w:val="clear" w:color="auto" w:fill="auto"/>
        <w:bidi w:val="0"/>
        <w:spacing w:before="0" w:after="0" w:line="410" w:lineRule="exact"/>
        <w:ind w:left="0" w:right="0" w:firstLine="420"/>
        <w:jc w:val="both"/>
      </w:pPr>
      <w:r>
        <w:rPr>
          <w:color w:val="000000"/>
          <w:spacing w:val="0"/>
          <w:w w:val="100"/>
          <w:position w:val="0"/>
        </w:rPr>
        <w:t>公司持有金融资产期间取得的红利、股息或现金股利等，计入当期损益；处置金融资产 时，按取得的价款与账面价值之间的差额，计入当期损益，同时，调整公允价值变动损益或 将原直接计入其他综合收益的公允价值变动累计额对应处置部分的金额转出，计入投资损益; 采用成本法核算长期股权投资的，按被投资单位宣告发放的现金股利或利润中属于公司的部 分确认当期损益；采用权益法核算长期股权投资的，按被投资单位实现的净利润或经调整的 净利润计算应享有的份额确认当期损益。</w:t>
      </w:r>
    </w:p>
    <w:p>
      <w:pPr>
        <w:pStyle w:val="Style37"/>
        <w:keepNext/>
        <w:keepLines/>
        <w:widowControl w:val="0"/>
        <w:shd w:val="clear" w:color="auto" w:fill="auto"/>
        <w:bidi w:val="0"/>
        <w:spacing w:before="0" w:after="0" w:line="410" w:lineRule="exact"/>
        <w:ind w:left="0" w:right="0" w:firstLine="420"/>
        <w:jc w:val="both"/>
      </w:pPr>
      <w:bookmarkStart w:id="1111" w:name="bookmark1111"/>
      <w:bookmarkStart w:id="1112" w:name="bookmark1112"/>
      <w:bookmarkStart w:id="1113" w:name="bookmark1113"/>
      <w:r>
        <w:rPr>
          <w:color w:val="000000"/>
          <w:spacing w:val="0"/>
          <w:w w:val="100"/>
          <w:position w:val="0"/>
        </w:rPr>
        <w:t>（二十七）政府补助</w:t>
      </w:r>
      <w:bookmarkEnd w:id="1111"/>
      <w:bookmarkEnd w:id="1112"/>
      <w:bookmarkEnd w:id="1113"/>
    </w:p>
    <w:p>
      <w:pPr>
        <w:pStyle w:val="Style37"/>
        <w:keepNext/>
        <w:keepLines/>
        <w:widowControl w:val="0"/>
        <w:shd w:val="clear" w:color="auto" w:fill="auto"/>
        <w:bidi w:val="0"/>
        <w:spacing w:before="0" w:after="0" w:line="410" w:lineRule="exact"/>
        <w:ind w:left="0" w:right="0" w:firstLine="420"/>
        <w:jc w:val="left"/>
      </w:pPr>
      <w:bookmarkStart w:id="1111" w:name="bookmark1111"/>
      <w:bookmarkStart w:id="1112" w:name="bookmark1112"/>
      <w:bookmarkStart w:id="1114" w:name="bookmark1114"/>
      <w:r>
        <w:rPr>
          <w:color w:val="000000"/>
          <w:spacing w:val="0"/>
          <w:w w:val="100"/>
          <w:position w:val="0"/>
        </w:rPr>
        <w:t>1.</w:t>
      </w:r>
      <w:r>
        <w:rPr>
          <w:color w:val="000000"/>
          <w:spacing w:val="0"/>
          <w:w w:val="100"/>
          <w:position w:val="0"/>
        </w:rPr>
        <w:t>类型</w:t>
      </w:r>
      <w:bookmarkEnd w:id="1111"/>
      <w:bookmarkEnd w:id="1112"/>
      <w:bookmarkEnd w:id="1114"/>
    </w:p>
    <w:p>
      <w:pPr>
        <w:pStyle w:val="Style16"/>
        <w:keepNext w:val="0"/>
        <w:keepLines w:val="0"/>
        <w:widowControl w:val="0"/>
        <w:shd w:val="clear" w:color="auto" w:fill="auto"/>
        <w:bidi w:val="0"/>
        <w:spacing w:before="0" w:after="0" w:line="408" w:lineRule="exact"/>
        <w:ind w:left="0" w:right="0" w:firstLine="420"/>
        <w:jc w:val="both"/>
      </w:pPr>
      <w:r>
        <w:rPr>
          <w:color w:val="000000"/>
          <w:spacing w:val="0"/>
          <w:w w:val="100"/>
          <w:position w:val="0"/>
        </w:rPr>
        <w:t>政府补助，是本公司从政府无偿取得的货币性资产与非货币性资产，分为与资产相关的 政府补助和与收益相关的政府补助。</w:t>
      </w:r>
    </w:p>
    <w:p>
      <w:pPr>
        <w:pStyle w:val="Style16"/>
        <w:keepNext w:val="0"/>
        <w:keepLines w:val="0"/>
        <w:widowControl w:val="0"/>
        <w:shd w:val="clear" w:color="auto" w:fill="auto"/>
        <w:bidi w:val="0"/>
        <w:spacing w:before="0" w:after="0" w:line="413" w:lineRule="exact"/>
        <w:ind w:left="0" w:right="0" w:firstLine="420"/>
        <w:jc w:val="both"/>
      </w:pPr>
      <w:r>
        <w:rPr>
          <w:color w:val="000000"/>
          <w:spacing w:val="0"/>
          <w:w w:val="100"/>
          <w:position w:val="0"/>
        </w:rPr>
        <w:t>与资产相关的政府补助，是指本公司取得的、用于购建或以其他方式形成长期资产的政 府补助。与收益相关的政府补助，是指除与资产相关的政府补助之外的政府补助。</w:t>
      </w:r>
    </w:p>
    <w:p>
      <w:pPr>
        <w:pStyle w:val="Style16"/>
        <w:keepNext w:val="0"/>
        <w:keepLines w:val="0"/>
        <w:widowControl w:val="0"/>
        <w:shd w:val="clear" w:color="auto" w:fill="auto"/>
        <w:bidi w:val="0"/>
        <w:spacing w:before="0" w:after="0" w:line="398" w:lineRule="exact"/>
        <w:ind w:left="0" w:right="0" w:firstLine="420"/>
        <w:jc w:val="both"/>
      </w:pPr>
      <w:r>
        <w:rPr>
          <w:color w:val="000000"/>
          <w:spacing w:val="0"/>
          <w:w w:val="100"/>
          <w:position w:val="0"/>
        </w:rPr>
        <w:t>本公司将政府补助划分为与资产相关的具体标准为：企业取得的，用于购建或以其他方 式形成长期资产的政府补助；</w:t>
      </w:r>
    </w:p>
    <w:p>
      <w:pPr>
        <w:pStyle w:val="Style16"/>
        <w:keepNext w:val="0"/>
        <w:keepLines w:val="0"/>
        <w:widowControl w:val="0"/>
        <w:shd w:val="clear" w:color="auto" w:fill="auto"/>
        <w:bidi w:val="0"/>
        <w:spacing w:before="0" w:after="0" w:line="398" w:lineRule="exact"/>
        <w:ind w:left="0" w:right="0" w:firstLine="420"/>
        <w:jc w:val="both"/>
      </w:pPr>
      <w:r>
        <w:rPr>
          <w:color w:val="000000"/>
          <w:spacing w:val="0"/>
          <w:w w:val="100"/>
          <w:position w:val="0"/>
        </w:rPr>
        <w:t>本公司将政府补助划分为与收益相关的具体标准为：除与资产相关的政府补助之外的政 府补助；</w:t>
      </w:r>
    </w:p>
    <w:p>
      <w:pPr>
        <w:pStyle w:val="Style16"/>
        <w:keepNext w:val="0"/>
        <w:keepLines w:val="0"/>
        <w:widowControl w:val="0"/>
        <w:shd w:val="clear" w:color="auto" w:fill="auto"/>
        <w:bidi w:val="0"/>
        <w:spacing w:before="0" w:after="0" w:line="410" w:lineRule="exact"/>
        <w:ind w:left="0" w:right="0" w:firstLine="420"/>
        <w:jc w:val="both"/>
      </w:pPr>
      <w:r>
        <w:rPr>
          <w:color w:val="000000"/>
          <w:spacing w:val="0"/>
          <w:w w:val="100"/>
          <w:position w:val="0"/>
        </w:rPr>
        <w:t xml:space="preserve">对于政府文件未明确规定补助对象的，本公司将该政府补助划分为与资产相关或与收益 </w:t>
      </w:r>
      <w:r>
        <w:rPr>
          <w:color w:val="000000"/>
          <w:spacing w:val="0"/>
          <w:w w:val="100"/>
          <w:position w:val="0"/>
        </w:rPr>
        <w:t>相关的判断依据为：是否用于购建或以其他方式形成长期资产。</w:t>
      </w:r>
    </w:p>
    <w:p>
      <w:pPr>
        <w:pStyle w:val="Style51"/>
        <w:keepNext/>
        <w:keepLines/>
        <w:widowControl w:val="0"/>
        <w:numPr>
          <w:ilvl w:val="0"/>
          <w:numId w:val="57"/>
        </w:numPr>
        <w:shd w:val="clear" w:color="auto" w:fill="auto"/>
        <w:tabs>
          <w:tab w:pos="845" w:val="left"/>
        </w:tabs>
        <w:bidi w:val="0"/>
        <w:spacing w:before="0" w:after="0" w:line="409" w:lineRule="exact"/>
        <w:ind w:left="0" w:right="0" w:firstLine="440"/>
        <w:jc w:val="left"/>
      </w:pPr>
      <w:bookmarkStart w:id="1115" w:name="bookmark1115"/>
      <w:bookmarkStart w:id="1116" w:name="bookmark1116"/>
      <w:bookmarkStart w:id="1117" w:name="bookmark1117"/>
      <w:bookmarkStart w:id="1118" w:name="bookmark1118"/>
      <w:bookmarkEnd w:id="1117"/>
      <w:r>
        <w:rPr>
          <w:color w:val="000000"/>
          <w:spacing w:val="0"/>
          <w:w w:val="100"/>
          <w:position w:val="0"/>
        </w:rPr>
        <w:t>政府补助的确认</w:t>
      </w:r>
      <w:bookmarkEnd w:id="1115"/>
      <w:bookmarkEnd w:id="1116"/>
      <w:bookmarkEnd w:id="1118"/>
    </w:p>
    <w:p>
      <w:pPr>
        <w:pStyle w:val="Style16"/>
        <w:keepNext w:val="0"/>
        <w:keepLines w:val="0"/>
        <w:widowControl w:val="0"/>
        <w:shd w:val="clear" w:color="auto" w:fill="auto"/>
        <w:bidi w:val="0"/>
        <w:spacing w:before="0" w:after="0" w:line="409" w:lineRule="exact"/>
        <w:ind w:left="0" w:right="0" w:firstLine="440"/>
        <w:jc w:val="left"/>
      </w:pPr>
      <w:r>
        <w:rPr>
          <w:color w:val="000000"/>
          <w:spacing w:val="0"/>
          <w:w w:val="100"/>
          <w:position w:val="0"/>
        </w:rPr>
        <w:t>企业实际取得政府补助款项作为确认时点。</w:t>
      </w:r>
    </w:p>
    <w:p>
      <w:pPr>
        <w:pStyle w:val="Style51"/>
        <w:keepNext/>
        <w:keepLines/>
        <w:widowControl w:val="0"/>
        <w:numPr>
          <w:ilvl w:val="0"/>
          <w:numId w:val="57"/>
        </w:numPr>
        <w:shd w:val="clear" w:color="auto" w:fill="auto"/>
        <w:tabs>
          <w:tab w:pos="845" w:val="left"/>
        </w:tabs>
        <w:bidi w:val="0"/>
        <w:spacing w:before="0" w:after="0" w:line="409" w:lineRule="exact"/>
        <w:ind w:left="0" w:right="0" w:firstLine="440"/>
        <w:jc w:val="left"/>
      </w:pPr>
      <w:bookmarkStart w:id="1119" w:name="bookmark1119"/>
      <w:bookmarkStart w:id="1120" w:name="bookmark1120"/>
      <w:bookmarkStart w:id="1121" w:name="bookmark1121"/>
      <w:bookmarkStart w:id="1122" w:name="bookmark1122"/>
      <w:bookmarkEnd w:id="1121"/>
      <w:r>
        <w:rPr>
          <w:color w:val="000000"/>
          <w:spacing w:val="0"/>
          <w:w w:val="100"/>
          <w:position w:val="0"/>
        </w:rPr>
        <w:t>会计处理方法</w:t>
      </w:r>
      <w:bookmarkEnd w:id="1119"/>
      <w:bookmarkEnd w:id="1120"/>
      <w:bookmarkEnd w:id="1122"/>
    </w:p>
    <w:p>
      <w:pPr>
        <w:pStyle w:val="Style16"/>
        <w:keepNext w:val="0"/>
        <w:keepLines w:val="0"/>
        <w:widowControl w:val="0"/>
        <w:shd w:val="clear" w:color="auto" w:fill="auto"/>
        <w:bidi w:val="0"/>
        <w:spacing w:before="0" w:after="0" w:line="408" w:lineRule="exact"/>
        <w:ind w:left="240" w:right="0" w:firstLine="420"/>
        <w:jc w:val="both"/>
      </w:pPr>
      <w:r>
        <w:rPr>
          <w:color w:val="000000"/>
          <w:spacing w:val="0"/>
          <w:w w:val="100"/>
          <w:position w:val="0"/>
        </w:rPr>
        <w:t>与资产相关的政府补助，冲减相关资产账面价值或确认为递延收益。确认为递延 收益的，在相关资产使用寿命内按照合理、系统的方法分期计入当期损益（与本公司 日常活动相关的，计入其他收益；与本公司日常活动无关的，计入营业外收入）；</w:t>
      </w:r>
    </w:p>
    <w:p>
      <w:pPr>
        <w:pStyle w:val="Style16"/>
        <w:keepNext w:val="0"/>
        <w:keepLines w:val="0"/>
        <w:widowControl w:val="0"/>
        <w:shd w:val="clear" w:color="auto" w:fill="auto"/>
        <w:bidi w:val="0"/>
        <w:spacing w:before="0" w:after="0" w:line="409" w:lineRule="exact"/>
        <w:ind w:left="240" w:right="0" w:firstLine="420"/>
        <w:jc w:val="both"/>
      </w:pPr>
      <w:r>
        <w:rPr>
          <w:color w:val="000000"/>
          <w:spacing w:val="0"/>
          <w:w w:val="100"/>
          <w:position w:val="0"/>
        </w:rPr>
        <w:t>与收益相关的政府补助，用于补偿本公司以后期间的相关成本费用或损失的，确 认为递延收益，并在确认相关成本费用或损失的期间，计入当期损益（与本公司日常 活动相关的，计入其他收益；与本公司日常活动无关的，计入营业外收入）或冲减相 关成本费用或损失；用于补偿本公司已发生的相关成本费用或损失的，直接计入当期 损益（与本公司日常活动相关的，计入其他收益；与本公司日常活动无关的，计入营 业外收入）或冲减相关成本费用或损失。</w:t>
      </w:r>
    </w:p>
    <w:p>
      <w:pPr>
        <w:pStyle w:val="Style16"/>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本公司取得的政策性优惠贷款贴息，区分以下两种情况，分别进行会计处理：</w:t>
      </w:r>
    </w:p>
    <w:p>
      <w:pPr>
        <w:pStyle w:val="Style16"/>
        <w:keepNext w:val="0"/>
        <w:keepLines w:val="0"/>
        <w:widowControl w:val="0"/>
        <w:shd w:val="clear" w:color="auto" w:fill="auto"/>
        <w:tabs>
          <w:tab w:pos="996" w:val="left"/>
        </w:tabs>
        <w:bidi w:val="0"/>
        <w:spacing w:before="0" w:after="0" w:line="408" w:lineRule="exact"/>
        <w:ind w:left="0" w:right="0" w:firstLine="440"/>
        <w:jc w:val="both"/>
      </w:pPr>
      <w:bookmarkStart w:id="1123" w:name="bookmark1123"/>
      <w:r>
        <w:rPr>
          <w:color w:val="000000"/>
          <w:spacing w:val="0"/>
          <w:w w:val="100"/>
          <w:position w:val="0"/>
        </w:rPr>
        <w:t>（</w:t>
      </w:r>
      <w:bookmarkEnd w:id="1123"/>
      <w:r>
        <w:rPr>
          <w:rFonts w:ascii="Times New Roman" w:eastAsia="Times New Roman" w:hAnsi="Times New Roman" w:cs="Times New Roman"/>
          <w:color w:val="000000"/>
          <w:spacing w:val="0"/>
          <w:w w:val="100"/>
          <w:position w:val="0"/>
        </w:rPr>
        <w:t>1</w:t>
      </w:r>
      <w:r>
        <w:rPr>
          <w:color w:val="000000"/>
          <w:spacing w:val="0"/>
          <w:w w:val="100"/>
          <w:position w:val="0"/>
        </w:rPr>
        <w:t>）</w:t>
        <w:tab/>
        <w:t>财政将贴息资金拨付给贷款银行，由贷款银行以政策性优惠利率向本公司提 供贷款的，本公司以实际收到的借款金额作为借款的入账价值，按照借款本金和该政策 性优惠利率计算相关借款费用。</w:t>
      </w:r>
    </w:p>
    <w:p>
      <w:pPr>
        <w:pStyle w:val="Style16"/>
        <w:keepNext w:val="0"/>
        <w:keepLines w:val="0"/>
        <w:widowControl w:val="0"/>
        <w:shd w:val="clear" w:color="auto" w:fill="auto"/>
        <w:bidi w:val="0"/>
        <w:spacing w:before="0" w:after="0" w:line="409" w:lineRule="exact"/>
        <w:ind w:left="0" w:right="0" w:firstLine="440"/>
        <w:jc w:val="both"/>
      </w:pPr>
      <w:bookmarkStart w:id="1124" w:name="bookmark1124"/>
      <w:r>
        <w:rPr>
          <w:color w:val="000000"/>
          <w:spacing w:val="0"/>
          <w:w w:val="100"/>
          <w:position w:val="0"/>
        </w:rPr>
        <w:t>（</w:t>
      </w:r>
      <w:bookmarkEnd w:id="1124"/>
      <w:r>
        <w:rPr>
          <w:rFonts w:ascii="Times New Roman" w:eastAsia="Times New Roman" w:hAnsi="Times New Roman" w:cs="Times New Roman"/>
          <w:color w:val="000000"/>
          <w:spacing w:val="0"/>
          <w:w w:val="100"/>
          <w:position w:val="0"/>
        </w:rPr>
        <w:t>2</w:t>
      </w:r>
      <w:r>
        <w:rPr>
          <w:color w:val="000000"/>
          <w:spacing w:val="0"/>
          <w:w w:val="100"/>
          <w:position w:val="0"/>
        </w:rPr>
        <w:t>） 财政将贴息资金直接拨付给本公司的，本公司将对应的贴息冲减相关借款费用。</w:t>
      </w:r>
    </w:p>
    <w:p>
      <w:pPr>
        <w:pStyle w:val="Style37"/>
        <w:keepNext/>
        <w:keepLines/>
        <w:widowControl w:val="0"/>
        <w:shd w:val="clear" w:color="auto" w:fill="auto"/>
        <w:bidi w:val="0"/>
        <w:spacing w:before="0" w:after="0" w:line="409" w:lineRule="exact"/>
        <w:ind w:left="0" w:right="0" w:firstLine="440"/>
        <w:jc w:val="both"/>
      </w:pPr>
      <w:bookmarkStart w:id="1125" w:name="bookmark1125"/>
      <w:bookmarkStart w:id="1126" w:name="bookmark1126"/>
      <w:bookmarkStart w:id="1127" w:name="bookmark1127"/>
      <w:r>
        <w:rPr>
          <w:color w:val="000000"/>
          <w:spacing w:val="0"/>
          <w:w w:val="100"/>
          <w:position w:val="0"/>
        </w:rPr>
        <w:t>（二十八）递延所得税资产和递延所得税负债</w:t>
      </w:r>
      <w:bookmarkEnd w:id="1125"/>
      <w:bookmarkEnd w:id="1126"/>
      <w:bookmarkEnd w:id="1127"/>
    </w:p>
    <w:p>
      <w:pPr>
        <w:pStyle w:val="Style16"/>
        <w:keepNext w:val="0"/>
        <w:keepLines w:val="0"/>
        <w:widowControl w:val="0"/>
        <w:shd w:val="clear" w:color="auto" w:fill="auto"/>
        <w:bidi w:val="0"/>
        <w:spacing w:before="0" w:after="0" w:line="411" w:lineRule="exact"/>
        <w:ind w:left="0" w:right="0" w:firstLine="440"/>
        <w:jc w:val="both"/>
      </w:pPr>
      <w:r>
        <w:rPr>
          <w:color w:val="000000"/>
          <w:spacing w:val="0"/>
          <w:w w:val="100"/>
          <w:position w:val="0"/>
        </w:rPr>
        <w:t>对于可抵扣暂时性差异确认递延所得税资产，以未来期间很可能取得的用来抵扣可抵扣 暂时性差异的应纳税所得额为限。对于能够结转以后年度的可抵扣亏损和税款抵减，以很可 能获得用来抵扣可抵扣亏损和税款抵减的未来应纳税所得额为限，确认相应的递延所得税资 产。</w:t>
      </w:r>
    </w:p>
    <w:p>
      <w:pPr>
        <w:pStyle w:val="Style16"/>
        <w:keepNext w:val="0"/>
        <w:keepLines w:val="0"/>
        <w:widowControl w:val="0"/>
        <w:shd w:val="clear" w:color="auto" w:fill="auto"/>
        <w:bidi w:val="0"/>
        <w:spacing w:before="0" w:after="0" w:line="409" w:lineRule="exact"/>
        <w:ind w:left="0" w:right="0" w:firstLine="440"/>
        <w:jc w:val="left"/>
      </w:pPr>
      <w:r>
        <w:rPr>
          <w:color w:val="000000"/>
          <w:spacing w:val="0"/>
          <w:w w:val="100"/>
          <w:position w:val="0"/>
        </w:rPr>
        <w:t>对于应纳税暂时性差异，除特殊情况外，确认递延所得税负债。</w:t>
      </w:r>
    </w:p>
    <w:p>
      <w:pPr>
        <w:pStyle w:val="Style16"/>
        <w:keepNext w:val="0"/>
        <w:keepLines w:val="0"/>
        <w:widowControl w:val="0"/>
        <w:shd w:val="clear" w:color="auto" w:fill="auto"/>
        <w:bidi w:val="0"/>
        <w:spacing w:before="0" w:after="0" w:line="410" w:lineRule="exact"/>
        <w:ind w:left="0" w:right="0" w:firstLine="440"/>
        <w:jc w:val="both"/>
      </w:pPr>
      <w:r>
        <w:rPr>
          <w:color w:val="000000"/>
          <w:spacing w:val="0"/>
          <w:w w:val="100"/>
          <w:position w:val="0"/>
        </w:rPr>
        <w:t>不确认递延所得税资产或递延所得税负债的特殊情况包括：商誉的初始确认；除企业合 并以外的发生时既不影响会计利润也不影响应纳税所得额（或可抵扣亏损）的其他交易或事 项。</w:t>
      </w:r>
    </w:p>
    <w:p>
      <w:pPr>
        <w:pStyle w:val="Style16"/>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当拥有以净额结算的法定权利，且意图以净额结算或取得资产、清偿负债同时进行时， 当期所得税资产及当期所得税负债以抵销后的净额列报。</w:t>
      </w:r>
    </w:p>
    <w:p>
      <w:pPr>
        <w:pStyle w:val="Style16"/>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当拥有以净额结算当期所得税资产及当期所得税负债的法定权利，且递延所得税资产及 递延所得税负债是与同一税收征管部门对同一纳税主体征收的所得税相关或者是对不同的 纳税主体相关，但在未来每一具有重要性的递延所得税资产及负债转回的期间内，涉及的纳 税主体意图以净额结算当期所得税资产和负债或是同时取得资产、清偿负债时，递延所得税</w:t>
      </w:r>
    </w:p>
    <w:p>
      <w:pPr>
        <w:pStyle w:val="Style16"/>
        <w:keepNext w:val="0"/>
        <w:keepLines w:val="0"/>
        <w:widowControl w:val="0"/>
        <w:shd w:val="clear" w:color="auto" w:fill="auto"/>
        <w:bidi w:val="0"/>
        <w:spacing w:before="0" w:after="0" w:line="413" w:lineRule="exact"/>
        <w:ind w:left="0" w:right="0" w:firstLine="0"/>
        <w:jc w:val="left"/>
      </w:pPr>
      <w:r>
        <w:rPr>
          <w:color w:val="000000"/>
          <w:spacing w:val="0"/>
          <w:w w:val="100"/>
          <w:position w:val="0"/>
        </w:rPr>
        <w:t>资产及递延所得税负债以抵销后的净额列报。</w:t>
      </w:r>
    </w:p>
    <w:p>
      <w:pPr>
        <w:pStyle w:val="Style37"/>
        <w:keepNext/>
        <w:keepLines/>
        <w:widowControl w:val="0"/>
        <w:shd w:val="clear" w:color="auto" w:fill="auto"/>
        <w:bidi w:val="0"/>
        <w:spacing w:before="0" w:after="0" w:line="413" w:lineRule="exact"/>
        <w:ind w:left="0" w:right="0" w:firstLine="360"/>
        <w:jc w:val="left"/>
      </w:pPr>
      <w:bookmarkStart w:id="1128" w:name="bookmark1128"/>
      <w:bookmarkStart w:id="1129" w:name="bookmark1129"/>
      <w:bookmarkStart w:id="1130" w:name="bookmark1130"/>
      <w:r>
        <w:rPr>
          <w:color w:val="000000"/>
          <w:spacing w:val="0"/>
          <w:w w:val="100"/>
          <w:position w:val="0"/>
        </w:rPr>
        <w:t>（二十九）租赁</w:t>
      </w:r>
      <w:bookmarkEnd w:id="1128"/>
      <w:bookmarkEnd w:id="1129"/>
      <w:bookmarkEnd w:id="1130"/>
    </w:p>
    <w:p>
      <w:pPr>
        <w:pStyle w:val="Style16"/>
        <w:keepNext w:val="0"/>
        <w:keepLines w:val="0"/>
        <w:widowControl w:val="0"/>
        <w:shd w:val="clear" w:color="auto" w:fill="auto"/>
        <w:bidi w:val="0"/>
        <w:spacing w:before="0" w:after="200" w:line="418" w:lineRule="exact"/>
        <w:ind w:left="0" w:right="0" w:firstLine="420"/>
        <w:jc w:val="left"/>
      </w:pPr>
      <w:r>
        <w:rPr>
          <w:color w:val="000000"/>
          <w:spacing w:val="0"/>
          <w:w w:val="100"/>
          <w:position w:val="0"/>
        </w:rPr>
        <w:t>如果租赁条款在实质上将与租赁资产所有权有关的全部风险和报酬转移给承租人，该租 赁为融资租赁，其他租赁则为经营租赁。</w:t>
      </w:r>
    </w:p>
    <w:p>
      <w:pPr>
        <w:pStyle w:val="Style51"/>
        <w:keepNext/>
        <w:keepLines/>
        <w:widowControl w:val="0"/>
        <w:numPr>
          <w:ilvl w:val="0"/>
          <w:numId w:val="65"/>
        </w:numPr>
        <w:shd w:val="clear" w:color="auto" w:fill="auto"/>
        <w:tabs>
          <w:tab w:pos="709" w:val="left"/>
        </w:tabs>
        <w:bidi w:val="0"/>
        <w:spacing w:before="0" w:after="0" w:line="432" w:lineRule="auto"/>
        <w:ind w:left="0" w:right="0" w:firstLine="360"/>
        <w:jc w:val="left"/>
      </w:pPr>
      <w:bookmarkStart w:id="1131" w:name="bookmark1131"/>
      <w:bookmarkStart w:id="1132" w:name="bookmark1132"/>
      <w:bookmarkStart w:id="1133" w:name="bookmark1133"/>
      <w:bookmarkStart w:id="1134" w:name="bookmark1134"/>
      <w:bookmarkEnd w:id="1133"/>
      <w:r>
        <w:rPr>
          <w:color w:val="000000"/>
          <w:spacing w:val="0"/>
          <w:w w:val="100"/>
          <w:position w:val="0"/>
        </w:rPr>
        <w:t>经营租赁会计处理</w:t>
      </w:r>
      <w:bookmarkEnd w:id="1131"/>
      <w:bookmarkEnd w:id="1132"/>
      <w:bookmarkEnd w:id="1134"/>
    </w:p>
    <w:p>
      <w:pPr>
        <w:pStyle w:val="Style16"/>
        <w:keepNext w:val="0"/>
        <w:keepLines w:val="0"/>
        <w:widowControl w:val="0"/>
        <w:shd w:val="clear" w:color="auto" w:fill="auto"/>
        <w:tabs>
          <w:tab w:pos="982" w:val="left"/>
        </w:tabs>
        <w:bidi w:val="0"/>
        <w:spacing w:before="0" w:after="0" w:line="413" w:lineRule="exact"/>
        <w:ind w:left="0" w:right="0" w:firstLine="420"/>
        <w:jc w:val="left"/>
      </w:pPr>
      <w:bookmarkStart w:id="1135" w:name="bookmark1135"/>
      <w:r>
        <w:rPr>
          <w:rFonts w:ascii="Courier New" w:eastAsia="Courier New" w:hAnsi="Courier New" w:cs="Courier New"/>
          <w:color w:val="000000"/>
          <w:spacing w:val="0"/>
          <w:w w:val="100"/>
          <w:position w:val="0"/>
          <w:sz w:val="32"/>
          <w:szCs w:val="32"/>
        </w:rPr>
        <w:t>（</w:t>
      </w:r>
      <w:bookmarkEnd w:id="1135"/>
      <w:r>
        <w:rPr>
          <w:rFonts w:ascii="Courier New" w:eastAsia="Courier New" w:hAnsi="Courier New" w:cs="Courier New"/>
          <w:color w:val="000000"/>
          <w:spacing w:val="0"/>
          <w:w w:val="100"/>
          <w:position w:val="0"/>
          <w:sz w:val="32"/>
          <w:szCs w:val="32"/>
        </w:rPr>
        <w:t>1）</w:t>
        <w:tab/>
      </w:r>
      <w:r>
        <w:rPr>
          <w:color w:val="000000"/>
          <w:spacing w:val="0"/>
          <w:w w:val="100"/>
          <w:position w:val="0"/>
        </w:rPr>
        <w:t>公司租入资产所支付的租赁费，在不扣除免租期的整个租赁期内，按直线法进 行分摊，计入当期费用。公司支付的与租赁交易相关的初始直接费用，计入当期费用。</w:t>
      </w:r>
    </w:p>
    <w:p>
      <w:pPr>
        <w:pStyle w:val="Style16"/>
        <w:keepNext w:val="0"/>
        <w:keepLines w:val="0"/>
        <w:widowControl w:val="0"/>
        <w:shd w:val="clear" w:color="auto" w:fill="auto"/>
        <w:bidi w:val="0"/>
        <w:spacing w:before="0" w:after="0" w:line="413" w:lineRule="exact"/>
        <w:ind w:left="0" w:right="0" w:firstLine="420"/>
        <w:jc w:val="left"/>
      </w:pPr>
      <w:r>
        <w:rPr>
          <w:color w:val="000000"/>
          <w:spacing w:val="0"/>
          <w:w w:val="100"/>
          <w:position w:val="0"/>
        </w:rPr>
        <w:t>资产出租方承担了应由公司承担的与租赁相关的费用时，公司将该部分费用从租金总额 中扣除，按扣除后的租金费用在租赁期内分摊，计入当期费用。</w:t>
      </w:r>
    </w:p>
    <w:p>
      <w:pPr>
        <w:pStyle w:val="Style16"/>
        <w:keepNext w:val="0"/>
        <w:keepLines w:val="0"/>
        <w:widowControl w:val="0"/>
        <w:shd w:val="clear" w:color="auto" w:fill="auto"/>
        <w:tabs>
          <w:tab w:pos="1021" w:val="left"/>
        </w:tabs>
        <w:bidi w:val="0"/>
        <w:spacing w:before="0" w:after="0" w:line="418" w:lineRule="exact"/>
        <w:ind w:left="0" w:right="0" w:firstLine="420"/>
        <w:jc w:val="left"/>
      </w:pPr>
      <w:bookmarkStart w:id="1136" w:name="bookmark1136"/>
      <w:r>
        <w:rPr>
          <w:color w:val="000000"/>
          <w:spacing w:val="0"/>
          <w:w w:val="100"/>
          <w:position w:val="0"/>
        </w:rPr>
        <w:t>（</w:t>
      </w:r>
      <w:bookmarkEnd w:id="1136"/>
      <w:r>
        <w:rPr>
          <w:rFonts w:ascii="Times New Roman" w:eastAsia="Times New Roman" w:hAnsi="Times New Roman" w:cs="Times New Roman"/>
          <w:color w:val="000000"/>
          <w:spacing w:val="0"/>
          <w:w w:val="100"/>
          <w:position w:val="0"/>
        </w:rPr>
        <w:t>2</w:t>
      </w:r>
      <w:r>
        <w:rPr>
          <w:color w:val="000000"/>
          <w:spacing w:val="0"/>
          <w:w w:val="100"/>
          <w:position w:val="0"/>
        </w:rPr>
        <w:t>）</w:t>
        <w:tab/>
        <w:t>公司出租资产所收取的租赁费，在不扣除免租期的整个租赁期内，按直线法进行 分摊，确认为租赁相关收入。公司支付的与租赁交易相关的初始直接费用，计入当期费用； 如金额较大的，则予以资本化，在整个租赁期间内按照与租赁相关收入确认相同的基础分期 计入当期收益。</w:t>
      </w:r>
    </w:p>
    <w:p>
      <w:pPr>
        <w:pStyle w:val="Style16"/>
        <w:keepNext w:val="0"/>
        <w:keepLines w:val="0"/>
        <w:widowControl w:val="0"/>
        <w:shd w:val="clear" w:color="auto" w:fill="auto"/>
        <w:bidi w:val="0"/>
        <w:spacing w:before="0" w:after="200" w:line="418" w:lineRule="exact"/>
        <w:ind w:left="0" w:right="0" w:firstLine="420"/>
        <w:jc w:val="left"/>
      </w:pPr>
      <w:r>
        <w:rPr>
          <w:color w:val="000000"/>
          <w:spacing w:val="0"/>
          <w:w w:val="100"/>
          <w:position w:val="0"/>
        </w:rPr>
        <w:t>公司承担了应由承租方承担的与租赁相关的费用时，公司将该部分费用从租金收入 总额中扣除，按扣除后的租金费用在租赁期内分配。</w:t>
      </w:r>
    </w:p>
    <w:p>
      <w:pPr>
        <w:pStyle w:val="Style51"/>
        <w:keepNext/>
        <w:keepLines/>
        <w:widowControl w:val="0"/>
        <w:numPr>
          <w:ilvl w:val="0"/>
          <w:numId w:val="65"/>
        </w:numPr>
        <w:shd w:val="clear" w:color="auto" w:fill="auto"/>
        <w:tabs>
          <w:tab w:pos="718" w:val="left"/>
        </w:tabs>
        <w:bidi w:val="0"/>
        <w:spacing w:before="0" w:after="0" w:line="432" w:lineRule="auto"/>
        <w:ind w:left="0" w:right="0" w:firstLine="360"/>
        <w:jc w:val="left"/>
      </w:pPr>
      <w:bookmarkStart w:id="1137" w:name="bookmark1137"/>
      <w:bookmarkStart w:id="1138" w:name="bookmark1138"/>
      <w:bookmarkStart w:id="1139" w:name="bookmark1139"/>
      <w:bookmarkStart w:id="1140" w:name="bookmark1140"/>
      <w:bookmarkEnd w:id="1139"/>
      <w:r>
        <w:rPr>
          <w:color w:val="000000"/>
          <w:spacing w:val="0"/>
          <w:w w:val="100"/>
          <w:position w:val="0"/>
        </w:rPr>
        <w:t>融资租赁会计处理</w:t>
      </w:r>
      <w:bookmarkEnd w:id="1137"/>
      <w:bookmarkEnd w:id="1138"/>
      <w:bookmarkEnd w:id="1140"/>
    </w:p>
    <w:p>
      <w:pPr>
        <w:pStyle w:val="Style16"/>
        <w:keepNext w:val="0"/>
        <w:keepLines w:val="0"/>
        <w:widowControl w:val="0"/>
        <w:shd w:val="clear" w:color="auto" w:fill="auto"/>
        <w:bidi w:val="0"/>
        <w:spacing w:before="0" w:after="0" w:line="413" w:lineRule="exact"/>
        <w:ind w:left="0" w:right="0" w:firstLine="360"/>
        <w:jc w:val="left"/>
      </w:pPr>
      <w:r>
        <w:rPr>
          <w:color w:val="000000"/>
          <w:spacing w:val="0"/>
          <w:w w:val="100"/>
          <w:position w:val="0"/>
        </w:rPr>
        <w:t>本报告期未发生融资租赁事项。</w:t>
      </w:r>
    </w:p>
    <w:p>
      <w:pPr>
        <w:pStyle w:val="Style37"/>
        <w:keepNext/>
        <w:keepLines/>
        <w:widowControl w:val="0"/>
        <w:shd w:val="clear" w:color="auto" w:fill="auto"/>
        <w:bidi w:val="0"/>
        <w:spacing w:before="0" w:after="0" w:line="413" w:lineRule="exact"/>
        <w:ind w:left="0" w:right="0" w:firstLine="360"/>
        <w:jc w:val="left"/>
      </w:pPr>
      <w:bookmarkStart w:id="1141" w:name="bookmark1141"/>
      <w:bookmarkStart w:id="1142" w:name="bookmark1142"/>
      <w:bookmarkStart w:id="1143" w:name="bookmark1143"/>
      <w:r>
        <w:rPr>
          <w:color w:val="000000"/>
          <w:spacing w:val="0"/>
          <w:w w:val="100"/>
          <w:position w:val="0"/>
        </w:rPr>
        <w:t>（三十）期货风险准备金</w:t>
      </w:r>
      <w:bookmarkEnd w:id="1141"/>
      <w:bookmarkEnd w:id="1142"/>
      <w:bookmarkEnd w:id="1143"/>
    </w:p>
    <w:p>
      <w:pPr>
        <w:pStyle w:val="Style16"/>
        <w:keepNext w:val="0"/>
        <w:keepLines w:val="0"/>
        <w:widowControl w:val="0"/>
        <w:shd w:val="clear" w:color="auto" w:fill="auto"/>
        <w:bidi w:val="0"/>
        <w:spacing w:before="0" w:after="0" w:line="413" w:lineRule="exact"/>
        <w:ind w:left="0" w:right="0" w:firstLine="360"/>
        <w:jc w:val="left"/>
      </w:pPr>
      <w:r>
        <w:rPr>
          <w:color w:val="000000"/>
          <w:spacing w:val="0"/>
          <w:w w:val="100"/>
          <w:position w:val="0"/>
        </w:rPr>
        <w:t>本公司控股子公司国盛期货有限责任公司按下列政策计提期货风险准备金：</w:t>
      </w:r>
    </w:p>
    <w:p>
      <w:pPr>
        <w:pStyle w:val="Style16"/>
        <w:keepNext w:val="0"/>
        <w:keepLines w:val="0"/>
        <w:widowControl w:val="0"/>
        <w:numPr>
          <w:ilvl w:val="0"/>
          <w:numId w:val="67"/>
        </w:numPr>
        <w:shd w:val="clear" w:color="auto" w:fill="auto"/>
        <w:bidi w:val="0"/>
        <w:spacing w:before="0" w:after="200" w:line="413" w:lineRule="exact"/>
        <w:ind w:left="0" w:right="0" w:firstLine="360"/>
        <w:jc w:val="left"/>
      </w:pPr>
      <w:bookmarkStart w:id="1144" w:name="bookmark1144"/>
      <w:bookmarkEnd w:id="1144"/>
      <w:r>
        <w:rPr>
          <w:color w:val="000000"/>
          <w:spacing w:val="0"/>
          <w:w w:val="100"/>
          <w:position w:val="0"/>
        </w:rPr>
        <w:t xml:space="preserve"> </w:t>
      </w:r>
      <w:r>
        <w:rPr>
          <w:color w:val="000000"/>
          <w:spacing w:val="0"/>
          <w:w w:val="100"/>
          <w:position w:val="0"/>
        </w:rPr>
        <w:t>期货风险准备金指按手续费净收入</w:t>
      </w:r>
      <w:r>
        <w:rPr>
          <w:rFonts w:ascii="Times New Roman" w:eastAsia="Times New Roman" w:hAnsi="Times New Roman" w:cs="Times New Roman"/>
          <w:color w:val="000000"/>
          <w:spacing w:val="0"/>
          <w:w w:val="100"/>
          <w:position w:val="0"/>
        </w:rPr>
        <w:t>5</w:t>
      </w:r>
      <w:r>
        <w:rPr>
          <w:color w:val="000000"/>
          <w:spacing w:val="0"/>
          <w:w w:val="100"/>
          <w:position w:val="0"/>
        </w:rPr>
        <w:t>%计提的期货风险准备金，计入当期损益。</w:t>
      </w:r>
    </w:p>
    <w:p>
      <w:pPr>
        <w:pStyle w:val="Style16"/>
        <w:keepNext w:val="0"/>
        <w:keepLines w:val="0"/>
        <w:widowControl w:val="0"/>
        <w:numPr>
          <w:ilvl w:val="0"/>
          <w:numId w:val="67"/>
        </w:numPr>
        <w:shd w:val="clear" w:color="auto" w:fill="auto"/>
        <w:tabs>
          <w:tab w:pos="706" w:val="left"/>
        </w:tabs>
        <w:bidi w:val="0"/>
        <w:spacing w:before="0" w:after="0" w:line="432" w:lineRule="auto"/>
        <w:ind w:left="0" w:right="0" w:firstLine="360"/>
        <w:jc w:val="left"/>
      </w:pPr>
      <w:bookmarkStart w:id="1145" w:name="bookmark1145"/>
      <w:bookmarkEnd w:id="1145"/>
      <w:r>
        <w:rPr>
          <w:color w:val="000000"/>
          <w:spacing w:val="0"/>
          <w:w w:val="100"/>
          <w:position w:val="0"/>
        </w:rPr>
        <w:t>风险损失的确认标准为：</w:t>
      </w:r>
    </w:p>
    <w:p>
      <w:pPr>
        <w:pStyle w:val="Style16"/>
        <w:keepNext w:val="0"/>
        <w:keepLines w:val="0"/>
        <w:widowControl w:val="0"/>
        <w:shd w:val="clear" w:color="auto" w:fill="auto"/>
        <w:tabs>
          <w:tab w:pos="848" w:val="left"/>
        </w:tabs>
        <w:bidi w:val="0"/>
        <w:spacing w:before="0" w:after="0" w:line="413" w:lineRule="exact"/>
        <w:ind w:left="0" w:right="0" w:firstLine="360"/>
        <w:jc w:val="left"/>
      </w:pPr>
      <w:bookmarkStart w:id="1146" w:name="bookmark1146"/>
      <w:r>
        <w:rPr>
          <w:color w:val="000000"/>
          <w:spacing w:val="0"/>
          <w:w w:val="100"/>
          <w:position w:val="0"/>
        </w:rPr>
        <w:t>（</w:t>
      </w:r>
      <w:bookmarkEnd w:id="1146"/>
      <w:r>
        <w:rPr>
          <w:rFonts w:ascii="Times New Roman" w:eastAsia="Times New Roman" w:hAnsi="Times New Roman" w:cs="Times New Roman"/>
          <w:color w:val="000000"/>
          <w:spacing w:val="0"/>
          <w:w w:val="100"/>
          <w:position w:val="0"/>
        </w:rPr>
        <w:t>1</w:t>
      </w:r>
      <w:r>
        <w:rPr>
          <w:color w:val="000000"/>
          <w:spacing w:val="0"/>
          <w:w w:val="100"/>
          <w:position w:val="0"/>
        </w:rPr>
        <w:t>）</w:t>
        <w:tab/>
        <w:t>因管理不严、错单交易等造成的应由公司承担的客户交易损失；</w:t>
      </w:r>
    </w:p>
    <w:p>
      <w:pPr>
        <w:pStyle w:val="Style16"/>
        <w:keepNext w:val="0"/>
        <w:keepLines w:val="0"/>
        <w:widowControl w:val="0"/>
        <w:shd w:val="clear" w:color="auto" w:fill="auto"/>
        <w:tabs>
          <w:tab w:pos="848" w:val="left"/>
        </w:tabs>
        <w:bidi w:val="0"/>
        <w:spacing w:before="0" w:after="0" w:line="413" w:lineRule="exact"/>
        <w:ind w:left="0" w:right="0" w:firstLine="360"/>
        <w:jc w:val="left"/>
      </w:pPr>
      <w:bookmarkStart w:id="1147" w:name="bookmark1147"/>
      <w:r>
        <w:rPr>
          <w:color w:val="000000"/>
          <w:spacing w:val="0"/>
          <w:w w:val="100"/>
          <w:position w:val="0"/>
        </w:rPr>
        <w:t>（</w:t>
      </w:r>
      <w:bookmarkEnd w:id="1147"/>
      <w:r>
        <w:rPr>
          <w:rFonts w:ascii="Times New Roman" w:eastAsia="Times New Roman" w:hAnsi="Times New Roman" w:cs="Times New Roman"/>
          <w:color w:val="000000"/>
          <w:spacing w:val="0"/>
          <w:w w:val="100"/>
          <w:position w:val="0"/>
        </w:rPr>
        <w:t>2</w:t>
      </w:r>
      <w:r>
        <w:rPr>
          <w:color w:val="000000"/>
          <w:spacing w:val="0"/>
          <w:w w:val="100"/>
          <w:position w:val="0"/>
        </w:rPr>
        <w:t>）</w:t>
        <w:tab/>
        <w:t>因穿仓等原因形成难以收回的风险损失款。</w:t>
      </w:r>
    </w:p>
    <w:p>
      <w:pPr>
        <w:pStyle w:val="Style16"/>
        <w:keepNext w:val="0"/>
        <w:keepLines w:val="0"/>
        <w:widowControl w:val="0"/>
        <w:shd w:val="clear" w:color="auto" w:fill="auto"/>
        <w:bidi w:val="0"/>
        <w:spacing w:before="0" w:after="0" w:line="413" w:lineRule="exact"/>
        <w:ind w:left="0" w:right="0" w:firstLine="360"/>
        <w:jc w:val="left"/>
      </w:pPr>
      <w:r>
        <w:rPr>
          <w:color w:val="000000"/>
          <w:spacing w:val="0"/>
          <w:w w:val="100"/>
          <w:position w:val="0"/>
        </w:rPr>
        <w:t>计提的期货风险准备金余额不足以弥补的损失金额计入当期损益。</w:t>
      </w:r>
    </w:p>
    <w:p>
      <w:pPr>
        <w:pStyle w:val="Style37"/>
        <w:keepNext/>
        <w:keepLines/>
        <w:widowControl w:val="0"/>
        <w:shd w:val="clear" w:color="auto" w:fill="auto"/>
        <w:bidi w:val="0"/>
        <w:spacing w:before="0" w:after="0" w:line="413" w:lineRule="exact"/>
        <w:ind w:left="0" w:right="0" w:firstLine="360"/>
        <w:jc w:val="left"/>
      </w:pPr>
      <w:bookmarkStart w:id="1148" w:name="bookmark1148"/>
      <w:bookmarkStart w:id="1149" w:name="bookmark1149"/>
      <w:bookmarkStart w:id="1150" w:name="bookmark1150"/>
      <w:r>
        <w:rPr>
          <w:color w:val="000000"/>
          <w:spacing w:val="0"/>
          <w:w w:val="100"/>
          <w:position w:val="0"/>
        </w:rPr>
        <w:t>（三十一）买入返售及卖出回购业务</w:t>
      </w:r>
      <w:bookmarkEnd w:id="1148"/>
      <w:bookmarkEnd w:id="1149"/>
      <w:bookmarkEnd w:id="1150"/>
    </w:p>
    <w:p>
      <w:pPr>
        <w:pStyle w:val="Style16"/>
        <w:keepNext w:val="0"/>
        <w:keepLines w:val="0"/>
        <w:widowControl w:val="0"/>
        <w:shd w:val="clear" w:color="auto" w:fill="auto"/>
        <w:bidi w:val="0"/>
        <w:spacing w:before="0" w:after="0" w:line="408" w:lineRule="exact"/>
        <w:ind w:left="0" w:right="0" w:firstLine="420"/>
        <w:jc w:val="left"/>
      </w:pPr>
      <w:r>
        <w:rPr>
          <w:color w:val="000000"/>
          <w:spacing w:val="0"/>
          <w:w w:val="100"/>
          <w:position w:val="0"/>
        </w:rPr>
        <w:t>本公司对买入返售交易，按照合同或协议的约定，以一定的价格向交易对手买入相 关资产（包括股票、债券和票据），同时约定本公司于未来某确定日期再以约定价格返售 相同之金融产品。买入返售按买入返售相关资产时实际支付的款项入账。</w:t>
      </w:r>
    </w:p>
    <w:p>
      <w:pPr>
        <w:pStyle w:val="Style16"/>
        <w:keepNext w:val="0"/>
        <w:keepLines w:val="0"/>
        <w:widowControl w:val="0"/>
        <w:shd w:val="clear" w:color="auto" w:fill="auto"/>
        <w:bidi w:val="0"/>
        <w:spacing w:before="0" w:after="0" w:line="411" w:lineRule="exact"/>
        <w:ind w:left="0" w:right="0" w:firstLine="420"/>
        <w:jc w:val="left"/>
      </w:pPr>
      <w:r>
        <w:rPr>
          <w:color w:val="000000"/>
          <w:spacing w:val="0"/>
          <w:w w:val="100"/>
          <w:position w:val="0"/>
        </w:rPr>
        <w:t>本公司对于卖出回购交易，按照合同或协议的约定，以一定的价格将相关的资产（包 括股票、债券和票据）出售给交易对手，同时约定本公司于未来某确定日期再以约定价 格回购相同之金融产品。卖出回购按卖出回购相关资产时实际收到的款项入账。卖出的 金融产品仍按原分类列示于本公司的资产负债表内，并按照相关的会计政策核算。</w:t>
      </w:r>
    </w:p>
    <w:p>
      <w:pPr>
        <w:pStyle w:val="Style16"/>
        <w:keepNext w:val="0"/>
        <w:keepLines w:val="0"/>
        <w:widowControl w:val="0"/>
        <w:shd w:val="clear" w:color="auto" w:fill="auto"/>
        <w:bidi w:val="0"/>
        <w:spacing w:before="0" w:after="0" w:line="398" w:lineRule="exact"/>
        <w:ind w:left="0" w:right="0" w:firstLine="440"/>
        <w:jc w:val="both"/>
      </w:pPr>
      <w:r>
        <w:rPr>
          <w:color w:val="000000"/>
          <w:spacing w:val="0"/>
          <w:w w:val="100"/>
          <w:position w:val="0"/>
        </w:rPr>
        <w:t>买入返售金融资产中，涉及向客户融出资金的，以预期信用损失为基础计提减值准备。 详见本附注四、“（十）金融工具”之“</w:t>
      </w:r>
      <w:r>
        <w:rPr>
          <w:rFonts w:ascii="Times New Roman" w:eastAsia="Times New Roman" w:hAnsi="Times New Roman" w:cs="Times New Roman"/>
          <w:color w:val="000000"/>
          <w:spacing w:val="0"/>
          <w:w w:val="100"/>
          <w:position w:val="0"/>
        </w:rPr>
        <w:t>6</w:t>
      </w:r>
      <w:r>
        <w:rPr>
          <w:color w:val="000000"/>
          <w:spacing w:val="0"/>
          <w:w w:val="100"/>
          <w:position w:val="0"/>
        </w:rPr>
        <w:t>、金融资产减值的测试方法及会计处理方法。</w:t>
      </w:r>
    </w:p>
    <w:p>
      <w:pPr>
        <w:pStyle w:val="Style37"/>
        <w:keepNext/>
        <w:keepLines/>
        <w:widowControl w:val="0"/>
        <w:shd w:val="clear" w:color="auto" w:fill="auto"/>
        <w:bidi w:val="0"/>
        <w:spacing w:before="0" w:after="0" w:line="409" w:lineRule="exact"/>
        <w:ind w:left="0" w:right="0" w:firstLine="440"/>
        <w:jc w:val="both"/>
      </w:pPr>
      <w:bookmarkStart w:id="1151" w:name="bookmark1151"/>
      <w:bookmarkStart w:id="1152" w:name="bookmark1152"/>
      <w:bookmarkStart w:id="1153" w:name="bookmark1153"/>
      <w:r>
        <w:rPr>
          <w:color w:val="000000"/>
          <w:spacing w:val="0"/>
          <w:w w:val="100"/>
          <w:position w:val="0"/>
        </w:rPr>
        <w:t>（三十二）证券承销业务</w:t>
      </w:r>
      <w:bookmarkEnd w:id="1151"/>
      <w:bookmarkEnd w:id="1152"/>
      <w:bookmarkEnd w:id="1153"/>
    </w:p>
    <w:p>
      <w:pPr>
        <w:pStyle w:val="Style16"/>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公司证券承销业务分为全额包销、余额包销、代销方式。公司以全额包销方式进行承销 业务的，在按承销价格购入待发售的证券时，确认为一项资产;公司将证券转让给投资者时， 按承销价格确认为证券承销收入，按已承销证券的承销价格结转承销证券的成本。承销期结 束后，如有未售出的证券，按承购价转为公司的交易性金融资产、债权投资、其他债权投资 等。公司以余额包销方式进行承销业务的，在收到委托单位发售的证券时，只在专设的备查 账簿中登记承销证券的情况，承销期结束后，如有未售出的证券，按约定的承购价格转为公 司的交易性金融资产、债权投资、其他债权投资等。公司以代销方式进行承销业务的，在收 到委托单位发售的证券时，只在专设的备查账簿中登记承销证券的情况。公司承销证券的手 续费收入，在承销业务提供的相关服务完成时确认为收入。</w:t>
      </w:r>
    </w:p>
    <w:p>
      <w:pPr>
        <w:pStyle w:val="Style37"/>
        <w:keepNext/>
        <w:keepLines/>
        <w:widowControl w:val="0"/>
        <w:shd w:val="clear" w:color="auto" w:fill="auto"/>
        <w:bidi w:val="0"/>
        <w:spacing w:before="0" w:after="0" w:line="409" w:lineRule="exact"/>
        <w:ind w:left="0" w:right="0" w:firstLine="440"/>
        <w:jc w:val="both"/>
      </w:pPr>
      <w:bookmarkStart w:id="1154" w:name="bookmark1154"/>
      <w:bookmarkStart w:id="1155" w:name="bookmark1155"/>
      <w:bookmarkStart w:id="1156" w:name="bookmark1156"/>
      <w:r>
        <w:rPr>
          <w:color w:val="000000"/>
          <w:spacing w:val="0"/>
          <w:w w:val="100"/>
          <w:position w:val="0"/>
        </w:rPr>
        <w:t>（三十三）受托投资管理业务</w:t>
      </w:r>
      <w:bookmarkEnd w:id="1154"/>
      <w:bookmarkEnd w:id="1155"/>
      <w:bookmarkEnd w:id="1156"/>
    </w:p>
    <w:p>
      <w:pPr>
        <w:pStyle w:val="Style16"/>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本公司受托投资管理业务，按受托的款项同时确认为资产和负债，在表外进行核算。使 用受托资金进行证券买卖时，通过受托资产科目进行会计核算。</w:t>
      </w:r>
    </w:p>
    <w:p>
      <w:pPr>
        <w:pStyle w:val="Style16"/>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本公司开展的受托投资管理业务包括集合资产管理业务和专项资产管理业务。为满足集 合资产管理业务和专项资产管理业务信息披露要求,本公司参照证券投资基金会计核算办法, 对本公司开展集合资产管理业务和专项资产管理业务单独进行财务核算和编制财务报表。</w:t>
      </w:r>
    </w:p>
    <w:p>
      <w:pPr>
        <w:pStyle w:val="Style37"/>
        <w:keepNext/>
        <w:keepLines/>
        <w:widowControl w:val="0"/>
        <w:shd w:val="clear" w:color="auto" w:fill="auto"/>
        <w:bidi w:val="0"/>
        <w:spacing w:before="0" w:after="0" w:line="409" w:lineRule="exact"/>
        <w:ind w:left="0" w:right="0" w:firstLine="440"/>
        <w:jc w:val="both"/>
      </w:pPr>
      <w:bookmarkStart w:id="1157" w:name="bookmark1157"/>
      <w:bookmarkStart w:id="1158" w:name="bookmark1158"/>
      <w:bookmarkStart w:id="1159" w:name="bookmark1159"/>
      <w:r>
        <w:rPr>
          <w:color w:val="000000"/>
          <w:spacing w:val="0"/>
          <w:w w:val="100"/>
          <w:position w:val="0"/>
        </w:rPr>
        <w:t>（三十四）融资融券业务</w:t>
      </w:r>
      <w:bookmarkEnd w:id="1157"/>
      <w:bookmarkEnd w:id="1158"/>
      <w:bookmarkEnd w:id="1159"/>
    </w:p>
    <w:p>
      <w:pPr>
        <w:pStyle w:val="Style16"/>
        <w:keepNext w:val="0"/>
        <w:keepLines w:val="0"/>
        <w:widowControl w:val="0"/>
        <w:shd w:val="clear" w:color="auto" w:fill="auto"/>
        <w:bidi w:val="0"/>
        <w:spacing w:before="0" w:after="0" w:line="409" w:lineRule="exact"/>
        <w:ind w:left="0" w:right="0" w:firstLine="440"/>
        <w:jc w:val="left"/>
      </w:pPr>
      <w:r>
        <w:rPr>
          <w:color w:val="000000"/>
          <w:spacing w:val="0"/>
          <w:w w:val="100"/>
          <w:position w:val="0"/>
        </w:rPr>
        <w:t>融资融券业务，分为融资业务和融券业务两类。</w:t>
      </w:r>
    </w:p>
    <w:p>
      <w:pPr>
        <w:pStyle w:val="Style16"/>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本公司对融出的资金确认应收债权，并确认相应利息收入；对融出的自有证券，不终止 确认该证券，并确认相应利息收入；对客户融资融券并代客户买卖证券时，作为证券经纪业 务进行会计处理。</w:t>
      </w:r>
    </w:p>
    <w:p>
      <w:pPr>
        <w:pStyle w:val="Style16"/>
        <w:keepNext w:val="0"/>
        <w:keepLines w:val="0"/>
        <w:widowControl w:val="0"/>
        <w:shd w:val="clear" w:color="auto" w:fill="auto"/>
        <w:bidi w:val="0"/>
        <w:spacing w:before="0" w:after="0" w:line="403" w:lineRule="exact"/>
        <w:ind w:left="0" w:right="0" w:firstLine="440"/>
        <w:jc w:val="both"/>
      </w:pPr>
      <w:r>
        <w:rPr>
          <w:color w:val="000000"/>
          <w:spacing w:val="0"/>
          <w:w w:val="100"/>
          <w:position w:val="0"/>
        </w:rPr>
        <w:t>公司对融资类业务以预期信用损失为基础计提减值准备。详见本附注四、“（十）金融工 具”之“</w:t>
      </w:r>
      <w:r>
        <w:rPr>
          <w:rFonts w:ascii="Times New Roman" w:eastAsia="Times New Roman" w:hAnsi="Times New Roman" w:cs="Times New Roman"/>
          <w:color w:val="000000"/>
          <w:spacing w:val="0"/>
          <w:w w:val="100"/>
          <w:position w:val="0"/>
        </w:rPr>
        <w:t>6</w:t>
      </w:r>
      <w:r>
        <w:rPr>
          <w:color w:val="000000"/>
          <w:spacing w:val="0"/>
          <w:w w:val="100"/>
          <w:position w:val="0"/>
        </w:rPr>
        <w:t>、金融资产减值的测试方法及会计处理方法”。</w:t>
      </w:r>
    </w:p>
    <w:p>
      <w:pPr>
        <w:pStyle w:val="Style37"/>
        <w:keepNext/>
        <w:keepLines/>
        <w:widowControl w:val="0"/>
        <w:shd w:val="clear" w:color="auto" w:fill="auto"/>
        <w:bidi w:val="0"/>
        <w:spacing w:before="0" w:after="0" w:line="409" w:lineRule="exact"/>
        <w:ind w:left="0" w:right="0" w:firstLine="440"/>
        <w:jc w:val="both"/>
      </w:pPr>
      <w:bookmarkStart w:id="1160" w:name="bookmark1160"/>
      <w:bookmarkStart w:id="1161" w:name="bookmark1161"/>
      <w:bookmarkStart w:id="1162" w:name="bookmark1162"/>
      <w:r>
        <w:rPr>
          <w:color w:val="000000"/>
          <w:spacing w:val="0"/>
          <w:w w:val="100"/>
          <w:position w:val="0"/>
        </w:rPr>
        <w:t>（三十五）转融通业务</w:t>
      </w:r>
      <w:bookmarkEnd w:id="1160"/>
      <w:bookmarkEnd w:id="1161"/>
      <w:bookmarkEnd w:id="1162"/>
    </w:p>
    <w:p>
      <w:pPr>
        <w:pStyle w:val="Style16"/>
        <w:keepNext w:val="0"/>
        <w:keepLines w:val="0"/>
        <w:widowControl w:val="0"/>
        <w:shd w:val="clear" w:color="auto" w:fill="auto"/>
        <w:bidi w:val="0"/>
        <w:spacing w:before="0" w:after="0" w:line="408" w:lineRule="exact"/>
        <w:ind w:left="0" w:right="0" w:firstLine="440"/>
        <w:jc w:val="both"/>
      </w:pPr>
      <w:r>
        <w:rPr>
          <w:color w:val="000000"/>
          <w:spacing w:val="0"/>
          <w:w w:val="100"/>
          <w:position w:val="0"/>
        </w:rPr>
        <w:t>转融通业务，是指证券金融公司将自有或者依法筹集的资金和证券出借给本公司，以供 本公司办理融资融券业务的经营活动。转融通业务分为转融资业务和转融券业务。</w:t>
      </w:r>
    </w:p>
    <w:p>
      <w:pPr>
        <w:pStyle w:val="Style16"/>
        <w:keepNext w:val="0"/>
        <w:keepLines w:val="0"/>
        <w:widowControl w:val="0"/>
        <w:shd w:val="clear" w:color="auto" w:fill="auto"/>
        <w:bidi w:val="0"/>
        <w:spacing w:before="0" w:after="0" w:line="409" w:lineRule="exact"/>
        <w:ind w:left="0" w:right="0" w:firstLine="440"/>
        <w:jc w:val="left"/>
      </w:pPr>
      <w:r>
        <w:rPr>
          <w:color w:val="000000"/>
          <w:spacing w:val="0"/>
          <w:w w:val="100"/>
          <w:position w:val="0"/>
        </w:rPr>
        <w:t>本公司对于融入的资金确认一项对出借方的负债，并确认相应的利息费用。</w:t>
      </w:r>
    </w:p>
    <w:p>
      <w:pPr>
        <w:pStyle w:val="Style16"/>
        <w:keepNext w:val="0"/>
        <w:keepLines w:val="0"/>
        <w:widowControl w:val="0"/>
        <w:shd w:val="clear" w:color="auto" w:fill="auto"/>
        <w:bidi w:val="0"/>
        <w:spacing w:before="0" w:after="0" w:line="418" w:lineRule="exact"/>
        <w:ind w:left="0" w:right="0" w:firstLine="440"/>
        <w:jc w:val="left"/>
      </w:pPr>
      <w:r>
        <w:rPr>
          <w:color w:val="000000"/>
          <w:spacing w:val="0"/>
          <w:w w:val="100"/>
          <w:position w:val="0"/>
        </w:rPr>
        <w:t>本公司对于融入的证券，由于其主要收益或风险不由本公司享有或承担，不确认该证券， 但确认相应的利息费用。</w:t>
      </w:r>
    </w:p>
    <w:p>
      <w:pPr>
        <w:pStyle w:val="Style37"/>
        <w:keepNext/>
        <w:keepLines/>
        <w:widowControl w:val="0"/>
        <w:shd w:val="clear" w:color="auto" w:fill="auto"/>
        <w:bidi w:val="0"/>
        <w:spacing w:before="0" w:after="220" w:line="418" w:lineRule="exact"/>
        <w:ind w:left="0" w:right="0" w:firstLine="440"/>
        <w:jc w:val="left"/>
      </w:pPr>
      <w:bookmarkStart w:id="1163" w:name="bookmark1163"/>
      <w:bookmarkStart w:id="1164" w:name="bookmark1164"/>
      <w:bookmarkStart w:id="1165" w:name="bookmark1165"/>
      <w:r>
        <w:rPr>
          <w:color w:val="000000"/>
          <w:spacing w:val="0"/>
          <w:w w:val="100"/>
          <w:position w:val="0"/>
        </w:rPr>
        <w:t>（三十六）期货业务核算方法</w:t>
      </w:r>
      <w:bookmarkEnd w:id="1163"/>
      <w:bookmarkEnd w:id="1164"/>
      <w:bookmarkEnd w:id="1165"/>
    </w:p>
    <w:p>
      <w:pPr>
        <w:pStyle w:val="Style16"/>
        <w:keepNext w:val="0"/>
        <w:keepLines w:val="0"/>
        <w:widowControl w:val="0"/>
        <w:shd w:val="clear" w:color="auto" w:fill="auto"/>
        <w:bidi w:val="0"/>
        <w:spacing w:before="0" w:after="0" w:line="240" w:lineRule="auto"/>
        <w:ind w:left="0" w:right="0" w:firstLine="440"/>
        <w:jc w:val="left"/>
      </w:pPr>
      <w:r>
        <w:rPr>
          <w:color w:val="000000"/>
          <w:spacing w:val="0"/>
          <w:w w:val="100"/>
          <w:position w:val="0"/>
        </w:rPr>
        <w:t xml:space="preserve">客户下达期货交易指令并成交之后，公司根据代理合同书拟定的收费标准，确认手续费 </w:t>
      </w:r>
      <w:r>
        <w:rPr>
          <w:color w:val="000000"/>
          <w:spacing w:val="0"/>
          <w:w w:val="100"/>
          <w:position w:val="0"/>
        </w:rPr>
        <w:t>收入，并直接在客户保证金账户中结算扣除。</w:t>
      </w:r>
    </w:p>
    <w:p>
      <w:pPr>
        <w:pStyle w:val="Style37"/>
        <w:keepNext/>
        <w:keepLines/>
        <w:widowControl w:val="0"/>
        <w:shd w:val="clear" w:color="auto" w:fill="auto"/>
        <w:bidi w:val="0"/>
        <w:spacing w:before="0" w:after="0" w:line="412" w:lineRule="exact"/>
        <w:ind w:left="0" w:right="0" w:firstLine="440"/>
        <w:jc w:val="both"/>
      </w:pPr>
      <w:bookmarkStart w:id="1166" w:name="bookmark1166"/>
      <w:bookmarkStart w:id="1167" w:name="bookmark1167"/>
      <w:bookmarkStart w:id="1168" w:name="bookmark1168"/>
      <w:r>
        <w:rPr>
          <w:color w:val="000000"/>
          <w:spacing w:val="0"/>
          <w:w w:val="100"/>
          <w:position w:val="0"/>
        </w:rPr>
        <w:t>（三十七）客户交易结算资金的核算方法</w:t>
      </w:r>
      <w:bookmarkEnd w:id="1166"/>
      <w:bookmarkEnd w:id="1167"/>
      <w:bookmarkEnd w:id="1168"/>
    </w:p>
    <w:p>
      <w:pPr>
        <w:pStyle w:val="Style16"/>
        <w:keepNext w:val="0"/>
        <w:keepLines w:val="0"/>
        <w:widowControl w:val="0"/>
        <w:shd w:val="clear" w:color="auto" w:fill="auto"/>
        <w:tabs>
          <w:tab w:pos="1021" w:val="left"/>
        </w:tabs>
        <w:bidi w:val="0"/>
        <w:spacing w:before="0" w:after="0" w:line="408" w:lineRule="exact"/>
        <w:ind w:left="0" w:right="0" w:firstLine="440"/>
        <w:jc w:val="both"/>
      </w:pPr>
      <w:bookmarkStart w:id="1169" w:name="bookmark1169"/>
      <w:r>
        <w:rPr>
          <w:color w:val="000000"/>
          <w:spacing w:val="0"/>
          <w:w w:val="100"/>
          <w:position w:val="0"/>
        </w:rPr>
        <w:t>（</w:t>
      </w:r>
      <w:bookmarkEnd w:id="1169"/>
      <w:r>
        <w:rPr>
          <w:rFonts w:ascii="Times New Roman" w:eastAsia="Times New Roman" w:hAnsi="Times New Roman" w:cs="Times New Roman"/>
          <w:color w:val="000000"/>
          <w:spacing w:val="0"/>
          <w:w w:val="100"/>
          <w:position w:val="0"/>
        </w:rPr>
        <w:t>1</w:t>
      </w:r>
      <w:r>
        <w:rPr>
          <w:color w:val="000000"/>
          <w:spacing w:val="0"/>
          <w:w w:val="100"/>
          <w:position w:val="0"/>
        </w:rPr>
        <w:t>）</w:t>
        <w:tab/>
        <w:t>公司代理客户买卖收到的代理买卖证券款，全额存入公司指定的银行账户，同时 确认为一项负债，与客户进行相关的结算。</w:t>
      </w:r>
    </w:p>
    <w:p>
      <w:pPr>
        <w:pStyle w:val="Style16"/>
        <w:keepNext w:val="0"/>
        <w:keepLines w:val="0"/>
        <w:widowControl w:val="0"/>
        <w:shd w:val="clear" w:color="auto" w:fill="auto"/>
        <w:tabs>
          <w:tab w:pos="1021" w:val="left"/>
        </w:tabs>
        <w:bidi w:val="0"/>
        <w:spacing w:before="0" w:after="0" w:line="412" w:lineRule="exact"/>
        <w:ind w:left="0" w:right="0" w:firstLine="440"/>
        <w:jc w:val="both"/>
      </w:pPr>
      <w:bookmarkStart w:id="1170" w:name="bookmark1170"/>
      <w:r>
        <w:rPr>
          <w:color w:val="000000"/>
          <w:spacing w:val="0"/>
          <w:w w:val="100"/>
          <w:position w:val="0"/>
        </w:rPr>
        <w:t>（</w:t>
      </w:r>
      <w:bookmarkEnd w:id="1170"/>
      <w:r>
        <w:rPr>
          <w:rFonts w:ascii="Times New Roman" w:eastAsia="Times New Roman" w:hAnsi="Times New Roman" w:cs="Times New Roman"/>
          <w:color w:val="000000"/>
          <w:spacing w:val="0"/>
          <w:w w:val="100"/>
          <w:position w:val="0"/>
        </w:rPr>
        <w:t>2</w:t>
      </w:r>
      <w:r>
        <w:rPr>
          <w:color w:val="000000"/>
          <w:spacing w:val="0"/>
          <w:w w:val="100"/>
          <w:position w:val="0"/>
        </w:rPr>
        <w:t>）</w:t>
        <w:tab/>
        <w:t>公司接受客户委托通过证券交易所代理买卖证券，与客户清算时如买入证券成交 总额大于卖出证券成交总额，按清算日买卖证券成交价的差额，加代扣代缴的印花税和应向 客户收取的佣金等手续费减少客户交易结算资金；如买入证券成交总额小于卖出证券成交总 额，按清算日买卖证券成交价的差额，减代扣代缴的印花税和应向客户收取的佣金等手续费 增加客户交易结算资金。</w:t>
      </w:r>
    </w:p>
    <w:p>
      <w:pPr>
        <w:pStyle w:val="Style16"/>
        <w:keepNext w:val="0"/>
        <w:keepLines w:val="0"/>
        <w:widowControl w:val="0"/>
        <w:shd w:val="clear" w:color="auto" w:fill="auto"/>
        <w:bidi w:val="0"/>
        <w:spacing w:before="0" w:after="0" w:line="412" w:lineRule="exact"/>
        <w:ind w:left="0" w:right="0" w:firstLine="440"/>
        <w:jc w:val="both"/>
      </w:pPr>
      <w:r>
        <w:rPr>
          <w:color w:val="000000"/>
          <w:spacing w:val="0"/>
          <w:w w:val="100"/>
          <w:position w:val="0"/>
        </w:rPr>
        <w:t>公司代理客户买卖证券的手续费收入，在证券买卖的交易日确认收入。</w:t>
      </w:r>
    </w:p>
    <w:p>
      <w:pPr>
        <w:pStyle w:val="Style37"/>
        <w:keepNext/>
        <w:keepLines/>
        <w:widowControl w:val="0"/>
        <w:shd w:val="clear" w:color="auto" w:fill="auto"/>
        <w:bidi w:val="0"/>
        <w:spacing w:before="0" w:after="200" w:line="412" w:lineRule="exact"/>
        <w:ind w:left="0" w:right="0" w:firstLine="440"/>
        <w:jc w:val="left"/>
      </w:pPr>
      <w:bookmarkStart w:id="1171" w:name="bookmark1171"/>
      <w:bookmarkStart w:id="1172" w:name="bookmark1172"/>
      <w:bookmarkStart w:id="1173" w:name="bookmark1173"/>
      <w:r>
        <w:rPr>
          <w:color w:val="000000"/>
          <w:spacing w:val="0"/>
          <w:w w:val="100"/>
          <w:position w:val="0"/>
        </w:rPr>
        <w:t>（三十八）一般风险准备金和交易风险准备金</w:t>
      </w:r>
      <w:bookmarkEnd w:id="1171"/>
      <w:bookmarkEnd w:id="1172"/>
      <w:bookmarkEnd w:id="1173"/>
    </w:p>
    <w:p>
      <w:pPr>
        <w:pStyle w:val="Style16"/>
        <w:keepNext w:val="0"/>
        <w:keepLines w:val="0"/>
        <w:widowControl w:val="0"/>
        <w:numPr>
          <w:ilvl w:val="0"/>
          <w:numId w:val="69"/>
        </w:numPr>
        <w:shd w:val="clear" w:color="auto" w:fill="auto"/>
        <w:tabs>
          <w:tab w:pos="760" w:val="left"/>
        </w:tabs>
        <w:bidi w:val="0"/>
        <w:spacing w:before="0" w:after="0" w:line="430" w:lineRule="auto"/>
        <w:ind w:left="0" w:right="0" w:firstLine="440"/>
        <w:jc w:val="both"/>
      </w:pPr>
      <w:bookmarkStart w:id="1174" w:name="bookmark1174"/>
      <w:bookmarkEnd w:id="1174"/>
      <w:r>
        <w:rPr>
          <w:color w:val="000000"/>
          <w:spacing w:val="0"/>
          <w:w w:val="100"/>
          <w:position w:val="0"/>
        </w:rPr>
        <w:t>一般风险准备金</w:t>
      </w:r>
    </w:p>
    <w:p>
      <w:pPr>
        <w:pStyle w:val="Style16"/>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本公司根据财政部颁布的《金融企业财务规则》及其实施指南和中国证券监督管理委员 会《关于证券公司</w:t>
      </w:r>
      <w:r>
        <w:rPr>
          <w:rFonts w:ascii="Times New Roman" w:eastAsia="Times New Roman" w:hAnsi="Times New Roman" w:cs="Times New Roman"/>
          <w:color w:val="000000"/>
          <w:spacing w:val="0"/>
          <w:w w:val="100"/>
          <w:position w:val="0"/>
        </w:rPr>
        <w:t>2007</w:t>
      </w:r>
      <w:r>
        <w:rPr>
          <w:color w:val="000000"/>
          <w:spacing w:val="0"/>
          <w:w w:val="100"/>
          <w:position w:val="0"/>
        </w:rPr>
        <w:t>年年度工作的通知》（证监机构字（</w:t>
      </w:r>
      <w:r>
        <w:rPr>
          <w:rFonts w:ascii="Times New Roman" w:eastAsia="Times New Roman" w:hAnsi="Times New Roman" w:cs="Times New Roman"/>
          <w:color w:val="000000"/>
          <w:spacing w:val="0"/>
          <w:w w:val="100"/>
          <w:position w:val="0"/>
        </w:rPr>
        <w:t>2007</w:t>
      </w:r>
      <w:r>
        <w:rPr>
          <w:color w:val="000000"/>
          <w:spacing w:val="0"/>
          <w:w w:val="100"/>
          <w:position w:val="0"/>
        </w:rPr>
        <w:t xml:space="preserve">） </w:t>
      </w:r>
      <w:r>
        <w:rPr>
          <w:rFonts w:ascii="Times New Roman" w:eastAsia="Times New Roman" w:hAnsi="Times New Roman" w:cs="Times New Roman"/>
          <w:color w:val="000000"/>
          <w:spacing w:val="0"/>
          <w:w w:val="100"/>
          <w:position w:val="0"/>
        </w:rPr>
        <w:t>320</w:t>
      </w:r>
      <w:r>
        <w:rPr>
          <w:color w:val="000000"/>
          <w:spacing w:val="0"/>
          <w:w w:val="100"/>
          <w:position w:val="0"/>
        </w:rPr>
        <w:t>号）的规定，按相 关公司当年税后利润的</w:t>
      </w:r>
      <w:r>
        <w:rPr>
          <w:rFonts w:ascii="Times New Roman" w:eastAsia="Times New Roman" w:hAnsi="Times New Roman" w:cs="Times New Roman"/>
          <w:color w:val="000000"/>
          <w:spacing w:val="0"/>
          <w:w w:val="100"/>
          <w:position w:val="0"/>
        </w:rPr>
        <w:t>10</w:t>
      </w:r>
      <w:r>
        <w:rPr>
          <w:color w:val="000000"/>
          <w:spacing w:val="0"/>
          <w:w w:val="100"/>
          <w:position w:val="0"/>
        </w:rPr>
        <w:t>%提取。</w:t>
      </w:r>
    </w:p>
    <w:p>
      <w:pPr>
        <w:pStyle w:val="Style16"/>
        <w:keepNext w:val="0"/>
        <w:keepLines w:val="0"/>
        <w:widowControl w:val="0"/>
        <w:shd w:val="clear" w:color="auto" w:fill="auto"/>
        <w:bidi w:val="0"/>
        <w:spacing w:before="0" w:after="200" w:line="411" w:lineRule="exact"/>
        <w:ind w:left="0" w:right="0" w:firstLine="440"/>
        <w:jc w:val="both"/>
      </w:pPr>
      <w:r>
        <w:rPr>
          <w:color w:val="000000"/>
          <w:spacing w:val="0"/>
          <w:w w:val="100"/>
          <w:position w:val="0"/>
        </w:rPr>
        <w:t xml:space="preserve">本公司根据《证券投资基金法》、《证券投资基金管理公司管理办法》及中国证券监督管 理委员会《关于基金管理公司提取风险准备金有关问题的通知》及修改决定（证监基金字 </w:t>
      </w:r>
      <w:r>
        <w:rPr>
          <w:color w:val="000000"/>
          <w:spacing w:val="0"/>
          <w:w w:val="100"/>
          <w:position w:val="0"/>
        </w:rPr>
        <w:t>[</w:t>
      </w:r>
      <w:r>
        <w:rPr>
          <w:rFonts w:ascii="Times New Roman" w:eastAsia="Times New Roman" w:hAnsi="Times New Roman" w:cs="Times New Roman"/>
          <w:color w:val="000000"/>
          <w:spacing w:val="0"/>
          <w:w w:val="100"/>
          <w:position w:val="0"/>
        </w:rPr>
        <w:t>2006</w:t>
      </w:r>
      <w:r>
        <w:rPr>
          <w:color w:val="000000"/>
          <w:spacing w:val="0"/>
          <w:w w:val="100"/>
          <w:position w:val="0"/>
        </w:rPr>
        <w:t xml:space="preserve">] </w:t>
      </w:r>
      <w:r>
        <w:rPr>
          <w:rFonts w:ascii="Times New Roman" w:eastAsia="Times New Roman" w:hAnsi="Times New Roman" w:cs="Times New Roman"/>
          <w:color w:val="000000"/>
          <w:spacing w:val="0"/>
          <w:w w:val="100"/>
          <w:position w:val="0"/>
        </w:rPr>
        <w:t>154</w:t>
      </w:r>
      <w:r>
        <w:rPr>
          <w:color w:val="000000"/>
          <w:spacing w:val="0"/>
          <w:w w:val="100"/>
          <w:position w:val="0"/>
        </w:rPr>
        <w:t>号及证监会公告[</w:t>
      </w:r>
      <w:r>
        <w:rPr>
          <w:rFonts w:ascii="Times New Roman" w:eastAsia="Times New Roman" w:hAnsi="Times New Roman" w:cs="Times New Roman"/>
          <w:color w:val="000000"/>
          <w:spacing w:val="0"/>
          <w:w w:val="100"/>
          <w:position w:val="0"/>
        </w:rPr>
        <w:t>2008</w:t>
      </w:r>
      <w:r>
        <w:rPr>
          <w:color w:val="000000"/>
          <w:spacing w:val="0"/>
          <w:w w:val="100"/>
          <w:position w:val="0"/>
        </w:rPr>
        <w:t>]</w:t>
      </w:r>
      <w:r>
        <w:rPr>
          <w:rFonts w:ascii="Times New Roman" w:eastAsia="Times New Roman" w:hAnsi="Times New Roman" w:cs="Times New Roman"/>
          <w:color w:val="000000"/>
          <w:spacing w:val="0"/>
          <w:w w:val="100"/>
          <w:position w:val="0"/>
        </w:rPr>
        <w:t>46</w:t>
      </w:r>
      <w:r>
        <w:rPr>
          <w:color w:val="000000"/>
          <w:spacing w:val="0"/>
          <w:w w:val="100"/>
          <w:position w:val="0"/>
        </w:rPr>
        <w:t>号），按相关基金管理公司每月基金管理费收入的</w:t>
      </w:r>
      <w:r>
        <w:rPr>
          <w:rFonts w:ascii="Times New Roman" w:eastAsia="Times New Roman" w:hAnsi="Times New Roman" w:cs="Times New Roman"/>
          <w:color w:val="000000"/>
          <w:spacing w:val="0"/>
          <w:w w:val="100"/>
          <w:position w:val="0"/>
        </w:rPr>
        <w:t>10</w:t>
      </w:r>
      <w:r>
        <w:rPr>
          <w:color w:val="000000"/>
          <w:spacing w:val="0"/>
          <w:w w:val="100"/>
          <w:position w:val="0"/>
        </w:rPr>
        <w:t>% 计提一般风险准备金。</w:t>
      </w:r>
    </w:p>
    <w:p>
      <w:pPr>
        <w:pStyle w:val="Style16"/>
        <w:keepNext w:val="0"/>
        <w:keepLines w:val="0"/>
        <w:widowControl w:val="0"/>
        <w:numPr>
          <w:ilvl w:val="0"/>
          <w:numId w:val="69"/>
        </w:numPr>
        <w:shd w:val="clear" w:color="auto" w:fill="auto"/>
        <w:tabs>
          <w:tab w:pos="779" w:val="left"/>
        </w:tabs>
        <w:bidi w:val="0"/>
        <w:spacing w:before="0" w:after="0" w:line="430" w:lineRule="auto"/>
        <w:ind w:left="0" w:right="0" w:firstLine="440"/>
        <w:jc w:val="both"/>
      </w:pPr>
      <w:bookmarkStart w:id="1175" w:name="bookmark1175"/>
      <w:bookmarkEnd w:id="1175"/>
      <w:r>
        <w:rPr>
          <w:color w:val="000000"/>
          <w:spacing w:val="0"/>
          <w:w w:val="100"/>
          <w:position w:val="0"/>
        </w:rPr>
        <w:t>交易风险准备金</w:t>
      </w:r>
    </w:p>
    <w:p>
      <w:pPr>
        <w:pStyle w:val="Style16"/>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本公司根据《证券法》和中国证券监督管理委员会《关于证券公司</w:t>
      </w:r>
      <w:r>
        <w:rPr>
          <w:rFonts w:ascii="Times New Roman" w:eastAsia="Times New Roman" w:hAnsi="Times New Roman" w:cs="Times New Roman"/>
          <w:color w:val="000000"/>
          <w:spacing w:val="0"/>
          <w:w w:val="100"/>
          <w:position w:val="0"/>
        </w:rPr>
        <w:t>2007</w:t>
      </w:r>
      <w:r>
        <w:rPr>
          <w:color w:val="000000"/>
          <w:spacing w:val="0"/>
          <w:w w:val="100"/>
          <w:position w:val="0"/>
        </w:rPr>
        <w:t>年年度工作的 通知》（证监机构字（</w:t>
      </w:r>
      <w:r>
        <w:rPr>
          <w:rFonts w:ascii="Times New Roman" w:eastAsia="Times New Roman" w:hAnsi="Times New Roman" w:cs="Times New Roman"/>
          <w:color w:val="000000"/>
          <w:spacing w:val="0"/>
          <w:w w:val="100"/>
          <w:position w:val="0"/>
        </w:rPr>
        <w:t>2007</w:t>
      </w:r>
      <w:r>
        <w:rPr>
          <w:color w:val="000000"/>
          <w:spacing w:val="0"/>
          <w:w w:val="100"/>
          <w:position w:val="0"/>
        </w:rPr>
        <w:t xml:space="preserve">） </w:t>
      </w:r>
      <w:r>
        <w:rPr>
          <w:rFonts w:ascii="Times New Roman" w:eastAsia="Times New Roman" w:hAnsi="Times New Roman" w:cs="Times New Roman"/>
          <w:color w:val="000000"/>
          <w:spacing w:val="0"/>
          <w:w w:val="100"/>
          <w:position w:val="0"/>
        </w:rPr>
        <w:t>320</w:t>
      </w:r>
      <w:r>
        <w:rPr>
          <w:color w:val="000000"/>
          <w:spacing w:val="0"/>
          <w:w w:val="100"/>
          <w:position w:val="0"/>
        </w:rPr>
        <w:t>号）的规定，按相关公司当年税后利润的</w:t>
      </w:r>
      <w:r>
        <w:rPr>
          <w:rFonts w:ascii="Times New Roman" w:eastAsia="Times New Roman" w:hAnsi="Times New Roman" w:cs="Times New Roman"/>
          <w:color w:val="000000"/>
          <w:spacing w:val="0"/>
          <w:w w:val="100"/>
          <w:position w:val="0"/>
        </w:rPr>
        <w:t>10</w:t>
      </w:r>
      <w:r>
        <w:rPr>
          <w:color w:val="000000"/>
          <w:spacing w:val="0"/>
          <w:w w:val="100"/>
          <w:position w:val="0"/>
        </w:rPr>
        <w:t>%提取。</w:t>
      </w:r>
    </w:p>
    <w:p>
      <w:pPr>
        <w:pStyle w:val="Style37"/>
        <w:keepNext/>
        <w:keepLines/>
        <w:widowControl w:val="0"/>
        <w:shd w:val="clear" w:color="auto" w:fill="auto"/>
        <w:bidi w:val="0"/>
        <w:spacing w:before="0" w:after="0" w:line="412" w:lineRule="exact"/>
        <w:ind w:left="0" w:right="0" w:firstLine="440"/>
        <w:jc w:val="both"/>
      </w:pPr>
      <w:bookmarkStart w:id="1176" w:name="bookmark1176"/>
      <w:bookmarkStart w:id="1177" w:name="bookmark1177"/>
      <w:bookmarkStart w:id="1178" w:name="bookmark1178"/>
      <w:r>
        <w:rPr>
          <w:color w:val="000000"/>
          <w:spacing w:val="0"/>
          <w:w w:val="100"/>
          <w:position w:val="0"/>
        </w:rPr>
        <w:t>（三十九）终止经营</w:t>
      </w:r>
      <w:bookmarkEnd w:id="1176"/>
      <w:bookmarkEnd w:id="1177"/>
      <w:bookmarkEnd w:id="1178"/>
    </w:p>
    <w:p>
      <w:pPr>
        <w:pStyle w:val="Style16"/>
        <w:keepNext w:val="0"/>
        <w:keepLines w:val="0"/>
        <w:widowControl w:val="0"/>
        <w:shd w:val="clear" w:color="auto" w:fill="auto"/>
        <w:bidi w:val="0"/>
        <w:spacing w:before="0" w:after="0" w:line="413" w:lineRule="exact"/>
        <w:ind w:left="0" w:right="0" w:firstLine="440"/>
        <w:jc w:val="both"/>
      </w:pPr>
      <w:r>
        <w:rPr>
          <w:color w:val="000000"/>
          <w:spacing w:val="0"/>
          <w:w w:val="100"/>
          <w:position w:val="0"/>
        </w:rPr>
        <w:t>本公司将满足下列条件之一的，且该组成部分已经处置或划归为持有待售类别的、能够 单独区分的组成部分确认为终止经营组成部分：</w:t>
      </w:r>
    </w:p>
    <w:p>
      <w:pPr>
        <w:pStyle w:val="Style16"/>
        <w:keepNext w:val="0"/>
        <w:keepLines w:val="0"/>
        <w:widowControl w:val="0"/>
        <w:shd w:val="clear" w:color="auto" w:fill="auto"/>
        <w:tabs>
          <w:tab w:pos="928" w:val="left"/>
        </w:tabs>
        <w:bidi w:val="0"/>
        <w:spacing w:before="0" w:after="0" w:line="427" w:lineRule="exact"/>
        <w:ind w:left="0" w:right="0" w:firstLine="440"/>
        <w:jc w:val="left"/>
      </w:pPr>
      <w:bookmarkStart w:id="1179" w:name="bookmark1179"/>
      <w:r>
        <w:rPr>
          <w:color w:val="000000"/>
          <w:spacing w:val="0"/>
          <w:w w:val="100"/>
          <w:position w:val="0"/>
        </w:rPr>
        <w:t>（</w:t>
      </w:r>
      <w:bookmarkEnd w:id="1179"/>
      <w:r>
        <w:rPr>
          <w:rFonts w:ascii="Times New Roman" w:eastAsia="Times New Roman" w:hAnsi="Times New Roman" w:cs="Times New Roman"/>
          <w:color w:val="000000"/>
          <w:spacing w:val="0"/>
          <w:w w:val="100"/>
          <w:position w:val="0"/>
        </w:rPr>
        <w:t>1</w:t>
      </w:r>
      <w:r>
        <w:rPr>
          <w:color w:val="000000"/>
          <w:spacing w:val="0"/>
          <w:w w:val="100"/>
          <w:position w:val="0"/>
        </w:rPr>
        <w:t>）</w:t>
        <w:tab/>
        <w:t>该组成部分代表一项独立的主要业务或一个单独的主要经营地区；</w:t>
      </w:r>
    </w:p>
    <w:p>
      <w:pPr>
        <w:pStyle w:val="Style16"/>
        <w:keepNext w:val="0"/>
        <w:keepLines w:val="0"/>
        <w:widowControl w:val="0"/>
        <w:shd w:val="clear" w:color="auto" w:fill="auto"/>
        <w:tabs>
          <w:tab w:pos="1016" w:val="left"/>
        </w:tabs>
        <w:bidi w:val="0"/>
        <w:spacing w:before="0" w:after="0" w:line="427" w:lineRule="exact"/>
        <w:ind w:left="0" w:right="0" w:firstLine="440"/>
        <w:jc w:val="both"/>
      </w:pPr>
      <w:bookmarkStart w:id="1180" w:name="bookmark1180"/>
      <w:r>
        <w:rPr>
          <w:color w:val="000000"/>
          <w:spacing w:val="0"/>
          <w:w w:val="100"/>
          <w:position w:val="0"/>
        </w:rPr>
        <w:t>（</w:t>
      </w:r>
      <w:bookmarkEnd w:id="1180"/>
      <w:r>
        <w:rPr>
          <w:rFonts w:ascii="Times New Roman" w:eastAsia="Times New Roman" w:hAnsi="Times New Roman" w:cs="Times New Roman"/>
          <w:color w:val="000000"/>
          <w:spacing w:val="0"/>
          <w:w w:val="100"/>
          <w:position w:val="0"/>
        </w:rPr>
        <w:t>2</w:t>
      </w:r>
      <w:r>
        <w:rPr>
          <w:color w:val="000000"/>
          <w:spacing w:val="0"/>
          <w:w w:val="100"/>
          <w:position w:val="0"/>
        </w:rPr>
        <w:t>）</w:t>
        <w:tab/>
        <w:t>该组成部分是拟对一项独立的主要业务或一个单独的主要经营地区进行处置的一 项相关联计划的一部分；</w:t>
      </w:r>
    </w:p>
    <w:p>
      <w:pPr>
        <w:pStyle w:val="Style16"/>
        <w:keepNext w:val="0"/>
        <w:keepLines w:val="0"/>
        <w:widowControl w:val="0"/>
        <w:shd w:val="clear" w:color="auto" w:fill="auto"/>
        <w:tabs>
          <w:tab w:pos="928" w:val="left"/>
        </w:tabs>
        <w:bidi w:val="0"/>
        <w:spacing w:before="0" w:after="0" w:line="427" w:lineRule="exact"/>
        <w:ind w:left="0" w:right="0" w:firstLine="440"/>
        <w:jc w:val="left"/>
      </w:pPr>
      <w:bookmarkStart w:id="1181" w:name="bookmark1181"/>
      <w:r>
        <w:rPr>
          <w:color w:val="000000"/>
          <w:spacing w:val="0"/>
          <w:w w:val="100"/>
          <w:position w:val="0"/>
        </w:rPr>
        <w:t>（</w:t>
      </w:r>
      <w:bookmarkEnd w:id="1181"/>
      <w:r>
        <w:rPr>
          <w:rFonts w:ascii="Times New Roman" w:eastAsia="Times New Roman" w:hAnsi="Times New Roman" w:cs="Times New Roman"/>
          <w:color w:val="000000"/>
          <w:spacing w:val="0"/>
          <w:w w:val="100"/>
          <w:position w:val="0"/>
        </w:rPr>
        <w:t>3</w:t>
      </w:r>
      <w:r>
        <w:rPr>
          <w:color w:val="000000"/>
          <w:spacing w:val="0"/>
          <w:w w:val="100"/>
          <w:position w:val="0"/>
        </w:rPr>
        <w:t>）</w:t>
        <w:tab/>
        <w:t>该组成部分是专为转售而取得的子公司。</w:t>
      </w:r>
    </w:p>
    <w:p>
      <w:pPr>
        <w:pStyle w:val="Style16"/>
        <w:keepNext w:val="0"/>
        <w:keepLines w:val="0"/>
        <w:widowControl w:val="0"/>
        <w:shd w:val="clear" w:color="auto" w:fill="auto"/>
        <w:bidi w:val="0"/>
        <w:spacing w:before="0" w:after="200" w:line="422" w:lineRule="exact"/>
        <w:ind w:left="0" w:right="0" w:firstLine="440"/>
        <w:jc w:val="both"/>
      </w:pPr>
      <w:r>
        <w:rPr>
          <w:color w:val="000000"/>
          <w:spacing w:val="0"/>
          <w:w w:val="100"/>
          <w:position w:val="0"/>
        </w:rPr>
        <w:t>终止经营的减值损失和转回金额等经营损益及处置损益作为终止经营损益在利润表中 列示。</w:t>
      </w:r>
    </w:p>
    <w:p>
      <w:pPr>
        <w:pStyle w:val="Style37"/>
        <w:keepNext/>
        <w:keepLines/>
        <w:widowControl w:val="0"/>
        <w:shd w:val="clear" w:color="auto" w:fill="auto"/>
        <w:bidi w:val="0"/>
        <w:spacing w:before="0" w:after="0" w:line="240" w:lineRule="auto"/>
        <w:ind w:left="0" w:right="0" w:firstLine="560"/>
        <w:jc w:val="both"/>
      </w:pPr>
      <w:bookmarkStart w:id="1182" w:name="bookmark1182"/>
      <w:bookmarkStart w:id="1183" w:name="bookmark1183"/>
      <w:bookmarkStart w:id="1184" w:name="bookmark1184"/>
      <w:r>
        <w:rPr>
          <w:color w:val="000000"/>
          <w:spacing w:val="0"/>
          <w:w w:val="100"/>
          <w:position w:val="0"/>
        </w:rPr>
        <w:t>（四十）分部报告</w:t>
      </w:r>
      <w:bookmarkEnd w:id="1182"/>
      <w:bookmarkEnd w:id="1183"/>
      <w:bookmarkEnd w:id="1184"/>
    </w:p>
    <w:p>
      <w:pPr>
        <w:pStyle w:val="Style16"/>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本公司以内部组织结构、管理要求、内部报告制度为依据确定经营分部，以经营分部为 基础确定报告分部。经营分部，是指公司内同时满足下列条件的组成部分：该组成部分能够 在日常活动中产生收入、发生费用；公司管理层能够定期评价该组成部分的经营成果，以决 定向其配置资源、评价其业绩；公司能够取得该组成部分的财务状况、经营成果和现金流量 等有关会计信息。</w:t>
      </w:r>
    </w:p>
    <w:p>
      <w:pPr>
        <w:pStyle w:val="Style37"/>
        <w:keepNext/>
        <w:keepLines/>
        <w:widowControl w:val="0"/>
        <w:shd w:val="clear" w:color="auto" w:fill="auto"/>
        <w:bidi w:val="0"/>
        <w:spacing w:before="0" w:after="0" w:line="410" w:lineRule="exact"/>
        <w:ind w:left="0" w:right="0" w:firstLine="440"/>
        <w:jc w:val="left"/>
      </w:pPr>
      <w:bookmarkStart w:id="1185" w:name="bookmark1185"/>
      <w:bookmarkStart w:id="1186" w:name="bookmark1186"/>
      <w:bookmarkStart w:id="1187" w:name="bookmark1187"/>
      <w:r>
        <w:rPr>
          <w:color w:val="000000"/>
          <w:spacing w:val="0"/>
          <w:w w:val="100"/>
          <w:position w:val="0"/>
        </w:rPr>
        <w:t>（四十一）其他重要会计政策和会计估计</w:t>
      </w:r>
      <w:bookmarkEnd w:id="1185"/>
      <w:bookmarkEnd w:id="1186"/>
      <w:bookmarkEnd w:id="1187"/>
    </w:p>
    <w:p>
      <w:pPr>
        <w:pStyle w:val="Style16"/>
        <w:keepNext w:val="0"/>
        <w:keepLines w:val="0"/>
        <w:widowControl w:val="0"/>
        <w:shd w:val="clear" w:color="auto" w:fill="auto"/>
        <w:bidi w:val="0"/>
        <w:spacing w:before="0" w:after="0" w:line="410" w:lineRule="exact"/>
        <w:ind w:left="0" w:right="0" w:firstLine="440"/>
        <w:jc w:val="left"/>
      </w:pPr>
      <w:r>
        <w:rPr>
          <w:color w:val="000000"/>
          <w:spacing w:val="0"/>
          <w:w w:val="100"/>
          <w:position w:val="0"/>
        </w:rPr>
        <w:t>本公司在运用会计政策过程中，由于经营活动内在的不确定性，本公司需要对无法准确 计量的报表项目的账面价值进行判断、估计和假设。这些判断、估计和假设是基于本公司过 去的历史经验和其他因素。这些判断、估计和假设会影响收入、费用、资产和负债的报告金 额以及资产负债表日或有负债的披露。然而，这些估计的不确定性所导致的结果可能造成对 未来受影响的资产或负债的账面金额进行重大调整。</w:t>
      </w:r>
    </w:p>
    <w:p>
      <w:pPr>
        <w:pStyle w:val="Style16"/>
        <w:keepNext w:val="0"/>
        <w:keepLines w:val="0"/>
        <w:widowControl w:val="0"/>
        <w:shd w:val="clear" w:color="auto" w:fill="auto"/>
        <w:bidi w:val="0"/>
        <w:spacing w:before="0" w:after="0" w:line="410" w:lineRule="exact"/>
        <w:ind w:left="0" w:right="0" w:firstLine="440"/>
        <w:jc w:val="left"/>
      </w:pPr>
      <w:r>
        <w:rPr>
          <w:color w:val="000000"/>
          <w:spacing w:val="0"/>
          <w:w w:val="100"/>
          <w:position w:val="0"/>
        </w:rPr>
        <w:t>本公司对于上述判断、估计和假设在持续经营的基础上进行定期复核，会计估计的变更 仅影响变更当期的，其影响数在变更当期予以确认；即影响变更当期又影响未来期间的，其 影响数在变更当期和未来期间予以确认。</w:t>
      </w:r>
    </w:p>
    <w:p>
      <w:pPr>
        <w:pStyle w:val="Style16"/>
        <w:keepNext w:val="0"/>
        <w:keepLines w:val="0"/>
        <w:widowControl w:val="0"/>
        <w:shd w:val="clear" w:color="auto" w:fill="auto"/>
        <w:bidi w:val="0"/>
        <w:spacing w:before="0" w:after="200" w:line="413" w:lineRule="exact"/>
        <w:ind w:left="0" w:right="0" w:firstLine="440"/>
        <w:jc w:val="left"/>
      </w:pPr>
      <w:r>
        <w:rPr>
          <w:color w:val="000000"/>
          <w:spacing w:val="0"/>
          <w:w w:val="100"/>
          <w:position w:val="0"/>
        </w:rPr>
        <w:t>资产负债表日，会计估计中很可能导致未来期间资产、负债账面价值作出重大调整的关 键假设和不确定性主要有：</w:t>
      </w:r>
    </w:p>
    <w:p>
      <w:pPr>
        <w:pStyle w:val="Style16"/>
        <w:keepNext w:val="0"/>
        <w:keepLines w:val="0"/>
        <w:widowControl w:val="0"/>
        <w:numPr>
          <w:ilvl w:val="0"/>
          <w:numId w:val="71"/>
        </w:numPr>
        <w:shd w:val="clear" w:color="auto" w:fill="auto"/>
        <w:tabs>
          <w:tab w:pos="757" w:val="left"/>
        </w:tabs>
        <w:bidi w:val="0"/>
        <w:spacing w:before="0" w:after="0" w:line="430" w:lineRule="auto"/>
        <w:ind w:left="0" w:right="0" w:firstLine="440"/>
        <w:jc w:val="left"/>
      </w:pPr>
      <w:bookmarkStart w:id="1188" w:name="bookmark1188"/>
      <w:bookmarkEnd w:id="1188"/>
      <w:r>
        <w:rPr>
          <w:color w:val="000000"/>
          <w:spacing w:val="0"/>
          <w:w w:val="100"/>
          <w:position w:val="0"/>
        </w:rPr>
        <w:t>金融资产的公允价值</w:t>
      </w:r>
    </w:p>
    <w:p>
      <w:pPr>
        <w:pStyle w:val="Style16"/>
        <w:keepNext w:val="0"/>
        <w:keepLines w:val="0"/>
        <w:widowControl w:val="0"/>
        <w:shd w:val="clear" w:color="auto" w:fill="auto"/>
        <w:bidi w:val="0"/>
        <w:spacing w:before="0" w:after="200" w:line="410" w:lineRule="exact"/>
        <w:ind w:left="0" w:right="0" w:firstLine="440"/>
        <w:jc w:val="left"/>
      </w:pPr>
      <w:r>
        <w:rPr>
          <w:color w:val="000000"/>
          <w:spacing w:val="0"/>
          <w:w w:val="100"/>
          <w:position w:val="0"/>
        </w:rPr>
        <w:t>本公司对没有活跃市场的金融工具，采用包括现金流量折现法、市场乘数法等在内的各 种估值技术确定其公允价值。估值模型的相关假设、参数、数据来源和计量程序均需要本公 司的判断，本公司需根据可获得的市场数据和其他信息，选择更为恰当的估值技术，评估估 值技术中使用的输入值是否更容易在市场上观察到或者只需作更少的调整，对诸如可比公司、 流动性折扣率、自身和交易对手的信用风险、市场波动率和相关性等方面进行估计，这些相 关因素假设的变化会对金融工具的公允价值产生影响。</w:t>
      </w:r>
    </w:p>
    <w:p>
      <w:pPr>
        <w:pStyle w:val="Style16"/>
        <w:keepNext w:val="0"/>
        <w:keepLines w:val="0"/>
        <w:widowControl w:val="0"/>
        <w:numPr>
          <w:ilvl w:val="0"/>
          <w:numId w:val="71"/>
        </w:numPr>
        <w:shd w:val="clear" w:color="auto" w:fill="auto"/>
        <w:tabs>
          <w:tab w:pos="757" w:val="left"/>
        </w:tabs>
        <w:bidi w:val="0"/>
        <w:spacing w:before="0" w:after="0" w:line="430" w:lineRule="auto"/>
        <w:ind w:left="0" w:right="0" w:firstLine="440"/>
        <w:jc w:val="left"/>
      </w:pPr>
      <w:bookmarkStart w:id="1189" w:name="bookmark1189"/>
      <w:bookmarkEnd w:id="1189"/>
      <w:r>
        <w:rPr>
          <w:color w:val="000000"/>
          <w:spacing w:val="0"/>
          <w:w w:val="100"/>
          <w:position w:val="0"/>
        </w:rPr>
        <w:t>商誉减值</w:t>
      </w:r>
    </w:p>
    <w:p>
      <w:pPr>
        <w:pStyle w:val="Style16"/>
        <w:keepNext w:val="0"/>
        <w:keepLines w:val="0"/>
        <w:widowControl w:val="0"/>
        <w:shd w:val="clear" w:color="auto" w:fill="auto"/>
        <w:bidi w:val="0"/>
        <w:spacing w:before="0" w:after="200" w:line="415" w:lineRule="exact"/>
        <w:ind w:left="0" w:right="0" w:firstLine="440"/>
        <w:jc w:val="left"/>
      </w:pPr>
      <w:r>
        <w:rPr>
          <w:color w:val="000000"/>
          <w:spacing w:val="0"/>
          <w:w w:val="100"/>
          <w:position w:val="0"/>
        </w:rPr>
        <w:t>本公司至少每年测试商誉是否发生减值。在进行减值测试时，需要将商誉分配到相应的 资产组，并预计资产组的可收回金额。可收回金额根据资产组的公允价值减去处置费用后的 净额与资产预计未来现金流量的现值两者之间较高者确定。</w:t>
      </w:r>
    </w:p>
    <w:p>
      <w:pPr>
        <w:pStyle w:val="Style16"/>
        <w:keepNext w:val="0"/>
        <w:keepLines w:val="0"/>
        <w:widowControl w:val="0"/>
        <w:numPr>
          <w:ilvl w:val="0"/>
          <w:numId w:val="71"/>
        </w:numPr>
        <w:shd w:val="clear" w:color="auto" w:fill="auto"/>
        <w:tabs>
          <w:tab w:pos="757" w:val="left"/>
        </w:tabs>
        <w:bidi w:val="0"/>
        <w:spacing w:before="0" w:after="0" w:line="430" w:lineRule="auto"/>
        <w:ind w:left="0" w:right="0" w:firstLine="440"/>
        <w:jc w:val="left"/>
      </w:pPr>
      <w:bookmarkStart w:id="1190" w:name="bookmark1190"/>
      <w:bookmarkEnd w:id="1190"/>
      <w:r>
        <w:rPr>
          <w:color w:val="000000"/>
          <w:spacing w:val="0"/>
          <w:w w:val="100"/>
          <w:position w:val="0"/>
        </w:rPr>
        <w:t>金融工具的减值</w:t>
      </w:r>
    </w:p>
    <w:p>
      <w:pPr>
        <w:pStyle w:val="Style16"/>
        <w:keepNext w:val="0"/>
        <w:keepLines w:val="0"/>
        <w:widowControl w:val="0"/>
        <w:shd w:val="clear" w:color="auto" w:fill="auto"/>
        <w:bidi w:val="0"/>
        <w:spacing w:before="0" w:after="200" w:line="411" w:lineRule="exact"/>
        <w:ind w:left="0" w:right="0" w:firstLine="440"/>
        <w:jc w:val="left"/>
      </w:pPr>
      <w:r>
        <w:rPr>
          <w:color w:val="000000"/>
          <w:spacing w:val="0"/>
          <w:w w:val="100"/>
          <w:position w:val="0"/>
        </w:rPr>
        <w:t>本公司采用预期信用损失模型对金融工具的减值进行评估，应用预期信用损失模型需要 做出判断和估计，需考虑所有合理且有依据的信息，包括前瞻性信息。在做出该等判断和估 计时，本公司根据历史还款数据结合经济政策、宏观经济指标、行业风险等因素推断债务人 信用风险的预期变动。</w:t>
      </w:r>
    </w:p>
    <w:p>
      <w:pPr>
        <w:pStyle w:val="Style16"/>
        <w:keepNext w:val="0"/>
        <w:keepLines w:val="0"/>
        <w:widowControl w:val="0"/>
        <w:numPr>
          <w:ilvl w:val="0"/>
          <w:numId w:val="71"/>
        </w:numPr>
        <w:shd w:val="clear" w:color="auto" w:fill="auto"/>
        <w:bidi w:val="0"/>
        <w:spacing w:before="0" w:after="120" w:line="240" w:lineRule="auto"/>
        <w:ind w:left="0" w:right="0" w:firstLine="440"/>
        <w:jc w:val="left"/>
      </w:pPr>
      <w:bookmarkStart w:id="1191" w:name="bookmark1191"/>
      <w:bookmarkEnd w:id="1191"/>
      <w:r>
        <w:rPr>
          <w:color w:val="000000"/>
          <w:spacing w:val="0"/>
          <w:w w:val="100"/>
          <w:position w:val="0"/>
        </w:rPr>
        <w:t>所得税以及递延所得税:</w:t>
      </w:r>
    </w:p>
    <w:p>
      <w:pPr>
        <w:pStyle w:val="Style16"/>
        <w:keepNext w:val="0"/>
        <w:keepLines w:val="0"/>
        <w:widowControl w:val="0"/>
        <w:shd w:val="clear" w:color="auto" w:fill="auto"/>
        <w:bidi w:val="0"/>
        <w:spacing w:before="0" w:after="200" w:line="413" w:lineRule="exact"/>
        <w:ind w:left="0" w:right="0" w:firstLine="480"/>
        <w:jc w:val="both"/>
      </w:pPr>
      <w:r>
        <w:rPr>
          <w:color w:val="000000"/>
          <w:spacing w:val="0"/>
          <w:w w:val="100"/>
          <w:position w:val="0"/>
        </w:rPr>
        <w:t>本公司在正常的经营活动中，有部分交易其最终的税务处理和计算存在一定的不确定性。 如果这些税务事项的最终认定结果同最初确认的金额存在差异，则该差异将对其最终认定期 间的当期所得税和递延所得税产生影响。</w:t>
      </w:r>
    </w:p>
    <w:p>
      <w:pPr>
        <w:pStyle w:val="Style16"/>
        <w:keepNext w:val="0"/>
        <w:keepLines w:val="0"/>
        <w:widowControl w:val="0"/>
        <w:numPr>
          <w:ilvl w:val="0"/>
          <w:numId w:val="71"/>
        </w:numPr>
        <w:shd w:val="clear" w:color="auto" w:fill="auto"/>
        <w:bidi w:val="0"/>
        <w:spacing w:before="0" w:after="0" w:line="427" w:lineRule="auto"/>
        <w:ind w:left="0" w:right="0" w:firstLine="480"/>
        <w:jc w:val="both"/>
      </w:pPr>
      <w:bookmarkStart w:id="1192" w:name="bookmark1192"/>
      <w:bookmarkEnd w:id="1192"/>
      <w:r>
        <w:rPr>
          <w:color w:val="000000"/>
          <w:spacing w:val="0"/>
          <w:w w:val="100"/>
          <w:position w:val="0"/>
        </w:rPr>
        <w:t>合并范围的确定</w:t>
      </w:r>
    </w:p>
    <w:p>
      <w:pPr>
        <w:pStyle w:val="Style16"/>
        <w:keepNext w:val="0"/>
        <w:keepLines w:val="0"/>
        <w:widowControl w:val="0"/>
        <w:shd w:val="clear" w:color="auto" w:fill="auto"/>
        <w:bidi w:val="0"/>
        <w:spacing w:before="0" w:after="0" w:line="410" w:lineRule="exact"/>
        <w:ind w:left="0" w:right="0" w:firstLine="480"/>
        <w:jc w:val="both"/>
      </w:pPr>
      <w:r>
        <w:rPr>
          <w:color w:val="000000"/>
          <w:spacing w:val="0"/>
          <w:w w:val="100"/>
          <w:position w:val="0"/>
        </w:rPr>
        <w:t>评估本公司是否作为投资者控制被投资企业时须考虑所有事实及情况。控制的定义包含 以下三项要素：</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拥有对被投资者的权力；</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通过参与被投资者的相关活动而享有可变回 报；</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有能力运用对被投资者的权力影响其回报的金额。倘若有事实及情况显示上述一项 或多项要素发生了变化，则本公司需要重新评估其是否对被投资企业构成控制。</w:t>
      </w:r>
    </w:p>
    <w:p>
      <w:pPr>
        <w:pStyle w:val="Style16"/>
        <w:keepNext w:val="0"/>
        <w:keepLines w:val="0"/>
        <w:widowControl w:val="0"/>
        <w:shd w:val="clear" w:color="auto" w:fill="auto"/>
        <w:bidi w:val="0"/>
        <w:spacing w:before="0" w:after="0" w:line="409" w:lineRule="exact"/>
        <w:ind w:left="0" w:right="0" w:firstLine="480"/>
        <w:jc w:val="both"/>
      </w:pPr>
      <w:r>
        <w:rPr>
          <w:color w:val="000000"/>
          <w:spacing w:val="0"/>
          <w:w w:val="100"/>
          <w:position w:val="0"/>
        </w:rPr>
        <w:t>对于本公司管理并投资的结构化主体（如资产管理计划等），本公司会评估其所持有结 构化主体连同其管理人报酬所产生的可变回报的最大风险敞口是否足够重大以致表明本公 司对结构化主体拥有控制权。若本公司对管理的结构化主体拥有控制权，则将结构化主体纳 入合并财务报表的合并范围。对于本公司以外各方持有的结构化主体份额，因本公司作为发 行人具有合约义务以现金回购其发售的份额，本公司将其确认为以公允价值计量且其变动计 入当期损益的金融负债。</w:t>
      </w:r>
    </w:p>
    <w:p>
      <w:pPr>
        <w:pStyle w:val="Style37"/>
        <w:keepNext/>
        <w:keepLines/>
        <w:widowControl w:val="0"/>
        <w:shd w:val="clear" w:color="auto" w:fill="auto"/>
        <w:bidi w:val="0"/>
        <w:spacing w:before="0" w:after="200" w:line="409" w:lineRule="exact"/>
        <w:ind w:left="0" w:right="0" w:firstLine="480"/>
        <w:jc w:val="left"/>
      </w:pPr>
      <w:bookmarkStart w:id="1193" w:name="bookmark1193"/>
      <w:bookmarkStart w:id="1194" w:name="bookmark1194"/>
      <w:bookmarkStart w:id="1195" w:name="bookmark1195"/>
      <w:r>
        <w:rPr>
          <w:color w:val="000000"/>
          <w:spacing w:val="0"/>
          <w:w w:val="100"/>
          <w:position w:val="0"/>
        </w:rPr>
        <w:t>（四十二）重要会计政策、会计估计的变更</w:t>
      </w:r>
      <w:bookmarkEnd w:id="1193"/>
      <w:bookmarkEnd w:id="1194"/>
      <w:bookmarkEnd w:id="1195"/>
    </w:p>
    <w:p>
      <w:pPr>
        <w:pStyle w:val="Style51"/>
        <w:keepNext/>
        <w:keepLines/>
        <w:widowControl w:val="0"/>
        <w:shd w:val="clear" w:color="auto" w:fill="auto"/>
        <w:bidi w:val="0"/>
        <w:spacing w:before="0" w:after="0" w:line="427" w:lineRule="auto"/>
        <w:ind w:left="0" w:right="0" w:firstLine="480"/>
        <w:jc w:val="left"/>
      </w:pPr>
      <w:bookmarkStart w:id="1196" w:name="bookmark1196"/>
      <w:bookmarkStart w:id="1197" w:name="bookmark1197"/>
      <w:bookmarkStart w:id="1198" w:name="bookmark1198"/>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会计政策变更</w:t>
      </w:r>
      <w:bookmarkEnd w:id="1196"/>
      <w:bookmarkEnd w:id="1197"/>
      <w:bookmarkEnd w:id="1198"/>
    </w:p>
    <w:p>
      <w:pPr>
        <w:pStyle w:val="Style126"/>
        <w:keepNext/>
        <w:keepLines/>
        <w:widowControl w:val="0"/>
        <w:shd w:val="clear" w:color="auto" w:fill="auto"/>
        <w:bidi w:val="0"/>
        <w:spacing w:before="0" w:after="0"/>
        <w:ind w:left="0" w:right="0"/>
        <w:jc w:val="left"/>
      </w:pPr>
      <w:bookmarkStart w:id="1199" w:name="bookmark1199"/>
      <w:bookmarkStart w:id="1200" w:name="bookmark1200"/>
      <w:bookmarkStart w:id="1201" w:name="bookmark1201"/>
      <w:r>
        <w:rPr>
          <w:color w:val="000000"/>
          <w:spacing w:val="0"/>
          <w:w w:val="100"/>
          <w:position w:val="0"/>
        </w:rPr>
        <w:t>（</w:t>
      </w:r>
      <w:r>
        <w:rPr>
          <w:rFonts w:ascii="Calibri" w:eastAsia="Calibri" w:hAnsi="Calibri" w:cs="Calibri"/>
          <w:color w:val="000000"/>
          <w:spacing w:val="0"/>
          <w:w w:val="100"/>
          <w:position w:val="0"/>
          <w:sz w:val="20"/>
          <w:szCs w:val="20"/>
        </w:rPr>
        <w:t>1</w:t>
      </w:r>
      <w:r>
        <w:rPr>
          <w:color w:val="000000"/>
          <w:spacing w:val="0"/>
          <w:w w:val="100"/>
          <w:position w:val="0"/>
        </w:rPr>
        <w:t>）执行新收入准则对本公司的影响</w:t>
      </w:r>
      <w:bookmarkEnd w:id="1199"/>
      <w:bookmarkEnd w:id="1200"/>
      <w:bookmarkEnd w:id="1201"/>
    </w:p>
    <w:p>
      <w:pPr>
        <w:pStyle w:val="Style16"/>
        <w:keepNext w:val="0"/>
        <w:keepLines w:val="0"/>
        <w:widowControl w:val="0"/>
        <w:shd w:val="clear" w:color="auto" w:fill="auto"/>
        <w:bidi w:val="0"/>
        <w:spacing w:before="0" w:after="0" w:line="413" w:lineRule="exact"/>
        <w:ind w:left="0" w:right="0" w:firstLine="480"/>
        <w:jc w:val="both"/>
      </w:pPr>
      <w:r>
        <w:rPr>
          <w:color w:val="000000"/>
          <w:spacing w:val="0"/>
          <w:w w:val="100"/>
          <w:position w:val="0"/>
        </w:rPr>
        <w:t>本公司作为境内上市企业，自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日起,执行财政部于</w:t>
      </w:r>
      <w:r>
        <w:rPr>
          <w:rFonts w:ascii="Times New Roman" w:eastAsia="Times New Roman" w:hAnsi="Times New Roman" w:cs="Times New Roman"/>
          <w:color w:val="000000"/>
          <w:spacing w:val="0"/>
          <w:w w:val="100"/>
          <w:position w:val="0"/>
        </w:rPr>
        <w:t>2017</w:t>
      </w:r>
      <w:r>
        <w:rPr>
          <w:color w:val="000000"/>
          <w:spacing w:val="0"/>
          <w:w w:val="100"/>
          <w:position w:val="0"/>
        </w:rPr>
        <w:t>年修订的《企 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号一一收入》，变更后的会计政策详见附注四、（二十二）和（二十六）。</w:t>
      </w:r>
    </w:p>
    <w:p>
      <w:pPr>
        <w:pStyle w:val="Style16"/>
        <w:keepNext w:val="0"/>
        <w:keepLines w:val="0"/>
        <w:widowControl w:val="0"/>
        <w:shd w:val="clear" w:color="auto" w:fill="auto"/>
        <w:bidi w:val="0"/>
        <w:spacing w:before="0" w:after="200" w:line="408" w:lineRule="exact"/>
        <w:ind w:left="0" w:right="0" w:firstLine="480"/>
        <w:jc w:val="both"/>
      </w:pPr>
      <w:r>
        <w:rPr>
          <w:color w:val="000000"/>
          <w:spacing w:val="0"/>
          <w:w w:val="100"/>
          <w:position w:val="0"/>
        </w:rPr>
        <w:t>根据衔接规定，新收入准则要求首次执行该准则的企业，对于因会计政策变更产生的累 积影响数，调整首次执行当年年初留存收益及财务报表其他项目相关金额，对可比期间信息 不予调整。该准则的施行不会导致公司收入确认方式发生重大变化，对财务报表未产生重大 影响。</w:t>
      </w:r>
    </w:p>
    <w:p>
      <w:pPr>
        <w:pStyle w:val="Style40"/>
        <w:keepNext w:val="0"/>
        <w:keepLines w:val="0"/>
        <w:widowControl w:val="0"/>
        <w:shd w:val="clear" w:color="auto" w:fill="auto"/>
        <w:bidi w:val="0"/>
        <w:spacing w:before="0" w:after="0" w:line="240" w:lineRule="auto"/>
        <w:ind w:left="475" w:right="0" w:firstLine="0"/>
        <w:jc w:val="left"/>
      </w:pPr>
      <w:r>
        <w:rPr>
          <w:color w:val="000000"/>
          <w:spacing w:val="0"/>
          <w:w w:val="100"/>
          <w:position w:val="0"/>
        </w:rPr>
        <w:t>执行新收入准则对</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日合并资产负债表的影响如下:</w:t>
      </w:r>
    </w:p>
    <w:tbl>
      <w:tblPr>
        <w:tblOverlap w:val="never"/>
        <w:jc w:val="center"/>
        <w:tblLayout w:type="fixed"/>
      </w:tblPr>
      <w:tblGrid>
        <w:gridCol w:w="1627"/>
        <w:gridCol w:w="3408"/>
        <w:gridCol w:w="3413"/>
      </w:tblGrid>
      <w:tr>
        <w:trPr>
          <w:trHeight w:val="37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日（变更前金额）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日（变更后金额）</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7,619,588.55</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7,558,561.99</w:t>
            </w:r>
          </w:p>
        </w:tc>
      </w:tr>
      <w:tr>
        <w:trPr>
          <w:trHeight w:val="374"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61,026.56</w:t>
            </w:r>
          </w:p>
        </w:tc>
      </w:tr>
    </w:tbl>
    <w:p>
      <w:pPr>
        <w:widowControl w:val="0"/>
        <w:spacing w:after="399" w:line="1" w:lineRule="exact"/>
      </w:pPr>
    </w:p>
    <w:p>
      <w:pPr>
        <w:widowControl w:val="0"/>
        <w:spacing w:line="1" w:lineRule="exact"/>
      </w:pPr>
    </w:p>
    <w:p>
      <w:pPr>
        <w:pStyle w:val="Style40"/>
        <w:keepNext w:val="0"/>
        <w:keepLines w:val="0"/>
        <w:widowControl w:val="0"/>
        <w:shd w:val="clear" w:color="auto" w:fill="auto"/>
        <w:bidi w:val="0"/>
        <w:spacing w:before="0" w:after="0" w:line="240" w:lineRule="auto"/>
        <w:ind w:left="475" w:right="0" w:firstLine="0"/>
        <w:jc w:val="left"/>
      </w:pPr>
      <w:r>
        <w:rPr>
          <w:color w:val="000000"/>
          <w:spacing w:val="0"/>
          <w:w w:val="100"/>
          <w:position w:val="0"/>
        </w:rPr>
        <w:t>执行新收入准则对</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日合并资产负债表的影响如下:</w:t>
      </w:r>
    </w:p>
    <w:tbl>
      <w:tblPr>
        <w:tblOverlap w:val="never"/>
        <w:jc w:val="center"/>
        <w:tblLayout w:type="fixed"/>
      </w:tblPr>
      <w:tblGrid>
        <w:gridCol w:w="2136"/>
        <w:gridCol w:w="2107"/>
        <w:gridCol w:w="2098"/>
        <w:gridCol w:w="2179"/>
      </w:tblGrid>
      <w:tr>
        <w:trPr>
          <w:trHeight w:val="37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报表数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假设按原准则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影响</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977</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020</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977</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020</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74</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740</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139</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740</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139</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29</w:t>
            </w:r>
          </w:p>
        </w:tc>
      </w:tr>
      <w:tr>
        <w:trPr>
          <w:trHeight w:val="379"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其他流动负债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236</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881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881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45</w:t>
            </w:r>
          </w:p>
        </w:tc>
      </w:tr>
    </w:tbl>
    <w:p>
      <w:pPr>
        <w:spacing w:lineRule="exact" w:line="1"/>
        <w:rPr>
          <w:sz w:val="2"/>
          <w:szCs w:val="2"/>
        </w:rPr>
      </w:pPr>
      <w:r>
        <w:br w:type="page"/>
      </w:r>
    </w:p>
    <w:p>
      <w:pPr>
        <w:pStyle w:val="Style16"/>
        <w:keepNext w:val="0"/>
        <w:keepLines w:val="0"/>
        <w:widowControl w:val="0"/>
        <w:shd w:val="clear" w:color="auto" w:fill="auto"/>
        <w:bidi w:val="0"/>
        <w:spacing w:before="0" w:after="320" w:line="240" w:lineRule="auto"/>
        <w:ind w:left="0" w:right="0" w:firstLine="560"/>
        <w:jc w:val="left"/>
      </w:pPr>
      <w:r>
        <w:rPr>
          <w:color w:val="000000"/>
          <w:spacing w:val="0"/>
          <w:w w:val="100"/>
          <w:position w:val="0"/>
        </w:rPr>
        <w:t>执行新收入准则对</w:t>
      </w:r>
      <w:r>
        <w:rPr>
          <w:rFonts w:ascii="Times New Roman" w:eastAsia="Times New Roman" w:hAnsi="Times New Roman" w:cs="Times New Roman"/>
          <w:color w:val="000000"/>
          <w:spacing w:val="0"/>
          <w:w w:val="100"/>
          <w:position w:val="0"/>
        </w:rPr>
        <w:t>2020</w:t>
      </w:r>
      <w:r>
        <w:rPr>
          <w:color w:val="000000"/>
          <w:spacing w:val="0"/>
          <w:w w:val="100"/>
          <w:position w:val="0"/>
        </w:rPr>
        <w:t>年度合并利润表无影响。</w:t>
      </w:r>
    </w:p>
    <w:p>
      <w:pPr>
        <w:pStyle w:val="Style51"/>
        <w:keepNext/>
        <w:keepLines/>
        <w:widowControl w:val="0"/>
        <w:shd w:val="clear" w:color="auto" w:fill="auto"/>
        <w:bidi w:val="0"/>
        <w:spacing w:before="0" w:after="160" w:line="240" w:lineRule="auto"/>
        <w:ind w:left="0" w:right="0" w:firstLine="560"/>
        <w:jc w:val="left"/>
      </w:pPr>
      <w:bookmarkStart w:id="1202" w:name="bookmark1202"/>
      <w:bookmarkStart w:id="1203" w:name="bookmark1203"/>
      <w:bookmarkStart w:id="1204" w:name="bookmark1204"/>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会计估计变更</w:t>
      </w:r>
      <w:bookmarkEnd w:id="1202"/>
      <w:bookmarkEnd w:id="1203"/>
      <w:bookmarkEnd w:id="1204"/>
    </w:p>
    <w:p>
      <w:pPr>
        <w:pStyle w:val="Style16"/>
        <w:keepNext w:val="0"/>
        <w:keepLines w:val="0"/>
        <w:widowControl w:val="0"/>
        <w:shd w:val="clear" w:color="auto" w:fill="auto"/>
        <w:bidi w:val="0"/>
        <w:spacing w:before="0" w:after="480" w:line="240" w:lineRule="auto"/>
        <w:ind w:left="0" w:right="0" w:firstLine="560"/>
        <w:jc w:val="left"/>
      </w:pPr>
      <w:r>
        <w:rPr>
          <w:color w:val="000000"/>
          <w:spacing w:val="0"/>
          <w:w w:val="100"/>
          <w:position w:val="0"/>
        </w:rPr>
        <w:t>本报告期主要会计估计未发生变更。</w:t>
      </w:r>
    </w:p>
    <w:p>
      <w:pPr>
        <w:pStyle w:val="Style29"/>
        <w:keepNext/>
        <w:keepLines/>
        <w:widowControl w:val="0"/>
        <w:shd w:val="clear" w:color="auto" w:fill="auto"/>
        <w:bidi w:val="0"/>
        <w:spacing w:before="0" w:after="200" w:line="240" w:lineRule="auto"/>
        <w:ind w:left="0" w:right="0" w:firstLine="560"/>
        <w:jc w:val="left"/>
      </w:pPr>
      <w:bookmarkStart w:id="1205" w:name="bookmark1205"/>
      <w:bookmarkStart w:id="1206" w:name="bookmark1206"/>
      <w:bookmarkStart w:id="1207" w:name="bookmark1207"/>
      <w:bookmarkStart w:id="1208" w:name="bookmark1208"/>
      <w:r>
        <w:rPr>
          <w:color w:val="000000"/>
          <w:spacing w:val="0"/>
          <w:w w:val="100"/>
          <w:position w:val="0"/>
          <w:sz w:val="24"/>
          <w:szCs w:val="24"/>
        </w:rPr>
        <w:t>五</w:t>
      </w:r>
      <w:bookmarkEnd w:id="1207"/>
      <w:r>
        <w:rPr>
          <w:color w:val="000000"/>
          <w:spacing w:val="0"/>
          <w:w w:val="100"/>
          <w:position w:val="0"/>
          <w:sz w:val="24"/>
          <w:szCs w:val="24"/>
        </w:rPr>
        <w:t>、税项</w:t>
      </w:r>
      <w:bookmarkEnd w:id="1205"/>
      <w:bookmarkEnd w:id="1206"/>
      <w:bookmarkEnd w:id="1208"/>
    </w:p>
    <w:p>
      <w:pPr>
        <w:pStyle w:val="Style37"/>
        <w:keepNext/>
        <w:keepLines/>
        <w:widowControl w:val="0"/>
        <w:shd w:val="clear" w:color="auto" w:fill="auto"/>
        <w:bidi w:val="0"/>
        <w:spacing w:before="0" w:after="320" w:line="240" w:lineRule="auto"/>
        <w:ind w:left="0" w:right="0" w:firstLine="560"/>
        <w:jc w:val="left"/>
      </w:pPr>
      <w:bookmarkStart w:id="1209" w:name="bookmark1209"/>
      <w:bookmarkStart w:id="1210" w:name="bookmark1210"/>
      <w:bookmarkStart w:id="1211" w:name="bookmark1211"/>
      <w:bookmarkStart w:id="1212" w:name="bookmark1212"/>
      <w:r>
        <w:rPr>
          <w:color w:val="000000"/>
          <w:spacing w:val="0"/>
          <w:w w:val="100"/>
          <w:position w:val="0"/>
        </w:rPr>
        <w:t>（</w:t>
      </w:r>
      <w:bookmarkEnd w:id="1211"/>
      <w:r>
        <w:rPr>
          <w:color w:val="000000"/>
          <w:spacing w:val="0"/>
          <w:w w:val="100"/>
          <w:position w:val="0"/>
        </w:rPr>
        <w:t>一）公司主要税种和税率</w:t>
      </w:r>
      <w:bookmarkEnd w:id="1209"/>
      <w:bookmarkEnd w:id="1210"/>
      <w:bookmarkEnd w:id="1212"/>
    </w:p>
    <w:tbl>
      <w:tblPr>
        <w:tblOverlap w:val="never"/>
        <w:jc w:val="center"/>
        <w:tblLayout w:type="fixed"/>
      </w:tblPr>
      <w:tblGrid>
        <w:gridCol w:w="1958"/>
        <w:gridCol w:w="3792"/>
        <w:gridCol w:w="2846"/>
      </w:tblGrid>
      <w:tr>
        <w:trPr>
          <w:trHeight w:val="37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129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增值税</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80" w:line="240" w:lineRule="auto"/>
              <w:ind w:left="0" w:right="0" w:firstLine="0"/>
              <w:jc w:val="both"/>
              <w:rPr>
                <w:sz w:val="18"/>
                <w:szCs w:val="18"/>
              </w:rPr>
            </w:pPr>
            <w:r>
              <w:rPr>
                <w:color w:val="000000"/>
                <w:spacing w:val="0"/>
                <w:w w:val="100"/>
                <w:position w:val="0"/>
                <w:sz w:val="18"/>
                <w:szCs w:val="18"/>
              </w:rPr>
              <w:t>按税法规定计算的销售货物和应税劳务收入</w:t>
            </w:r>
          </w:p>
          <w:p>
            <w:pPr>
              <w:pStyle w:val="Style2"/>
              <w:keepNext w:val="0"/>
              <w:keepLines w:val="0"/>
              <w:widowControl w:val="0"/>
              <w:shd w:val="clear" w:color="auto" w:fill="auto"/>
              <w:bidi w:val="0"/>
              <w:spacing w:before="0" w:after="180" w:line="240" w:lineRule="auto"/>
              <w:ind w:left="0" w:right="0" w:firstLine="0"/>
              <w:jc w:val="both"/>
              <w:rPr>
                <w:sz w:val="18"/>
                <w:szCs w:val="18"/>
              </w:rPr>
            </w:pPr>
            <w:r>
              <w:rPr>
                <w:color w:val="000000"/>
                <w:spacing w:val="0"/>
                <w:w w:val="100"/>
                <w:position w:val="0"/>
                <w:sz w:val="18"/>
                <w:szCs w:val="18"/>
              </w:rPr>
              <w:t>为基础计算销项税额，在扣除当期允许抵扣的</w:t>
            </w:r>
          </w:p>
          <w:p>
            <w:pPr>
              <w:pStyle w:val="Style2"/>
              <w:keepNext w:val="0"/>
              <w:keepLines w:val="0"/>
              <w:widowControl w:val="0"/>
              <w:shd w:val="clear" w:color="auto" w:fill="auto"/>
              <w:bidi w:val="0"/>
              <w:spacing w:before="0" w:after="180" w:line="240" w:lineRule="auto"/>
              <w:ind w:left="0" w:right="0" w:firstLine="0"/>
              <w:jc w:val="both"/>
              <w:rPr>
                <w:sz w:val="18"/>
                <w:szCs w:val="18"/>
              </w:rPr>
            </w:pPr>
            <w:r>
              <w:rPr>
                <w:color w:val="000000"/>
                <w:spacing w:val="0"/>
                <w:w w:val="100"/>
                <w:position w:val="0"/>
                <w:sz w:val="18"/>
                <w:szCs w:val="18"/>
              </w:rPr>
              <w:t>进项税额后，差额部分为应交增值税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p>
        </w:tc>
      </w:tr>
      <w:tr>
        <w:trPr>
          <w:trHeight w:val="490"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企业所得税</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按应纳税所得额计缴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16.5%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0% </w:t>
            </w:r>
            <w:r>
              <w:rPr>
                <w:color w:val="000000"/>
                <w:spacing w:val="0"/>
                <w:w w:val="100"/>
                <w:position w:val="0"/>
                <w:sz w:val="18"/>
                <w:szCs w:val="18"/>
              </w:rPr>
              <w:t>［</w:t>
            </w:r>
            <w:r>
              <w:rPr>
                <w:color w:val="000000"/>
                <w:spacing w:val="0"/>
                <w:w w:val="100"/>
                <w:position w:val="0"/>
                <w:sz w:val="18"/>
                <w:szCs w:val="18"/>
              </w:rPr>
              <w:t xml:space="preserve">注 </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p>
        </w:tc>
      </w:tr>
      <w:tr>
        <w:trPr>
          <w:trHeight w:val="490"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城市维护建设税</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按实际缴纳的增值税及消费税计缴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w:t>
            </w:r>
          </w:p>
        </w:tc>
      </w:tr>
      <w:tr>
        <w:trPr>
          <w:trHeight w:val="490"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教育费附加</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按实际缴纳的增值税及消费税计缴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518" w:hRule="exact"/>
        </w:trPr>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地方教育费附加</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按实际缴纳的增值税及消费税计缴</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bl>
    <w:p>
      <w:pPr>
        <w:widowControl w:val="0"/>
        <w:spacing w:after="199" w:line="1" w:lineRule="exact"/>
      </w:pPr>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：不同纳税主体所得税税率说明:</w:t>
      </w:r>
    </w:p>
    <w:tbl>
      <w:tblPr>
        <w:tblOverlap w:val="never"/>
        <w:jc w:val="center"/>
        <w:tblLayout w:type="fixed"/>
      </w:tblPr>
      <w:tblGrid>
        <w:gridCol w:w="4440"/>
        <w:gridCol w:w="4166"/>
      </w:tblGrid>
      <w:tr>
        <w:trPr>
          <w:trHeight w:val="37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纳税主体名称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所得税税率</w:t>
            </w:r>
          </w:p>
        </w:tc>
      </w:tr>
      <w:tr>
        <w:trPr>
          <w:trHeight w:val="490"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国盛证券有限责任公司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w:t>
            </w:r>
          </w:p>
        </w:tc>
      </w:tr>
      <w:tr>
        <w:trPr>
          <w:trHeight w:val="490"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国盛期货有限责任公司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w:t>
            </w:r>
          </w:p>
        </w:tc>
      </w:tr>
      <w:tr>
        <w:trPr>
          <w:trHeight w:val="490"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国盛证券资产管理有限公司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w:t>
            </w:r>
          </w:p>
        </w:tc>
      </w:tr>
      <w:tr>
        <w:trPr>
          <w:trHeight w:val="490"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国盛弘远（上海）投资有限公司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w:t>
            </w:r>
          </w:p>
        </w:tc>
      </w:tr>
      <w:tr>
        <w:trPr>
          <w:trHeight w:val="490"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深圳国盛前海投资有限公司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w:t>
            </w:r>
          </w:p>
        </w:tc>
      </w:tr>
      <w:tr>
        <w:trPr>
          <w:trHeight w:val="490"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 xml:space="preserve">Guosheng </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HongKong) Investmen tLimited</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16.5%</w:t>
            </w:r>
          </w:p>
        </w:tc>
      </w:tr>
      <w:tr>
        <w:trPr>
          <w:trHeight w:val="490"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Guosheng International Investment Limited</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r>
      <w:tr>
        <w:trPr>
          <w:trHeight w:val="490"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Guosheng Internet Investment Management Limited</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r>
      <w:tr>
        <w:trPr>
          <w:trHeight w:val="490"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 xml:space="preserve">Kingley Ying Fat Paper Products </w:t>
            </w:r>
            <w:r>
              <w:rPr>
                <w:rFonts w:ascii="Times New Roman" w:eastAsia="Times New Roman" w:hAnsi="Times New Roman" w:cs="Times New Roman"/>
                <w:color w:val="000000"/>
                <w:spacing w:val="0"/>
                <w:w w:val="100"/>
                <w:position w:val="0"/>
                <w:sz w:val="18"/>
                <w:szCs w:val="18"/>
              </w:rPr>
              <w:t xml:space="preserve">&amp; </w:t>
            </w:r>
            <w:r>
              <w:rPr>
                <w:rFonts w:ascii="Times New Roman" w:eastAsia="Times New Roman" w:hAnsi="Times New Roman" w:cs="Times New Roman"/>
                <w:color w:val="000000"/>
                <w:spacing w:val="0"/>
                <w:w w:val="100"/>
                <w:position w:val="0"/>
                <w:sz w:val="18"/>
                <w:szCs w:val="18"/>
              </w:rPr>
              <w:t>Printing Limited</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16.5%</w:t>
            </w:r>
          </w:p>
        </w:tc>
      </w:tr>
      <w:tr>
        <w:trPr>
          <w:trHeight w:val="490"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Guosheng Global Investment Limited</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r>
      <w:tr>
        <w:trPr>
          <w:trHeight w:val="494"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珠海横琴极盛科技有限公司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w:t>
            </w:r>
          </w:p>
        </w:tc>
      </w:tr>
      <w:tr>
        <w:trPr>
          <w:trHeight w:val="490"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深圳前海国盛科技有限公司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w:t>
            </w:r>
          </w:p>
        </w:tc>
      </w:tr>
      <w:tr>
        <w:trPr>
          <w:trHeight w:val="518" w:hRule="exact"/>
        </w:trPr>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北京国盛互联信息咨询有限公司</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w:t>
            </w:r>
          </w:p>
        </w:tc>
      </w:tr>
    </w:tbl>
    <w:p>
      <w:pPr>
        <w:widowControl w:val="0"/>
        <w:spacing w:line="1" w:lineRule="exact"/>
      </w:pPr>
    </w:p>
    <w:tbl>
      <w:tblPr>
        <w:tblOverlap w:val="never"/>
        <w:jc w:val="center"/>
        <w:tblLayout w:type="fixed"/>
      </w:tblPr>
      <w:tblGrid>
        <w:gridCol w:w="4440"/>
        <w:gridCol w:w="4166"/>
      </w:tblGrid>
      <w:tr>
        <w:trPr>
          <w:trHeight w:val="37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纳税主体名称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所得税税率</w:t>
            </w:r>
          </w:p>
        </w:tc>
      </w:tr>
      <w:tr>
        <w:trPr>
          <w:trHeight w:val="490"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天津国盛信安科技有限公司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w:t>
            </w:r>
          </w:p>
        </w:tc>
      </w:tr>
      <w:tr>
        <w:trPr>
          <w:trHeight w:val="490"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深圳前海弘大嘉豪资本管理有限公司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w:t>
            </w:r>
          </w:p>
        </w:tc>
      </w:tr>
      <w:tr>
        <w:trPr>
          <w:trHeight w:val="490"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广州极盛融资租赁有限公司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w:t>
            </w:r>
          </w:p>
        </w:tc>
      </w:tr>
      <w:tr>
        <w:trPr>
          <w:trHeight w:val="490"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上海钰信金融信息服务有限公司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w:t>
            </w:r>
          </w:p>
        </w:tc>
      </w:tr>
      <w:tr>
        <w:trPr>
          <w:trHeight w:val="384"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上海多专科技有限公司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w:t>
            </w:r>
          </w:p>
        </w:tc>
      </w:tr>
    </w:tbl>
    <w:p>
      <w:pPr>
        <w:widowControl w:val="0"/>
        <w:spacing w:after="179" w:line="1" w:lineRule="exact"/>
      </w:pPr>
    </w:p>
    <w:p>
      <w:pPr>
        <w:pStyle w:val="Style37"/>
        <w:keepNext/>
        <w:keepLines/>
        <w:widowControl w:val="0"/>
        <w:shd w:val="clear" w:color="auto" w:fill="auto"/>
        <w:bidi w:val="0"/>
        <w:spacing w:before="0" w:after="40" w:line="410" w:lineRule="exact"/>
        <w:ind w:left="0" w:right="0" w:firstLine="560"/>
        <w:jc w:val="left"/>
      </w:pPr>
      <w:bookmarkStart w:id="1213" w:name="bookmark1213"/>
      <w:bookmarkStart w:id="1214" w:name="bookmark1214"/>
      <w:bookmarkStart w:id="1215" w:name="bookmark1215"/>
      <w:bookmarkStart w:id="1216" w:name="bookmark1216"/>
      <w:r>
        <w:rPr>
          <w:color w:val="000000"/>
          <w:spacing w:val="0"/>
          <w:w w:val="100"/>
          <w:position w:val="0"/>
        </w:rPr>
        <w:t>（</w:t>
      </w:r>
      <w:bookmarkEnd w:id="1215"/>
      <w:r>
        <w:rPr>
          <w:color w:val="000000"/>
          <w:spacing w:val="0"/>
          <w:w w:val="100"/>
          <w:position w:val="0"/>
        </w:rPr>
        <w:t>二）税收优惠政策及依据</w:t>
      </w:r>
      <w:bookmarkEnd w:id="1213"/>
      <w:bookmarkEnd w:id="1214"/>
      <w:bookmarkEnd w:id="1216"/>
    </w:p>
    <w:p>
      <w:pPr>
        <w:pStyle w:val="Style16"/>
        <w:keepNext w:val="0"/>
        <w:keepLines w:val="0"/>
        <w:widowControl w:val="0"/>
        <w:shd w:val="clear" w:color="auto" w:fill="auto"/>
        <w:bidi w:val="0"/>
        <w:spacing w:before="0" w:after="40" w:line="410" w:lineRule="exact"/>
        <w:ind w:left="0" w:right="0" w:firstLine="580"/>
        <w:jc w:val="both"/>
      </w:pPr>
      <w:r>
        <w:rPr>
          <w:color w:val="000000"/>
          <w:spacing w:val="0"/>
          <w:w w:val="100"/>
          <w:position w:val="0"/>
        </w:rPr>
        <w:t>根据财税〔</w:t>
      </w:r>
      <w:r>
        <w:rPr>
          <w:rFonts w:ascii="Times New Roman" w:eastAsia="Times New Roman" w:hAnsi="Times New Roman" w:cs="Times New Roman"/>
          <w:color w:val="000000"/>
          <w:spacing w:val="0"/>
          <w:w w:val="100"/>
          <w:position w:val="0"/>
        </w:rPr>
        <w:t>2018</w:t>
      </w:r>
      <w:r>
        <w:rPr>
          <w:color w:val="000000"/>
          <w:spacing w:val="0"/>
          <w:w w:val="100"/>
          <w:position w:val="0"/>
        </w:rPr>
        <w:t xml:space="preserve">） </w:t>
      </w:r>
      <w:r>
        <w:rPr>
          <w:rFonts w:ascii="Times New Roman" w:eastAsia="Times New Roman" w:hAnsi="Times New Roman" w:cs="Times New Roman"/>
          <w:color w:val="000000"/>
          <w:spacing w:val="0"/>
          <w:w w:val="100"/>
          <w:position w:val="0"/>
        </w:rPr>
        <w:t>77</w:t>
      </w:r>
      <w:r>
        <w:rPr>
          <w:color w:val="000000"/>
          <w:spacing w:val="0"/>
          <w:w w:val="100"/>
          <w:position w:val="0"/>
        </w:rPr>
        <w:t>号，国家税务总局公告</w:t>
      </w:r>
      <w:r>
        <w:rPr>
          <w:rFonts w:ascii="Times New Roman" w:eastAsia="Times New Roman" w:hAnsi="Times New Roman" w:cs="Times New Roman"/>
          <w:color w:val="000000"/>
          <w:spacing w:val="0"/>
          <w:w w:val="100"/>
          <w:position w:val="0"/>
        </w:rPr>
        <w:t>2018</w:t>
      </w:r>
      <w:r>
        <w:rPr>
          <w:color w:val="000000"/>
          <w:spacing w:val="0"/>
          <w:w w:val="100"/>
          <w:position w:val="0"/>
        </w:rPr>
        <w:t>年第</w:t>
      </w:r>
      <w:r>
        <w:rPr>
          <w:rFonts w:ascii="Times New Roman" w:eastAsia="Times New Roman" w:hAnsi="Times New Roman" w:cs="Times New Roman"/>
          <w:color w:val="000000"/>
          <w:spacing w:val="0"/>
          <w:w w:val="100"/>
          <w:position w:val="0"/>
        </w:rPr>
        <w:t>40</w:t>
      </w:r>
      <w:r>
        <w:rPr>
          <w:color w:val="000000"/>
          <w:spacing w:val="0"/>
          <w:w w:val="100"/>
          <w:position w:val="0"/>
        </w:rPr>
        <w:t>号等文件规定，自</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日，符合条件（包括资产总额、从业人数）的小型微利企业，其 应纳税所得税额低于</w:t>
      </w:r>
      <w:r>
        <w:rPr>
          <w:rFonts w:ascii="Times New Roman" w:eastAsia="Times New Roman" w:hAnsi="Times New Roman" w:cs="Times New Roman"/>
          <w:color w:val="000000"/>
          <w:spacing w:val="0"/>
          <w:w w:val="100"/>
          <w:position w:val="0"/>
        </w:rPr>
        <w:t>100</w:t>
      </w:r>
      <w:r>
        <w:rPr>
          <w:color w:val="000000"/>
          <w:spacing w:val="0"/>
          <w:w w:val="100"/>
          <w:position w:val="0"/>
        </w:rPr>
        <w:t>万元的，所得减按</w:t>
      </w:r>
      <w:r>
        <w:rPr>
          <w:rFonts w:ascii="Times New Roman" w:eastAsia="Times New Roman" w:hAnsi="Times New Roman" w:cs="Times New Roman"/>
          <w:color w:val="000000"/>
          <w:spacing w:val="0"/>
          <w:w w:val="100"/>
          <w:position w:val="0"/>
        </w:rPr>
        <w:t>50%</w:t>
      </w:r>
      <w:r>
        <w:rPr>
          <w:color w:val="000000"/>
          <w:spacing w:val="0"/>
          <w:w w:val="100"/>
          <w:position w:val="0"/>
        </w:rPr>
        <w:t>计入应纳税所得额并按</w:t>
      </w:r>
      <w:r>
        <w:rPr>
          <w:rFonts w:ascii="Times New Roman" w:eastAsia="Times New Roman" w:hAnsi="Times New Roman" w:cs="Times New Roman"/>
          <w:color w:val="000000"/>
          <w:spacing w:val="0"/>
          <w:w w:val="100"/>
          <w:position w:val="0"/>
        </w:rPr>
        <w:t>20%</w:t>
      </w:r>
      <w:r>
        <w:rPr>
          <w:color w:val="000000"/>
          <w:spacing w:val="0"/>
          <w:w w:val="100"/>
          <w:position w:val="0"/>
        </w:rPr>
        <w:t>的税率计算缴 纳企业所得税。上述适用</w:t>
      </w:r>
      <w:r>
        <w:rPr>
          <w:rFonts w:ascii="Times New Roman" w:eastAsia="Times New Roman" w:hAnsi="Times New Roman" w:cs="Times New Roman"/>
          <w:color w:val="000000"/>
          <w:spacing w:val="0"/>
          <w:w w:val="100"/>
          <w:position w:val="0"/>
        </w:rPr>
        <w:t>20%</w:t>
      </w:r>
      <w:r>
        <w:rPr>
          <w:color w:val="000000"/>
          <w:spacing w:val="0"/>
          <w:w w:val="100"/>
          <w:position w:val="0"/>
        </w:rPr>
        <w:t>企业所得税税率的子公司均享受此税收优惠政策。</w:t>
      </w:r>
    </w:p>
    <w:p>
      <w:pPr>
        <w:pStyle w:val="Style16"/>
        <w:keepNext w:val="0"/>
        <w:keepLines w:val="0"/>
        <w:widowControl w:val="0"/>
        <w:shd w:val="clear" w:color="auto" w:fill="auto"/>
        <w:bidi w:val="0"/>
        <w:spacing w:before="0" w:after="40" w:line="409" w:lineRule="exact"/>
        <w:ind w:left="0" w:right="0" w:firstLine="580"/>
        <w:jc w:val="both"/>
      </w:pPr>
      <w:r>
        <w:rPr>
          <w:color w:val="000000"/>
          <w:spacing w:val="0"/>
          <w:w w:val="100"/>
          <w:position w:val="0"/>
        </w:rPr>
        <w:t>根据《财政部税务总局公告</w:t>
      </w:r>
      <w:r>
        <w:rPr>
          <w:rFonts w:ascii="Times New Roman" w:eastAsia="Times New Roman" w:hAnsi="Times New Roman" w:cs="Times New Roman"/>
          <w:color w:val="000000"/>
          <w:spacing w:val="0"/>
          <w:w w:val="100"/>
          <w:position w:val="0"/>
        </w:rPr>
        <w:t>2020</w:t>
      </w:r>
      <w:r>
        <w:rPr>
          <w:color w:val="000000"/>
          <w:spacing w:val="0"/>
          <w:w w:val="100"/>
          <w:position w:val="0"/>
        </w:rPr>
        <w:t>年第</w:t>
      </w:r>
      <w:r>
        <w:rPr>
          <w:rFonts w:ascii="Times New Roman" w:eastAsia="Times New Roman" w:hAnsi="Times New Roman" w:cs="Times New Roman"/>
          <w:color w:val="000000"/>
          <w:spacing w:val="0"/>
          <w:w w:val="100"/>
          <w:position w:val="0"/>
        </w:rPr>
        <w:t>13</w:t>
      </w:r>
      <w:r>
        <w:rPr>
          <w:color w:val="000000"/>
          <w:spacing w:val="0"/>
          <w:w w:val="100"/>
          <w:position w:val="0"/>
        </w:rPr>
        <w:t>号关于支持个体工商户复工复业增值税政策的 公告》和《财政部税务总局公告</w:t>
      </w:r>
      <w:r>
        <w:rPr>
          <w:rFonts w:ascii="Times New Roman" w:eastAsia="Times New Roman" w:hAnsi="Times New Roman" w:cs="Times New Roman"/>
          <w:color w:val="000000"/>
          <w:spacing w:val="0"/>
          <w:w w:val="100"/>
          <w:position w:val="0"/>
        </w:rPr>
        <w:t>2020</w:t>
      </w:r>
      <w:r>
        <w:rPr>
          <w:color w:val="000000"/>
          <w:spacing w:val="0"/>
          <w:w w:val="100"/>
          <w:position w:val="0"/>
        </w:rPr>
        <w:t>年第</w:t>
      </w:r>
      <w:r>
        <w:rPr>
          <w:rFonts w:ascii="Times New Roman" w:eastAsia="Times New Roman" w:hAnsi="Times New Roman" w:cs="Times New Roman"/>
          <w:color w:val="000000"/>
          <w:spacing w:val="0"/>
          <w:w w:val="100"/>
          <w:position w:val="0"/>
        </w:rPr>
        <w:t>24</w:t>
      </w:r>
      <w:r>
        <w:rPr>
          <w:color w:val="000000"/>
          <w:spacing w:val="0"/>
          <w:w w:val="100"/>
          <w:position w:val="0"/>
        </w:rPr>
        <w:t>号关于延长小规模纳税人减免增值税政策执 行期限的公告》，除湖北省外，其他省、自治区、直辖市的增值税小规模纳税人，适用</w:t>
      </w:r>
      <w:r>
        <w:rPr>
          <w:rFonts w:ascii="Times New Roman" w:eastAsia="Times New Roman" w:hAnsi="Times New Roman" w:cs="Times New Roman"/>
          <w:color w:val="000000"/>
          <w:spacing w:val="0"/>
          <w:w w:val="100"/>
          <w:position w:val="0"/>
        </w:rPr>
        <w:t xml:space="preserve">3% </w:t>
      </w:r>
      <w:r>
        <w:rPr>
          <w:color w:val="000000"/>
          <w:spacing w:val="0"/>
          <w:w w:val="100"/>
          <w:position w:val="0"/>
        </w:rPr>
        <w:t>征收率的应税销售收入，减按</w:t>
      </w:r>
      <w:r>
        <w:rPr>
          <w:rFonts w:ascii="Times New Roman" w:eastAsia="Times New Roman" w:hAnsi="Times New Roman" w:cs="Times New Roman"/>
          <w:color w:val="000000"/>
          <w:spacing w:val="0"/>
          <w:w w:val="100"/>
          <w:position w:val="0"/>
        </w:rPr>
        <w:t>1%</w:t>
      </w:r>
      <w:r>
        <w:rPr>
          <w:color w:val="000000"/>
          <w:spacing w:val="0"/>
          <w:w w:val="100"/>
          <w:position w:val="0"/>
        </w:rPr>
        <w:t>征收率征收增值税；适用</w:t>
      </w:r>
      <w:r>
        <w:rPr>
          <w:rFonts w:ascii="Times New Roman" w:eastAsia="Times New Roman" w:hAnsi="Times New Roman" w:cs="Times New Roman"/>
          <w:color w:val="000000"/>
          <w:spacing w:val="0"/>
          <w:w w:val="100"/>
          <w:position w:val="0"/>
        </w:rPr>
        <w:t>3%</w:t>
      </w:r>
      <w:r>
        <w:rPr>
          <w:color w:val="000000"/>
          <w:spacing w:val="0"/>
          <w:w w:val="100"/>
          <w:position w:val="0"/>
        </w:rPr>
        <w:t>预征率的预缴增值税项目， 减按</w:t>
      </w:r>
      <w:r>
        <w:rPr>
          <w:rFonts w:ascii="Times New Roman" w:eastAsia="Times New Roman" w:hAnsi="Times New Roman" w:cs="Times New Roman"/>
          <w:color w:val="000000"/>
          <w:spacing w:val="0"/>
          <w:w w:val="100"/>
          <w:position w:val="0"/>
        </w:rPr>
        <w:t>1%</w:t>
      </w:r>
      <w:r>
        <w:rPr>
          <w:color w:val="000000"/>
          <w:spacing w:val="0"/>
          <w:w w:val="100"/>
          <w:position w:val="0"/>
        </w:rPr>
        <w:t>预征率预缴增值税，该税收优惠政策实施期限延长到</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p>
      <w:pPr>
        <w:pStyle w:val="Style16"/>
        <w:keepNext w:val="0"/>
        <w:keepLines w:val="0"/>
        <w:widowControl w:val="0"/>
        <w:shd w:val="clear" w:color="auto" w:fill="auto"/>
        <w:bidi w:val="0"/>
        <w:spacing w:before="0" w:after="180" w:line="413" w:lineRule="exact"/>
        <w:ind w:left="0" w:right="0" w:firstLine="580"/>
        <w:jc w:val="both"/>
      </w:pPr>
      <w:r>
        <w:rPr>
          <w:color w:val="000000"/>
          <w:spacing w:val="0"/>
          <w:w w:val="100"/>
          <w:position w:val="0"/>
        </w:rPr>
        <w:t>子公司极盛科技获得广东省</w:t>
      </w:r>
      <w:r>
        <w:rPr>
          <w:rFonts w:ascii="Times New Roman" w:eastAsia="Times New Roman" w:hAnsi="Times New Roman" w:cs="Times New Roman"/>
          <w:color w:val="000000"/>
          <w:spacing w:val="0"/>
          <w:w w:val="100"/>
          <w:position w:val="0"/>
        </w:rPr>
        <w:t>2019</w:t>
      </w:r>
      <w:r>
        <w:rPr>
          <w:color w:val="000000"/>
          <w:spacing w:val="0"/>
          <w:w w:val="100"/>
          <w:position w:val="0"/>
        </w:rPr>
        <w:t>年高新技术企业认定，证书编码为</w:t>
      </w:r>
      <w:r>
        <w:rPr>
          <w:rFonts w:ascii="Times New Roman" w:eastAsia="Times New Roman" w:hAnsi="Times New Roman" w:cs="Times New Roman"/>
          <w:color w:val="000000"/>
          <w:spacing w:val="0"/>
          <w:w w:val="100"/>
          <w:position w:val="0"/>
        </w:rPr>
        <w:t>GR201944001392</w:t>
      </w:r>
      <w:r>
        <w:rPr>
          <w:color w:val="000000"/>
          <w:spacing w:val="0"/>
          <w:w w:val="100"/>
          <w:position w:val="0"/>
        </w:rPr>
        <w:t xml:space="preserve">， </w:t>
      </w:r>
      <w:r>
        <w:rPr>
          <w:color w:val="000000"/>
          <w:spacing w:val="0"/>
          <w:w w:val="100"/>
          <w:position w:val="0"/>
        </w:rPr>
        <w:t>发证日期为</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日，自</w:t>
      </w:r>
      <w:r>
        <w:rPr>
          <w:rFonts w:ascii="Times New Roman" w:eastAsia="Times New Roman" w:hAnsi="Times New Roman" w:cs="Times New Roman"/>
          <w:color w:val="000000"/>
          <w:spacing w:val="0"/>
          <w:w w:val="100"/>
          <w:position w:val="0"/>
        </w:rPr>
        <w:t>2019</w:t>
      </w:r>
      <w:r>
        <w:rPr>
          <w:color w:val="000000"/>
          <w:spacing w:val="0"/>
          <w:w w:val="100"/>
          <w:position w:val="0"/>
        </w:rPr>
        <w:t>年起三年内将享受相关优惠政策，按</w:t>
      </w:r>
      <w:r>
        <w:rPr>
          <w:rFonts w:ascii="Times New Roman" w:eastAsia="Times New Roman" w:hAnsi="Times New Roman" w:cs="Times New Roman"/>
          <w:color w:val="000000"/>
          <w:spacing w:val="0"/>
          <w:w w:val="100"/>
          <w:position w:val="0"/>
        </w:rPr>
        <w:t>15%</w:t>
      </w:r>
      <w:r>
        <w:rPr>
          <w:color w:val="000000"/>
          <w:spacing w:val="0"/>
          <w:w w:val="100"/>
          <w:position w:val="0"/>
        </w:rPr>
        <w:t>的税率缴 纳企业所得税。</w:t>
      </w:r>
    </w:p>
    <w:p>
      <w:pPr>
        <w:pStyle w:val="Style29"/>
        <w:keepNext/>
        <w:keepLines/>
        <w:widowControl w:val="0"/>
        <w:shd w:val="clear" w:color="auto" w:fill="auto"/>
        <w:bidi w:val="0"/>
        <w:spacing w:before="0" w:after="40" w:line="240" w:lineRule="auto"/>
        <w:ind w:left="0" w:right="0" w:firstLine="560"/>
        <w:jc w:val="left"/>
      </w:pPr>
      <w:bookmarkStart w:id="1217" w:name="bookmark1217"/>
      <w:bookmarkStart w:id="1218" w:name="bookmark1218"/>
      <w:bookmarkStart w:id="1219" w:name="bookmark1219"/>
      <w:bookmarkStart w:id="1220" w:name="bookmark1220"/>
      <w:r>
        <w:rPr>
          <w:color w:val="000000"/>
          <w:spacing w:val="0"/>
          <w:w w:val="100"/>
          <w:position w:val="0"/>
          <w:sz w:val="24"/>
          <w:szCs w:val="24"/>
        </w:rPr>
        <w:t>六</w:t>
      </w:r>
      <w:bookmarkEnd w:id="1219"/>
      <w:r>
        <w:rPr>
          <w:color w:val="000000"/>
          <w:spacing w:val="0"/>
          <w:w w:val="100"/>
          <w:position w:val="0"/>
          <w:sz w:val="24"/>
          <w:szCs w:val="24"/>
        </w:rPr>
        <w:t>、合并财务报表主要项目注释</w:t>
      </w:r>
      <w:bookmarkEnd w:id="1217"/>
      <w:bookmarkEnd w:id="1218"/>
      <w:bookmarkEnd w:id="1220"/>
    </w:p>
    <w:p>
      <w:pPr>
        <w:pStyle w:val="Style16"/>
        <w:keepNext w:val="0"/>
        <w:keepLines w:val="0"/>
        <w:widowControl w:val="0"/>
        <w:shd w:val="clear" w:color="auto" w:fill="auto"/>
        <w:bidi w:val="0"/>
        <w:spacing w:before="0" w:after="40" w:line="410" w:lineRule="exact"/>
        <w:ind w:left="0" w:right="0" w:firstLine="560"/>
        <w:jc w:val="left"/>
      </w:pPr>
      <w:r>
        <w:rPr>
          <w:color w:val="000000"/>
          <w:spacing w:val="0"/>
          <w:w w:val="100"/>
          <w:position w:val="0"/>
        </w:rPr>
        <w:t>（以下金额单位若未特别注明者均为人民币元，期初均为</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p>
    <w:p>
      <w:pPr>
        <w:pStyle w:val="Style37"/>
        <w:keepNext/>
        <w:keepLines/>
        <w:widowControl w:val="0"/>
        <w:shd w:val="clear" w:color="auto" w:fill="auto"/>
        <w:bidi w:val="0"/>
        <w:spacing w:before="0" w:after="180" w:line="410" w:lineRule="exact"/>
        <w:ind w:left="0" w:right="0" w:firstLine="560"/>
        <w:jc w:val="left"/>
      </w:pPr>
      <w:bookmarkStart w:id="1221" w:name="bookmark1221"/>
      <w:bookmarkStart w:id="1222" w:name="bookmark1222"/>
      <w:bookmarkStart w:id="1223" w:name="bookmark1223"/>
      <w:r>
        <w:rPr>
          <w:color w:val="000000"/>
          <w:spacing w:val="0"/>
          <w:w w:val="100"/>
          <w:position w:val="0"/>
        </w:rPr>
        <w:t>注释</w:t>
      </w:r>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1221"/>
      <w:bookmarkEnd w:id="1222"/>
      <w:bookmarkEnd w:id="1223"/>
    </w:p>
    <w:p>
      <w:pPr>
        <w:pStyle w:val="Style40"/>
        <w:keepNext w:val="0"/>
        <w:keepLines w:val="0"/>
        <w:widowControl w:val="0"/>
        <w:shd w:val="clear" w:color="auto" w:fill="auto"/>
        <w:bidi w:val="0"/>
        <w:spacing w:before="0" w:after="0" w:line="240" w:lineRule="auto"/>
        <w:ind w:left="571" w:right="0" w:firstLine="0"/>
        <w:jc w:val="left"/>
      </w:pPr>
      <w:r>
        <w:rPr>
          <w:b/>
          <w:bCs/>
          <w:color w:val="000000"/>
          <w:spacing w:val="0"/>
          <w:w w:val="100"/>
          <w:position w:val="0"/>
        </w:rPr>
        <w:t>1.</w:t>
      </w:r>
      <w:r>
        <w:rPr>
          <w:b/>
          <w:bCs/>
          <w:color w:val="000000"/>
          <w:spacing w:val="0"/>
          <w:w w:val="100"/>
          <w:position w:val="0"/>
        </w:rPr>
        <w:t>按类别列示</w:t>
      </w:r>
    </w:p>
    <w:tbl>
      <w:tblPr>
        <w:tblOverlap w:val="never"/>
        <w:jc w:val="center"/>
        <w:tblLayout w:type="fixed"/>
      </w:tblPr>
      <w:tblGrid>
        <w:gridCol w:w="2890"/>
        <w:gridCol w:w="2846"/>
        <w:gridCol w:w="2870"/>
      </w:tblGrid>
      <w:tr>
        <w:trPr>
          <w:trHeight w:val="37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504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53</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126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439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964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329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565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905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70</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其中：客户资金存款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957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506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234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037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530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05</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自有资金存款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625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482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458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095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528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375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65</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719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086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18</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126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762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188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330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388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192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41</w:t>
            </w:r>
          </w:p>
        </w:tc>
      </w:tr>
      <w:tr>
        <w:trPr>
          <w:trHeight w:val="379"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其中：存放在境外的款项总额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937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212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418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458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34</w:t>
            </w:r>
          </w:p>
        </w:tc>
      </w:tr>
    </w:tbl>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日，公司无因抵押、质押或冻结等安排导致的使用有限制</w:t>
      </w:r>
      <w:r>
        <w:br w:type="page"/>
      </w:r>
    </w:p>
    <w:p>
      <w:pPr>
        <w:pStyle w:val="Style16"/>
        <w:keepNext w:val="0"/>
        <w:keepLines w:val="0"/>
        <w:widowControl w:val="0"/>
        <w:shd w:val="clear" w:color="auto" w:fill="auto"/>
        <w:bidi w:val="0"/>
        <w:spacing w:before="0" w:after="200" w:line="240" w:lineRule="auto"/>
        <w:ind w:left="0" w:right="0" w:firstLine="140"/>
        <w:jc w:val="left"/>
      </w:pPr>
      <w:r>
        <w:rPr>
          <w:color w:val="000000"/>
          <w:spacing w:val="0"/>
          <w:w w:val="100"/>
          <w:position w:val="0"/>
        </w:rPr>
        <w:t>的款项。</w:t>
      </w:r>
    </w:p>
    <w:p>
      <w:pPr>
        <w:pStyle w:val="Style16"/>
        <w:keepNext w:val="0"/>
        <w:keepLines w:val="0"/>
        <w:widowControl w:val="0"/>
        <w:shd w:val="clear" w:color="auto" w:fill="auto"/>
        <w:bidi w:val="0"/>
        <w:spacing w:before="0" w:after="140" w:line="240" w:lineRule="auto"/>
        <w:ind w:left="0" w:right="0" w:firstLine="560"/>
        <w:jc w:val="left"/>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：其他货币资金包括银行存款计提的应收利息，其中：期末余额</w:t>
      </w:r>
      <w:r>
        <w:rPr>
          <w:rFonts w:ascii="Times New Roman" w:eastAsia="Times New Roman" w:hAnsi="Times New Roman" w:cs="Times New Roman"/>
          <w:color w:val="000000"/>
          <w:spacing w:val="0"/>
          <w:w w:val="100"/>
          <w:position w:val="0"/>
        </w:rPr>
        <w:t>295</w:t>
      </w:r>
      <w:r>
        <w:rPr>
          <w:color w:val="000000"/>
          <w:spacing w:val="0"/>
          <w:w w:val="100"/>
          <w:position w:val="0"/>
        </w:rPr>
        <w:t>,</w:t>
      </w:r>
      <w:r>
        <w:rPr>
          <w:rFonts w:ascii="Times New Roman" w:eastAsia="Times New Roman" w:hAnsi="Times New Roman" w:cs="Times New Roman"/>
          <w:color w:val="000000"/>
          <w:spacing w:val="0"/>
          <w:w w:val="100"/>
          <w:position w:val="0"/>
        </w:rPr>
        <w:t>275</w:t>
      </w:r>
      <w:r>
        <w:rPr>
          <w:color w:val="000000"/>
          <w:spacing w:val="0"/>
          <w:w w:val="100"/>
          <w:position w:val="0"/>
        </w:rPr>
        <w:t>.</w:t>
      </w:r>
      <w:r>
        <w:rPr>
          <w:rFonts w:ascii="Times New Roman" w:eastAsia="Times New Roman" w:hAnsi="Times New Roman" w:cs="Times New Roman"/>
          <w:color w:val="000000"/>
          <w:spacing w:val="0"/>
          <w:w w:val="100"/>
          <w:position w:val="0"/>
        </w:rPr>
        <w:t>12</w:t>
      </w:r>
      <w:r>
        <w:rPr>
          <w:color w:val="000000"/>
          <w:spacing w:val="0"/>
          <w:w w:val="100"/>
          <w:position w:val="0"/>
        </w:rPr>
        <w:t>元，</w:t>
      </w:r>
    </w:p>
    <w:p>
      <w:pPr>
        <w:pStyle w:val="Style16"/>
        <w:keepNext w:val="0"/>
        <w:keepLines w:val="0"/>
        <w:widowControl w:val="0"/>
        <w:shd w:val="clear" w:color="auto" w:fill="auto"/>
        <w:bidi w:val="0"/>
        <w:spacing w:before="0" w:after="200" w:line="240" w:lineRule="auto"/>
        <w:ind w:left="0" w:right="0" w:firstLine="140"/>
        <w:jc w:val="left"/>
      </w:pPr>
      <w:r>
        <w:rPr>
          <w:color w:val="000000"/>
          <w:spacing w:val="0"/>
          <w:w w:val="100"/>
          <w:position w:val="0"/>
        </w:rPr>
        <w:t>期初余额</w:t>
      </w:r>
      <w:r>
        <w:rPr>
          <w:rFonts w:ascii="Times New Roman" w:eastAsia="Times New Roman" w:hAnsi="Times New Roman" w:cs="Times New Roman"/>
          <w:color w:val="000000"/>
          <w:spacing w:val="0"/>
          <w:w w:val="100"/>
          <w:position w:val="0"/>
        </w:rPr>
        <w:t>498</w:t>
      </w:r>
      <w:r>
        <w:rPr>
          <w:color w:val="000000"/>
          <w:spacing w:val="0"/>
          <w:w w:val="100"/>
          <w:position w:val="0"/>
        </w:rPr>
        <w:t xml:space="preserve">, </w:t>
      </w:r>
      <w:r>
        <w:rPr>
          <w:rFonts w:ascii="Times New Roman" w:eastAsia="Times New Roman" w:hAnsi="Times New Roman" w:cs="Times New Roman"/>
          <w:color w:val="000000"/>
          <w:spacing w:val="0"/>
          <w:w w:val="100"/>
          <w:position w:val="0"/>
        </w:rPr>
        <w:t>191</w:t>
      </w:r>
      <w:r>
        <w:rPr>
          <w:color w:val="000000"/>
          <w:spacing w:val="0"/>
          <w:w w:val="100"/>
          <w:position w:val="0"/>
        </w:rPr>
        <w:t xml:space="preserve">. </w:t>
      </w:r>
      <w:r>
        <w:rPr>
          <w:rFonts w:ascii="Times New Roman" w:eastAsia="Times New Roman" w:hAnsi="Times New Roman" w:cs="Times New Roman"/>
          <w:color w:val="000000"/>
          <w:spacing w:val="0"/>
          <w:w w:val="100"/>
          <w:position w:val="0"/>
        </w:rPr>
        <w:t>66</w:t>
      </w:r>
      <w:r>
        <w:rPr>
          <w:color w:val="000000"/>
          <w:spacing w:val="0"/>
          <w:w w:val="100"/>
          <w:position w:val="0"/>
        </w:rPr>
        <w:t>元，该款项金额不计入现金及现金等价物余额。</w:t>
      </w:r>
    </w:p>
    <w:p>
      <w:pPr>
        <w:pStyle w:val="Style16"/>
        <w:keepNext w:val="0"/>
        <w:keepLines w:val="0"/>
        <w:widowControl w:val="0"/>
        <w:shd w:val="clear" w:color="auto" w:fill="auto"/>
        <w:bidi w:val="0"/>
        <w:spacing w:before="0" w:after="140" w:line="240" w:lineRule="auto"/>
        <w:ind w:left="0" w:right="0" w:firstLine="560"/>
        <w:jc w:val="left"/>
      </w:pPr>
      <w:r>
        <w:rPr>
          <w:b/>
          <w:bCs/>
          <w:color w:val="000000"/>
          <w:spacing w:val="0"/>
          <w:w w:val="100"/>
          <w:position w:val="0"/>
        </w:rPr>
        <w:t>2.</w:t>
      </w:r>
      <w:r>
        <w:rPr>
          <w:b/>
          <w:bCs/>
          <w:color w:val="000000"/>
          <w:spacing w:val="0"/>
          <w:w w:val="100"/>
          <w:position w:val="0"/>
        </w:rPr>
        <w:t>按币种列示</w:t>
      </w:r>
    </w:p>
    <w:tbl>
      <w:tblPr>
        <w:tblOverlap w:val="never"/>
        <w:jc w:val="center"/>
        <w:tblLayout w:type="fixed"/>
      </w:tblPr>
      <w:tblGrid>
        <w:gridCol w:w="1502"/>
        <w:gridCol w:w="1310"/>
        <w:gridCol w:w="725"/>
        <w:gridCol w:w="1598"/>
        <w:gridCol w:w="1315"/>
        <w:gridCol w:w="725"/>
        <w:gridCol w:w="1651"/>
      </w:tblGrid>
      <w:tr>
        <w:trPr>
          <w:trHeight w:val="514"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项目</w:t>
            </w:r>
          </w:p>
        </w:tc>
        <w:tc>
          <w:tcPr>
            <w:gridSpan w:val="3"/>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3"/>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893"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外币金额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80" w:line="240" w:lineRule="auto"/>
              <w:ind w:left="0" w:right="0" w:firstLine="0"/>
              <w:jc w:val="center"/>
              <w:rPr>
                <w:sz w:val="18"/>
                <w:szCs w:val="18"/>
              </w:rPr>
            </w:pPr>
            <w:r>
              <w:rPr>
                <w:color w:val="000000"/>
                <w:spacing w:val="0"/>
                <w:w w:val="100"/>
                <w:position w:val="0"/>
                <w:sz w:val="18"/>
                <w:szCs w:val="18"/>
              </w:rPr>
              <w:t>折算</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折人民币金额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外币金额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80" w:line="240" w:lineRule="auto"/>
              <w:ind w:left="0" w:right="0" w:firstLine="0"/>
              <w:jc w:val="center"/>
              <w:rPr>
                <w:sz w:val="18"/>
                <w:szCs w:val="18"/>
              </w:rPr>
            </w:pPr>
            <w:r>
              <w:rPr>
                <w:color w:val="000000"/>
                <w:spacing w:val="0"/>
                <w:w w:val="100"/>
                <w:position w:val="0"/>
                <w:sz w:val="18"/>
                <w:szCs w:val="18"/>
              </w:rPr>
              <w:t>折算</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折人民币金额</w:t>
            </w:r>
          </w:p>
        </w:tc>
      </w:tr>
      <w:tr>
        <w:trPr>
          <w:trHeight w:val="490"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504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53</w:t>
            </w:r>
          </w:p>
        </w:tc>
      </w:tr>
      <w:tr>
        <w:trPr>
          <w:trHeight w:val="490"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其中：人民币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813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06</w:t>
            </w:r>
          </w:p>
        </w:tc>
      </w:tr>
      <w:tr>
        <w:trPr>
          <w:trHeight w:val="490"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9762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387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47</w:t>
            </w:r>
          </w:p>
        </w:tc>
      </w:tr>
      <w:tr>
        <w:trPr>
          <w:trHeight w:val="490"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876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8416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103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银行存款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126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439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964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329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565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905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70</w:t>
            </w:r>
          </w:p>
        </w:tc>
      </w:tr>
      <w:tr>
        <w:trPr>
          <w:trHeight w:val="490"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其中：自有资金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625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482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458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095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528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375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65</w:t>
            </w:r>
          </w:p>
        </w:tc>
      </w:tr>
      <w:tr>
        <w:trPr>
          <w:trHeight w:val="490"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人民币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588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072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283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073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284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243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41</w:t>
            </w:r>
          </w:p>
        </w:tc>
      </w:tr>
      <w:tr>
        <w:trPr>
          <w:trHeight w:val="490"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040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587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5249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314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627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839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345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9762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831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641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23</w:t>
            </w:r>
          </w:p>
        </w:tc>
      </w:tr>
      <w:tr>
        <w:trPr>
          <w:trHeight w:val="494"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630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641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8416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095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548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507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357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8958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412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491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01</w:t>
            </w:r>
          </w:p>
        </w:tc>
      </w:tr>
      <w:tr>
        <w:trPr>
          <w:trHeight w:val="490"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其中</w:t>
            </w:r>
            <w:r>
              <w:rPr>
                <w:color w:val="000000"/>
                <w:spacing w:val="0"/>
                <w:w w:val="100"/>
                <w:position w:val="0"/>
                <w:sz w:val="18"/>
                <w:szCs w:val="18"/>
              </w:rPr>
              <w:t>：</w:t>
            </w:r>
            <w:r>
              <w:rPr>
                <w:color w:val="000000"/>
                <w:spacing w:val="0"/>
                <w:w w:val="100"/>
                <w:position w:val="0"/>
                <w:sz w:val="18"/>
                <w:szCs w:val="18"/>
              </w:rPr>
              <w:t>客户资金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957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506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234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037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530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05</w:t>
            </w:r>
          </w:p>
        </w:tc>
      </w:tr>
      <w:tr>
        <w:trPr>
          <w:trHeight w:val="490"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人民币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486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158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802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215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253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289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96</w:t>
            </w:r>
          </w:p>
        </w:tc>
      </w:tr>
      <w:tr>
        <w:trPr>
          <w:trHeight w:val="490"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587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556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5249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358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648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953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878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9762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630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644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54</w:t>
            </w:r>
          </w:p>
        </w:tc>
      </w:tr>
      <w:tr>
        <w:trPr>
          <w:trHeight w:val="490"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275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731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8416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440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056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753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064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8958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153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595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55</w:t>
            </w:r>
          </w:p>
        </w:tc>
      </w:tr>
      <w:tr>
        <w:trPr>
          <w:trHeight w:val="490"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其他货币资金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317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719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794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086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18</w:t>
            </w:r>
          </w:p>
        </w:tc>
      </w:tr>
      <w:tr>
        <w:trPr>
          <w:trHeight w:val="490"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其中：人民币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295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275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770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089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72</w:t>
            </w:r>
          </w:p>
        </w:tc>
      </w:tr>
      <w:tr>
        <w:trPr>
          <w:trHeight w:val="490"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439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5249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444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439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9762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996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46</w:t>
            </w:r>
          </w:p>
        </w:tc>
      </w:tr>
      <w:tr>
        <w:trPr>
          <w:trHeight w:val="490"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23" w:hRule="exact"/>
        </w:trPr>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126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762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188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330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388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192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41</w:t>
            </w:r>
          </w:p>
        </w:tc>
      </w:tr>
    </w:tbl>
    <w:p>
      <w:pPr>
        <w:widowControl w:val="0"/>
        <w:spacing w:after="439" w:line="1" w:lineRule="exact"/>
      </w:pPr>
    </w:p>
    <w:p>
      <w:pPr>
        <w:pStyle w:val="Style37"/>
        <w:keepNext/>
        <w:keepLines/>
        <w:widowControl w:val="0"/>
        <w:shd w:val="clear" w:color="auto" w:fill="auto"/>
        <w:bidi w:val="0"/>
        <w:spacing w:before="0" w:after="140" w:line="240" w:lineRule="auto"/>
        <w:ind w:left="0" w:right="0" w:firstLine="560"/>
        <w:jc w:val="left"/>
      </w:pPr>
      <w:bookmarkStart w:id="1224" w:name="bookmark1224"/>
      <w:bookmarkStart w:id="1225" w:name="bookmark1225"/>
      <w:bookmarkStart w:id="1226" w:name="bookmark1226"/>
      <w:r>
        <w:rPr>
          <w:color w:val="000000"/>
          <w:spacing w:val="0"/>
          <w:w w:val="100"/>
          <w:position w:val="0"/>
        </w:rPr>
        <w:t>注释</w:t>
      </w:r>
      <w:r>
        <w:rPr>
          <w:rFonts w:ascii="Times New Roman" w:eastAsia="Times New Roman" w:hAnsi="Times New Roman" w:cs="Times New Roman"/>
          <w:color w:val="000000"/>
          <w:spacing w:val="0"/>
          <w:w w:val="100"/>
          <w:position w:val="0"/>
        </w:rPr>
        <w:t>2.</w:t>
      </w:r>
      <w:r>
        <w:rPr>
          <w:color w:val="000000"/>
          <w:spacing w:val="0"/>
          <w:w w:val="100"/>
          <w:position w:val="0"/>
        </w:rPr>
        <w:t>结算备付金</w:t>
      </w:r>
      <w:bookmarkEnd w:id="1224"/>
      <w:bookmarkEnd w:id="1225"/>
      <w:bookmarkEnd w:id="1226"/>
    </w:p>
    <w:tbl>
      <w:tblPr>
        <w:tblOverlap w:val="never"/>
        <w:jc w:val="center"/>
        <w:tblLayout w:type="fixed"/>
      </w:tblPr>
      <w:tblGrid>
        <w:gridCol w:w="1502"/>
        <w:gridCol w:w="1152"/>
        <w:gridCol w:w="826"/>
        <w:gridCol w:w="1469"/>
        <w:gridCol w:w="1224"/>
        <w:gridCol w:w="773"/>
        <w:gridCol w:w="1570"/>
      </w:tblGrid>
      <w:tr>
        <w:trPr>
          <w:trHeight w:val="432"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37" w:hRule="exact"/>
        </w:trPr>
        <w:tc>
          <w:tcPr>
            <w:vMerge/>
            <w:tcBorders>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原币金额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折算率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折人民币金额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原币金额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折算率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折人民币金额</w:t>
            </w:r>
          </w:p>
        </w:tc>
      </w:tr>
    </w:tbl>
    <w:p>
      <w:pPr>
        <w:widowControl w:val="0"/>
        <w:spacing w:line="1" w:lineRule="exact"/>
      </w:pPr>
      <w:r>
        <w:br w:type="page"/>
      </w:r>
    </w:p>
    <w:tbl>
      <w:tblPr>
        <w:tblOverlap w:val="never"/>
        <w:jc w:val="center"/>
        <w:tblLayout w:type="fixed"/>
      </w:tblPr>
      <w:tblGrid>
        <w:gridCol w:w="1517"/>
        <w:gridCol w:w="1152"/>
        <w:gridCol w:w="826"/>
        <w:gridCol w:w="1469"/>
        <w:gridCol w:w="1224"/>
        <w:gridCol w:w="773"/>
        <w:gridCol w:w="1570"/>
      </w:tblGrid>
      <w:tr>
        <w:trPr>
          <w:trHeight w:val="432"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项目</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8"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原币金额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折算率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折人民币金额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240" w:firstLine="0"/>
              <w:jc w:val="right"/>
              <w:rPr>
                <w:sz w:val="18"/>
                <w:szCs w:val="18"/>
              </w:rPr>
            </w:pPr>
            <w:r>
              <w:rPr>
                <w:color w:val="000000"/>
                <w:spacing w:val="0"/>
                <w:w w:val="100"/>
                <w:position w:val="0"/>
                <w:sz w:val="18"/>
                <w:szCs w:val="18"/>
              </w:rPr>
              <w:t>原币金额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折算率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折人民币金额</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公司自有备付</w:t>
            </w:r>
          </w:p>
          <w:p>
            <w:pPr>
              <w:pStyle w:val="Style2"/>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175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492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155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192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870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598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19</w:t>
            </w:r>
          </w:p>
        </w:tc>
      </w:tr>
      <w:tr>
        <w:trPr>
          <w:trHeight w:val="40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其中：人民币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175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492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155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192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870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598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19</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35" w:lineRule="exact"/>
              <w:ind w:left="140" w:right="0" w:firstLine="0"/>
              <w:jc w:val="left"/>
              <w:rPr>
                <w:sz w:val="18"/>
                <w:szCs w:val="18"/>
              </w:rPr>
            </w:pPr>
            <w:r>
              <w:rPr>
                <w:color w:val="000000"/>
                <w:spacing w:val="0"/>
                <w:w w:val="100"/>
                <w:position w:val="0"/>
                <w:sz w:val="18"/>
                <w:szCs w:val="18"/>
              </w:rPr>
              <w:t>客户普通备付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868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885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379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537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149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742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93</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其中：人民币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860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303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111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528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053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453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07</w:t>
            </w:r>
          </w:p>
        </w:tc>
      </w:tr>
      <w:tr>
        <w:trPr>
          <w:trHeight w:val="40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940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254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5249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135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069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657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9762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604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075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47</w:t>
            </w:r>
          </w:p>
        </w:tc>
      </w:tr>
      <w:tr>
        <w:trPr>
          <w:trHeight w:val="40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907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792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8416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447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198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782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110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8958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492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214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39</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30" w:lineRule="exact"/>
              <w:ind w:left="140" w:right="0" w:firstLine="0"/>
              <w:jc w:val="left"/>
              <w:rPr>
                <w:sz w:val="18"/>
                <w:szCs w:val="18"/>
              </w:rPr>
            </w:pPr>
            <w:r>
              <w:rPr>
                <w:color w:val="000000"/>
                <w:spacing w:val="0"/>
                <w:w w:val="100"/>
                <w:position w:val="0"/>
                <w:sz w:val="18"/>
                <w:szCs w:val="18"/>
              </w:rPr>
              <w:t>客户信用备付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166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107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511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94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437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678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55</w:t>
            </w:r>
          </w:p>
        </w:tc>
      </w:tr>
      <w:tr>
        <w:trPr>
          <w:trHeight w:val="40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其中：人民币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166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107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511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94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437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678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55</w:t>
            </w:r>
          </w:p>
        </w:tc>
      </w:tr>
      <w:tr>
        <w:trPr>
          <w:trHeight w:val="437"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210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485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046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824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458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019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67</w:t>
            </w:r>
          </w:p>
        </w:tc>
      </w:tr>
    </w:tbl>
    <w:p>
      <w:pPr>
        <w:widowControl w:val="0"/>
        <w:spacing w:after="439" w:line="1" w:lineRule="exact"/>
      </w:pPr>
    </w:p>
    <w:p>
      <w:pPr>
        <w:pStyle w:val="Style37"/>
        <w:keepNext/>
        <w:keepLines/>
        <w:widowControl w:val="0"/>
        <w:shd w:val="clear" w:color="auto" w:fill="auto"/>
        <w:bidi w:val="0"/>
        <w:spacing w:before="0" w:after="140" w:line="240" w:lineRule="auto"/>
        <w:ind w:left="0" w:right="0" w:firstLine="420"/>
        <w:jc w:val="left"/>
      </w:pPr>
      <w:bookmarkStart w:id="1227" w:name="bookmark1227"/>
      <w:bookmarkStart w:id="1228" w:name="bookmark1228"/>
      <w:bookmarkStart w:id="1229" w:name="bookmark1229"/>
      <w:r>
        <w:rPr>
          <w:color w:val="000000"/>
          <w:spacing w:val="0"/>
          <w:w w:val="100"/>
          <w:position w:val="0"/>
        </w:rPr>
        <w:t>注释</w:t>
      </w:r>
      <w:r>
        <w:rPr>
          <w:rFonts w:ascii="Arial Narrow" w:eastAsia="Arial Narrow" w:hAnsi="Arial Narrow" w:cs="Arial Narrow"/>
          <w:color w:val="000000"/>
          <w:spacing w:val="0"/>
          <w:w w:val="100"/>
          <w:position w:val="0"/>
        </w:rPr>
        <w:t>3.</w:t>
      </w:r>
      <w:r>
        <w:rPr>
          <w:color w:val="000000"/>
          <w:spacing w:val="0"/>
          <w:w w:val="100"/>
          <w:position w:val="0"/>
        </w:rPr>
        <w:t>融出资金</w:t>
      </w:r>
      <w:bookmarkEnd w:id="1227"/>
      <w:bookmarkEnd w:id="1228"/>
      <w:bookmarkEnd w:id="1229"/>
    </w:p>
    <w:tbl>
      <w:tblPr>
        <w:tblOverlap w:val="never"/>
        <w:jc w:val="center"/>
        <w:tblLayout w:type="fixed"/>
      </w:tblPr>
      <w:tblGrid>
        <w:gridCol w:w="3490"/>
        <w:gridCol w:w="2174"/>
        <w:gridCol w:w="2842"/>
      </w:tblGrid>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37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境内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144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763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039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902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164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73</w:t>
            </w:r>
          </w:p>
        </w:tc>
      </w:tr>
      <w:tr>
        <w:trPr>
          <w:trHeight w:val="37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其中：个人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834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438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334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028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118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461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61</w:t>
            </w:r>
          </w:p>
        </w:tc>
      </w:tr>
      <w:tr>
        <w:trPr>
          <w:trHeight w:val="37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764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429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783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703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12</w:t>
            </w:r>
          </w:p>
        </w:tc>
      </w:tr>
      <w:tr>
        <w:trPr>
          <w:trHeight w:val="37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减：减值准备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426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910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987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24</w:t>
            </w:r>
          </w:p>
        </w:tc>
      </w:tr>
      <w:tr>
        <w:trPr>
          <w:trHeight w:val="408"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142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775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852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038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944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177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49</w:t>
            </w:r>
          </w:p>
        </w:tc>
      </w:tr>
    </w:tbl>
    <w:p>
      <w:pPr>
        <w:widowControl w:val="0"/>
        <w:spacing w:after="259" w:line="1" w:lineRule="exact"/>
      </w:pPr>
    </w:p>
    <w:p>
      <w:pPr>
        <w:widowControl w:val="0"/>
        <w:spacing w:line="1" w:lineRule="exact"/>
      </w:pPr>
    </w:p>
    <w:tbl>
      <w:tblPr>
        <w:tblOverlap w:val="never"/>
        <w:jc w:val="center"/>
        <w:tblLayout w:type="fixed"/>
      </w:tblPr>
      <w:tblGrid>
        <w:gridCol w:w="3499"/>
        <w:gridCol w:w="2458"/>
        <w:gridCol w:w="2544"/>
      </w:tblGrid>
      <w:tr>
        <w:trPr>
          <w:trHeight w:val="278"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客户因融资融券业务向公司提供</w:t>
            </w:r>
          </w:p>
        </w:tc>
        <w:tc>
          <w:tcPr>
            <w:gridSpan w:val="2"/>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共的担保物公允价值情况：</w:t>
            </w:r>
          </w:p>
        </w:tc>
      </w:tr>
      <w:tr>
        <w:trPr>
          <w:trHeight w:val="36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担保物类别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期末公允价值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期初公允价值</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635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587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095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614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65</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债券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957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927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875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251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16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412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832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403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946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940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784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05</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463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944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154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97</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075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top"/>
          </w:tcPr>
          <w:p>
            <w:pPr>
              <w:widowControl w:val="0"/>
              <w:rPr>
                <w:sz w:val="10"/>
                <w:szCs w:val="10"/>
              </w:rPr>
            </w:pPr>
          </w:p>
        </w:tc>
      </w:tr>
      <w:tr>
        <w:trPr>
          <w:trHeight w:val="384"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17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551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193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938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802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065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650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87</w:t>
            </w:r>
          </w:p>
        </w:tc>
      </w:tr>
    </w:tbl>
    <w:p>
      <w:pPr>
        <w:widowControl w:val="0"/>
        <w:spacing w:after="439" w:line="1" w:lineRule="exact"/>
      </w:pPr>
    </w:p>
    <w:p>
      <w:pPr>
        <w:pStyle w:val="Style37"/>
        <w:keepNext/>
        <w:keepLines/>
        <w:widowControl w:val="0"/>
        <w:pBdr>
          <w:bottom w:val="single" w:sz="4" w:space="0" w:color="auto"/>
        </w:pBdr>
        <w:shd w:val="clear" w:color="auto" w:fill="auto"/>
        <w:bidi w:val="0"/>
        <w:spacing w:before="0" w:after="260" w:line="240" w:lineRule="auto"/>
        <w:ind w:left="0" w:right="0" w:firstLine="420"/>
        <w:jc w:val="left"/>
      </w:pPr>
      <w:bookmarkStart w:id="1230" w:name="bookmark1230"/>
      <w:bookmarkStart w:id="1231" w:name="bookmark1231"/>
      <w:bookmarkStart w:id="1232" w:name="bookmark1232"/>
      <w:r>
        <w:rPr>
          <w:color w:val="000000"/>
          <w:spacing w:val="0"/>
          <w:w w:val="100"/>
          <w:position w:val="0"/>
        </w:rPr>
        <w:t>注释</w:t>
      </w:r>
      <w:r>
        <w:rPr>
          <w:rFonts w:ascii="Arial Narrow" w:eastAsia="Arial Narrow" w:hAnsi="Arial Narrow" w:cs="Arial Narrow"/>
          <w:color w:val="000000"/>
          <w:spacing w:val="0"/>
          <w:w w:val="100"/>
          <w:position w:val="0"/>
        </w:rPr>
        <w:t>4.</w:t>
      </w:r>
      <w:r>
        <w:rPr>
          <w:color w:val="000000"/>
          <w:spacing w:val="0"/>
          <w:w w:val="100"/>
          <w:position w:val="0"/>
        </w:rPr>
        <w:t>交易性金融资产</w:t>
      </w:r>
      <w:bookmarkEnd w:id="1230"/>
      <w:bookmarkEnd w:id="1231"/>
      <w:bookmarkEnd w:id="1232"/>
    </w:p>
    <w:p>
      <w:pPr>
        <w:pStyle w:val="Style100"/>
        <w:keepNext w:val="0"/>
        <w:keepLines w:val="0"/>
        <w:widowControl w:val="0"/>
        <w:shd w:val="clear" w:color="auto" w:fill="auto"/>
        <w:bidi w:val="0"/>
        <w:spacing w:before="0" w:after="200" w:line="240" w:lineRule="auto"/>
        <w:ind w:left="0" w:right="0" w:firstLine="0"/>
        <w:jc w:val="center"/>
      </w:pPr>
      <w:r>
        <w:rPr>
          <w:color w:val="000000"/>
          <w:spacing w:val="0"/>
          <w:w w:val="100"/>
          <w:position w:val="0"/>
        </w:rPr>
        <w:t>期末余额</w:t>
      </w:r>
    </w:p>
    <w:p>
      <w:pPr>
        <w:pStyle w:val="Style100"/>
        <w:keepNext w:val="0"/>
        <w:keepLines w:val="0"/>
        <w:widowControl w:val="0"/>
        <w:shd w:val="clear" w:color="auto" w:fill="auto"/>
        <w:tabs>
          <w:tab w:pos="2321" w:val="left"/>
          <w:tab w:pos="6180" w:val="left"/>
        </w:tabs>
        <w:bidi w:val="0"/>
        <w:spacing w:before="0" w:after="260" w:line="240" w:lineRule="auto"/>
        <w:ind w:left="0" w:right="0" w:firstLine="180"/>
        <w:jc w:val="left"/>
      </w:pPr>
      <w:r>
        <w:rPr>
          <w:color w:val="000000"/>
          <w:spacing w:val="0"/>
          <w:w w:val="100"/>
          <w:position w:val="0"/>
        </w:rPr>
        <w:t>类别</w:t>
        <w:tab/>
        <w:t>公允价值</w:t>
        <w:tab/>
        <w:t>初始成本</w:t>
      </w:r>
      <w:r>
        <w:br w:type="page"/>
      </w:r>
    </w:p>
    <w:tbl>
      <w:tblPr>
        <w:tblOverlap w:val="never"/>
        <w:jc w:val="center"/>
        <w:tblLayout w:type="fixed"/>
      </w:tblPr>
      <w:tblGrid>
        <w:gridCol w:w="802"/>
        <w:gridCol w:w="1426"/>
        <w:gridCol w:w="1003"/>
        <w:gridCol w:w="1430"/>
        <w:gridCol w:w="1373"/>
        <w:gridCol w:w="965"/>
        <w:gridCol w:w="1531"/>
      </w:tblGrid>
      <w:tr>
        <w:trPr>
          <w:trHeight w:val="167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分类为以公允价 值计量且其变动 计入当期损益的</w:t>
            </w:r>
          </w:p>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8"/>
                <w:szCs w:val="18"/>
              </w:rPr>
              <w:t>指定为以公 允价值计量 且其变动计 入当期损益 的金融资产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公允价值合计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分类为以公允价 值计量且其变动 计入当期损益的</w:t>
            </w:r>
          </w:p>
          <w:p>
            <w:pPr>
              <w:pStyle w:val="Style2"/>
              <w:keepNext w:val="0"/>
              <w:keepLines w:val="0"/>
              <w:widowControl w:val="0"/>
              <w:shd w:val="clear" w:color="auto" w:fill="auto"/>
              <w:bidi w:val="0"/>
              <w:spacing w:before="0" w:after="0" w:line="312" w:lineRule="exact"/>
              <w:ind w:left="0" w:right="0" w:firstLine="320"/>
              <w:jc w:val="left"/>
              <w:rPr>
                <w:sz w:val="18"/>
                <w:szCs w:val="18"/>
              </w:rPr>
            </w:pPr>
            <w:r>
              <w:rPr>
                <w:color w:val="000000"/>
                <w:spacing w:val="0"/>
                <w:w w:val="100"/>
                <w:position w:val="0"/>
                <w:sz w:val="18"/>
                <w:szCs w:val="18"/>
              </w:rPr>
              <w:t>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8"/>
                <w:szCs w:val="18"/>
              </w:rPr>
              <w:t>指定为以公 允价值计量 且其变动计 入当期损益 的金融资产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200" w:firstLine="0"/>
              <w:jc w:val="right"/>
              <w:rPr>
                <w:sz w:val="18"/>
                <w:szCs w:val="18"/>
              </w:rPr>
            </w:pPr>
            <w:r>
              <w:rPr>
                <w:color w:val="000000"/>
                <w:spacing w:val="0"/>
                <w:w w:val="100"/>
                <w:position w:val="0"/>
                <w:sz w:val="18"/>
                <w:szCs w:val="18"/>
              </w:rPr>
              <w:t>初始成本合计</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债券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679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679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312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188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627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312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188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627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40</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110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803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545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803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545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108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391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802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108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391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802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74</w:t>
            </w:r>
          </w:p>
        </w:tc>
      </w:tr>
      <w:tr>
        <w:trPr>
          <w:trHeight w:val="41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614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666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170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614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666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170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607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292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788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607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292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788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94</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理财产品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90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610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505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610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505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90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90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资管产品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374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884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698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374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884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698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354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690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221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354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690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221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34</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信托计划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208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212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274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212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274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390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810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390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810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405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405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620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620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r>
      <w:tr>
        <w:trPr>
          <w:trHeight w:val="44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606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262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095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606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262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095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876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993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440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876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993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440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42</w:t>
            </w:r>
          </w:p>
        </w:tc>
      </w:tr>
    </w:tbl>
    <w:p>
      <w:pPr>
        <w:pStyle w:val="Style16"/>
        <w:keepNext w:val="0"/>
        <w:keepLines w:val="0"/>
        <w:widowControl w:val="0"/>
        <w:pBdr>
          <w:bottom w:val="single" w:sz="4" w:space="0" w:color="auto"/>
        </w:pBdr>
        <w:shd w:val="clear" w:color="auto" w:fill="auto"/>
        <w:bidi w:val="0"/>
        <w:spacing w:before="0" w:after="300" w:line="240" w:lineRule="auto"/>
        <w:ind w:left="0" w:right="0" w:firstLine="560"/>
        <w:jc w:val="left"/>
      </w:pPr>
      <w:r>
        <w:rPr>
          <w:color w:val="000000"/>
          <w:spacing w:val="0"/>
          <w:w w:val="100"/>
          <w:position w:val="0"/>
        </w:rPr>
        <w:t>续:</w:t>
      </w:r>
    </w:p>
    <w:p>
      <w:pPr>
        <w:pStyle w:val="Style40"/>
        <w:keepNext w:val="0"/>
        <w:keepLines w:val="0"/>
        <w:widowControl w:val="0"/>
        <w:shd w:val="clear" w:color="auto" w:fill="auto"/>
        <w:bidi w:val="0"/>
        <w:spacing w:before="0" w:after="0" w:line="240" w:lineRule="auto"/>
        <w:ind w:left="3907" w:right="0" w:firstLine="0"/>
        <w:jc w:val="left"/>
        <w:rPr>
          <w:sz w:val="18"/>
          <w:szCs w:val="18"/>
        </w:rPr>
      </w:pPr>
      <w:r>
        <w:rPr>
          <w:color w:val="000000"/>
          <w:spacing w:val="0"/>
          <w:w w:val="100"/>
          <w:position w:val="0"/>
          <w:sz w:val="18"/>
          <w:szCs w:val="18"/>
        </w:rPr>
        <w:t>期初余额</w:t>
      </w:r>
    </w:p>
    <w:tbl>
      <w:tblPr>
        <w:tblOverlap w:val="never"/>
        <w:jc w:val="center"/>
        <w:tblLayout w:type="fixed"/>
      </w:tblPr>
      <w:tblGrid>
        <w:gridCol w:w="816"/>
        <w:gridCol w:w="1426"/>
        <w:gridCol w:w="1003"/>
        <w:gridCol w:w="1430"/>
        <w:gridCol w:w="1373"/>
        <w:gridCol w:w="965"/>
        <w:gridCol w:w="1531"/>
      </w:tblGrid>
      <w:tr>
        <w:trPr>
          <w:trHeight w:val="422"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类别</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公允价值</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初始成本</w:t>
            </w:r>
          </w:p>
        </w:tc>
      </w:tr>
      <w:tr>
        <w:trPr>
          <w:trHeight w:val="166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分类为以公允价 值计量且其变动 计入当期损益的</w:t>
            </w:r>
          </w:p>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8"/>
                <w:szCs w:val="18"/>
              </w:rPr>
              <w:t>指定为以公 允价值计量 且其变动计 入当期损益 的金融资产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公允价值合计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分类为以公允价 值计量且其变动 计入当期损益的</w:t>
            </w:r>
          </w:p>
          <w:p>
            <w:pPr>
              <w:pStyle w:val="Style2"/>
              <w:keepNext w:val="0"/>
              <w:keepLines w:val="0"/>
              <w:widowControl w:val="0"/>
              <w:shd w:val="clear" w:color="auto" w:fill="auto"/>
              <w:bidi w:val="0"/>
              <w:spacing w:before="0" w:after="0" w:line="312" w:lineRule="exact"/>
              <w:ind w:left="0" w:right="0" w:firstLine="320"/>
              <w:jc w:val="left"/>
              <w:rPr>
                <w:sz w:val="18"/>
                <w:szCs w:val="18"/>
              </w:rPr>
            </w:pPr>
            <w:r>
              <w:rPr>
                <w:color w:val="000000"/>
                <w:spacing w:val="0"/>
                <w:w w:val="100"/>
                <w:position w:val="0"/>
                <w:sz w:val="18"/>
                <w:szCs w:val="18"/>
              </w:rPr>
              <w:t>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8"/>
                <w:szCs w:val="18"/>
              </w:rPr>
              <w:t>指定为以公 允价值计量 且其变动计 入当期损益 的金融资产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200" w:firstLine="0"/>
              <w:jc w:val="right"/>
              <w:rPr>
                <w:sz w:val="18"/>
                <w:szCs w:val="18"/>
              </w:rPr>
            </w:pPr>
            <w:r>
              <w:rPr>
                <w:color w:val="000000"/>
                <w:spacing w:val="0"/>
                <w:w w:val="100"/>
                <w:position w:val="0"/>
                <w:sz w:val="18"/>
                <w:szCs w:val="18"/>
              </w:rPr>
              <w:t>初始成本合计</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债券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345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659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341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345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659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341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291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133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669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291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133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669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01</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738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140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648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738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140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648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829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813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925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829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813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925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81</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347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181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794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347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181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794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344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495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241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344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495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241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42</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理财产品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93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679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426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679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426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92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894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168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92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894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168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r>
      <w:tr>
        <w:trPr>
          <w:trHeight w:val="41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资管产品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245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965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417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245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965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417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240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240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信托计划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379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914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379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914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596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148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500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596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148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97</w:t>
            </w:r>
          </w:p>
        </w:tc>
      </w:tr>
      <w:tr>
        <w:trPr>
          <w:trHeight w:val="44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150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540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636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150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540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636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298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933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153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298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933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153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21</w:t>
            </w:r>
          </w:p>
        </w:tc>
      </w:tr>
    </w:tbl>
    <w:p>
      <w:pPr>
        <w:widowControl w:val="0"/>
        <w:spacing w:after="139" w:line="1" w:lineRule="exact"/>
      </w:pPr>
    </w:p>
    <w:p>
      <w:pPr>
        <w:pStyle w:val="Style16"/>
        <w:keepNext w:val="0"/>
        <w:keepLines w:val="0"/>
        <w:widowControl w:val="0"/>
        <w:shd w:val="clear" w:color="auto" w:fill="auto"/>
        <w:bidi w:val="0"/>
        <w:spacing w:before="0" w:after="140" w:line="240" w:lineRule="auto"/>
        <w:ind w:left="0" w:right="0" w:firstLine="560"/>
        <w:jc w:val="left"/>
      </w:pPr>
      <w:r>
        <w:rPr>
          <w:color w:val="000000"/>
          <w:spacing w:val="0"/>
          <w:w w:val="100"/>
          <w:position w:val="0"/>
        </w:rPr>
        <w:t>注：报告期末，交易性金融资产受限金额为</w:t>
      </w:r>
      <w:r>
        <w:rPr>
          <w:rFonts w:ascii="Times New Roman" w:eastAsia="Times New Roman" w:hAnsi="Times New Roman" w:cs="Times New Roman"/>
          <w:color w:val="000000"/>
          <w:spacing w:val="0"/>
          <w:w w:val="100"/>
          <w:position w:val="0"/>
        </w:rPr>
        <w:t>3,158,801,342.82</w:t>
      </w:r>
      <w:r>
        <w:rPr>
          <w:color w:val="000000"/>
          <w:spacing w:val="0"/>
          <w:w w:val="100"/>
          <w:position w:val="0"/>
        </w:rPr>
        <w:t>元，包含受限卖出回购</w:t>
      </w:r>
    </w:p>
    <w:p>
      <w:pPr>
        <w:pStyle w:val="Style97"/>
        <w:keepNext w:val="0"/>
        <w:keepLines w:val="0"/>
        <w:widowControl w:val="0"/>
        <w:shd w:val="clear" w:color="auto" w:fill="auto"/>
        <w:bidi w:val="0"/>
        <w:spacing w:before="0" w:after="460" w:line="240" w:lineRule="auto"/>
        <w:ind w:left="0" w:right="0" w:firstLine="0"/>
        <w:jc w:val="left"/>
      </w:pPr>
      <w:r>
        <w:rPr>
          <w:b w:val="0"/>
          <w:bCs w:val="0"/>
          <w:color w:val="000000"/>
          <w:spacing w:val="0"/>
          <w:w w:val="100"/>
          <w:position w:val="0"/>
        </w:rPr>
        <w:t xml:space="preserve">2,891,652,115.80 </w:t>
      </w:r>
      <w:r>
        <w:rPr>
          <w:rFonts w:ascii="SimSun" w:eastAsia="SimSun" w:hAnsi="SimSun" w:cs="SimSun"/>
          <w:b w:val="0"/>
          <w:bCs w:val="0"/>
          <w:color w:val="000000"/>
          <w:spacing w:val="0"/>
          <w:w w:val="100"/>
          <w:position w:val="0"/>
        </w:rPr>
        <w:t xml:space="preserve">元和受限转融通 </w:t>
      </w:r>
      <w:r>
        <w:rPr>
          <w:b w:val="0"/>
          <w:bCs w:val="0"/>
          <w:color w:val="000000"/>
          <w:spacing w:val="0"/>
          <w:w w:val="100"/>
          <w:position w:val="0"/>
        </w:rPr>
        <w:t xml:space="preserve">267,039,690.00 </w:t>
      </w:r>
      <w:r>
        <w:rPr>
          <w:rFonts w:ascii="SimSun" w:eastAsia="SimSun" w:hAnsi="SimSun" w:cs="SimSun"/>
          <w:b w:val="0"/>
          <w:bCs w:val="0"/>
          <w:color w:val="000000"/>
          <w:spacing w:val="0"/>
          <w:w w:val="100"/>
          <w:position w:val="0"/>
        </w:rPr>
        <w:t>元。</w:t>
      </w:r>
    </w:p>
    <w:p>
      <w:pPr>
        <w:pStyle w:val="Style37"/>
        <w:keepNext/>
        <w:keepLines/>
        <w:widowControl w:val="0"/>
        <w:shd w:val="clear" w:color="auto" w:fill="auto"/>
        <w:bidi w:val="0"/>
        <w:spacing w:before="0" w:after="140" w:line="240" w:lineRule="auto"/>
        <w:ind w:left="0" w:right="0" w:firstLine="560"/>
        <w:jc w:val="left"/>
      </w:pPr>
      <w:bookmarkStart w:id="1233" w:name="bookmark1233"/>
      <w:bookmarkStart w:id="1234" w:name="bookmark1234"/>
      <w:bookmarkStart w:id="1235" w:name="bookmark1235"/>
      <w:r>
        <w:rPr>
          <w:color w:val="000000"/>
          <w:spacing w:val="0"/>
          <w:w w:val="100"/>
          <w:position w:val="0"/>
        </w:rPr>
        <w:t>注释</w:t>
      </w:r>
      <w:r>
        <w:rPr>
          <w:rFonts w:ascii="Times New Roman" w:eastAsia="Times New Roman" w:hAnsi="Times New Roman" w:cs="Times New Roman"/>
          <w:color w:val="000000"/>
          <w:spacing w:val="0"/>
          <w:w w:val="100"/>
          <w:position w:val="0"/>
        </w:rPr>
        <w:t>5.</w:t>
      </w:r>
      <w:r>
        <w:rPr>
          <w:color w:val="000000"/>
          <w:spacing w:val="0"/>
          <w:w w:val="100"/>
          <w:position w:val="0"/>
        </w:rPr>
        <w:t>衍生金融工具</w:t>
      </w:r>
      <w:bookmarkEnd w:id="1233"/>
      <w:bookmarkEnd w:id="1234"/>
      <w:bookmarkEnd w:id="1235"/>
    </w:p>
    <w:tbl>
      <w:tblPr>
        <w:tblOverlap w:val="never"/>
        <w:jc w:val="center"/>
        <w:tblLayout w:type="fixed"/>
      </w:tblPr>
      <w:tblGrid>
        <w:gridCol w:w="1354"/>
        <w:gridCol w:w="974"/>
        <w:gridCol w:w="1762"/>
        <w:gridCol w:w="1733"/>
        <w:gridCol w:w="2707"/>
      </w:tblGrid>
      <w:tr>
        <w:trPr>
          <w:trHeight w:val="432"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类别</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408"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套期工具</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非套期工具</w:t>
            </w:r>
          </w:p>
        </w:tc>
      </w:tr>
      <w:tr>
        <w:trPr>
          <w:trHeight w:val="437" w:hRule="exact"/>
        </w:trPr>
        <w:tc>
          <w:tcPr>
            <w:vMerge/>
            <w:tcBorders>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名义金额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公允价值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名义金额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公允价值</w:t>
            </w:r>
          </w:p>
        </w:tc>
      </w:tr>
    </w:tbl>
    <w:p>
      <w:pPr>
        <w:widowControl w:val="0"/>
        <w:spacing w:line="1" w:lineRule="exact"/>
      </w:pPr>
      <w:r>
        <w:br w:type="page"/>
      </w:r>
    </w:p>
    <w:tbl>
      <w:tblPr>
        <w:tblOverlap w:val="never"/>
        <w:jc w:val="center"/>
        <w:tblLayout w:type="fixed"/>
      </w:tblPr>
      <w:tblGrid>
        <w:gridCol w:w="1368"/>
        <w:gridCol w:w="974"/>
        <w:gridCol w:w="850"/>
        <w:gridCol w:w="912"/>
        <w:gridCol w:w="1738"/>
        <w:gridCol w:w="1267"/>
        <w:gridCol w:w="1435"/>
      </w:tblGrid>
      <w:tr>
        <w:trPr>
          <w:trHeight w:val="432"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负债</w:t>
            </w:r>
          </w:p>
        </w:tc>
      </w:tr>
      <w:tr>
        <w:trPr>
          <w:trHeight w:val="40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利率衍生工具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506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550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国债期货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506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550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权益衍生工具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425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828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720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142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340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85</w:t>
            </w:r>
          </w:p>
        </w:tc>
      </w:tr>
      <w:tr>
        <w:trPr>
          <w:trHeight w:val="40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股指期货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386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148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720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股指期权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680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142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340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85</w:t>
            </w:r>
          </w:p>
        </w:tc>
      </w:tr>
      <w:tr>
        <w:trPr>
          <w:trHeight w:val="40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其他衍生工具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445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866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440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142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977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501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48</w:t>
            </w:r>
          </w:p>
        </w:tc>
      </w:tr>
      <w:tr>
        <w:trPr>
          <w:trHeight w:val="40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收益互换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176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887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995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930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485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96</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商品期货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138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871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商品期权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130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047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015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52</w:t>
            </w:r>
          </w:p>
        </w:tc>
      </w:tr>
      <w:tr>
        <w:trPr>
          <w:trHeight w:val="40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期货期权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440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r>
      <w:tr>
        <w:trPr>
          <w:trHeight w:val="437"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377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387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286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440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168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119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842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33</w:t>
            </w:r>
          </w:p>
        </w:tc>
      </w:tr>
    </w:tbl>
    <w:p>
      <w:pPr>
        <w:widowControl w:val="0"/>
        <w:spacing w:after="159" w:line="1" w:lineRule="exact"/>
      </w:pPr>
    </w:p>
    <w:p>
      <w:pPr>
        <w:pStyle w:val="Style16"/>
        <w:keepNext w:val="0"/>
        <w:keepLines w:val="0"/>
        <w:widowControl w:val="0"/>
        <w:shd w:val="clear" w:color="auto" w:fill="auto"/>
        <w:bidi w:val="0"/>
        <w:spacing w:before="0" w:after="160" w:line="240" w:lineRule="auto"/>
        <w:ind w:left="0" w:right="0" w:firstLine="560"/>
        <w:jc w:val="left"/>
      </w:pPr>
      <w:r>
        <w:rPr>
          <w:color w:val="000000"/>
          <w:spacing w:val="0"/>
          <w:w w:val="100"/>
          <w:position w:val="0"/>
        </w:rPr>
        <w:t>续:</w:t>
      </w:r>
    </w:p>
    <w:tbl>
      <w:tblPr>
        <w:tblOverlap w:val="never"/>
        <w:jc w:val="center"/>
        <w:tblLayout w:type="fixed"/>
      </w:tblPr>
      <w:tblGrid>
        <w:gridCol w:w="1368"/>
        <w:gridCol w:w="979"/>
        <w:gridCol w:w="845"/>
        <w:gridCol w:w="912"/>
        <w:gridCol w:w="1733"/>
        <w:gridCol w:w="1267"/>
        <w:gridCol w:w="1440"/>
      </w:tblGrid>
      <w:tr>
        <w:trPr>
          <w:trHeight w:val="432"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类别</w:t>
            </w:r>
          </w:p>
        </w:tc>
        <w:tc>
          <w:tcPr>
            <w:gridSpan w:val="6"/>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8" w:hRule="exact"/>
        </w:trPr>
        <w:tc>
          <w:tcPr>
            <w:vMerge/>
            <w:tcBorders/>
            <w:shd w:val="clear" w:color="auto" w:fill="FFFFFF"/>
            <w:vAlign w:val="center"/>
          </w:tcPr>
          <w:p>
            <w:pP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套期工具</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非套期工具</w:t>
            </w:r>
          </w:p>
        </w:tc>
      </w:tr>
      <w:tr>
        <w:trPr>
          <w:trHeight w:val="408" w:hRule="exact"/>
        </w:trPr>
        <w:tc>
          <w:tcPr>
            <w:vMerge/>
            <w:tcBorders/>
            <w:shd w:val="clear" w:color="auto" w:fill="FFFFFF"/>
            <w:vAlign w:val="center"/>
          </w:tcPr>
          <w:p>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名义金额</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公允价值</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名义金额</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公允价值</w:t>
            </w:r>
          </w:p>
        </w:tc>
      </w:tr>
      <w:tr>
        <w:trPr>
          <w:trHeight w:val="403"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负债</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负债</w:t>
            </w:r>
          </w:p>
        </w:tc>
      </w:tr>
      <w:tr>
        <w:trPr>
          <w:trHeight w:val="40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利率衍生工具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163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040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国债期货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163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040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权益衍生工具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230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193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252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358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02</w:t>
            </w:r>
          </w:p>
        </w:tc>
      </w:tr>
      <w:tr>
        <w:trPr>
          <w:trHeight w:val="40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股指期货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90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325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180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股指期权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709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905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013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252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358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02</w:t>
            </w:r>
          </w:p>
        </w:tc>
      </w:tr>
      <w:tr>
        <w:trPr>
          <w:trHeight w:val="40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其他衍生工具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332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345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876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809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616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27</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收益互换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307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809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956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809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616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27</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商品期货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535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920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7"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295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616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370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809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616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252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358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02</w:t>
            </w:r>
          </w:p>
        </w:tc>
      </w:tr>
    </w:tbl>
    <w:p>
      <w:pPr>
        <w:widowControl w:val="0"/>
        <w:spacing w:after="299" w:line="1" w:lineRule="exact"/>
      </w:pPr>
    </w:p>
    <w:p>
      <w:pPr>
        <w:pStyle w:val="Style16"/>
        <w:keepNext w:val="0"/>
        <w:keepLines w:val="0"/>
        <w:widowControl w:val="0"/>
        <w:shd w:val="clear" w:color="auto" w:fill="auto"/>
        <w:bidi w:val="0"/>
        <w:spacing w:before="0" w:after="500" w:line="240" w:lineRule="auto"/>
        <w:ind w:left="0" w:right="0" w:firstLine="560"/>
        <w:jc w:val="left"/>
      </w:pPr>
      <w:r>
        <w:rPr>
          <w:color w:val="000000"/>
          <w:spacing w:val="0"/>
          <w:w w:val="100"/>
          <w:position w:val="0"/>
        </w:rPr>
        <w:t>注：期货交易实行当日无负债结算制度，每日进行结算，无资产或负债余额。</w:t>
      </w:r>
    </w:p>
    <w:p>
      <w:pPr>
        <w:pStyle w:val="Style37"/>
        <w:keepNext/>
        <w:keepLines/>
        <w:widowControl w:val="0"/>
        <w:shd w:val="clear" w:color="auto" w:fill="auto"/>
        <w:bidi w:val="0"/>
        <w:spacing w:before="0" w:after="160" w:line="240" w:lineRule="auto"/>
        <w:ind w:left="0" w:right="0" w:firstLine="560"/>
        <w:jc w:val="left"/>
      </w:pPr>
      <w:bookmarkStart w:id="1236" w:name="bookmark1236"/>
      <w:bookmarkStart w:id="1237" w:name="bookmark1237"/>
      <w:bookmarkStart w:id="1238" w:name="bookmark1238"/>
      <w:r>
        <w:rPr>
          <w:color w:val="000000"/>
          <w:spacing w:val="0"/>
          <w:w w:val="100"/>
          <w:position w:val="0"/>
        </w:rPr>
        <w:t>注释</w:t>
      </w:r>
      <w:r>
        <w:rPr>
          <w:rFonts w:ascii="Times New Roman" w:eastAsia="Times New Roman" w:hAnsi="Times New Roman" w:cs="Times New Roman"/>
          <w:color w:val="000000"/>
          <w:spacing w:val="0"/>
          <w:w w:val="100"/>
          <w:position w:val="0"/>
        </w:rPr>
        <w:t>6.</w:t>
      </w:r>
      <w:r>
        <w:rPr>
          <w:color w:val="000000"/>
          <w:spacing w:val="0"/>
          <w:w w:val="100"/>
          <w:position w:val="0"/>
        </w:rPr>
        <w:t>存出保证金</w:t>
      </w:r>
      <w:bookmarkEnd w:id="1236"/>
      <w:bookmarkEnd w:id="1237"/>
      <w:bookmarkEnd w:id="1238"/>
    </w:p>
    <w:tbl>
      <w:tblPr>
        <w:tblOverlap w:val="never"/>
        <w:jc w:val="center"/>
        <w:tblLayout w:type="fixed"/>
      </w:tblPr>
      <w:tblGrid>
        <w:gridCol w:w="1546"/>
        <w:gridCol w:w="1046"/>
        <w:gridCol w:w="802"/>
        <w:gridCol w:w="1459"/>
        <w:gridCol w:w="1234"/>
        <w:gridCol w:w="802"/>
        <w:gridCol w:w="1411"/>
      </w:tblGrid>
      <w:tr>
        <w:trPr>
          <w:trHeight w:val="432"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8"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原币金额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折算率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折人民币金额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原币金额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折算率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折人民币金额</w:t>
            </w:r>
          </w:p>
        </w:tc>
      </w:tr>
      <w:tr>
        <w:trPr>
          <w:trHeight w:val="437"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交易保证金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266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489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041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940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977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56</w:t>
            </w:r>
          </w:p>
        </w:tc>
      </w:tr>
    </w:tbl>
    <w:p>
      <w:pPr>
        <w:widowControl w:val="0"/>
        <w:spacing w:line="1" w:lineRule="exact"/>
      </w:pPr>
      <w:r>
        <w:br w:type="page"/>
      </w:r>
    </w:p>
    <w:tbl>
      <w:tblPr>
        <w:tblOverlap w:val="never"/>
        <w:jc w:val="center"/>
        <w:tblLayout w:type="fixed"/>
      </w:tblPr>
      <w:tblGrid>
        <w:gridCol w:w="1546"/>
        <w:gridCol w:w="1046"/>
        <w:gridCol w:w="802"/>
        <w:gridCol w:w="1459"/>
        <w:gridCol w:w="1238"/>
        <w:gridCol w:w="802"/>
        <w:gridCol w:w="1406"/>
      </w:tblGrid>
      <w:tr>
        <w:trPr>
          <w:trHeight w:val="432"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项目</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8"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原币金额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折算率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折人民币金额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原币金额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折算率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折人民币金额</w:t>
            </w:r>
          </w:p>
        </w:tc>
      </w:tr>
      <w:tr>
        <w:trPr>
          <w:trHeight w:val="40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其中：人民币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264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306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518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609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503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56</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5249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761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723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9762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883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574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r>
      <w:tr>
        <w:trPr>
          <w:trHeight w:val="40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8416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420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8958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r>
      <w:tr>
        <w:trPr>
          <w:trHeight w:val="40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信用保证金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138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481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597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529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296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260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29</w:t>
            </w:r>
          </w:p>
        </w:tc>
      </w:tr>
      <w:tr>
        <w:trPr>
          <w:trHeight w:val="40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其中：人民币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138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481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597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529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296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260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29</w:t>
            </w:r>
          </w:p>
        </w:tc>
      </w:tr>
      <w:tr>
        <w:trPr>
          <w:trHeight w:val="437"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404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970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638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654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237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237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85</w:t>
            </w:r>
          </w:p>
        </w:tc>
      </w:tr>
    </w:tbl>
    <w:p>
      <w:pPr>
        <w:widowControl w:val="0"/>
        <w:spacing w:after="319" w:line="1" w:lineRule="exact"/>
      </w:pPr>
    </w:p>
    <w:p>
      <w:pPr>
        <w:pStyle w:val="Style16"/>
        <w:keepNext w:val="0"/>
        <w:keepLines w:val="0"/>
        <w:widowControl w:val="0"/>
        <w:shd w:val="clear" w:color="auto" w:fill="auto"/>
        <w:bidi w:val="0"/>
        <w:spacing w:before="0" w:after="480" w:line="240" w:lineRule="auto"/>
        <w:ind w:left="0" w:right="0" w:firstLine="560"/>
        <w:jc w:val="left"/>
      </w:pPr>
      <w:r>
        <w:rPr>
          <w:color w:val="000000"/>
          <w:spacing w:val="0"/>
          <w:w w:val="100"/>
          <w:position w:val="0"/>
        </w:rPr>
        <w:t>注：报告期末，存出保证金中作为转融通业务担保品的受限金额为</w:t>
      </w:r>
      <w:r>
        <w:rPr>
          <w:rFonts w:ascii="Times New Roman" w:eastAsia="Times New Roman" w:hAnsi="Times New Roman" w:cs="Times New Roman"/>
          <w:color w:val="000000"/>
          <w:spacing w:val="0"/>
          <w:w w:val="100"/>
          <w:position w:val="0"/>
        </w:rPr>
        <w:t>138</w:t>
      </w:r>
      <w:r>
        <w:rPr>
          <w:rFonts w:ascii="Arial Narrow" w:eastAsia="Arial Narrow" w:hAnsi="Arial Narrow" w:cs="Arial Narrow"/>
          <w:color w:val="000000"/>
          <w:spacing w:val="0"/>
          <w:w w:val="100"/>
          <w:position w:val="0"/>
        </w:rPr>
        <w:t>,</w:t>
      </w:r>
      <w:r>
        <w:rPr>
          <w:rFonts w:ascii="Times New Roman" w:eastAsia="Times New Roman" w:hAnsi="Times New Roman" w:cs="Times New Roman"/>
          <w:color w:val="000000"/>
          <w:spacing w:val="0"/>
          <w:w w:val="100"/>
          <w:position w:val="0"/>
        </w:rPr>
        <w:t>481</w:t>
      </w:r>
      <w:r>
        <w:rPr>
          <w:rFonts w:ascii="Arial Narrow" w:eastAsia="Arial Narrow" w:hAnsi="Arial Narrow" w:cs="Arial Narrow"/>
          <w:color w:val="000000"/>
          <w:spacing w:val="0"/>
          <w:w w:val="100"/>
          <w:position w:val="0"/>
        </w:rPr>
        <w:t>,</w:t>
      </w:r>
      <w:r>
        <w:rPr>
          <w:rFonts w:ascii="Times New Roman" w:eastAsia="Times New Roman" w:hAnsi="Times New Roman" w:cs="Times New Roman"/>
          <w:color w:val="000000"/>
          <w:spacing w:val="0"/>
          <w:w w:val="100"/>
          <w:position w:val="0"/>
        </w:rPr>
        <w:t>597</w:t>
      </w:r>
      <w:r>
        <w:rPr>
          <w:rFonts w:ascii="Arial Narrow" w:eastAsia="Arial Narrow" w:hAnsi="Arial Narrow" w:cs="Arial Narrow"/>
          <w:color w:val="000000"/>
          <w:spacing w:val="0"/>
          <w:w w:val="100"/>
          <w:position w:val="0"/>
        </w:rPr>
        <w:t>.</w:t>
      </w:r>
      <w:r>
        <w:rPr>
          <w:rFonts w:ascii="Times New Roman" w:eastAsia="Times New Roman" w:hAnsi="Times New Roman" w:cs="Times New Roman"/>
          <w:color w:val="000000"/>
          <w:spacing w:val="0"/>
          <w:w w:val="100"/>
          <w:position w:val="0"/>
        </w:rPr>
        <w:t>05</w:t>
      </w:r>
      <w:r>
        <w:rPr>
          <w:color w:val="000000"/>
          <w:spacing w:val="0"/>
          <w:w w:val="100"/>
          <w:position w:val="0"/>
        </w:rPr>
        <w:t>元。</w:t>
      </w:r>
    </w:p>
    <w:p>
      <w:pPr>
        <w:pStyle w:val="Style37"/>
        <w:keepNext/>
        <w:keepLines/>
        <w:widowControl w:val="0"/>
        <w:shd w:val="clear" w:color="auto" w:fill="auto"/>
        <w:bidi w:val="0"/>
        <w:spacing w:before="0" w:after="320" w:line="240" w:lineRule="auto"/>
        <w:ind w:left="0" w:right="0" w:firstLine="560"/>
        <w:jc w:val="left"/>
      </w:pPr>
      <w:bookmarkStart w:id="1239" w:name="bookmark1239"/>
      <w:bookmarkStart w:id="1240" w:name="bookmark1240"/>
      <w:bookmarkStart w:id="1241" w:name="bookmark1241"/>
      <w:r>
        <w:rPr>
          <w:color w:val="000000"/>
          <w:spacing w:val="0"/>
          <w:w w:val="100"/>
          <w:position w:val="0"/>
        </w:rPr>
        <w:t>注释</w:t>
      </w:r>
      <w:r>
        <w:rPr>
          <w:rFonts w:ascii="Times New Roman" w:eastAsia="Times New Roman" w:hAnsi="Times New Roman" w:cs="Times New Roman"/>
          <w:color w:val="000000"/>
          <w:spacing w:val="0"/>
          <w:w w:val="100"/>
          <w:position w:val="0"/>
        </w:rPr>
        <w:t>7.</w:t>
      </w:r>
      <w:r>
        <w:rPr>
          <w:color w:val="000000"/>
          <w:spacing w:val="0"/>
          <w:w w:val="100"/>
          <w:position w:val="0"/>
        </w:rPr>
        <w:t>应收账款</w:t>
      </w:r>
      <w:bookmarkEnd w:id="1239"/>
      <w:bookmarkEnd w:id="1240"/>
      <w:bookmarkEnd w:id="1241"/>
    </w:p>
    <w:p>
      <w:pPr>
        <w:pStyle w:val="Style51"/>
        <w:keepNext/>
        <w:keepLines/>
        <w:widowControl w:val="0"/>
        <w:shd w:val="clear" w:color="auto" w:fill="auto"/>
        <w:bidi w:val="0"/>
        <w:spacing w:before="0" w:after="120" w:line="240" w:lineRule="auto"/>
        <w:ind w:left="0" w:right="0" w:firstLine="560"/>
        <w:jc w:val="left"/>
      </w:pPr>
      <w:bookmarkStart w:id="1242" w:name="bookmark1242"/>
      <w:bookmarkStart w:id="1243" w:name="bookmark1243"/>
      <w:bookmarkStart w:id="1244" w:name="bookmark1244"/>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按坏账准备计提方法分类披露</w:t>
      </w:r>
      <w:bookmarkEnd w:id="1242"/>
      <w:bookmarkEnd w:id="1243"/>
      <w:bookmarkEnd w:id="1244"/>
    </w:p>
    <w:tbl>
      <w:tblPr>
        <w:tblOverlap w:val="never"/>
        <w:jc w:val="center"/>
        <w:tblLayout w:type="fixed"/>
      </w:tblPr>
      <w:tblGrid>
        <w:gridCol w:w="2342"/>
        <w:gridCol w:w="1450"/>
        <w:gridCol w:w="710"/>
        <w:gridCol w:w="1243"/>
        <w:gridCol w:w="1133"/>
        <w:gridCol w:w="1570"/>
      </w:tblGrid>
      <w:tr>
        <w:trPr>
          <w:trHeight w:val="374"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类别</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350"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账面价值</w:t>
            </w:r>
          </w:p>
        </w:tc>
      </w:tr>
      <w:tr>
        <w:trPr>
          <w:trHeight w:val="557"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160"/>
              <w:jc w:val="left"/>
              <w:rPr>
                <w:sz w:val="18"/>
                <w:szCs w:val="18"/>
              </w:rPr>
            </w:pPr>
            <w:r>
              <w:rPr>
                <w:color w:val="000000"/>
                <w:spacing w:val="0"/>
                <w:w w:val="100"/>
                <w:position w:val="0"/>
                <w:sz w:val="18"/>
                <w:szCs w:val="18"/>
              </w:rPr>
              <w:t>比例</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r>
              <w:rPr>
                <w:rFonts w:ascii="Arial Narrow" w:eastAsia="Arial Narrow" w:hAnsi="Arial Narrow" w:cs="Arial Narrow"/>
                <w:color w:val="000000"/>
                <w:spacing w:val="0"/>
                <w:w w:val="100"/>
                <w:position w:val="0"/>
                <w:sz w:val="18"/>
                <w:szCs w:val="18"/>
              </w:rPr>
              <w:t>%</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8"/>
                <w:szCs w:val="18"/>
              </w:rPr>
              <w:t>计提比例 (</w:t>
            </w:r>
            <w:r>
              <w:rPr>
                <w:rFonts w:ascii="Arial Narrow" w:eastAsia="Arial Narrow" w:hAnsi="Arial Narrow" w:cs="Arial Narrow"/>
                <w:color w:val="000000"/>
                <w:spacing w:val="0"/>
                <w:w w:val="100"/>
                <w:position w:val="0"/>
                <w:sz w:val="18"/>
                <w:szCs w:val="18"/>
              </w:rPr>
              <w:t>%</w:t>
            </w:r>
            <w:r>
              <w:rPr>
                <w:color w:val="000000"/>
                <w:spacing w:val="0"/>
                <w:w w:val="100"/>
                <w:position w:val="0"/>
                <w:sz w:val="18"/>
                <w:szCs w:val="18"/>
              </w:rPr>
              <w:t>)</w:t>
            </w:r>
          </w:p>
        </w:tc>
        <w:tc>
          <w:tcPr>
            <w:vMerge/>
            <w:tcBorders>
              <w:left w:val="single" w:sz="4"/>
            </w:tcBorders>
            <w:shd w:val="clear" w:color="auto" w:fill="FFFFFF"/>
            <w:vAlign w:val="center"/>
          </w:tcPr>
          <w:p>
            <w:pP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按“一般方法”计提：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92"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140" w:line="240" w:lineRule="auto"/>
              <w:ind w:left="0" w:right="0" w:firstLine="320"/>
              <w:jc w:val="left"/>
              <w:rPr>
                <w:sz w:val="18"/>
                <w:szCs w:val="18"/>
              </w:rPr>
            </w:pPr>
            <w:r>
              <w:rPr>
                <w:color w:val="000000"/>
                <w:spacing w:val="0"/>
                <w:w w:val="100"/>
                <w:position w:val="0"/>
                <w:sz w:val="18"/>
                <w:szCs w:val="18"/>
              </w:rPr>
              <w:t>单项金额重大并已单独</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计提坏账准备的款项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717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444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717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444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35" w:lineRule="exact"/>
              <w:ind w:left="140" w:right="0" w:firstLine="180"/>
              <w:jc w:val="left"/>
              <w:rPr>
                <w:sz w:val="18"/>
                <w:szCs w:val="18"/>
              </w:rPr>
            </w:pPr>
            <w:r>
              <w:rPr>
                <w:color w:val="000000"/>
                <w:spacing w:val="0"/>
                <w:w w:val="100"/>
                <w:position w:val="0"/>
                <w:sz w:val="18"/>
                <w:szCs w:val="18"/>
              </w:rPr>
              <w:t>单项金额非重大并已单 独计提坏账准备的款项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695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615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695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615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按“简化方法”计提：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35" w:lineRule="exact"/>
              <w:ind w:left="140" w:right="0" w:firstLine="180"/>
              <w:jc w:val="left"/>
              <w:rPr>
                <w:sz w:val="18"/>
                <w:szCs w:val="18"/>
              </w:rPr>
            </w:pPr>
            <w:r>
              <w:rPr>
                <w:color w:val="000000"/>
                <w:spacing w:val="0"/>
                <w:w w:val="100"/>
                <w:position w:val="0"/>
                <w:sz w:val="18"/>
                <w:szCs w:val="18"/>
              </w:rPr>
              <w:t>按组合计提预期信用损 失的应收账款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269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615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103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472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268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793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631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61</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其中：组合</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组合</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163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185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620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059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162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364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560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74</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组合</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429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070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429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070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87</w:t>
            </w:r>
          </w:p>
        </w:tc>
      </w:tr>
      <w:tr>
        <w:trPr>
          <w:trHeight w:val="379"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304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028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164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234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532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268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793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631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61</w:t>
            </w:r>
          </w:p>
        </w:tc>
      </w:tr>
    </w:tbl>
    <w:p>
      <w:pPr>
        <w:widowControl w:val="0"/>
        <w:spacing w:after="179" w:line="1" w:lineRule="exact"/>
      </w:pPr>
    </w:p>
    <w:p>
      <w:pPr>
        <w:pStyle w:val="Style16"/>
        <w:keepNext w:val="0"/>
        <w:keepLines w:val="0"/>
        <w:widowControl w:val="0"/>
        <w:shd w:val="clear" w:color="auto" w:fill="auto"/>
        <w:bidi w:val="0"/>
        <w:spacing w:before="0" w:after="180" w:line="240" w:lineRule="auto"/>
        <w:ind w:left="0" w:right="0" w:firstLine="560"/>
        <w:jc w:val="left"/>
      </w:pPr>
      <w:r>
        <w:rPr>
          <w:color w:val="000000"/>
          <w:spacing w:val="0"/>
          <w:w w:val="100"/>
          <w:position w:val="0"/>
        </w:rPr>
        <w:t>续:</w:t>
      </w:r>
    </w:p>
    <w:tbl>
      <w:tblPr>
        <w:tblOverlap w:val="never"/>
        <w:jc w:val="center"/>
        <w:tblLayout w:type="fixed"/>
      </w:tblPr>
      <w:tblGrid>
        <w:gridCol w:w="2357"/>
        <w:gridCol w:w="1277"/>
        <w:gridCol w:w="845"/>
        <w:gridCol w:w="1286"/>
        <w:gridCol w:w="1147"/>
        <w:gridCol w:w="1550"/>
      </w:tblGrid>
      <w:tr>
        <w:trPr>
          <w:trHeight w:val="442"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类别</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期初金额</w:t>
            </w:r>
          </w:p>
        </w:tc>
      </w:tr>
      <w:tr>
        <w:trPr>
          <w:trHeight w:val="437"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账面价值</w:t>
            </w:r>
          </w:p>
        </w:tc>
      </w:tr>
      <w:tr>
        <w:trPr>
          <w:trHeight w:val="437"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比例(</w:t>
            </w:r>
            <w:r>
              <w:rPr>
                <w:rFonts w:ascii="Arial Narrow" w:eastAsia="Arial Narrow" w:hAnsi="Arial Narrow" w:cs="Arial Narrow"/>
                <w:color w:val="000000"/>
                <w:spacing w:val="0"/>
                <w:w w:val="100"/>
                <w:position w:val="0"/>
                <w:sz w:val="18"/>
                <w:szCs w:val="18"/>
              </w:rPr>
              <w:t>%</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计提比例(%)</w:t>
            </w:r>
          </w:p>
        </w:tc>
        <w:tc>
          <w:tcPr>
            <w:vMerge/>
            <w:tcBorders>
              <w:left w:val="single" w:sz="4"/>
            </w:tcBorders>
            <w:shd w:val="clear" w:color="auto" w:fill="FFFFFF"/>
            <w:vAlign w:val="center"/>
          </w:tcPr>
          <w:p>
            <w:pP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按“一般方法”计提：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39"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40"/>
              <w:jc w:val="left"/>
              <w:rPr>
                <w:sz w:val="18"/>
                <w:szCs w:val="18"/>
              </w:rPr>
            </w:pPr>
            <w:r>
              <w:rPr>
                <w:color w:val="000000"/>
                <w:spacing w:val="0"/>
                <w:w w:val="100"/>
                <w:position w:val="0"/>
                <w:sz w:val="18"/>
                <w:szCs w:val="18"/>
              </w:rPr>
              <w:t>单项金额重大并已单独计</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提坏账准备的款项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305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015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305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015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357"/>
        <w:gridCol w:w="1277"/>
        <w:gridCol w:w="845"/>
        <w:gridCol w:w="1286"/>
        <w:gridCol w:w="1147"/>
        <w:gridCol w:w="1550"/>
      </w:tblGrid>
      <w:tr>
        <w:trPr>
          <w:trHeight w:val="73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40"/>
              <w:jc w:val="left"/>
              <w:rPr>
                <w:sz w:val="18"/>
                <w:szCs w:val="18"/>
              </w:rPr>
            </w:pPr>
            <w:r>
              <w:rPr>
                <w:color w:val="000000"/>
                <w:spacing w:val="0"/>
                <w:w w:val="100"/>
                <w:position w:val="0"/>
                <w:sz w:val="18"/>
                <w:szCs w:val="18"/>
              </w:rPr>
              <w:t>单项金额非重大并已单独</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计提坏账准备的款项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311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978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525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889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786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089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13</w:t>
            </w:r>
          </w:p>
        </w:tc>
      </w:tr>
      <w:tr>
        <w:trPr>
          <w:trHeight w:val="47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按“简化方法”计提：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3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240"/>
              <w:jc w:val="left"/>
              <w:rPr>
                <w:sz w:val="18"/>
                <w:szCs w:val="18"/>
              </w:rPr>
            </w:pPr>
            <w:r>
              <w:rPr>
                <w:color w:val="000000"/>
                <w:spacing w:val="0"/>
                <w:w w:val="100"/>
                <w:position w:val="0"/>
                <w:sz w:val="18"/>
                <w:szCs w:val="18"/>
              </w:rPr>
              <w:t>按组合计提预期信用损失 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482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702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94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389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073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203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093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629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66</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其中：组合</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组合</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134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551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388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632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745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919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95</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组合</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347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709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126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347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709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71</w:t>
            </w:r>
          </w:p>
        </w:tc>
      </w:tr>
      <w:tr>
        <w:trPr>
          <w:trHeight w:val="44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215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099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696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219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977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205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879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718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79</w:t>
            </w:r>
          </w:p>
        </w:tc>
      </w:tr>
    </w:tbl>
    <w:p>
      <w:pPr>
        <w:widowControl w:val="0"/>
        <w:spacing w:after="799" w:line="1" w:lineRule="exact"/>
      </w:pPr>
    </w:p>
    <w:p>
      <w:pPr>
        <w:pStyle w:val="Style51"/>
        <w:keepNext/>
        <w:keepLines/>
        <w:widowControl w:val="0"/>
        <w:shd w:val="clear" w:color="auto" w:fill="auto"/>
        <w:bidi w:val="0"/>
        <w:spacing w:before="0" w:after="140" w:line="240" w:lineRule="auto"/>
        <w:ind w:left="0" w:right="0" w:firstLine="480"/>
        <w:jc w:val="left"/>
      </w:pPr>
      <w:bookmarkStart w:id="1245" w:name="bookmark1245"/>
      <w:bookmarkStart w:id="1246" w:name="bookmark1246"/>
      <w:bookmarkStart w:id="1247" w:name="bookmark1247"/>
      <w:r>
        <w:rPr>
          <w:rFonts w:ascii="Times New Roman" w:eastAsia="Times New Roman" w:hAnsi="Times New Roman" w:cs="Times New Roman"/>
          <w:color w:val="000000"/>
          <w:spacing w:val="0"/>
          <w:w w:val="100"/>
          <w:position w:val="0"/>
        </w:rPr>
        <w:t>(1</w:t>
      </w:r>
      <w:r>
        <w:rPr>
          <w:color w:val="000000"/>
          <w:spacing w:val="0"/>
          <w:w w:val="100"/>
          <w:position w:val="0"/>
        </w:rPr>
        <w:t>)单项金额重大并已单独计提坏账准备的款项</w:t>
      </w:r>
      <w:bookmarkEnd w:id="1245"/>
      <w:bookmarkEnd w:id="1246"/>
      <w:bookmarkEnd w:id="1247"/>
    </w:p>
    <w:tbl>
      <w:tblPr>
        <w:tblOverlap w:val="never"/>
        <w:jc w:val="center"/>
        <w:tblLayout w:type="fixed"/>
      </w:tblPr>
      <w:tblGrid>
        <w:gridCol w:w="2371"/>
        <w:gridCol w:w="1675"/>
        <w:gridCol w:w="1464"/>
        <w:gridCol w:w="994"/>
        <w:gridCol w:w="1987"/>
      </w:tblGrid>
      <w:tr>
        <w:trPr>
          <w:trHeight w:val="374"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单位名称</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557"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8"/>
                <w:szCs w:val="18"/>
              </w:rPr>
              <w:t>计提比例 (</w:t>
            </w:r>
            <w:r>
              <w:rPr>
                <w:rFonts w:ascii="Arial Narrow" w:eastAsia="Arial Narrow" w:hAnsi="Arial Narrow" w:cs="Arial Narrow"/>
                <w:color w:val="000000"/>
                <w:spacing w:val="0"/>
                <w:w w:val="100"/>
                <w:position w:val="0"/>
                <w:sz w:val="18"/>
                <w:szCs w:val="18"/>
              </w:rPr>
              <w:t>%</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计提理由</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客户一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305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015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305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015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客户违约</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客户二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412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429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412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429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客户违约</w:t>
            </w:r>
          </w:p>
        </w:tc>
      </w:tr>
      <w:tr>
        <w:trPr>
          <w:trHeight w:val="379"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717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444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717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444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799" w:line="1" w:lineRule="exact"/>
      </w:pPr>
    </w:p>
    <w:p>
      <w:pPr>
        <w:pStyle w:val="Style51"/>
        <w:keepNext/>
        <w:keepLines/>
        <w:widowControl w:val="0"/>
        <w:shd w:val="clear" w:color="auto" w:fill="auto"/>
        <w:bidi w:val="0"/>
        <w:spacing w:before="0" w:after="140" w:line="240" w:lineRule="auto"/>
        <w:ind w:left="0" w:right="0" w:firstLine="480"/>
        <w:jc w:val="left"/>
      </w:pPr>
      <w:bookmarkStart w:id="1248" w:name="bookmark1248"/>
      <w:bookmarkStart w:id="1249" w:name="bookmark1249"/>
      <w:bookmarkStart w:id="1250" w:name="bookmark1250"/>
      <w:r>
        <w:rPr>
          <w:rFonts w:ascii="Times New Roman" w:eastAsia="Times New Roman" w:hAnsi="Times New Roman" w:cs="Times New Roman"/>
          <w:color w:val="000000"/>
          <w:spacing w:val="0"/>
          <w:w w:val="100"/>
          <w:position w:val="0"/>
        </w:rPr>
        <w:t>(2</w:t>
      </w:r>
      <w:r>
        <w:rPr>
          <w:color w:val="000000"/>
          <w:spacing w:val="0"/>
          <w:w w:val="100"/>
          <w:position w:val="0"/>
        </w:rPr>
        <w:t>)单项金额非重大并已单独计提坏账准备的款项</w:t>
      </w:r>
      <w:bookmarkEnd w:id="1248"/>
      <w:bookmarkEnd w:id="1249"/>
      <w:bookmarkEnd w:id="1250"/>
    </w:p>
    <w:tbl>
      <w:tblPr>
        <w:tblOverlap w:val="never"/>
        <w:jc w:val="center"/>
        <w:tblLayout w:type="fixed"/>
      </w:tblPr>
      <w:tblGrid>
        <w:gridCol w:w="2386"/>
        <w:gridCol w:w="1675"/>
        <w:gridCol w:w="1464"/>
        <w:gridCol w:w="994"/>
        <w:gridCol w:w="1973"/>
      </w:tblGrid>
      <w:tr>
        <w:trPr>
          <w:trHeight w:val="379"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单位名称</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557"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8"/>
                <w:szCs w:val="18"/>
              </w:rPr>
              <w:t>计提比例 (</w:t>
            </w:r>
            <w:r>
              <w:rPr>
                <w:rFonts w:ascii="Arial Narrow" w:eastAsia="Arial Narrow" w:hAnsi="Arial Narrow" w:cs="Arial Narrow"/>
                <w:color w:val="000000"/>
                <w:spacing w:val="0"/>
                <w:w w:val="100"/>
                <w:position w:val="0"/>
                <w:sz w:val="18"/>
                <w:szCs w:val="18"/>
              </w:rPr>
              <w:t>%</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计提理由</w:t>
            </w:r>
          </w:p>
        </w:tc>
      </w:tr>
      <w:tr>
        <w:trPr>
          <w:trHeight w:val="39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客户三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151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133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151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客户违约</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客户四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338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883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338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883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客户违约</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客户五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418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835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418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835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客户违约</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客户六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804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744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804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744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无法收回</w:t>
            </w:r>
          </w:p>
        </w:tc>
      </w:tr>
      <w:tr>
        <w:trPr>
          <w:trHeight w:val="432"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695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615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695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615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179" w:line="1" w:lineRule="exact"/>
      </w:pPr>
    </w:p>
    <w:p>
      <w:pPr>
        <w:pStyle w:val="Style51"/>
        <w:keepNext/>
        <w:keepLines/>
        <w:widowControl w:val="0"/>
        <w:numPr>
          <w:ilvl w:val="0"/>
          <w:numId w:val="73"/>
        </w:numPr>
        <w:shd w:val="clear" w:color="auto" w:fill="auto"/>
        <w:bidi w:val="0"/>
        <w:spacing w:before="0" w:after="320" w:line="240" w:lineRule="auto"/>
        <w:ind w:left="0" w:right="0" w:firstLine="360"/>
        <w:jc w:val="left"/>
      </w:pPr>
      <w:bookmarkStart w:id="1251" w:name="bookmark1251"/>
      <w:bookmarkStart w:id="1252" w:name="bookmark1252"/>
      <w:bookmarkStart w:id="1253" w:name="bookmark1253"/>
      <w:bookmarkStart w:id="1254" w:name="bookmark1254"/>
      <w:bookmarkEnd w:id="1253"/>
      <w:r>
        <w:rPr>
          <w:color w:val="000000"/>
          <w:spacing w:val="0"/>
          <w:w w:val="100"/>
          <w:position w:val="0"/>
        </w:rPr>
        <w:t>按组合计提预期信用损失的应收账款</w:t>
      </w:r>
      <w:bookmarkEnd w:id="1251"/>
      <w:bookmarkEnd w:id="1252"/>
      <w:bookmarkEnd w:id="1254"/>
    </w:p>
    <w:p>
      <w:pPr>
        <w:pStyle w:val="Style51"/>
        <w:keepNext/>
        <w:keepLines/>
        <w:widowControl w:val="0"/>
        <w:shd w:val="clear" w:color="auto" w:fill="auto"/>
        <w:bidi w:val="0"/>
        <w:spacing w:before="0" w:after="240" w:line="240" w:lineRule="auto"/>
        <w:ind w:left="0" w:right="0" w:firstLine="0"/>
        <w:jc w:val="left"/>
      </w:pPr>
      <w:bookmarkStart w:id="1251" w:name="bookmark1251"/>
      <w:bookmarkStart w:id="1252" w:name="bookmark1252"/>
      <w:r>
        <w:rPr>
          <w:color w:val="000000"/>
          <w:spacing w:val="0"/>
          <w:w w:val="100"/>
          <w:position w:val="0"/>
        </w:rPr>
        <w:t>组合</w:t>
      </w:r>
      <w:r>
        <w:rPr>
          <w:rFonts w:ascii="Times New Roman" w:eastAsia="Times New Roman" w:hAnsi="Times New Roman" w:cs="Times New Roman"/>
          <w:color w:val="000000"/>
          <w:spacing w:val="0"/>
          <w:w w:val="100"/>
          <w:position w:val="0"/>
        </w:rPr>
        <w:t>1</w:t>
      </w:r>
      <w:r>
        <w:rPr>
          <w:color w:val="000000"/>
          <w:spacing w:val="0"/>
          <w:w w:val="100"/>
          <w:position w:val="0"/>
        </w:rPr>
        <w:t>中，按账龄分析法计提坏账准备的应收账款(非证券业务):</w:t>
      </w:r>
      <w:bookmarkEnd w:id="1251"/>
      <w:bookmarkEnd w:id="1252"/>
    </w:p>
    <w:p>
      <w:pPr>
        <w:pStyle w:val="Style100"/>
        <w:keepNext w:val="0"/>
        <w:keepLines w:val="0"/>
        <w:widowControl w:val="0"/>
        <w:shd w:val="clear" w:color="auto" w:fill="auto"/>
        <w:bidi w:val="0"/>
        <w:spacing w:before="0" w:after="0" w:line="240" w:lineRule="auto"/>
        <w:ind w:left="3480" w:right="0" w:firstLine="0"/>
        <w:jc w:val="left"/>
      </w:pPr>
      <w:r>
        <mc:AlternateContent>
          <mc:Choice Requires="wps">
            <w:drawing>
              <wp:anchor distT="0" distB="0" distL="114300" distR="114300" simplePos="0" relativeHeight="125829446" behindDoc="0" locked="0" layoutInCell="1" allowOverlap="1">
                <wp:simplePos x="0" y="0"/>
                <wp:positionH relativeFrom="page">
                  <wp:posOffset>1766570</wp:posOffset>
                </wp:positionH>
                <wp:positionV relativeFrom="paragraph">
                  <wp:posOffset>12700</wp:posOffset>
                </wp:positionV>
                <wp:extent cx="255905" cy="146050"/>
                <wp:wrapSquare wrapText="right"/>
                <wp:docPr id="134" name="Shape 134"/>
                <a:graphic xmlns:a="http://schemas.openxmlformats.org/drawingml/2006/main">
                  <a:graphicData uri="http://schemas.microsoft.com/office/word/2010/wordprocessingShape">
                    <wps:wsp>
                      <wps:cNvSpPr txBox="1"/>
                      <wps:spPr>
                        <a:xfrm>
                          <a:ext cx="255905" cy="146050"/>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w:t>
                            </w:r>
                          </w:p>
                        </w:txbxContent>
                      </wps:txbx>
                      <wps:bodyPr wrap="none" lIns="0" tIns="0" rIns="0" bIns="0">
                        <a:noAutoFit/>
                      </wps:bodyPr>
                    </wps:wsp>
                  </a:graphicData>
                </a:graphic>
              </wp:anchor>
            </w:drawing>
          </mc:Choice>
          <mc:Fallback>
            <w:pict>
              <v:shape id="_x0000_s1160" type="#_x0000_t202" style="position:absolute;margin-left:139.09999999999999pt;margin-top:1.pt;width:20.150000000000002pt;height:11.5pt;z-index:-125829307;mso-wrap-distance-left:9.pt;mso-wrap-distance-right:9.pt;mso-position-horizontal-relative:page" filled="f" stroked="f">
                <v:textbox inset="0,0,0,0">
                  <w:txbxContent>
                    <w:p>
                      <w:pPr>
                        <w:pStyle w:val="Style100"/>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w:t>
                      </w:r>
                    </w:p>
                  </w:txbxContent>
                </v:textbox>
                <w10:wrap type="square" side="right" anchorx="page"/>
              </v:shape>
            </w:pict>
          </mc:Fallback>
        </mc:AlternateContent>
      </w:r>
      <w:r>
        <w:rPr>
          <w:color w:val="000000"/>
          <w:spacing w:val="0"/>
          <w:w w:val="100"/>
          <w:position w:val="0"/>
        </w:rPr>
        <w:t>期末余额</w:t>
      </w:r>
      <w:r>
        <w:br w:type="page"/>
      </w:r>
    </w:p>
    <w:tbl>
      <w:tblPr>
        <w:tblOverlap w:val="never"/>
        <w:jc w:val="center"/>
        <w:tblLayout w:type="fixed"/>
      </w:tblPr>
      <w:tblGrid>
        <w:gridCol w:w="2458"/>
        <w:gridCol w:w="1992"/>
        <w:gridCol w:w="1992"/>
        <w:gridCol w:w="2098"/>
      </w:tblGrid>
      <w:tr>
        <w:trPr>
          <w:trHeight w:val="374"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计提比例(</w:t>
            </w:r>
            <w:r>
              <w:rPr>
                <w:rFonts w:ascii="Arial Narrow" w:eastAsia="Arial Narrow" w:hAnsi="Arial Narrow" w:cs="Arial Narrow"/>
                <w:color w:val="000000"/>
                <w:spacing w:val="0"/>
                <w:w w:val="100"/>
                <w:position w:val="0"/>
                <w:sz w:val="18"/>
                <w:szCs w:val="18"/>
              </w:rPr>
              <w:t>%</w:t>
            </w:r>
            <w:r>
              <w:rPr>
                <w:color w:val="000000"/>
                <w:spacing w:val="0"/>
                <w:w w:val="100"/>
                <w:position w:val="0"/>
                <w:sz w:val="18"/>
                <w:szCs w:val="18"/>
              </w:rPr>
              <w:t>)</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79"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44</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679" w:line="1" w:lineRule="exact"/>
      </w:pPr>
    </w:p>
    <w:p>
      <w:pPr>
        <w:pStyle w:val="Style16"/>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rPr>
        <w:t>组合</w:t>
      </w:r>
      <w:r>
        <w:rPr>
          <w:rFonts w:ascii="Times New Roman" w:eastAsia="Times New Roman" w:hAnsi="Times New Roman" w:cs="Times New Roman"/>
          <w:b/>
          <w:bCs/>
          <w:color w:val="000000"/>
          <w:spacing w:val="0"/>
          <w:w w:val="100"/>
          <w:position w:val="0"/>
        </w:rPr>
        <w:t>2</w:t>
      </w:r>
      <w:r>
        <w:rPr>
          <w:b/>
          <w:bCs/>
          <w:color w:val="000000"/>
          <w:spacing w:val="0"/>
          <w:w w:val="100"/>
          <w:position w:val="0"/>
        </w:rPr>
        <w:t>中，按账龄分析法计提坏账准备的应收账款(证券业务):</w:t>
      </w:r>
    </w:p>
    <w:tbl>
      <w:tblPr>
        <w:tblOverlap w:val="never"/>
        <w:jc w:val="center"/>
        <w:tblLayout w:type="fixed"/>
      </w:tblPr>
      <w:tblGrid>
        <w:gridCol w:w="2458"/>
        <w:gridCol w:w="1992"/>
        <w:gridCol w:w="1992"/>
        <w:gridCol w:w="2098"/>
      </w:tblGrid>
      <w:tr>
        <w:trPr>
          <w:trHeight w:val="374"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账龄</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计提比例(</w:t>
            </w:r>
            <w:r>
              <w:rPr>
                <w:rFonts w:ascii="Arial Narrow" w:eastAsia="Arial Narrow" w:hAnsi="Arial Narrow" w:cs="Arial Narrow"/>
                <w:color w:val="000000"/>
                <w:spacing w:val="0"/>
                <w:w w:val="100"/>
                <w:position w:val="0"/>
                <w:sz w:val="18"/>
                <w:szCs w:val="18"/>
              </w:rPr>
              <w:t>%</w:t>
            </w:r>
            <w:r>
              <w:rPr>
                <w:color w:val="000000"/>
                <w:spacing w:val="0"/>
                <w:w w:val="100"/>
                <w:position w:val="0"/>
                <w:sz w:val="18"/>
                <w:szCs w:val="18"/>
              </w:rPr>
              <w:t>)</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163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185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620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059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50</w:t>
            </w:r>
          </w:p>
        </w:tc>
      </w:tr>
      <w:tr>
        <w:trPr>
          <w:trHeight w:val="39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其中：</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个月以内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163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185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620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059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50</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个月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50</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个月至</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50</w:t>
            </w:r>
          </w:p>
        </w:tc>
      </w:tr>
      <w:tr>
        <w:trPr>
          <w:trHeight w:val="379"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163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185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620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059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77</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679" w:line="1" w:lineRule="exact"/>
      </w:pPr>
    </w:p>
    <w:p>
      <w:pPr>
        <w:pStyle w:val="Style16"/>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rPr>
        <w:t>组合</w:t>
      </w:r>
      <w:r>
        <w:rPr>
          <w:rFonts w:ascii="Times New Roman" w:eastAsia="Times New Roman" w:hAnsi="Times New Roman" w:cs="Times New Roman"/>
          <w:b/>
          <w:bCs/>
          <w:color w:val="000000"/>
          <w:spacing w:val="0"/>
          <w:w w:val="100"/>
          <w:position w:val="0"/>
        </w:rPr>
        <w:t>3</w:t>
      </w:r>
      <w:r>
        <w:rPr>
          <w:b/>
          <w:bCs/>
          <w:color w:val="000000"/>
          <w:spacing w:val="0"/>
          <w:w w:val="100"/>
          <w:position w:val="0"/>
        </w:rPr>
        <w:t>中，按特定组合法计提坏账准备的应收账款(证券业务):</w:t>
      </w:r>
    </w:p>
    <w:tbl>
      <w:tblPr>
        <w:tblOverlap w:val="never"/>
        <w:jc w:val="center"/>
        <w:tblLayout w:type="fixed"/>
      </w:tblPr>
      <w:tblGrid>
        <w:gridCol w:w="2486"/>
        <w:gridCol w:w="1992"/>
        <w:gridCol w:w="1987"/>
        <w:gridCol w:w="2102"/>
      </w:tblGrid>
      <w:tr>
        <w:trPr>
          <w:trHeight w:val="374"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账龄</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计提比例(</w:t>
            </w:r>
            <w:r>
              <w:rPr>
                <w:rFonts w:ascii="Arial Narrow" w:eastAsia="Arial Narrow" w:hAnsi="Arial Narrow" w:cs="Arial Narrow"/>
                <w:color w:val="000000"/>
                <w:spacing w:val="0"/>
                <w:w w:val="100"/>
                <w:position w:val="0"/>
                <w:sz w:val="18"/>
                <w:szCs w:val="18"/>
              </w:rPr>
              <w:t>%</w:t>
            </w:r>
            <w:r>
              <w:rPr>
                <w:color w:val="000000"/>
                <w:spacing w:val="0"/>
                <w:w w:val="100"/>
                <w:position w:val="0"/>
                <w:sz w:val="18"/>
                <w:szCs w:val="18"/>
              </w:rPr>
              <w:t>)</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429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070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其中：</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个月以内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429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070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个月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个月至</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429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070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39" w:line="1" w:lineRule="exact"/>
      </w:pPr>
    </w:p>
    <w:p>
      <w:pPr>
        <w:pStyle w:val="Style51"/>
        <w:keepNext/>
        <w:keepLines/>
        <w:widowControl w:val="0"/>
        <w:shd w:val="clear" w:color="auto" w:fill="auto"/>
        <w:bidi w:val="0"/>
        <w:spacing w:before="0" w:after="140" w:line="240" w:lineRule="auto"/>
        <w:ind w:left="0" w:right="0" w:firstLine="460"/>
        <w:jc w:val="left"/>
      </w:pPr>
      <w:bookmarkStart w:id="1255" w:name="bookmark1255"/>
      <w:bookmarkStart w:id="1256" w:name="bookmark1256"/>
      <w:bookmarkStart w:id="1257" w:name="bookmark1257"/>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按账龄披露应收账款</w:t>
      </w:r>
      <w:bookmarkEnd w:id="1255"/>
      <w:bookmarkEnd w:id="1256"/>
      <w:bookmarkEnd w:id="1257"/>
    </w:p>
    <w:tbl>
      <w:tblPr>
        <w:tblOverlap w:val="never"/>
        <w:jc w:val="center"/>
        <w:tblLayout w:type="fixed"/>
      </w:tblPr>
      <w:tblGrid>
        <w:gridCol w:w="2650"/>
        <w:gridCol w:w="2846"/>
        <w:gridCol w:w="2918"/>
      </w:tblGrid>
      <w:tr>
        <w:trPr>
          <w:trHeight w:val="37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账龄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292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831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865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left"/>
              <w:rPr>
                <w:sz w:val="18"/>
                <w:szCs w:val="18"/>
              </w:rPr>
            </w:pPr>
            <w:r>
              <w:rPr>
                <w:rFonts w:ascii="Times New Roman" w:eastAsia="Times New Roman" w:hAnsi="Times New Roman" w:cs="Times New Roman"/>
                <w:color w:val="000000"/>
                <w:spacing w:val="0"/>
                <w:w w:val="100"/>
                <w:position w:val="0"/>
                <w:sz w:val="18"/>
                <w:szCs w:val="18"/>
              </w:rPr>
              <w:t>202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890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407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40</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195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886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576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842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99</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632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24</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97</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304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028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164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left"/>
              <w:rPr>
                <w:sz w:val="18"/>
                <w:szCs w:val="18"/>
              </w:rPr>
            </w:pPr>
            <w:r>
              <w:rPr>
                <w:rFonts w:ascii="Times New Roman" w:eastAsia="Times New Roman" w:hAnsi="Times New Roman" w:cs="Times New Roman"/>
                <w:color w:val="000000"/>
                <w:spacing w:val="0"/>
                <w:w w:val="100"/>
                <w:position w:val="0"/>
                <w:sz w:val="18"/>
                <w:szCs w:val="18"/>
              </w:rPr>
              <w:t>215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099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696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60</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减：坏账准备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234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532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219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977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81</w:t>
            </w:r>
          </w:p>
        </w:tc>
      </w:tr>
      <w:tr>
        <w:trPr>
          <w:trHeight w:val="379"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268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793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631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left"/>
              <w:rPr>
                <w:sz w:val="18"/>
                <w:szCs w:val="18"/>
              </w:rPr>
            </w:pPr>
            <w:r>
              <w:rPr>
                <w:rFonts w:ascii="Times New Roman" w:eastAsia="Times New Roman" w:hAnsi="Times New Roman" w:cs="Times New Roman"/>
                <w:color w:val="000000"/>
                <w:spacing w:val="0"/>
                <w:w w:val="100"/>
                <w:position w:val="0"/>
                <w:sz w:val="18"/>
                <w:szCs w:val="18"/>
              </w:rPr>
              <w:t>205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879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718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79</w:t>
            </w:r>
          </w:p>
        </w:tc>
      </w:tr>
    </w:tbl>
    <w:p>
      <w:pPr>
        <w:widowControl w:val="0"/>
        <w:spacing w:after="279" w:line="1" w:lineRule="exact"/>
      </w:pPr>
    </w:p>
    <w:p>
      <w:pPr>
        <w:pStyle w:val="Style51"/>
        <w:keepNext/>
        <w:keepLines/>
        <w:widowControl w:val="0"/>
        <w:shd w:val="clear" w:color="auto" w:fill="auto"/>
        <w:bidi w:val="0"/>
        <w:spacing w:before="0" w:after="400" w:line="240" w:lineRule="auto"/>
        <w:ind w:left="0" w:right="0" w:firstLine="460"/>
        <w:jc w:val="left"/>
      </w:pPr>
      <w:bookmarkStart w:id="1258" w:name="bookmark1258"/>
      <w:bookmarkStart w:id="1259" w:name="bookmark1259"/>
      <w:bookmarkStart w:id="1260" w:name="bookmark1260"/>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本期计提、收回或转回的坏账准备情况</w:t>
      </w:r>
      <w:bookmarkEnd w:id="1258"/>
      <w:bookmarkEnd w:id="1259"/>
      <w:bookmarkEnd w:id="1260"/>
    </w:p>
    <w:p>
      <w:pPr>
        <w:widowControl w:val="0"/>
        <w:spacing w:after="908" w:line="1" w:lineRule="exact"/>
      </w:pPr>
      <w:r>
        <mc:AlternateContent>
          <mc:Choice Requires="wps">
            <w:drawing>
              <wp:anchor distT="0" distB="0" distL="0" distR="0" simplePos="0" relativeHeight="62914741" behindDoc="1" locked="0" layoutInCell="1" allowOverlap="1">
                <wp:simplePos x="0" y="0"/>
                <wp:positionH relativeFrom="page">
                  <wp:posOffset>1588770</wp:posOffset>
                </wp:positionH>
                <wp:positionV relativeFrom="paragraph">
                  <wp:posOffset>234950</wp:posOffset>
                </wp:positionV>
                <wp:extent cx="255905" cy="152400"/>
                <wp:wrapNone/>
                <wp:docPr id="136" name="Shape 136"/>
                <a:graphic xmlns:a="http://schemas.openxmlformats.org/drawingml/2006/main">
                  <a:graphicData uri="http://schemas.microsoft.com/office/word/2010/wordprocessingShape">
                    <wps:wsp>
                      <wps:cNvSpPr txBox="1"/>
                      <wps:spPr>
                        <a:xfrm>
                          <a:ext cx="255905" cy="152400"/>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pPr>
                            <w:r>
                              <w:rPr>
                                <w:color w:val="000000"/>
                                <w:spacing w:val="0"/>
                                <w:w w:val="100"/>
                                <w:position w:val="0"/>
                              </w:rPr>
                              <w:t>类别</w:t>
                            </w:r>
                          </w:p>
                        </w:txbxContent>
                      </wps:txbx>
                      <wps:bodyPr wrap="none" lIns="0" tIns="0" rIns="0" bIns="0">
                        <a:noAutoFit/>
                      </wps:bodyPr>
                    </wps:wsp>
                  </a:graphicData>
                </a:graphic>
              </wp:anchor>
            </w:drawing>
          </mc:Choice>
          <mc:Fallback>
            <w:pict>
              <v:shape id="_x0000_s1162" type="#_x0000_t202" style="position:absolute;margin-left:125.10000000000001pt;margin-top:18.5pt;width:20.150000000000002pt;height:12.pt;z-index:-188744012;mso-wrap-distance-left:0;mso-wrap-distance-right:0;mso-position-horizontal-relative:page" wrapcoords="0 0" filled="f" stroked="f">
                <v:textbox inset="0,0,0,0">
                  <w:txbxContent>
                    <w:p>
                      <w:pPr>
                        <w:pStyle w:val="Style100"/>
                        <w:keepNext w:val="0"/>
                        <w:keepLines w:val="0"/>
                        <w:widowControl w:val="0"/>
                        <w:shd w:val="clear" w:color="auto" w:fill="auto"/>
                        <w:bidi w:val="0"/>
                        <w:spacing w:before="0" w:after="0" w:line="240" w:lineRule="auto"/>
                        <w:ind w:left="0" w:right="0" w:firstLine="0"/>
                        <w:jc w:val="left"/>
                      </w:pPr>
                      <w:r>
                        <w:rPr>
                          <w:color w:val="000000"/>
                          <w:spacing w:val="0"/>
                          <w:w w:val="100"/>
                          <w:position w:val="0"/>
                        </w:rPr>
                        <w:t>类别</w:t>
                      </w:r>
                    </w:p>
                  </w:txbxContent>
                </v:textbox>
                <w10:wrap anchorx="page"/>
              </v:shape>
            </w:pict>
          </mc:Fallback>
        </mc:AlternateContent>
      </w:r>
      <w:r>
        <mc:AlternateContent>
          <mc:Choice Requires="wps">
            <w:drawing>
              <wp:anchor distT="0" distB="0" distL="0" distR="551815" simplePos="0" relativeHeight="62914743" behindDoc="1" locked="0" layoutInCell="1" allowOverlap="1">
                <wp:simplePos x="0" y="0"/>
                <wp:positionH relativeFrom="page">
                  <wp:posOffset>2271395</wp:posOffset>
                </wp:positionH>
                <wp:positionV relativeFrom="paragraph">
                  <wp:posOffset>12700</wp:posOffset>
                </wp:positionV>
                <wp:extent cx="3578225" cy="563880"/>
                <wp:wrapNone/>
                <wp:docPr id="138" name="Shape 138"/>
                <a:graphic xmlns:a="http://schemas.openxmlformats.org/drawingml/2006/main">
                  <a:graphicData uri="http://schemas.microsoft.com/office/word/2010/wordprocessingShape">
                    <wps:wsp>
                      <wps:cNvSpPr txBox="1"/>
                      <wps:spPr>
                        <a:xfrm>
                          <a:ext cx="3578225" cy="563880"/>
                        </a:xfrm>
                        <a:prstGeom prst="rect"/>
                        <a:noFill/>
                      </wps:spPr>
                      <wps:txbx>
                        <w:txbxContent>
                          <w:tbl>
                            <w:tblPr>
                              <w:tblOverlap w:val="never"/>
                              <w:jc w:val="left"/>
                              <w:tblLayout w:type="fixed"/>
                            </w:tblPr>
                            <w:tblGrid>
                              <w:gridCol w:w="1315"/>
                              <w:gridCol w:w="1114"/>
                              <w:gridCol w:w="1181"/>
                              <w:gridCol w:w="941"/>
                              <w:gridCol w:w="1085"/>
                            </w:tblGrid>
                            <w:tr>
                              <w:trPr>
                                <w:tblHeader/>
                                <w:trHeight w:val="442"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期初余额</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本期变动情况</w:t>
                                  </w:r>
                                </w:p>
                              </w:tc>
                            </w:tr>
                            <w:tr>
                              <w:trPr>
                                <w:trHeight w:val="446" w:hRule="exact"/>
                              </w:trPr>
                              <w:tc>
                                <w:tcPr>
                                  <w:vMerge/>
                                  <w:tcBorders>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收回或转回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核销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其他变动</w:t>
                                  </w:r>
                                </w:p>
                              </w:tc>
                            </w:tr>
                          </w:tbl>
                          <w:p>
                            <w:pPr>
                              <w:widowControl w:val="0"/>
                              <w:spacing w:line="1" w:lineRule="exact"/>
                            </w:pPr>
                          </w:p>
                        </w:txbxContent>
                      </wps:txbx>
                      <wps:bodyPr lIns="0" tIns="0" rIns="0" bIns="0">
                        <a:noAutoFit/>
                      </wps:bodyPr>
                    </wps:wsp>
                  </a:graphicData>
                </a:graphic>
              </wp:anchor>
            </w:drawing>
          </mc:Choice>
          <mc:Fallback>
            <w:pict>
              <v:shape id="_x0000_s1164" type="#_x0000_t202" style="position:absolute;margin-left:178.84999999999999pt;margin-top:1.pt;width:281.75pt;height:44.399999999999999pt;z-index:-188744010;mso-wrap-distance-left:0;mso-wrap-distance-right:43.450000000000003pt;mso-position-horizontal-relative:page" wrapcoords="0 0" filled="f" stroked="f">
                <v:textbox inset="0,0,0,0">
                  <w:txbxContent>
                    <w:tbl>
                      <w:tblPr>
                        <w:tblOverlap w:val="never"/>
                        <w:jc w:val="left"/>
                        <w:tblLayout w:type="fixed"/>
                      </w:tblPr>
                      <w:tblGrid>
                        <w:gridCol w:w="1315"/>
                        <w:gridCol w:w="1114"/>
                        <w:gridCol w:w="1181"/>
                        <w:gridCol w:w="941"/>
                        <w:gridCol w:w="1085"/>
                      </w:tblGrid>
                      <w:tr>
                        <w:trPr>
                          <w:tblHeader/>
                          <w:trHeight w:val="442"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期初余额</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本期变动情况</w:t>
                            </w:r>
                          </w:p>
                        </w:tc>
                      </w:tr>
                      <w:tr>
                        <w:trPr>
                          <w:trHeight w:val="446" w:hRule="exact"/>
                        </w:trPr>
                        <w:tc>
                          <w:tcPr>
                            <w:vMerge/>
                            <w:tcBorders>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收回或转回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核销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其他变动</w:t>
                            </w:r>
                          </w:p>
                        </w:tc>
                      </w:tr>
                    </w:tbl>
                    <w:p>
                      <w:pPr>
                        <w:widowControl w:val="0"/>
                        <w:spacing w:line="1" w:lineRule="exact"/>
                      </w:pPr>
                    </w:p>
                  </w:txbxContent>
                </v:textbox>
                <w10:wrap anchorx="page"/>
              </v:shape>
            </w:pict>
          </mc:Fallback>
        </mc:AlternateContent>
      </w:r>
      <w:r>
        <mc:AlternateContent>
          <mc:Choice Requires="wps">
            <w:drawing>
              <wp:anchor distT="0" distB="0" distL="0" distR="0" simplePos="0" relativeHeight="503316482" behindDoc="0" locked="0" layoutInCell="1" allowOverlap="1">
                <wp:simplePos x="0" y="0"/>
                <wp:positionH relativeFrom="page">
                  <wp:posOffset>5916930</wp:posOffset>
                </wp:positionH>
                <wp:positionV relativeFrom="paragraph">
                  <wp:posOffset>234950</wp:posOffset>
                </wp:positionV>
                <wp:extent cx="484505" cy="149225"/>
                <wp:wrapNone/>
                <wp:docPr id="140" name="Shape 140"/>
                <a:graphic xmlns:a="http://schemas.openxmlformats.org/drawingml/2006/main">
                  <a:graphicData uri="http://schemas.microsoft.com/office/word/2010/wordprocessingShape">
                    <wps:wsp>
                      <wps:cNvSpPr txBox="1"/>
                      <wps:spPr>
                        <a:xfrm>
                          <a:ext cx="484505" cy="149225"/>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期末余额</w:t>
                            </w:r>
                          </w:p>
                        </w:txbxContent>
                      </wps:txbx>
                      <wps:bodyPr lIns="0" tIns="0" rIns="0" bIns="0">
                        <a:noAutoFit/>
                      </wps:bodyPr>
                    </wps:wsp>
                  </a:graphicData>
                </a:graphic>
              </wp:anchor>
            </w:drawing>
          </mc:Choice>
          <mc:Fallback>
            <w:pict>
              <v:shape id="_x0000_s1166" type="#_x0000_t202" style="position:absolute;margin-left:465.90000000000003pt;margin-top:18.5pt;width:38.149999999999999pt;height:11.75pt;z-index:251657729;mso-wrap-distance-left:0;mso-wrap-distance-right:0;mso-position-horizontal-relative:page" filled="f" stroked="f">
                <v:textbox inset="0,0,0,0">
                  <w:txbxContent>
                    <w:p>
                      <w:pPr>
                        <w:pStyle w:val="Style4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期末余额</w:t>
                      </w:r>
                    </w:p>
                  </w:txbxContent>
                </v:textbox>
                <w10:wrap anchorx="page"/>
              </v:shape>
            </w:pict>
          </mc:Fallback>
        </mc:AlternateContent>
      </w:r>
      <w:r>
        <w:br w:type="page"/>
      </w:r>
    </w:p>
    <w:tbl>
      <w:tblPr>
        <w:tblOverlap w:val="never"/>
        <w:jc w:val="center"/>
        <w:tblLayout w:type="fixed"/>
      </w:tblPr>
      <w:tblGrid>
        <w:gridCol w:w="1963"/>
        <w:gridCol w:w="1229"/>
        <w:gridCol w:w="1114"/>
        <w:gridCol w:w="1186"/>
        <w:gridCol w:w="941"/>
        <w:gridCol w:w="994"/>
        <w:gridCol w:w="1176"/>
      </w:tblGrid>
      <w:tr>
        <w:trPr>
          <w:trHeight w:val="442"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类别</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期初余额</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本期变动情况</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240" w:firstLine="0"/>
              <w:jc w:val="right"/>
              <w:rPr>
                <w:sz w:val="18"/>
                <w:szCs w:val="18"/>
              </w:rPr>
            </w:pPr>
            <w:r>
              <w:rPr>
                <w:color w:val="000000"/>
                <w:spacing w:val="0"/>
                <w:w w:val="100"/>
                <w:position w:val="0"/>
                <w:sz w:val="18"/>
                <w:szCs w:val="18"/>
              </w:rPr>
              <w:t>期末余额</w:t>
            </w:r>
          </w:p>
        </w:tc>
      </w:tr>
      <w:tr>
        <w:trPr>
          <w:trHeight w:val="446"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收回或转回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核销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其他变动</w:t>
            </w:r>
          </w:p>
        </w:tc>
        <w:tc>
          <w:tcPr>
            <w:vMerge/>
            <w:tcBorders>
              <w:left w:val="single" w:sz="4"/>
            </w:tcBorders>
            <w:shd w:val="clear" w:color="auto" w:fill="FFFFFF"/>
            <w:vAlign w:val="center"/>
          </w:tcPr>
          <w:p>
            <w:pPr/>
          </w:p>
        </w:tc>
      </w:tr>
      <w:tr>
        <w:trPr>
          <w:trHeight w:val="42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按“一般方法”计提：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3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240"/>
              <w:jc w:val="both"/>
              <w:rPr>
                <w:sz w:val="18"/>
                <w:szCs w:val="18"/>
              </w:rPr>
            </w:pPr>
            <w:r>
              <w:rPr>
                <w:color w:val="000000"/>
                <w:spacing w:val="0"/>
                <w:w w:val="100"/>
                <w:position w:val="0"/>
                <w:sz w:val="18"/>
                <w:szCs w:val="18"/>
              </w:rPr>
              <w:t>单项金额重大并已单 独计提坏账准备的款项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305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015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412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429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717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444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89</w:t>
            </w:r>
          </w:p>
        </w:tc>
      </w:tr>
      <w:tr>
        <w:trPr>
          <w:trHeight w:val="103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240"/>
              <w:jc w:val="both"/>
              <w:rPr>
                <w:sz w:val="18"/>
                <w:szCs w:val="18"/>
              </w:rPr>
            </w:pPr>
            <w:r>
              <w:rPr>
                <w:color w:val="000000"/>
                <w:spacing w:val="0"/>
                <w:w w:val="100"/>
                <w:position w:val="0"/>
                <w:sz w:val="18"/>
                <w:szCs w:val="18"/>
              </w:rPr>
              <w:t>单项金额非重大并已 单独计提坏账准备的款 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525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889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169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726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695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615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70</w:t>
            </w:r>
          </w:p>
        </w:tc>
      </w:tr>
      <w:tr>
        <w:trPr>
          <w:trHeight w:val="40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按“简化方法”计提：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40"/>
              <w:jc w:val="both"/>
              <w:rPr>
                <w:sz w:val="18"/>
                <w:szCs w:val="18"/>
              </w:rPr>
            </w:pPr>
            <w:r>
              <w:rPr>
                <w:color w:val="000000"/>
                <w:spacing w:val="0"/>
                <w:w w:val="100"/>
                <w:position w:val="0"/>
                <w:sz w:val="18"/>
                <w:szCs w:val="18"/>
              </w:rPr>
              <w:t>按组合计提预期信用</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损失的应收账款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389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073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432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434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472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21</w:t>
            </w:r>
          </w:p>
        </w:tc>
      </w:tr>
      <w:tr>
        <w:trPr>
          <w:trHeight w:val="40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其中：组合</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44</w:t>
            </w:r>
          </w:p>
        </w:tc>
      </w:tr>
      <w:tr>
        <w:trPr>
          <w:trHeight w:val="40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组合</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388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632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432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427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059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77</w:t>
            </w:r>
          </w:p>
        </w:tc>
      </w:tr>
      <w:tr>
        <w:trPr>
          <w:trHeight w:val="437"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219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977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014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590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234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532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80</w:t>
            </w:r>
          </w:p>
        </w:tc>
      </w:tr>
    </w:tbl>
    <w:p>
      <w:pPr>
        <w:widowControl w:val="0"/>
        <w:spacing w:after="299" w:line="1" w:lineRule="exact"/>
      </w:pPr>
    </w:p>
    <w:p>
      <w:pPr>
        <w:pStyle w:val="Style51"/>
        <w:keepNext/>
        <w:keepLines/>
        <w:widowControl w:val="0"/>
        <w:numPr>
          <w:ilvl w:val="0"/>
          <w:numId w:val="69"/>
        </w:numPr>
        <w:shd w:val="clear" w:color="auto" w:fill="auto"/>
        <w:tabs>
          <w:tab w:pos="838" w:val="left"/>
        </w:tabs>
        <w:bidi w:val="0"/>
        <w:spacing w:before="0" w:after="300" w:line="240" w:lineRule="auto"/>
        <w:ind w:left="0" w:right="0" w:firstLine="480"/>
        <w:jc w:val="left"/>
      </w:pPr>
      <w:bookmarkStart w:id="1261" w:name="bookmark1261"/>
      <w:bookmarkStart w:id="1262" w:name="bookmark1262"/>
      <w:bookmarkStart w:id="1263" w:name="bookmark1263"/>
      <w:bookmarkStart w:id="1264" w:name="bookmark1264"/>
      <w:bookmarkEnd w:id="1263"/>
      <w:r>
        <w:rPr>
          <w:color w:val="000000"/>
          <w:spacing w:val="0"/>
          <w:w w:val="100"/>
          <w:position w:val="0"/>
        </w:rPr>
        <w:t>本期无实际核销的应收账款。</w:t>
      </w:r>
      <w:bookmarkEnd w:id="1261"/>
      <w:bookmarkEnd w:id="1262"/>
      <w:bookmarkEnd w:id="1264"/>
    </w:p>
    <w:p>
      <w:pPr>
        <w:pStyle w:val="Style51"/>
        <w:keepNext/>
        <w:keepLines/>
        <w:widowControl w:val="0"/>
        <w:numPr>
          <w:ilvl w:val="0"/>
          <w:numId w:val="69"/>
        </w:numPr>
        <w:shd w:val="clear" w:color="auto" w:fill="auto"/>
        <w:tabs>
          <w:tab w:pos="838" w:val="left"/>
        </w:tabs>
        <w:bidi w:val="0"/>
        <w:spacing w:before="0" w:after="120" w:line="240" w:lineRule="auto"/>
        <w:ind w:left="0" w:right="0" w:firstLine="480"/>
        <w:jc w:val="left"/>
      </w:pPr>
      <w:bookmarkStart w:id="1265" w:name="bookmark1265"/>
      <w:bookmarkStart w:id="1266" w:name="bookmark1266"/>
      <w:bookmarkStart w:id="1267" w:name="bookmark1267"/>
      <w:bookmarkStart w:id="1268" w:name="bookmark1268"/>
      <w:bookmarkEnd w:id="1267"/>
      <w:r>
        <w:rPr>
          <w:color w:val="000000"/>
          <w:spacing w:val="0"/>
          <w:w w:val="100"/>
          <w:position w:val="0"/>
        </w:rPr>
        <w:t>按欠款方归集的期末余额前五名应收账款</w:t>
      </w:r>
      <w:bookmarkEnd w:id="1265"/>
      <w:bookmarkEnd w:id="1266"/>
      <w:bookmarkEnd w:id="1268"/>
    </w:p>
    <w:tbl>
      <w:tblPr>
        <w:tblOverlap w:val="never"/>
        <w:jc w:val="center"/>
        <w:tblLayout w:type="fixed"/>
      </w:tblPr>
      <w:tblGrid>
        <w:gridCol w:w="3221"/>
        <w:gridCol w:w="1714"/>
        <w:gridCol w:w="1685"/>
        <w:gridCol w:w="1954"/>
      </w:tblGrid>
      <w:tr>
        <w:trPr>
          <w:trHeight w:val="75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单位名称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占应收账款期末余额</w:t>
            </w:r>
          </w:p>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的比例(%)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已计提坏账准备</w:t>
            </w:r>
          </w:p>
        </w:tc>
      </w:tr>
      <w:tr>
        <w:trPr>
          <w:trHeight w:val="40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104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375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028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412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429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412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429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57</w:t>
            </w:r>
          </w:p>
        </w:tc>
      </w:tr>
      <w:tr>
        <w:trPr>
          <w:trHeight w:val="40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078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393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r>
      <w:tr>
        <w:trPr>
          <w:trHeight w:val="40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576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880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50</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131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658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r>
      <w:tr>
        <w:trPr>
          <w:trHeight w:val="437"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152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573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757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541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361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07</w:t>
            </w:r>
          </w:p>
        </w:tc>
      </w:tr>
    </w:tbl>
    <w:p>
      <w:pPr>
        <w:widowControl w:val="0"/>
        <w:spacing w:after="299" w:line="1" w:lineRule="exact"/>
      </w:pPr>
    </w:p>
    <w:p>
      <w:pPr>
        <w:pStyle w:val="Style51"/>
        <w:keepNext/>
        <w:keepLines/>
        <w:widowControl w:val="0"/>
        <w:numPr>
          <w:ilvl w:val="0"/>
          <w:numId w:val="69"/>
        </w:numPr>
        <w:shd w:val="clear" w:color="auto" w:fill="auto"/>
        <w:tabs>
          <w:tab w:pos="838" w:val="left"/>
        </w:tabs>
        <w:bidi w:val="0"/>
        <w:spacing w:before="0" w:after="300" w:line="240" w:lineRule="auto"/>
        <w:ind w:left="0" w:right="0" w:firstLine="480"/>
        <w:jc w:val="left"/>
      </w:pPr>
      <w:bookmarkStart w:id="1269" w:name="bookmark1269"/>
      <w:bookmarkStart w:id="1270" w:name="bookmark1270"/>
      <w:bookmarkStart w:id="1271" w:name="bookmark1271"/>
      <w:bookmarkStart w:id="1272" w:name="bookmark1272"/>
      <w:bookmarkEnd w:id="1271"/>
      <w:r>
        <w:rPr>
          <w:color w:val="000000"/>
          <w:spacing w:val="0"/>
          <w:w w:val="100"/>
          <w:position w:val="0"/>
        </w:rPr>
        <w:t>本期无因金融资产转移而终止确认的应收款项。</w:t>
      </w:r>
      <w:bookmarkEnd w:id="1269"/>
      <w:bookmarkEnd w:id="1270"/>
      <w:bookmarkEnd w:id="1272"/>
    </w:p>
    <w:p>
      <w:pPr>
        <w:pStyle w:val="Style51"/>
        <w:keepNext/>
        <w:keepLines/>
        <w:widowControl w:val="0"/>
        <w:numPr>
          <w:ilvl w:val="0"/>
          <w:numId w:val="69"/>
        </w:numPr>
        <w:shd w:val="clear" w:color="auto" w:fill="auto"/>
        <w:tabs>
          <w:tab w:pos="838" w:val="left"/>
        </w:tabs>
        <w:bidi w:val="0"/>
        <w:spacing w:before="0" w:after="460" w:line="240" w:lineRule="auto"/>
        <w:ind w:left="0" w:right="0" w:firstLine="480"/>
        <w:jc w:val="left"/>
      </w:pPr>
      <w:bookmarkStart w:id="1273" w:name="bookmark1273"/>
      <w:bookmarkStart w:id="1274" w:name="bookmark1274"/>
      <w:bookmarkStart w:id="1275" w:name="bookmark1275"/>
      <w:bookmarkStart w:id="1276" w:name="bookmark1276"/>
      <w:bookmarkEnd w:id="1275"/>
      <w:r>
        <w:rPr>
          <w:color w:val="000000"/>
          <w:spacing w:val="0"/>
          <w:w w:val="100"/>
          <w:position w:val="0"/>
        </w:rPr>
        <w:t>本期无转移应收款项且继续涉入形成的资产、负债。</w:t>
      </w:r>
      <w:bookmarkEnd w:id="1273"/>
      <w:bookmarkEnd w:id="1274"/>
      <w:bookmarkEnd w:id="1276"/>
    </w:p>
    <w:p>
      <w:pPr>
        <w:pStyle w:val="Style37"/>
        <w:keepNext/>
        <w:keepLines/>
        <w:widowControl w:val="0"/>
        <w:shd w:val="clear" w:color="auto" w:fill="auto"/>
        <w:bidi w:val="0"/>
        <w:spacing w:before="0" w:after="160" w:line="240" w:lineRule="auto"/>
        <w:ind w:left="0" w:right="0" w:firstLine="480"/>
        <w:jc w:val="left"/>
      </w:pPr>
      <w:bookmarkStart w:id="1277" w:name="bookmark1277"/>
      <w:bookmarkStart w:id="1278" w:name="bookmark1278"/>
      <w:bookmarkStart w:id="1279" w:name="bookmark1279"/>
      <w:r>
        <w:rPr>
          <w:color w:val="000000"/>
          <w:spacing w:val="0"/>
          <w:w w:val="100"/>
          <w:position w:val="0"/>
        </w:rPr>
        <w:t>注释</w:t>
      </w:r>
      <w:r>
        <w:rPr>
          <w:rFonts w:ascii="Times New Roman" w:eastAsia="Times New Roman" w:hAnsi="Times New Roman" w:cs="Times New Roman"/>
          <w:color w:val="000000"/>
          <w:spacing w:val="0"/>
          <w:w w:val="100"/>
          <w:position w:val="0"/>
        </w:rPr>
        <w:t>8.</w:t>
      </w:r>
      <w:r>
        <w:rPr>
          <w:color w:val="000000"/>
          <w:spacing w:val="0"/>
          <w:w w:val="100"/>
          <w:position w:val="0"/>
        </w:rPr>
        <w:t>预付款项</w:t>
      </w:r>
      <w:bookmarkEnd w:id="1277"/>
      <w:bookmarkEnd w:id="1278"/>
      <w:bookmarkEnd w:id="1279"/>
    </w:p>
    <w:p>
      <w:pPr>
        <w:pStyle w:val="Style51"/>
        <w:keepNext/>
        <w:keepLines/>
        <w:widowControl w:val="0"/>
        <w:numPr>
          <w:ilvl w:val="0"/>
          <w:numId w:val="75"/>
        </w:numPr>
        <w:shd w:val="clear" w:color="auto" w:fill="auto"/>
        <w:bidi w:val="0"/>
        <w:spacing w:before="0" w:after="120" w:line="240" w:lineRule="auto"/>
        <w:ind w:left="0" w:right="0" w:firstLine="480"/>
        <w:jc w:val="left"/>
      </w:pPr>
      <w:bookmarkStart w:id="1280" w:name="bookmark1280"/>
      <w:bookmarkStart w:id="1281" w:name="bookmark1281"/>
      <w:bookmarkStart w:id="1282" w:name="bookmark1282"/>
      <w:bookmarkStart w:id="1283" w:name="bookmark1283"/>
      <w:bookmarkEnd w:id="1282"/>
      <w:r>
        <w:rPr>
          <w:color w:val="000000"/>
          <w:spacing w:val="0"/>
          <w:w w:val="100"/>
          <w:position w:val="0"/>
        </w:rPr>
        <w:t>预付款项按账龄列示</w:t>
      </w:r>
      <w:bookmarkEnd w:id="1280"/>
      <w:bookmarkEnd w:id="1281"/>
      <w:bookmarkEnd w:id="1283"/>
    </w:p>
    <w:tbl>
      <w:tblPr>
        <w:tblOverlap w:val="never"/>
        <w:jc w:val="center"/>
        <w:tblLayout w:type="fixed"/>
      </w:tblPr>
      <w:tblGrid>
        <w:gridCol w:w="2203"/>
        <w:gridCol w:w="2093"/>
        <w:gridCol w:w="1042"/>
        <w:gridCol w:w="2083"/>
        <w:gridCol w:w="1138"/>
      </w:tblGrid>
      <w:tr>
        <w:trPr>
          <w:trHeight w:val="374"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账龄</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比例</w:t>
            </w:r>
            <w:r>
              <w:rPr>
                <w:rFonts w:ascii="Arial Narrow" w:eastAsia="Arial Narrow" w:hAnsi="Arial Narrow" w:cs="Arial Narrow"/>
                <w:color w:val="000000"/>
                <w:spacing w:val="0"/>
                <w:w w:val="100"/>
                <w:position w:val="0"/>
                <w:sz w:val="18"/>
                <w:szCs w:val="18"/>
              </w:rPr>
              <w:t>(</w:t>
            </w:r>
            <w:r>
              <w:rPr>
                <w:color w:val="000000"/>
                <w:spacing w:val="0"/>
                <w:w w:val="100"/>
                <w:position w:val="0"/>
                <w:sz w:val="22"/>
                <w:szCs w:val="22"/>
              </w:rPr>
              <w:t>％</w:t>
            </w:r>
            <w:r>
              <w:rPr>
                <w:rFonts w:ascii="Arial Narrow" w:eastAsia="Arial Narrow" w:hAnsi="Arial Narrow" w:cs="Arial Narrow"/>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比例</w:t>
            </w:r>
            <w:r>
              <w:rPr>
                <w:rFonts w:ascii="Arial Narrow" w:eastAsia="Arial Narrow" w:hAnsi="Arial Narrow" w:cs="Arial Narrow"/>
                <w:color w:val="000000"/>
                <w:spacing w:val="0"/>
                <w:w w:val="100"/>
                <w:position w:val="0"/>
                <w:sz w:val="18"/>
                <w:szCs w:val="18"/>
              </w:rPr>
              <w:t>(</w:t>
            </w:r>
            <w:r>
              <w:rPr>
                <w:color w:val="000000"/>
                <w:spacing w:val="0"/>
                <w:w w:val="100"/>
                <w:position w:val="0"/>
                <w:sz w:val="22"/>
                <w:szCs w:val="22"/>
              </w:rPr>
              <w:t>％</w:t>
            </w:r>
            <w:r>
              <w:rPr>
                <w:rFonts w:ascii="Arial Narrow" w:eastAsia="Arial Narrow" w:hAnsi="Arial Narrow" w:cs="Arial Narrow"/>
                <w:color w:val="000000"/>
                <w:spacing w:val="0"/>
                <w:w w:val="100"/>
                <w:position w:val="0"/>
                <w:sz w:val="18"/>
                <w:szCs w:val="18"/>
              </w:rPr>
              <w:t>)</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330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326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699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487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88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15</w:t>
            </w:r>
          </w:p>
        </w:tc>
      </w:tr>
      <w:tr>
        <w:trPr>
          <w:trHeight w:val="379"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726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954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238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85</w:t>
            </w:r>
          </w:p>
        </w:tc>
      </w:tr>
    </w:tbl>
    <w:p>
      <w:pPr>
        <w:widowControl w:val="0"/>
        <w:spacing w:line="1" w:lineRule="exact"/>
      </w:pPr>
      <w:r>
        <w:br w:type="page"/>
      </w:r>
    </w:p>
    <w:tbl>
      <w:tblPr>
        <w:tblOverlap w:val="never"/>
        <w:jc w:val="center"/>
        <w:tblLayout w:type="fixed"/>
      </w:tblPr>
      <w:tblGrid>
        <w:gridCol w:w="2203"/>
        <w:gridCol w:w="2093"/>
        <w:gridCol w:w="1042"/>
        <w:gridCol w:w="2083"/>
        <w:gridCol w:w="1138"/>
      </w:tblGrid>
      <w:tr>
        <w:trPr>
          <w:trHeight w:val="374"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账龄</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比例</w:t>
            </w:r>
            <w:r>
              <w:rPr>
                <w:rFonts w:ascii="Arial Narrow" w:eastAsia="Arial Narrow" w:hAnsi="Arial Narrow" w:cs="Arial Narrow"/>
                <w:color w:val="000000"/>
                <w:spacing w:val="0"/>
                <w:w w:val="100"/>
                <w:position w:val="0"/>
                <w:sz w:val="18"/>
                <w:szCs w:val="18"/>
              </w:rPr>
              <w:t>(</w:t>
            </w:r>
            <w:r>
              <w:rPr>
                <w:color w:val="000000"/>
                <w:spacing w:val="0"/>
                <w:w w:val="100"/>
                <w:position w:val="0"/>
                <w:sz w:val="22"/>
                <w:szCs w:val="22"/>
              </w:rPr>
              <w:t>％</w:t>
            </w:r>
            <w:r>
              <w:rPr>
                <w:rFonts w:ascii="Arial Narrow" w:eastAsia="Arial Narrow" w:hAnsi="Arial Narrow" w:cs="Arial Narrow"/>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比例</w:t>
            </w:r>
            <w:r>
              <w:rPr>
                <w:rFonts w:ascii="Arial Narrow" w:eastAsia="Arial Narrow" w:hAnsi="Arial Narrow" w:cs="Arial Narrow"/>
                <w:color w:val="000000"/>
                <w:spacing w:val="0"/>
                <w:w w:val="100"/>
                <w:position w:val="0"/>
                <w:sz w:val="18"/>
                <w:szCs w:val="18"/>
              </w:rPr>
              <w:t>(</w:t>
            </w:r>
            <w:r>
              <w:rPr>
                <w:color w:val="000000"/>
                <w:spacing w:val="0"/>
                <w:w w:val="100"/>
                <w:position w:val="0"/>
                <w:sz w:val="22"/>
                <w:szCs w:val="22"/>
              </w:rPr>
              <w:t>％</w:t>
            </w:r>
            <w:r>
              <w:rPr>
                <w:rFonts w:ascii="Arial Narrow" w:eastAsia="Arial Narrow" w:hAnsi="Arial Narrow" w:cs="Arial Narrow"/>
                <w:color w:val="000000"/>
                <w:spacing w:val="0"/>
                <w:w w:val="100"/>
                <w:position w:val="0"/>
                <w:sz w:val="18"/>
                <w:szCs w:val="18"/>
              </w:rPr>
              <w:t>)</w:t>
            </w:r>
          </w:p>
        </w:tc>
      </w:tr>
      <w:tr>
        <w:trPr>
          <w:trHeight w:val="379"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39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057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280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40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499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725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r>
    </w:tbl>
    <w:p>
      <w:pPr>
        <w:widowControl w:val="0"/>
        <w:spacing w:after="279" w:line="1" w:lineRule="exact"/>
      </w:pPr>
    </w:p>
    <w:p>
      <w:pPr>
        <w:pStyle w:val="Style51"/>
        <w:keepNext/>
        <w:keepLines/>
        <w:widowControl w:val="0"/>
        <w:shd w:val="clear" w:color="auto" w:fill="auto"/>
        <w:bidi w:val="0"/>
        <w:spacing w:before="0" w:after="140" w:line="240" w:lineRule="auto"/>
        <w:ind w:left="0" w:right="0" w:firstLine="480"/>
        <w:jc w:val="left"/>
      </w:pPr>
      <w:bookmarkStart w:id="1284" w:name="bookmark1284"/>
      <w:bookmarkStart w:id="1285" w:name="bookmark1285"/>
      <w:bookmarkStart w:id="1286" w:name="bookmark1286"/>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按预付对象归集的期末余额前五名的预付款情况</w:t>
      </w:r>
      <w:bookmarkEnd w:id="1284"/>
      <w:bookmarkEnd w:id="1285"/>
      <w:bookmarkEnd w:id="1286"/>
    </w:p>
    <w:tbl>
      <w:tblPr>
        <w:tblOverlap w:val="never"/>
        <w:jc w:val="center"/>
        <w:tblLayout w:type="fixed"/>
      </w:tblPr>
      <w:tblGrid>
        <w:gridCol w:w="2309"/>
        <w:gridCol w:w="1272"/>
        <w:gridCol w:w="1421"/>
        <w:gridCol w:w="994"/>
        <w:gridCol w:w="994"/>
        <w:gridCol w:w="1536"/>
      </w:tblGrid>
      <w:tr>
        <w:trPr>
          <w:trHeight w:val="73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单位名称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占预付款项总 额的比例(%)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账龄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款项内容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未结算原因</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071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698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54" w:lineRule="exact"/>
              <w:ind w:left="0" w:right="0" w:firstLine="0"/>
              <w:jc w:val="left"/>
              <w:rPr>
                <w:sz w:val="18"/>
                <w:szCs w:val="18"/>
              </w:rPr>
            </w:pPr>
            <w:r>
              <w:rPr>
                <w:rFonts w:ascii="Arial Narrow" w:eastAsia="Arial Narrow" w:hAnsi="Arial Narrow" w:cs="Arial Narrow"/>
                <w:color w:val="000000"/>
                <w:spacing w:val="0"/>
                <w:w w:val="100"/>
                <w:position w:val="0"/>
                <w:sz w:val="18"/>
                <w:szCs w:val="18"/>
              </w:rPr>
              <w:t>IDC</w:t>
            </w:r>
            <w:r>
              <w:rPr>
                <w:color w:val="000000"/>
                <w:spacing w:val="0"/>
                <w:w w:val="100"/>
                <w:position w:val="0"/>
                <w:sz w:val="18"/>
                <w:szCs w:val="18"/>
              </w:rPr>
              <w:t>机房 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服务期未满，尚 未结转完</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096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444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服务期未满，尚 未结转完</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890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410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软件维护</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服务期未满，尚 未结转完</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241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331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软件服务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合同未执行完毕</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071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403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服务期未满，尚 未结转完</w:t>
            </w:r>
          </w:p>
        </w:tc>
      </w:tr>
      <w:tr>
        <w:trPr>
          <w:trHeight w:val="432"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371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289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439" w:line="1" w:lineRule="exact"/>
      </w:pPr>
    </w:p>
    <w:p>
      <w:pPr>
        <w:pStyle w:val="Style37"/>
        <w:keepNext/>
        <w:keepLines/>
        <w:widowControl w:val="0"/>
        <w:shd w:val="clear" w:color="auto" w:fill="auto"/>
        <w:bidi w:val="0"/>
        <w:spacing w:before="0" w:after="140" w:line="240" w:lineRule="auto"/>
        <w:ind w:left="0" w:right="0" w:firstLine="480"/>
        <w:jc w:val="left"/>
      </w:pPr>
      <w:bookmarkStart w:id="1287" w:name="bookmark1287"/>
      <w:bookmarkStart w:id="1288" w:name="bookmark1288"/>
      <w:bookmarkStart w:id="1289" w:name="bookmark1289"/>
      <w:r>
        <w:rPr>
          <w:color w:val="000000"/>
          <w:spacing w:val="0"/>
          <w:w w:val="100"/>
          <w:position w:val="0"/>
        </w:rPr>
        <w:t>注释</w:t>
      </w:r>
      <w:r>
        <w:rPr>
          <w:rFonts w:ascii="Times New Roman" w:eastAsia="Times New Roman" w:hAnsi="Times New Roman" w:cs="Times New Roman"/>
          <w:color w:val="000000"/>
          <w:spacing w:val="0"/>
          <w:w w:val="100"/>
          <w:position w:val="0"/>
        </w:rPr>
        <w:t>9.</w:t>
      </w:r>
      <w:r>
        <w:rPr>
          <w:color w:val="000000"/>
          <w:spacing w:val="0"/>
          <w:w w:val="100"/>
          <w:position w:val="0"/>
        </w:rPr>
        <w:t>应收利息</w:t>
      </w:r>
      <w:bookmarkEnd w:id="1287"/>
      <w:bookmarkEnd w:id="1288"/>
      <w:bookmarkEnd w:id="1289"/>
    </w:p>
    <w:tbl>
      <w:tblPr>
        <w:tblOverlap w:val="never"/>
        <w:jc w:val="center"/>
        <w:tblLayout w:type="fixed"/>
      </w:tblPr>
      <w:tblGrid>
        <w:gridCol w:w="2832"/>
        <w:gridCol w:w="2774"/>
        <w:gridCol w:w="2918"/>
      </w:tblGrid>
      <w:tr>
        <w:trPr>
          <w:trHeight w:val="44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期初金额</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融资融券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722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314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85</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买入返售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17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920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169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315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028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40</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债券投资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12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932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443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12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888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740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r>
      <w:tr>
        <w:trPr>
          <w:trHeight w:val="41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31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137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335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15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684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083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25</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19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135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575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14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022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934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79</w:t>
            </w:r>
          </w:p>
        </w:tc>
      </w:tr>
      <w:tr>
        <w:trPr>
          <w:trHeight w:val="44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12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760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12</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661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148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46</w:t>
            </w:r>
          </w:p>
        </w:tc>
      </w:tr>
    </w:tbl>
    <w:p>
      <w:pPr>
        <w:widowControl w:val="0"/>
        <w:spacing w:after="279" w:line="1" w:lineRule="exact"/>
      </w:pPr>
    </w:p>
    <w:p>
      <w:pPr>
        <w:pStyle w:val="Style16"/>
        <w:keepNext w:val="0"/>
        <w:keepLines w:val="0"/>
        <w:widowControl w:val="0"/>
        <w:shd w:val="clear" w:color="auto" w:fill="auto"/>
        <w:bidi w:val="0"/>
        <w:spacing w:before="0" w:after="480" w:line="240" w:lineRule="auto"/>
        <w:ind w:left="0" w:right="0" w:firstLine="480"/>
        <w:jc w:val="left"/>
      </w:pPr>
      <w:r>
        <w:rPr>
          <w:color w:val="000000"/>
          <w:spacing w:val="0"/>
          <w:w w:val="100"/>
          <w:position w:val="0"/>
        </w:rPr>
        <w:t xml:space="preserve">注：公司根据预期信用风险特征及金融工具减值政策，对出现逾期的金融资产利息计提 </w:t>
      </w:r>
      <w:r>
        <w:rPr>
          <w:color w:val="000000"/>
          <w:spacing w:val="0"/>
          <w:w w:val="100"/>
          <w:position w:val="0"/>
        </w:rPr>
        <w:t>减值准备。</w:t>
      </w:r>
    </w:p>
    <w:p>
      <w:pPr>
        <w:pStyle w:val="Style37"/>
        <w:keepNext/>
        <w:keepLines/>
        <w:widowControl w:val="0"/>
        <w:shd w:val="clear" w:color="auto" w:fill="auto"/>
        <w:bidi w:val="0"/>
        <w:spacing w:before="0" w:after="140" w:line="240" w:lineRule="auto"/>
        <w:ind w:left="0" w:right="0" w:firstLine="480"/>
        <w:jc w:val="left"/>
      </w:pPr>
      <w:bookmarkStart w:id="1290" w:name="bookmark1290"/>
      <w:bookmarkStart w:id="1291" w:name="bookmark1291"/>
      <w:bookmarkStart w:id="1292" w:name="bookmark1292"/>
      <w:r>
        <w:rPr>
          <w:color w:val="000000"/>
          <w:spacing w:val="0"/>
          <w:w w:val="100"/>
          <w:position w:val="0"/>
        </w:rPr>
        <w:t>注释</w:t>
      </w:r>
      <w:r>
        <w:rPr>
          <w:rFonts w:ascii="Times New Roman" w:eastAsia="Times New Roman" w:hAnsi="Times New Roman" w:cs="Times New Roman"/>
          <w:color w:val="000000"/>
          <w:spacing w:val="0"/>
          <w:w w:val="100"/>
          <w:position w:val="0"/>
        </w:rPr>
        <w:t>10.</w:t>
      </w:r>
      <w:r>
        <w:rPr>
          <w:color w:val="000000"/>
          <w:spacing w:val="0"/>
          <w:w w:val="100"/>
          <w:position w:val="0"/>
        </w:rPr>
        <w:t>其他应收款</w:t>
      </w:r>
      <w:bookmarkEnd w:id="1290"/>
      <w:bookmarkEnd w:id="1291"/>
      <w:bookmarkEnd w:id="1292"/>
    </w:p>
    <w:tbl>
      <w:tblPr>
        <w:tblOverlap w:val="never"/>
        <w:jc w:val="center"/>
        <w:tblLayout w:type="fixed"/>
      </w:tblPr>
      <w:tblGrid>
        <w:gridCol w:w="3427"/>
        <w:gridCol w:w="2338"/>
        <w:gridCol w:w="2731"/>
      </w:tblGrid>
      <w:tr>
        <w:trPr>
          <w:trHeight w:val="37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999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039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117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041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447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86</w:t>
            </w:r>
          </w:p>
        </w:tc>
      </w:tr>
      <w:tr>
        <w:trPr>
          <w:trHeight w:val="384"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999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039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117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041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447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86</w:t>
            </w:r>
          </w:p>
        </w:tc>
      </w:tr>
    </w:tbl>
    <w:p>
      <w:pPr>
        <w:widowControl w:val="0"/>
        <w:spacing w:after="279" w:line="1" w:lineRule="exact"/>
      </w:pPr>
    </w:p>
    <w:p>
      <w:pPr>
        <w:pStyle w:val="Style51"/>
        <w:keepNext/>
        <w:keepLines/>
        <w:widowControl w:val="0"/>
        <w:numPr>
          <w:ilvl w:val="0"/>
          <w:numId w:val="77"/>
        </w:numPr>
        <w:shd w:val="clear" w:color="auto" w:fill="auto"/>
        <w:bidi w:val="0"/>
        <w:spacing w:before="0" w:after="280" w:line="240" w:lineRule="auto"/>
        <w:ind w:left="0" w:right="0" w:firstLine="480"/>
        <w:jc w:val="left"/>
      </w:pPr>
      <w:bookmarkStart w:id="1293" w:name="bookmark1293"/>
      <w:bookmarkStart w:id="1294" w:name="bookmark1294"/>
      <w:bookmarkStart w:id="1295" w:name="bookmark1295"/>
      <w:bookmarkStart w:id="1296" w:name="bookmark1296"/>
      <w:bookmarkEnd w:id="1295"/>
      <w:r>
        <w:rPr>
          <w:color w:val="000000"/>
          <w:spacing w:val="0"/>
          <w:w w:val="100"/>
          <w:position w:val="0"/>
        </w:rPr>
        <w:t>按坏账准备计提方法分类披露</w:t>
      </w:r>
      <w:bookmarkEnd w:id="1293"/>
      <w:bookmarkEnd w:id="1294"/>
      <w:bookmarkEnd w:id="1296"/>
    </w:p>
    <w:p>
      <w:pPr>
        <w:widowControl w:val="0"/>
        <w:spacing w:line="1" w:lineRule="exact"/>
        <w:sectPr>
          <w:headerReference w:type="default" r:id="rId35"/>
          <w:footerReference w:type="default" r:id="rId36"/>
          <w:headerReference w:type="first" r:id="rId37"/>
          <w:footerReference w:type="first" r:id="rId38"/>
          <w:footnotePr>
            <w:pos w:val="pageBottom"/>
            <w:numFmt w:val="decimal"/>
            <w:numRestart w:val="continuous"/>
          </w:footnotePr>
          <w:pgSz w:w="11900" w:h="16840"/>
          <w:pgMar w:top="1221" w:right="1484" w:bottom="1483" w:left="1590" w:header="0" w:footer="3" w:gutter="0"/>
          <w:cols w:space="720"/>
          <w:noEndnote/>
          <w:titlePg/>
          <w:rtlGutter w:val="0"/>
          <w:docGrid w:linePitch="360"/>
        </w:sectPr>
      </w:pPr>
      <w:r>
        <mc:AlternateContent>
          <mc:Choice Requires="wps">
            <w:drawing>
              <wp:anchor distT="173355" distB="109855" distL="0" distR="0" simplePos="0" relativeHeight="125829448" behindDoc="0" locked="0" layoutInCell="1" allowOverlap="1">
                <wp:simplePos x="0" y="0"/>
                <wp:positionH relativeFrom="page">
                  <wp:posOffset>1720850</wp:posOffset>
                </wp:positionH>
                <wp:positionV relativeFrom="paragraph">
                  <wp:posOffset>173355</wp:posOffset>
                </wp:positionV>
                <wp:extent cx="255905" cy="152400"/>
                <wp:wrapTopAndBottom/>
                <wp:docPr id="154" name="Shape 154"/>
                <a:graphic xmlns:a="http://schemas.openxmlformats.org/drawingml/2006/main">
                  <a:graphicData uri="http://schemas.microsoft.com/office/word/2010/wordprocessingShape">
                    <wps:wsp>
                      <wps:cNvSpPr txBox="1"/>
                      <wps:spPr>
                        <a:xfrm>
                          <a:ext cx="255905" cy="152400"/>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pPr>
                            <w:r>
                              <w:rPr>
                                <w:color w:val="000000"/>
                                <w:spacing w:val="0"/>
                                <w:w w:val="100"/>
                                <w:position w:val="0"/>
                              </w:rPr>
                              <w:t>类别</w:t>
                            </w:r>
                          </w:p>
                        </w:txbxContent>
                      </wps:txbx>
                      <wps:bodyPr wrap="none" lIns="0" tIns="0" rIns="0" bIns="0">
                        <a:noAutoFit/>
                      </wps:bodyPr>
                    </wps:wsp>
                  </a:graphicData>
                </a:graphic>
              </wp:anchor>
            </w:drawing>
          </mc:Choice>
          <mc:Fallback>
            <w:pict>
              <v:shape id="_x0000_s1180" type="#_x0000_t202" style="position:absolute;margin-left:135.5pt;margin-top:13.65pt;width:20.150000000000002pt;height:12.pt;z-index:-125829305;mso-wrap-distance-left:0;mso-wrap-distance-top:13.65pt;mso-wrap-distance-right:0;mso-wrap-distance-bottom:8.6500000000000004pt;mso-position-horizontal-relative:page" filled="f" stroked="f">
                <v:textbox inset="0,0,0,0">
                  <w:txbxContent>
                    <w:p>
                      <w:pPr>
                        <w:pStyle w:val="Style100"/>
                        <w:keepNext w:val="0"/>
                        <w:keepLines w:val="0"/>
                        <w:widowControl w:val="0"/>
                        <w:shd w:val="clear" w:color="auto" w:fill="auto"/>
                        <w:bidi w:val="0"/>
                        <w:spacing w:before="0" w:after="0" w:line="240" w:lineRule="auto"/>
                        <w:ind w:left="0" w:right="0" w:firstLine="0"/>
                        <w:jc w:val="left"/>
                      </w:pPr>
                      <w:r>
                        <w:rPr>
                          <w:color w:val="000000"/>
                          <w:spacing w:val="0"/>
                          <w:w w:val="100"/>
                          <w:position w:val="0"/>
                        </w:rPr>
                        <w:t>类别</w:t>
                      </w:r>
                    </w:p>
                  </w:txbxContent>
                </v:textbox>
                <w10:wrap type="topAndBottom" anchorx="page"/>
              </v:shape>
            </w:pict>
          </mc:Fallback>
        </mc:AlternateContent>
      </w:r>
      <w:r>
        <mc:AlternateContent>
          <mc:Choice Requires="wps">
            <w:drawing>
              <wp:anchor distT="285750" distB="635" distL="0" distR="0" simplePos="0" relativeHeight="125829450" behindDoc="0" locked="0" layoutInCell="1" allowOverlap="1">
                <wp:simplePos x="0" y="0"/>
                <wp:positionH relativeFrom="page">
                  <wp:posOffset>3046730</wp:posOffset>
                </wp:positionH>
                <wp:positionV relativeFrom="paragraph">
                  <wp:posOffset>285750</wp:posOffset>
                </wp:positionV>
                <wp:extent cx="484505" cy="149225"/>
                <wp:wrapTopAndBottom/>
                <wp:docPr id="156" name="Shape 156"/>
                <a:graphic xmlns:a="http://schemas.openxmlformats.org/drawingml/2006/main">
                  <a:graphicData uri="http://schemas.microsoft.com/office/word/2010/wordprocessingShape">
                    <wps:wsp>
                      <wps:cNvSpPr txBox="1"/>
                      <wps:spPr>
                        <a:xfrm>
                          <a:ext cx="484505" cy="149225"/>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账面余额</w:t>
                            </w:r>
                          </w:p>
                        </w:txbxContent>
                      </wps:txbx>
                      <wps:bodyPr wrap="none" lIns="0" tIns="0" rIns="0" bIns="0">
                        <a:noAutoFit/>
                      </wps:bodyPr>
                    </wps:wsp>
                  </a:graphicData>
                </a:graphic>
              </wp:anchor>
            </w:drawing>
          </mc:Choice>
          <mc:Fallback>
            <w:pict>
              <v:shape id="_x0000_s1182" type="#_x0000_t202" style="position:absolute;margin-left:239.90000000000001pt;margin-top:22.5pt;width:38.149999999999999pt;height:11.75pt;z-index:-125829303;mso-wrap-distance-left:0;mso-wrap-distance-top:22.5pt;mso-wrap-distance-right:0;mso-wrap-distance-bottom:5.0000000000000003e-002pt;mso-position-horizontal-relative:page" filled="f" stroked="f">
                <v:textbox inset="0,0,0,0">
                  <w:txbxContent>
                    <w:p>
                      <w:pPr>
                        <w:pStyle w:val="Style100"/>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账面余额</w:t>
                      </w:r>
                    </w:p>
                  </w:txbxContent>
                </v:textbox>
                <w10:wrap type="topAndBottom" anchorx="page"/>
              </v:shape>
            </w:pict>
          </mc:Fallback>
        </mc:AlternateContent>
      </w:r>
      <w:r>
        <mc:AlternateContent>
          <mc:Choice Requires="wps">
            <w:drawing>
              <wp:anchor distT="63500" distB="0" distL="0" distR="0" simplePos="0" relativeHeight="125829452" behindDoc="0" locked="0" layoutInCell="1" allowOverlap="1">
                <wp:simplePos x="0" y="0"/>
                <wp:positionH relativeFrom="page">
                  <wp:posOffset>4277995</wp:posOffset>
                </wp:positionH>
                <wp:positionV relativeFrom="paragraph">
                  <wp:posOffset>63500</wp:posOffset>
                </wp:positionV>
                <wp:extent cx="740410" cy="372110"/>
                <wp:wrapTopAndBottom/>
                <wp:docPr id="158" name="Shape 158"/>
                <a:graphic xmlns:a="http://schemas.openxmlformats.org/drawingml/2006/main">
                  <a:graphicData uri="http://schemas.microsoft.com/office/word/2010/wordprocessingShape">
                    <wps:wsp>
                      <wps:cNvSpPr txBox="1"/>
                      <wps:spPr>
                        <a:xfrm>
                          <a:ext cx="740410" cy="372110"/>
                        </a:xfrm>
                        <a:prstGeom prst="rect"/>
                        <a:noFill/>
                      </wps:spPr>
                      <wps:txbx>
                        <w:txbxContent>
                          <w:p>
                            <w:pPr>
                              <w:pStyle w:val="Style10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期末余额</w:t>
                            </w:r>
                          </w:p>
                          <w:p>
                            <w:pPr>
                              <w:pStyle w:val="Style100"/>
                              <w:keepNext w:val="0"/>
                              <w:keepLines w:val="0"/>
                              <w:widowControl w:val="0"/>
                              <w:shd w:val="clear" w:color="auto" w:fill="auto"/>
                              <w:bidi w:val="0"/>
                              <w:spacing w:before="0" w:after="0" w:line="240" w:lineRule="auto"/>
                              <w:ind w:left="0" w:right="0" w:firstLine="420"/>
                              <w:jc w:val="left"/>
                            </w:pPr>
                            <w:r>
                              <w:rPr>
                                <w:color w:val="000000"/>
                                <w:spacing w:val="0"/>
                                <w:w w:val="100"/>
                                <w:position w:val="0"/>
                              </w:rPr>
                              <w:t>坏账准备</w:t>
                            </w:r>
                          </w:p>
                        </w:txbxContent>
                      </wps:txbx>
                      <wps:bodyPr lIns="0" tIns="0" rIns="0" bIns="0">
                        <a:noAutoFit/>
                      </wps:bodyPr>
                    </wps:wsp>
                  </a:graphicData>
                </a:graphic>
              </wp:anchor>
            </w:drawing>
          </mc:Choice>
          <mc:Fallback>
            <w:pict>
              <v:shape id="_x0000_s1184" type="#_x0000_t202" style="position:absolute;margin-left:336.85000000000002pt;margin-top:5.pt;width:58.300000000000004pt;height:29.300000000000001pt;z-index:-125829301;mso-wrap-distance-left:0;mso-wrap-distance-top:5.pt;mso-wrap-distance-right:0;mso-position-horizontal-relative:page" filled="f" stroked="f">
                <v:textbox inset="0,0,0,0">
                  <w:txbxContent>
                    <w:p>
                      <w:pPr>
                        <w:pStyle w:val="Style10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期末余额</w:t>
                      </w:r>
                    </w:p>
                    <w:p>
                      <w:pPr>
                        <w:pStyle w:val="Style100"/>
                        <w:keepNext w:val="0"/>
                        <w:keepLines w:val="0"/>
                        <w:widowControl w:val="0"/>
                        <w:shd w:val="clear" w:color="auto" w:fill="auto"/>
                        <w:bidi w:val="0"/>
                        <w:spacing w:before="0" w:after="0" w:line="240" w:lineRule="auto"/>
                        <w:ind w:left="0" w:right="0" w:firstLine="420"/>
                        <w:jc w:val="left"/>
                      </w:pPr>
                      <w:r>
                        <w:rPr>
                          <w:color w:val="000000"/>
                          <w:spacing w:val="0"/>
                          <w:w w:val="100"/>
                          <w:position w:val="0"/>
                        </w:rPr>
                        <w:t>坏账准备</w:t>
                      </w:r>
                    </w:p>
                  </w:txbxContent>
                </v:textbox>
                <w10:wrap type="topAndBottom" anchorx="page"/>
              </v:shape>
            </w:pict>
          </mc:Fallback>
        </mc:AlternateContent>
      </w:r>
      <w:r>
        <mc:AlternateContent>
          <mc:Choice Requires="wps">
            <w:drawing>
              <wp:anchor distT="285750" distB="3810" distL="0" distR="0" simplePos="0" relativeHeight="125829454" behindDoc="0" locked="0" layoutInCell="1" allowOverlap="1">
                <wp:simplePos x="0" y="0"/>
                <wp:positionH relativeFrom="page">
                  <wp:posOffset>5768340</wp:posOffset>
                </wp:positionH>
                <wp:positionV relativeFrom="paragraph">
                  <wp:posOffset>285750</wp:posOffset>
                </wp:positionV>
                <wp:extent cx="484505" cy="146050"/>
                <wp:wrapTopAndBottom/>
                <wp:docPr id="160" name="Shape 160"/>
                <a:graphic xmlns:a="http://schemas.openxmlformats.org/drawingml/2006/main">
                  <a:graphicData uri="http://schemas.microsoft.com/office/word/2010/wordprocessingShape">
                    <wps:wsp>
                      <wps:cNvSpPr txBox="1"/>
                      <wps:spPr>
                        <a:xfrm>
                          <a:ext cx="484505" cy="146050"/>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账面价值</w:t>
                            </w:r>
                          </w:p>
                        </w:txbxContent>
                      </wps:txbx>
                      <wps:bodyPr wrap="none" lIns="0" tIns="0" rIns="0" bIns="0">
                        <a:noAutoFit/>
                      </wps:bodyPr>
                    </wps:wsp>
                  </a:graphicData>
                </a:graphic>
              </wp:anchor>
            </w:drawing>
          </mc:Choice>
          <mc:Fallback>
            <w:pict>
              <v:shape id="_x0000_s1186" type="#_x0000_t202" style="position:absolute;margin-left:454.19999999999999pt;margin-top:22.5pt;width:38.149999999999999pt;height:11.5pt;z-index:-125829299;mso-wrap-distance-left:0;mso-wrap-distance-top:22.5pt;mso-wrap-distance-right:0;mso-wrap-distance-bottom:0.29999999999999999pt;mso-position-horizontal-relative:page" filled="f" stroked="f">
                <v:textbox inset="0,0,0,0">
                  <w:txbxContent>
                    <w:p>
                      <w:pPr>
                        <w:pStyle w:val="Style100"/>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账面价值</w:t>
                      </w:r>
                    </w:p>
                  </w:txbxContent>
                </v:textbox>
                <w10:wrap type="topAndBottom" anchorx="page"/>
              </v:shape>
            </w:pict>
          </mc:Fallback>
        </mc:AlternateContent>
      </w:r>
    </w:p>
    <w:p>
      <w:pPr>
        <w:widowControl w:val="0"/>
        <w:spacing w:after="379" w:line="1" w:lineRule="exact"/>
      </w:pPr>
    </w:p>
    <w:tbl>
      <w:tblPr>
        <w:tblOverlap w:val="never"/>
        <w:jc w:val="center"/>
        <w:tblLayout w:type="fixed"/>
      </w:tblPr>
      <w:tblGrid>
        <w:gridCol w:w="2314"/>
        <w:gridCol w:w="1416"/>
        <w:gridCol w:w="850"/>
        <w:gridCol w:w="1565"/>
        <w:gridCol w:w="850"/>
        <w:gridCol w:w="1502"/>
      </w:tblGrid>
      <w:tr>
        <w:trPr>
          <w:trHeight w:val="581"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8"/>
                <w:szCs w:val="18"/>
              </w:rPr>
              <w:t>计提比例 （</w:t>
            </w:r>
            <w:r>
              <w:rPr>
                <w:rFonts w:ascii="Arial Narrow" w:eastAsia="Arial Narrow" w:hAnsi="Arial Narrow" w:cs="Arial Narrow"/>
                <w:color w:val="000000"/>
                <w:spacing w:val="0"/>
                <w:w w:val="100"/>
                <w:position w:val="0"/>
                <w:sz w:val="18"/>
                <w:szCs w:val="18"/>
              </w:rPr>
              <w:t>%</w:t>
            </w: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按“一般方法”计提：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exact"/>
              <w:ind w:left="140" w:right="0" w:firstLine="180"/>
              <w:jc w:val="left"/>
              <w:rPr>
                <w:sz w:val="18"/>
                <w:szCs w:val="18"/>
              </w:rPr>
            </w:pPr>
            <w:r>
              <w:rPr>
                <w:color w:val="000000"/>
                <w:spacing w:val="0"/>
                <w:w w:val="100"/>
                <w:position w:val="0"/>
                <w:sz w:val="18"/>
                <w:szCs w:val="18"/>
              </w:rPr>
              <w:t>单项金额重大并已单独 计提坏账准备的款项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693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186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65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639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346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053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840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35" w:lineRule="exact"/>
              <w:ind w:left="140" w:right="0" w:firstLine="180"/>
              <w:jc w:val="left"/>
              <w:rPr>
                <w:sz w:val="18"/>
                <w:szCs w:val="18"/>
              </w:rPr>
            </w:pPr>
            <w:r>
              <w:rPr>
                <w:color w:val="000000"/>
                <w:spacing w:val="0"/>
                <w:w w:val="100"/>
                <w:position w:val="0"/>
                <w:sz w:val="18"/>
                <w:szCs w:val="18"/>
              </w:rPr>
              <w:t>单项金额非重大并已单 独计提坏账准备的款项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585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425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585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425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按“简化方法”计提：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exact"/>
              <w:ind w:left="140" w:right="0" w:firstLine="180"/>
              <w:jc w:val="left"/>
              <w:rPr>
                <w:sz w:val="18"/>
                <w:szCs w:val="18"/>
              </w:rPr>
            </w:pPr>
            <w:r>
              <w:rPr>
                <w:color w:val="000000"/>
                <w:spacing w:val="0"/>
                <w:w w:val="100"/>
                <w:position w:val="0"/>
                <w:sz w:val="18"/>
                <w:szCs w:val="18"/>
              </w:rPr>
              <w:t>按组合计提预期信用损 失的其他应收款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172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995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227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795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945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199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95</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其中：组合</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912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873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315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449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597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423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60</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组合</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260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122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912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346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347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776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35</w:t>
            </w:r>
          </w:p>
        </w:tc>
      </w:tr>
      <w:tr>
        <w:trPr>
          <w:trHeight w:val="379"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120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451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608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70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452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568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999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039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95</w:t>
            </w:r>
          </w:p>
        </w:tc>
      </w:tr>
    </w:tbl>
    <w:p>
      <w:pPr>
        <w:widowControl w:val="0"/>
        <w:spacing w:after="279" w:line="1" w:lineRule="exact"/>
      </w:pPr>
    </w:p>
    <w:p>
      <w:pPr>
        <w:pStyle w:val="Style16"/>
        <w:keepNext w:val="0"/>
        <w:keepLines w:val="0"/>
        <w:widowControl w:val="0"/>
        <w:shd w:val="clear" w:color="auto" w:fill="auto"/>
        <w:bidi w:val="0"/>
        <w:spacing w:before="0" w:after="200" w:line="240" w:lineRule="auto"/>
        <w:ind w:left="0" w:right="0" w:firstLine="440"/>
        <w:jc w:val="left"/>
      </w:pPr>
      <w:r>
        <w:rPr>
          <w:color w:val="000000"/>
          <w:spacing w:val="0"/>
          <w:w w:val="100"/>
          <w:position w:val="0"/>
        </w:rPr>
        <w:t>续:</w:t>
      </w:r>
    </w:p>
    <w:tbl>
      <w:tblPr>
        <w:tblOverlap w:val="never"/>
        <w:jc w:val="center"/>
        <w:tblLayout w:type="fixed"/>
      </w:tblPr>
      <w:tblGrid>
        <w:gridCol w:w="2170"/>
        <w:gridCol w:w="1560"/>
        <w:gridCol w:w="850"/>
        <w:gridCol w:w="1560"/>
        <w:gridCol w:w="850"/>
        <w:gridCol w:w="1507"/>
      </w:tblGrid>
      <w:tr>
        <w:trPr>
          <w:trHeight w:val="374"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类别</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350"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账面价值</w:t>
            </w:r>
          </w:p>
        </w:tc>
      </w:tr>
      <w:tr>
        <w:trPr>
          <w:trHeight w:val="557"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8"/>
                <w:szCs w:val="18"/>
              </w:rPr>
              <w:t>计提比例 （</w:t>
            </w:r>
            <w:r>
              <w:rPr>
                <w:rFonts w:ascii="Arial Narrow" w:eastAsia="Arial Narrow" w:hAnsi="Arial Narrow" w:cs="Arial Narrow"/>
                <w:color w:val="000000"/>
                <w:spacing w:val="0"/>
                <w:w w:val="100"/>
                <w:position w:val="0"/>
                <w:sz w:val="18"/>
                <w:szCs w:val="18"/>
              </w:rPr>
              <w:t>%</w:t>
            </w:r>
            <w:r>
              <w:rPr>
                <w:color w:val="000000"/>
                <w:spacing w:val="0"/>
                <w:w w:val="100"/>
                <w:position w:val="0"/>
                <w:sz w:val="18"/>
                <w:szCs w:val="18"/>
              </w:rPr>
              <w:t>）</w:t>
            </w:r>
          </w:p>
        </w:tc>
        <w:tc>
          <w:tcPr>
            <w:vMerge/>
            <w:tcBorders>
              <w:left w:val="single" w:sz="4"/>
            </w:tcBorders>
            <w:shd w:val="clear" w:color="auto" w:fill="FFFFFF"/>
            <w:vAlign w:val="center"/>
          </w:tcPr>
          <w:p>
            <w:pP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按“一般方法”计提：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exact"/>
              <w:ind w:left="140" w:right="0" w:firstLine="180"/>
              <w:jc w:val="left"/>
              <w:rPr>
                <w:sz w:val="18"/>
                <w:szCs w:val="18"/>
              </w:rPr>
            </w:pPr>
            <w:r>
              <w:rPr>
                <w:color w:val="000000"/>
                <w:spacing w:val="0"/>
                <w:w w:val="100"/>
                <w:position w:val="0"/>
                <w:sz w:val="18"/>
                <w:szCs w:val="18"/>
              </w:rPr>
              <w:t>单项金额重大并已单 独计提坏账准备的款项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514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466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181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510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332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956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79</w:t>
            </w:r>
          </w:p>
        </w:tc>
      </w:tr>
      <w:tr>
        <w:trPr>
          <w:trHeight w:val="78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33" w:lineRule="exact"/>
              <w:ind w:left="140" w:right="0" w:firstLine="180"/>
              <w:jc w:val="left"/>
              <w:rPr>
                <w:sz w:val="18"/>
                <w:szCs w:val="18"/>
              </w:rPr>
            </w:pPr>
            <w:r>
              <w:rPr>
                <w:color w:val="000000"/>
                <w:spacing w:val="0"/>
                <w:w w:val="100"/>
                <w:position w:val="0"/>
                <w:sz w:val="18"/>
                <w:szCs w:val="18"/>
              </w:rPr>
              <w:t>单项金额非重大并已 单独计提坏账准备的款 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954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987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159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793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194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50</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按“简化方法”计提：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exact"/>
              <w:ind w:left="140" w:right="0" w:firstLine="180"/>
              <w:jc w:val="left"/>
              <w:rPr>
                <w:sz w:val="18"/>
                <w:szCs w:val="18"/>
              </w:rPr>
            </w:pPr>
            <w:r>
              <w:rPr>
                <w:color w:val="000000"/>
                <w:spacing w:val="0"/>
                <w:w w:val="100"/>
                <w:position w:val="0"/>
                <w:sz w:val="18"/>
                <w:szCs w:val="18"/>
              </w:rPr>
              <w:t>按组合计提预期信用 损失的其他应收款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86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628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228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714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931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84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913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296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57</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其中：组合</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238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698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377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540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26</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组合</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79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427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989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233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535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756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31</w:t>
            </w:r>
          </w:p>
        </w:tc>
      </w:tr>
      <w:tr>
        <w:trPr>
          <w:trHeight w:val="379"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144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097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682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056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234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041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447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86</w:t>
            </w:r>
          </w:p>
        </w:tc>
      </w:tr>
    </w:tbl>
    <w:p>
      <w:pPr>
        <w:widowControl w:val="0"/>
        <w:spacing w:after="279" w:line="1" w:lineRule="exact"/>
      </w:pPr>
    </w:p>
    <w:p>
      <w:pPr>
        <w:pStyle w:val="Style51"/>
        <w:keepNext/>
        <w:keepLines/>
        <w:widowControl w:val="0"/>
        <w:shd w:val="clear" w:color="auto" w:fill="auto"/>
        <w:bidi w:val="0"/>
        <w:spacing w:before="0" w:after="200" w:line="240" w:lineRule="auto"/>
        <w:ind w:left="0" w:right="0" w:firstLine="440"/>
        <w:jc w:val="left"/>
      </w:pPr>
      <w:bookmarkStart w:id="1297" w:name="bookmark1297"/>
      <w:bookmarkStart w:id="1298" w:name="bookmark1298"/>
      <w:bookmarkStart w:id="1299" w:name="bookmark1299"/>
      <w:r>
        <w:rPr>
          <w:rFonts w:ascii="Times New Roman" w:eastAsia="Times New Roman" w:hAnsi="Times New Roman" w:cs="Times New Roman"/>
          <w:color w:val="000000"/>
          <w:spacing w:val="0"/>
          <w:w w:val="100"/>
          <w:position w:val="0"/>
        </w:rPr>
        <w:t>（1</w:t>
      </w:r>
      <w:r>
        <w:rPr>
          <w:color w:val="000000"/>
          <w:spacing w:val="0"/>
          <w:w w:val="100"/>
          <w:position w:val="0"/>
        </w:rPr>
        <w:t>）单项金额重大并已单独计提坏账准备的款项</w:t>
      </w:r>
      <w:bookmarkEnd w:id="1297"/>
      <w:bookmarkEnd w:id="1298"/>
      <w:bookmarkEnd w:id="1299"/>
    </w:p>
    <w:p>
      <w:pPr>
        <w:pStyle w:val="Style40"/>
        <w:keepNext w:val="0"/>
        <w:keepLines w:val="0"/>
        <w:widowControl w:val="0"/>
        <w:shd w:val="clear" w:color="auto" w:fill="auto"/>
        <w:bidi w:val="0"/>
        <w:spacing w:before="0" w:after="0" w:line="240" w:lineRule="auto"/>
        <w:ind w:left="4810" w:right="0" w:firstLine="0"/>
        <w:jc w:val="left"/>
        <w:rPr>
          <w:sz w:val="18"/>
          <w:szCs w:val="18"/>
        </w:rPr>
      </w:pPr>
      <w:r>
        <w:rPr>
          <w:color w:val="000000"/>
          <w:spacing w:val="0"/>
          <w:w w:val="100"/>
          <w:position w:val="0"/>
          <w:sz w:val="18"/>
          <w:szCs w:val="18"/>
        </w:rPr>
        <w:t>期末余额</w:t>
      </w:r>
    </w:p>
    <w:tbl>
      <w:tblPr>
        <w:tblOverlap w:val="never"/>
        <w:jc w:val="center"/>
        <w:tblLayout w:type="fixed"/>
      </w:tblPr>
      <w:tblGrid>
        <w:gridCol w:w="1886"/>
        <w:gridCol w:w="1416"/>
        <w:gridCol w:w="1560"/>
        <w:gridCol w:w="1133"/>
        <w:gridCol w:w="2515"/>
      </w:tblGrid>
      <w:tr>
        <w:trPr>
          <w:trHeight w:val="562"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单位名称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8"/>
                <w:szCs w:val="18"/>
              </w:rPr>
              <w:t>计提比例 （</w:t>
            </w:r>
            <w:r>
              <w:rPr>
                <w:rFonts w:ascii="Arial Narrow" w:eastAsia="Arial Narrow" w:hAnsi="Arial Narrow" w:cs="Arial Narrow"/>
                <w:color w:val="000000"/>
                <w:spacing w:val="0"/>
                <w:w w:val="100"/>
                <w:position w:val="0"/>
                <w:sz w:val="18"/>
                <w:szCs w:val="18"/>
              </w:rPr>
              <w:t>%</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计提理由</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客户一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963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186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909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346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大部分款项预计无法收回</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客户二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730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730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预计无法收回</w:t>
            </w:r>
          </w:p>
        </w:tc>
      </w:tr>
      <w:tr>
        <w:trPr>
          <w:trHeight w:val="432"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693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186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65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639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346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279" w:line="1" w:lineRule="exact"/>
      </w:pPr>
    </w:p>
    <w:p>
      <w:pPr>
        <w:pStyle w:val="Style51"/>
        <w:keepNext/>
        <w:keepLines/>
        <w:widowControl w:val="0"/>
        <w:shd w:val="clear" w:color="auto" w:fill="auto"/>
        <w:bidi w:val="0"/>
        <w:spacing w:before="0" w:after="280" w:line="240" w:lineRule="auto"/>
        <w:ind w:left="0" w:right="0" w:firstLine="440"/>
        <w:jc w:val="left"/>
      </w:pPr>
      <w:bookmarkStart w:id="1300" w:name="bookmark1300"/>
      <w:bookmarkStart w:id="1301" w:name="bookmark1301"/>
      <w:bookmarkStart w:id="1302" w:name="bookmark1302"/>
      <w:r>
        <w:rPr>
          <w:rFonts w:ascii="Times New Roman" w:eastAsia="Times New Roman" w:hAnsi="Times New Roman" w:cs="Times New Roman"/>
          <w:color w:val="000000"/>
          <w:spacing w:val="0"/>
          <w:w w:val="100"/>
          <w:position w:val="0"/>
        </w:rPr>
        <w:t>（2</w:t>
      </w:r>
      <w:r>
        <w:rPr>
          <w:color w:val="000000"/>
          <w:spacing w:val="0"/>
          <w:w w:val="100"/>
          <w:position w:val="0"/>
        </w:rPr>
        <w:t>）单项金额不重大并已单独计提坏账准备的款项</w:t>
      </w:r>
      <w:bookmarkEnd w:id="1300"/>
      <w:bookmarkEnd w:id="1301"/>
      <w:bookmarkEnd w:id="1302"/>
      <w:r>
        <w:br w:type="page"/>
      </w:r>
    </w:p>
    <w:tbl>
      <w:tblPr>
        <w:tblOverlap w:val="never"/>
        <w:jc w:val="center"/>
        <w:tblLayout w:type="fixed"/>
      </w:tblPr>
      <w:tblGrid>
        <w:gridCol w:w="2750"/>
        <w:gridCol w:w="1138"/>
        <w:gridCol w:w="1133"/>
        <w:gridCol w:w="1277"/>
        <w:gridCol w:w="2261"/>
      </w:tblGrid>
      <w:tr>
        <w:trPr>
          <w:trHeight w:val="442" w:hRule="exact"/>
        </w:trPr>
        <w:tc>
          <w:tcPr>
            <w:tcBorders>
              <w:top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计提比例(</w:t>
            </w:r>
            <w:r>
              <w:rPr>
                <w:rFonts w:ascii="Arial Narrow" w:eastAsia="Arial Narrow" w:hAnsi="Arial Narrow" w:cs="Arial Narrow"/>
                <w:color w:val="000000"/>
                <w:spacing w:val="0"/>
                <w:w w:val="100"/>
                <w:position w:val="0"/>
                <w:sz w:val="18"/>
                <w:szCs w:val="18"/>
              </w:rPr>
              <w:t>%</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计提理由</w:t>
            </w:r>
          </w:p>
        </w:tc>
      </w:tr>
      <w:tr>
        <w:trPr>
          <w:trHeight w:val="40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客户三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913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138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913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138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垫付的费用预计无法收回</w:t>
            </w:r>
          </w:p>
        </w:tc>
      </w:tr>
      <w:tr>
        <w:trPr>
          <w:trHeight w:val="40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客户四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642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886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886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预计无法收回</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客户五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预计无法收回</w:t>
            </w:r>
          </w:p>
        </w:tc>
      </w:tr>
      <w:tr>
        <w:trPr>
          <w:trHeight w:val="437"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585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425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585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425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439" w:line="1" w:lineRule="exact"/>
      </w:pPr>
    </w:p>
    <w:p>
      <w:pPr>
        <w:pStyle w:val="Style51"/>
        <w:keepNext/>
        <w:keepLines/>
        <w:widowControl w:val="0"/>
        <w:numPr>
          <w:ilvl w:val="0"/>
          <w:numId w:val="79"/>
        </w:numPr>
        <w:shd w:val="clear" w:color="auto" w:fill="auto"/>
        <w:bidi w:val="0"/>
        <w:spacing w:before="0" w:after="220" w:line="240" w:lineRule="auto"/>
        <w:ind w:left="0" w:right="0" w:firstLine="440"/>
        <w:jc w:val="left"/>
      </w:pPr>
      <w:bookmarkStart w:id="1303" w:name="bookmark1303"/>
      <w:bookmarkStart w:id="1304" w:name="bookmark1304"/>
      <w:bookmarkStart w:id="1305" w:name="bookmark1305"/>
      <w:bookmarkStart w:id="1306" w:name="bookmark1306"/>
      <w:bookmarkEnd w:id="1305"/>
      <w:r>
        <w:rPr>
          <w:color w:val="000000"/>
          <w:spacing w:val="0"/>
          <w:w w:val="100"/>
          <w:position w:val="0"/>
        </w:rPr>
        <w:t>按组合计提预期信用损失的其他应收款</w:t>
      </w:r>
      <w:bookmarkEnd w:id="1303"/>
      <w:bookmarkEnd w:id="1304"/>
      <w:bookmarkEnd w:id="1306"/>
    </w:p>
    <w:p>
      <w:pPr>
        <w:pStyle w:val="Style51"/>
        <w:keepNext/>
        <w:keepLines/>
        <w:widowControl w:val="0"/>
        <w:shd w:val="clear" w:color="auto" w:fill="auto"/>
        <w:bidi w:val="0"/>
        <w:spacing w:before="0" w:after="160" w:line="240" w:lineRule="auto"/>
        <w:ind w:left="0" w:right="0" w:firstLine="440"/>
        <w:jc w:val="left"/>
      </w:pPr>
      <w:bookmarkStart w:id="1303" w:name="bookmark1303"/>
      <w:bookmarkStart w:id="1304" w:name="bookmark1304"/>
      <w:r>
        <w:rPr>
          <w:color w:val="000000"/>
          <w:spacing w:val="0"/>
          <w:w w:val="100"/>
          <w:position w:val="0"/>
        </w:rPr>
        <w:t>组合</w:t>
      </w:r>
      <w:r>
        <w:rPr>
          <w:rFonts w:ascii="Times New Roman" w:eastAsia="Times New Roman" w:hAnsi="Times New Roman" w:cs="Times New Roman"/>
          <w:color w:val="000000"/>
          <w:spacing w:val="0"/>
          <w:w w:val="100"/>
          <w:position w:val="0"/>
        </w:rPr>
        <w:t>1</w:t>
      </w:r>
      <w:r>
        <w:rPr>
          <w:color w:val="000000"/>
          <w:spacing w:val="0"/>
          <w:w w:val="100"/>
          <w:position w:val="0"/>
        </w:rPr>
        <w:t>：</w:t>
      </w:r>
      <w:bookmarkEnd w:id="1303"/>
      <w:bookmarkEnd w:id="1304"/>
    </w:p>
    <w:tbl>
      <w:tblPr>
        <w:tblOverlap w:val="never"/>
        <w:jc w:val="center"/>
        <w:tblLayout w:type="fixed"/>
      </w:tblPr>
      <w:tblGrid>
        <w:gridCol w:w="3629"/>
        <w:gridCol w:w="1656"/>
        <w:gridCol w:w="1277"/>
        <w:gridCol w:w="2011"/>
      </w:tblGrid>
      <w:tr>
        <w:trPr>
          <w:trHeight w:val="446"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账龄</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518"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计提比例(</w:t>
            </w:r>
            <w:r>
              <w:rPr>
                <w:rFonts w:ascii="Arial Narrow" w:eastAsia="Arial Narrow" w:hAnsi="Arial Narrow" w:cs="Arial Narrow"/>
                <w:color w:val="000000"/>
                <w:spacing w:val="0"/>
                <w:w w:val="100"/>
                <w:position w:val="0"/>
                <w:sz w:val="18"/>
                <w:szCs w:val="18"/>
              </w:rPr>
              <w:t>%</w:t>
            </w:r>
            <w:r>
              <w:rPr>
                <w:color w:val="000000"/>
                <w:spacing w:val="0"/>
                <w:w w:val="100"/>
                <w:position w:val="0"/>
                <w:sz w:val="18"/>
                <w:szCs w:val="18"/>
              </w:rPr>
              <w:t>)</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593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703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279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52</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其中：</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个月以内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590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88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520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个月至</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245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592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279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250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025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79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550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775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99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369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369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r>
      <w:tr>
        <w:trPr>
          <w:trHeight w:val="44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912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873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449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43</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399" w:line="1" w:lineRule="exact"/>
      </w:pPr>
    </w:p>
    <w:p>
      <w:pPr>
        <w:pStyle w:val="Style16"/>
        <w:keepNext w:val="0"/>
        <w:keepLines w:val="0"/>
        <w:widowControl w:val="0"/>
        <w:shd w:val="clear" w:color="auto" w:fill="auto"/>
        <w:bidi w:val="0"/>
        <w:spacing w:before="0" w:after="160" w:line="240" w:lineRule="auto"/>
        <w:ind w:left="0" w:right="0" w:firstLine="440"/>
        <w:jc w:val="left"/>
      </w:pPr>
      <w:r>
        <w:rPr>
          <w:b/>
          <w:bCs/>
          <w:color w:val="000000"/>
          <w:spacing w:val="0"/>
          <w:w w:val="100"/>
          <w:position w:val="0"/>
        </w:rPr>
        <w:t>组合</w:t>
      </w:r>
      <w:r>
        <w:rPr>
          <w:rFonts w:ascii="Times New Roman" w:eastAsia="Times New Roman" w:hAnsi="Times New Roman" w:cs="Times New Roman"/>
          <w:b/>
          <w:bCs/>
          <w:color w:val="000000"/>
          <w:spacing w:val="0"/>
          <w:w w:val="100"/>
          <w:position w:val="0"/>
        </w:rPr>
        <w:t>2</w:t>
      </w:r>
      <w:r>
        <w:rPr>
          <w:b/>
          <w:bCs/>
          <w:color w:val="000000"/>
          <w:spacing w:val="0"/>
          <w:w w:val="100"/>
          <w:position w:val="0"/>
        </w:rPr>
        <w:t>：</w:t>
      </w:r>
    </w:p>
    <w:tbl>
      <w:tblPr>
        <w:tblOverlap w:val="never"/>
        <w:jc w:val="center"/>
        <w:tblLayout w:type="fixed"/>
      </w:tblPr>
      <w:tblGrid>
        <w:gridCol w:w="2544"/>
        <w:gridCol w:w="1992"/>
        <w:gridCol w:w="1992"/>
        <w:gridCol w:w="2083"/>
      </w:tblGrid>
      <w:tr>
        <w:trPr>
          <w:trHeight w:val="374"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账龄</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计提比例(</w:t>
            </w:r>
            <w:r>
              <w:rPr>
                <w:rFonts w:ascii="Arial Narrow" w:eastAsia="Arial Narrow" w:hAnsi="Arial Narrow" w:cs="Arial Narrow"/>
                <w:color w:val="000000"/>
                <w:spacing w:val="0"/>
                <w:w w:val="100"/>
                <w:position w:val="0"/>
                <w:sz w:val="18"/>
                <w:szCs w:val="18"/>
              </w:rPr>
              <w:t>%</w:t>
            </w:r>
            <w:r>
              <w:rPr>
                <w:color w:val="000000"/>
                <w:spacing w:val="0"/>
                <w:w w:val="100"/>
                <w:position w:val="0"/>
                <w:sz w:val="18"/>
                <w:szCs w:val="18"/>
              </w:rPr>
              <w:t>)</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834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459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125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443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53</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其中：</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个月以内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094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095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420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50</w:t>
            </w:r>
          </w:p>
        </w:tc>
      </w:tr>
      <w:tr>
        <w:trPr>
          <w:trHeight w:val="39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229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147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145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50</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个月至</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511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215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103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877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53</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391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754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917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808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107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490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405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225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222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580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r>
      <w:tr>
        <w:trPr>
          <w:trHeight w:val="379"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43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260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122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912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346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51</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679" w:line="1" w:lineRule="exact"/>
      </w:pPr>
    </w:p>
    <w:p>
      <w:pPr>
        <w:pStyle w:val="Style51"/>
        <w:keepNext/>
        <w:keepLines/>
        <w:widowControl w:val="0"/>
        <w:numPr>
          <w:ilvl w:val="0"/>
          <w:numId w:val="77"/>
        </w:numPr>
        <w:shd w:val="clear" w:color="auto" w:fill="auto"/>
        <w:bidi w:val="0"/>
        <w:spacing w:before="0" w:after="300" w:line="240" w:lineRule="auto"/>
        <w:ind w:left="0" w:right="0" w:firstLine="440"/>
        <w:jc w:val="left"/>
        <w:sectPr>
          <w:headerReference w:type="default" r:id="rId39"/>
          <w:footerReference w:type="default" r:id="rId40"/>
          <w:headerReference w:type="first" r:id="rId41"/>
          <w:footerReference w:type="first" r:id="rId42"/>
          <w:footnotePr>
            <w:pos w:val="pageBottom"/>
            <w:numFmt w:val="decimal"/>
            <w:numRestart w:val="continuous"/>
          </w:footnotePr>
          <w:pgSz w:w="11900" w:h="16840"/>
          <w:pgMar w:top="1318" w:right="1546" w:bottom="1769" w:left="1608" w:header="0" w:footer="3" w:gutter="0"/>
          <w:cols w:space="720"/>
          <w:noEndnote/>
          <w:titlePg/>
          <w:rtlGutter w:val="0"/>
          <w:docGrid w:linePitch="360"/>
        </w:sectPr>
      </w:pPr>
      <w:bookmarkStart w:id="1307" w:name="bookmark1307"/>
      <w:bookmarkStart w:id="1308" w:name="bookmark1308"/>
      <w:bookmarkStart w:id="1309" w:name="bookmark1309"/>
      <w:bookmarkStart w:id="1310" w:name="bookmark1310"/>
      <w:bookmarkEnd w:id="1309"/>
      <w:r>
        <w:rPr>
          <w:color w:val="000000"/>
          <w:spacing w:val="0"/>
          <w:w w:val="100"/>
          <w:position w:val="0"/>
        </w:rPr>
        <w:t>其他应收款坏账准备计提情况</w:t>
      </w:r>
      <w:bookmarkEnd w:id="1307"/>
      <w:bookmarkEnd w:id="1308"/>
      <w:bookmarkEnd w:id="1310"/>
    </w:p>
    <w:tbl>
      <w:tblPr>
        <w:tblOverlap w:val="never"/>
        <w:jc w:val="center"/>
        <w:tblLayout w:type="fixed"/>
      </w:tblPr>
      <w:tblGrid>
        <w:gridCol w:w="2256"/>
        <w:gridCol w:w="1277"/>
        <w:gridCol w:w="1277"/>
        <w:gridCol w:w="1320"/>
        <w:gridCol w:w="1200"/>
        <w:gridCol w:w="1358"/>
      </w:tblGrid>
      <w:tr>
        <w:trPr>
          <w:trHeight w:val="811" w:hRule="exact"/>
        </w:trPr>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收回或转回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转销或核销</w:t>
            </w:r>
          </w:p>
        </w:tc>
        <w:tc>
          <w:tcPr>
            <w:tcBorders>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按“一般方法”计提：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40"/>
              <w:jc w:val="left"/>
              <w:rPr>
                <w:sz w:val="18"/>
                <w:szCs w:val="18"/>
              </w:rPr>
            </w:pPr>
            <w:r>
              <w:rPr>
                <w:color w:val="000000"/>
                <w:spacing w:val="0"/>
                <w:w w:val="100"/>
                <w:position w:val="0"/>
                <w:sz w:val="18"/>
                <w:szCs w:val="18"/>
              </w:rPr>
              <w:t>单项金额重大并已单独计</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提坏账准备的款项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181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510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457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836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639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346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89</w:t>
            </w:r>
          </w:p>
        </w:tc>
      </w:tr>
      <w:tr>
        <w:trPr>
          <w:trHeight w:val="72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40"/>
              <w:jc w:val="left"/>
              <w:rPr>
                <w:sz w:val="18"/>
                <w:szCs w:val="18"/>
              </w:rPr>
            </w:pPr>
            <w:r>
              <w:rPr>
                <w:color w:val="000000"/>
                <w:spacing w:val="0"/>
                <w:w w:val="100"/>
                <w:position w:val="0"/>
                <w:sz w:val="18"/>
                <w:szCs w:val="18"/>
              </w:rPr>
              <w:t>单项金额非重大并已单独</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计提坏账准备的款项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159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793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425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632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585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425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40</w:t>
            </w:r>
          </w:p>
        </w:tc>
      </w:tr>
      <w:tr>
        <w:trPr>
          <w:trHeight w:val="40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按“简化方法”计提：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2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240"/>
              <w:jc w:val="left"/>
              <w:rPr>
                <w:sz w:val="18"/>
                <w:szCs w:val="18"/>
              </w:rPr>
            </w:pPr>
            <w:r>
              <w:rPr>
                <w:color w:val="000000"/>
                <w:spacing w:val="0"/>
                <w:w w:val="100"/>
                <w:position w:val="0"/>
                <w:sz w:val="18"/>
                <w:szCs w:val="18"/>
              </w:rPr>
              <w:t>按组合计提预期信用损失 的其他应收款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714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931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112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507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248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227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795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94</w:t>
            </w:r>
          </w:p>
        </w:tc>
      </w:tr>
      <w:tr>
        <w:trPr>
          <w:trHeight w:val="40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其中：组合</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822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698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507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248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449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43</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组合</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892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233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55</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112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96</w:t>
            </w: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346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51</w:t>
            </w:r>
          </w:p>
        </w:tc>
      </w:tr>
      <w:tr>
        <w:trPr>
          <w:trHeight w:val="437"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056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234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903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581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98</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507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248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70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452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568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23</w:t>
            </w:r>
          </w:p>
        </w:tc>
      </w:tr>
    </w:tbl>
    <w:p>
      <w:pPr>
        <w:widowControl w:val="0"/>
        <w:spacing w:after="279" w:line="1" w:lineRule="exact"/>
      </w:pPr>
    </w:p>
    <w:p>
      <w:pPr>
        <w:pStyle w:val="Style51"/>
        <w:keepNext/>
        <w:keepLines/>
        <w:widowControl w:val="0"/>
        <w:numPr>
          <w:ilvl w:val="0"/>
          <w:numId w:val="77"/>
        </w:numPr>
        <w:shd w:val="clear" w:color="auto" w:fill="auto"/>
        <w:bidi w:val="0"/>
        <w:spacing w:before="0" w:after="140" w:line="240" w:lineRule="auto"/>
        <w:ind w:left="0" w:right="0" w:firstLine="600"/>
        <w:jc w:val="left"/>
      </w:pPr>
      <w:bookmarkStart w:id="1311" w:name="bookmark1311"/>
      <w:bookmarkStart w:id="1312" w:name="bookmark1312"/>
      <w:bookmarkStart w:id="1313" w:name="bookmark1313"/>
      <w:bookmarkStart w:id="1314" w:name="bookmark1314"/>
      <w:bookmarkEnd w:id="1313"/>
      <w:r>
        <w:rPr>
          <w:color w:val="000000"/>
          <w:spacing w:val="0"/>
          <w:w w:val="100"/>
          <w:position w:val="0"/>
        </w:rPr>
        <w:t>其他应收款按款项性质分类情况</w:t>
      </w:r>
      <w:bookmarkEnd w:id="1311"/>
      <w:bookmarkEnd w:id="1312"/>
      <w:bookmarkEnd w:id="1314"/>
    </w:p>
    <w:tbl>
      <w:tblPr>
        <w:tblOverlap w:val="never"/>
        <w:jc w:val="center"/>
        <w:tblLayout w:type="fixed"/>
      </w:tblPr>
      <w:tblGrid>
        <w:gridCol w:w="3024"/>
        <w:gridCol w:w="2846"/>
        <w:gridCol w:w="2875"/>
      </w:tblGrid>
      <w:tr>
        <w:trPr>
          <w:trHeight w:val="44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款项性质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期初账面余额</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854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387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26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682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192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60</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638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788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56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706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880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96</w:t>
            </w:r>
          </w:p>
        </w:tc>
      </w:tr>
      <w:tr>
        <w:trPr>
          <w:trHeight w:val="43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履约保证金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556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52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491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620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15</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垫付款项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913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138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312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101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837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737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904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888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04</w:t>
            </w:r>
          </w:p>
        </w:tc>
      </w:tr>
      <w:tr>
        <w:trPr>
          <w:trHeight w:val="44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451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608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097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682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75</w:t>
            </w:r>
          </w:p>
        </w:tc>
      </w:tr>
    </w:tbl>
    <w:p>
      <w:pPr>
        <w:widowControl w:val="0"/>
        <w:spacing w:after="279" w:line="1" w:lineRule="exact"/>
      </w:pPr>
    </w:p>
    <w:p>
      <w:pPr>
        <w:pStyle w:val="Style51"/>
        <w:keepNext/>
        <w:keepLines/>
        <w:widowControl w:val="0"/>
        <w:numPr>
          <w:ilvl w:val="0"/>
          <w:numId w:val="77"/>
        </w:numPr>
        <w:shd w:val="clear" w:color="auto" w:fill="auto"/>
        <w:bidi w:val="0"/>
        <w:spacing w:before="0" w:after="140" w:line="240" w:lineRule="auto"/>
        <w:ind w:left="0" w:right="0" w:firstLine="600"/>
        <w:jc w:val="left"/>
      </w:pPr>
      <w:bookmarkStart w:id="1315" w:name="bookmark1315"/>
      <w:bookmarkStart w:id="1316" w:name="bookmark1316"/>
      <w:bookmarkStart w:id="1317" w:name="bookmark1317"/>
      <w:bookmarkStart w:id="1318" w:name="bookmark1318"/>
      <w:bookmarkEnd w:id="1317"/>
      <w:r>
        <w:rPr>
          <w:color w:val="000000"/>
          <w:spacing w:val="0"/>
          <w:w w:val="100"/>
          <w:position w:val="0"/>
        </w:rPr>
        <w:t>按欠款方归集的期末余额前五名的其他应收款</w:t>
      </w:r>
      <w:bookmarkEnd w:id="1315"/>
      <w:bookmarkEnd w:id="1316"/>
      <w:bookmarkEnd w:id="1318"/>
    </w:p>
    <w:tbl>
      <w:tblPr>
        <w:tblOverlap w:val="never"/>
        <w:jc w:val="center"/>
        <w:tblLayout w:type="fixed"/>
      </w:tblPr>
      <w:tblGrid>
        <w:gridCol w:w="2309"/>
        <w:gridCol w:w="1277"/>
        <w:gridCol w:w="1421"/>
        <w:gridCol w:w="1133"/>
        <w:gridCol w:w="1416"/>
        <w:gridCol w:w="1166"/>
      </w:tblGrid>
      <w:tr>
        <w:trPr>
          <w:trHeight w:val="79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单位名称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款项性质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账龄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占其他应收款期</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末余额的比例(%)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180" w:firstLine="0"/>
              <w:jc w:val="right"/>
              <w:rPr>
                <w:sz w:val="18"/>
                <w:szCs w:val="18"/>
              </w:rPr>
            </w:pPr>
            <w:r>
              <w:rPr>
                <w:color w:val="000000"/>
                <w:spacing w:val="0"/>
                <w:w w:val="100"/>
                <w:position w:val="0"/>
                <w:sz w:val="18"/>
                <w:szCs w:val="18"/>
              </w:rPr>
              <w:t>坏账准备</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963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186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909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346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89</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730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730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业务保证金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556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037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78</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房租押金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592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130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606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52</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777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592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个月</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879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60</w:t>
            </w:r>
          </w:p>
        </w:tc>
      </w:tr>
      <w:tr>
        <w:trPr>
          <w:trHeight w:val="44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92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270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465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038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870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79</w:t>
            </w:r>
          </w:p>
        </w:tc>
      </w:tr>
    </w:tbl>
    <w:p>
      <w:pPr>
        <w:widowControl w:val="0"/>
        <w:spacing w:after="139" w:line="1" w:lineRule="exact"/>
      </w:pPr>
    </w:p>
    <w:p>
      <w:pPr>
        <w:pStyle w:val="Style51"/>
        <w:keepNext/>
        <w:keepLines/>
        <w:widowControl w:val="0"/>
        <w:numPr>
          <w:ilvl w:val="0"/>
          <w:numId w:val="77"/>
        </w:numPr>
        <w:shd w:val="clear" w:color="auto" w:fill="auto"/>
        <w:bidi w:val="0"/>
        <w:spacing w:before="0" w:after="320" w:line="240" w:lineRule="auto"/>
        <w:ind w:left="0" w:right="0" w:firstLine="600"/>
        <w:jc w:val="left"/>
      </w:pPr>
      <w:bookmarkStart w:id="1319" w:name="bookmark1319"/>
      <w:bookmarkStart w:id="1320" w:name="bookmark1320"/>
      <w:bookmarkStart w:id="1321" w:name="bookmark1321"/>
      <w:bookmarkStart w:id="1322" w:name="bookmark1322"/>
      <w:bookmarkEnd w:id="1321"/>
      <w:r>
        <w:rPr>
          <w:color w:val="000000"/>
          <w:spacing w:val="0"/>
          <w:w w:val="100"/>
          <w:position w:val="0"/>
        </w:rPr>
        <w:t>涉及政府补助的其他应收款</w:t>
      </w:r>
      <w:bookmarkEnd w:id="1319"/>
      <w:bookmarkEnd w:id="1320"/>
      <w:bookmarkEnd w:id="1322"/>
    </w:p>
    <w:p>
      <w:pPr>
        <w:pStyle w:val="Style16"/>
        <w:keepNext w:val="0"/>
        <w:keepLines w:val="0"/>
        <w:widowControl w:val="0"/>
        <w:shd w:val="clear" w:color="auto" w:fill="auto"/>
        <w:bidi w:val="0"/>
        <w:spacing w:before="0" w:after="220" w:line="240" w:lineRule="auto"/>
        <w:ind w:left="0" w:right="0" w:firstLine="960"/>
        <w:jc w:val="left"/>
      </w:pPr>
      <w:r>
        <w:rPr>
          <w:color w:val="000000"/>
          <w:spacing w:val="0"/>
          <w:w w:val="100"/>
          <w:position w:val="0"/>
        </w:rPr>
        <w:t>无此事项。</w:t>
      </w:r>
    </w:p>
    <w:p>
      <w:pPr>
        <w:pStyle w:val="Style51"/>
        <w:keepNext/>
        <w:keepLines/>
        <w:widowControl w:val="0"/>
        <w:numPr>
          <w:ilvl w:val="0"/>
          <w:numId w:val="77"/>
        </w:numPr>
        <w:shd w:val="clear" w:color="auto" w:fill="auto"/>
        <w:tabs>
          <w:tab w:pos="778" w:val="left"/>
        </w:tabs>
        <w:bidi w:val="0"/>
        <w:spacing w:before="0" w:after="320" w:line="240" w:lineRule="auto"/>
        <w:ind w:left="0" w:right="0" w:firstLine="420"/>
        <w:jc w:val="left"/>
      </w:pPr>
      <w:bookmarkStart w:id="1323" w:name="bookmark1323"/>
      <w:bookmarkStart w:id="1324" w:name="bookmark1324"/>
      <w:bookmarkStart w:id="1325" w:name="bookmark1325"/>
      <w:bookmarkStart w:id="1326" w:name="bookmark1326"/>
      <w:bookmarkEnd w:id="1325"/>
      <w:r>
        <w:rPr>
          <w:color w:val="000000"/>
          <w:spacing w:val="0"/>
          <w:w w:val="100"/>
          <w:position w:val="0"/>
        </w:rPr>
        <w:t>因金融资产转移而终止确认的其他应收款项情况</w:t>
      </w:r>
      <w:bookmarkEnd w:id="1323"/>
      <w:bookmarkEnd w:id="1324"/>
      <w:bookmarkEnd w:id="1326"/>
    </w:p>
    <w:p>
      <w:pPr>
        <w:pStyle w:val="Style16"/>
        <w:keepNext w:val="0"/>
        <w:keepLines w:val="0"/>
        <w:widowControl w:val="0"/>
        <w:shd w:val="clear" w:color="auto" w:fill="auto"/>
        <w:bidi w:val="0"/>
        <w:spacing w:before="0" w:after="80" w:line="240" w:lineRule="auto"/>
        <w:ind w:left="0" w:right="0" w:firstLine="840"/>
        <w:jc w:val="left"/>
      </w:pPr>
      <w:r>
        <w:rPr>
          <w:color w:val="000000"/>
          <w:spacing w:val="0"/>
          <w:w w:val="100"/>
          <w:position w:val="0"/>
        </w:rPr>
        <w:t>无此事项。</w:t>
      </w:r>
    </w:p>
    <w:p>
      <w:pPr>
        <w:pStyle w:val="Style51"/>
        <w:keepNext/>
        <w:keepLines/>
        <w:widowControl w:val="0"/>
        <w:numPr>
          <w:ilvl w:val="0"/>
          <w:numId w:val="77"/>
        </w:numPr>
        <w:shd w:val="clear" w:color="auto" w:fill="auto"/>
        <w:tabs>
          <w:tab w:pos="774" w:val="left"/>
        </w:tabs>
        <w:bidi w:val="0"/>
        <w:spacing w:before="0" w:after="320" w:line="240" w:lineRule="auto"/>
        <w:ind w:left="0" w:right="0" w:firstLine="420"/>
        <w:jc w:val="left"/>
      </w:pPr>
      <w:bookmarkStart w:id="1327" w:name="bookmark1327"/>
      <w:bookmarkStart w:id="1328" w:name="bookmark1328"/>
      <w:bookmarkStart w:id="1329" w:name="bookmark1329"/>
      <w:bookmarkStart w:id="1330" w:name="bookmark1330"/>
      <w:bookmarkEnd w:id="1329"/>
      <w:r>
        <w:rPr>
          <w:color w:val="000000"/>
          <w:spacing w:val="0"/>
          <w:w w:val="100"/>
          <w:position w:val="0"/>
        </w:rPr>
        <w:t>转移其他应收款且继续涉入而形成的资产、负债的金额</w:t>
      </w:r>
      <w:bookmarkEnd w:id="1327"/>
      <w:bookmarkEnd w:id="1328"/>
      <w:bookmarkEnd w:id="1330"/>
    </w:p>
    <w:p>
      <w:pPr>
        <w:pStyle w:val="Style16"/>
        <w:keepNext w:val="0"/>
        <w:keepLines w:val="0"/>
        <w:widowControl w:val="0"/>
        <w:shd w:val="clear" w:color="auto" w:fill="auto"/>
        <w:bidi w:val="0"/>
        <w:spacing w:before="0" w:after="500" w:line="240" w:lineRule="auto"/>
        <w:ind w:left="0" w:right="0" w:firstLine="840"/>
        <w:jc w:val="left"/>
      </w:pPr>
      <w:r>
        <w:rPr>
          <w:color w:val="000000"/>
          <w:spacing w:val="0"/>
          <w:w w:val="100"/>
          <w:position w:val="0"/>
        </w:rPr>
        <w:t>无此事项。</w:t>
      </w:r>
    </w:p>
    <w:p>
      <w:pPr>
        <w:pStyle w:val="Style37"/>
        <w:keepNext/>
        <w:keepLines/>
        <w:widowControl w:val="0"/>
        <w:shd w:val="clear" w:color="auto" w:fill="auto"/>
        <w:bidi w:val="0"/>
        <w:spacing w:before="0" w:after="320" w:line="240" w:lineRule="auto"/>
        <w:ind w:left="0" w:right="0" w:firstLine="420"/>
        <w:jc w:val="left"/>
      </w:pPr>
      <w:bookmarkStart w:id="1331" w:name="bookmark1331"/>
      <w:bookmarkStart w:id="1332" w:name="bookmark1332"/>
      <w:bookmarkStart w:id="1333" w:name="bookmark1333"/>
      <w:r>
        <w:rPr>
          <w:color w:val="000000"/>
          <w:spacing w:val="0"/>
          <w:w w:val="100"/>
          <w:position w:val="0"/>
        </w:rPr>
        <w:t>注释</w:t>
      </w:r>
      <w:r>
        <w:rPr>
          <w:rFonts w:ascii="Times New Roman" w:eastAsia="Times New Roman" w:hAnsi="Times New Roman" w:cs="Times New Roman"/>
          <w:color w:val="000000"/>
          <w:spacing w:val="0"/>
          <w:w w:val="100"/>
          <w:position w:val="0"/>
        </w:rPr>
        <w:t>11.</w:t>
      </w:r>
      <w:r>
        <w:rPr>
          <w:color w:val="000000"/>
          <w:spacing w:val="0"/>
          <w:w w:val="100"/>
          <w:position w:val="0"/>
        </w:rPr>
        <w:t>买入返售金融资产</w:t>
      </w:r>
      <w:bookmarkEnd w:id="1331"/>
      <w:bookmarkEnd w:id="1332"/>
      <w:bookmarkEnd w:id="1333"/>
    </w:p>
    <w:p>
      <w:pPr>
        <w:pStyle w:val="Style37"/>
        <w:keepNext/>
        <w:keepLines/>
        <w:widowControl w:val="0"/>
        <w:numPr>
          <w:ilvl w:val="0"/>
          <w:numId w:val="81"/>
        </w:numPr>
        <w:shd w:val="clear" w:color="auto" w:fill="auto"/>
        <w:bidi w:val="0"/>
        <w:spacing w:before="0" w:after="0" w:line="240" w:lineRule="auto"/>
        <w:ind w:left="0" w:right="0" w:firstLine="420"/>
        <w:jc w:val="left"/>
      </w:pPr>
      <w:bookmarkStart w:id="1331" w:name="bookmark1331"/>
      <w:bookmarkStart w:id="1332" w:name="bookmark1332"/>
      <w:bookmarkStart w:id="1334" w:name="bookmark1334"/>
      <w:bookmarkEnd w:id="1334"/>
      <w:r>
        <w:rPr>
          <w:color w:val="000000"/>
          <w:spacing w:val="0"/>
          <w:w w:val="100"/>
          <w:position w:val="0"/>
        </w:rPr>
        <w:t>按业务类别</w:t>
      </w:r>
      <w:bookmarkEnd w:id="1331"/>
      <w:bookmarkEnd w:id="1332"/>
    </w:p>
    <w:tbl>
      <w:tblPr>
        <w:tblOverlap w:val="never"/>
        <w:jc w:val="center"/>
        <w:tblLayout w:type="fixed"/>
      </w:tblPr>
      <w:tblGrid>
        <w:gridCol w:w="2894"/>
        <w:gridCol w:w="2779"/>
        <w:gridCol w:w="2813"/>
      </w:tblGrid>
      <w:tr>
        <w:trPr>
          <w:trHeight w:val="43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股票质押式回购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292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724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835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040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088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629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75</w:t>
            </w:r>
          </w:p>
        </w:tc>
      </w:tr>
      <w:tr>
        <w:trPr>
          <w:trHeight w:val="40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债券质押式回购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340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541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624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716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581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215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91</w:t>
            </w:r>
          </w:p>
        </w:tc>
      </w:tr>
      <w:tr>
        <w:trPr>
          <w:trHeight w:val="40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债券买断式回购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843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401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557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64</w:t>
            </w:r>
          </w:p>
        </w:tc>
      </w:tr>
      <w:tr>
        <w:trPr>
          <w:trHeight w:val="40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223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945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969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500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834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376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74</w:t>
            </w:r>
          </w:p>
        </w:tc>
      </w:tr>
      <w:tr>
        <w:trPr>
          <w:trHeight w:val="40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857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212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429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905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780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04</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172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266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054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476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823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64</w:t>
            </w:r>
          </w:p>
        </w:tc>
      </w:tr>
      <w:tr>
        <w:trPr>
          <w:trHeight w:val="437"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账面价值合计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684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946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375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046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428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956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40</w:t>
            </w:r>
          </w:p>
        </w:tc>
      </w:tr>
    </w:tbl>
    <w:p>
      <w:pPr>
        <w:widowControl w:val="0"/>
        <w:spacing w:after="79" w:line="1" w:lineRule="exact"/>
      </w:pPr>
    </w:p>
    <w:p>
      <w:pPr>
        <w:pStyle w:val="Style16"/>
        <w:keepNext w:val="0"/>
        <w:keepLines w:val="0"/>
        <w:widowControl w:val="0"/>
        <w:shd w:val="clear" w:color="auto" w:fill="auto"/>
        <w:bidi w:val="0"/>
        <w:spacing w:before="0" w:after="160" w:line="396" w:lineRule="exact"/>
        <w:ind w:left="0" w:right="0" w:firstLine="0"/>
        <w:jc w:val="left"/>
      </w:pPr>
      <w:r>
        <w:rPr>
          <w:color w:val="000000"/>
          <w:spacing w:val="0"/>
          <w:w w:val="100"/>
          <w:position w:val="0"/>
        </w:rPr>
        <w:t>注：本期买入返售金融资产大幅减少主要由于信用业务规模缩减及部分客户合约到期，公司 根据预期信用风险特征及金融工具减值政策，对信用业务资产计提减值准备，买入返售金融 资产期末减值准备余额较期初增加</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17</w:t>
      </w:r>
      <w:r>
        <w:rPr>
          <w:rFonts w:ascii="Arial Narrow" w:eastAsia="Arial Narrow" w:hAnsi="Arial Narrow" w:cs="Arial Narrow"/>
          <w:color w:val="000000"/>
          <w:spacing w:val="0"/>
          <w:w w:val="100"/>
          <w:position w:val="0"/>
        </w:rPr>
        <w:t>,</w:t>
      </w:r>
      <w:r>
        <w:rPr>
          <w:rFonts w:ascii="Times New Roman" w:eastAsia="Times New Roman" w:hAnsi="Times New Roman" w:cs="Times New Roman"/>
          <w:color w:val="000000"/>
          <w:spacing w:val="0"/>
          <w:w w:val="100"/>
          <w:position w:val="0"/>
        </w:rPr>
        <w:t>789</w:t>
      </w:r>
      <w:r>
        <w:rPr>
          <w:rFonts w:ascii="Arial Narrow" w:eastAsia="Arial Narrow" w:hAnsi="Arial Narrow" w:cs="Arial Narrow"/>
          <w:color w:val="000000"/>
          <w:spacing w:val="0"/>
          <w:w w:val="100"/>
          <w:position w:val="0"/>
        </w:rPr>
        <w:t>,</w:t>
      </w:r>
      <w:r>
        <w:rPr>
          <w:rFonts w:ascii="Times New Roman" w:eastAsia="Times New Roman" w:hAnsi="Times New Roman" w:cs="Times New Roman"/>
          <w:color w:val="000000"/>
          <w:spacing w:val="0"/>
          <w:w w:val="100"/>
          <w:position w:val="0"/>
        </w:rPr>
        <w:t>230</w:t>
      </w:r>
      <w:r>
        <w:rPr>
          <w:rFonts w:ascii="Arial Narrow" w:eastAsia="Arial Narrow" w:hAnsi="Arial Narrow" w:cs="Arial Narrow"/>
          <w:color w:val="000000"/>
          <w:spacing w:val="0"/>
          <w:w w:val="100"/>
          <w:position w:val="0"/>
        </w:rPr>
        <w:t>.</w:t>
      </w:r>
      <w:r>
        <w:rPr>
          <w:rFonts w:ascii="Times New Roman" w:eastAsia="Times New Roman" w:hAnsi="Times New Roman" w:cs="Times New Roman"/>
          <w:color w:val="000000"/>
          <w:spacing w:val="0"/>
          <w:w w:val="100"/>
          <w:position w:val="0"/>
        </w:rPr>
        <w:t>45</w:t>
      </w:r>
      <w:r>
        <w:rPr>
          <w:color w:val="000000"/>
          <w:spacing w:val="0"/>
          <w:w w:val="100"/>
          <w:position w:val="0"/>
        </w:rPr>
        <w:t>元。</w:t>
      </w:r>
    </w:p>
    <w:p>
      <w:pPr>
        <w:pStyle w:val="Style16"/>
        <w:keepNext w:val="0"/>
        <w:keepLines w:val="0"/>
        <w:widowControl w:val="0"/>
        <w:numPr>
          <w:ilvl w:val="0"/>
          <w:numId w:val="81"/>
        </w:numPr>
        <w:shd w:val="clear" w:color="auto" w:fill="auto"/>
        <w:bidi w:val="0"/>
        <w:spacing w:before="0" w:after="0" w:line="240" w:lineRule="auto"/>
        <w:ind w:left="0" w:right="0" w:firstLine="420"/>
        <w:jc w:val="left"/>
      </w:pPr>
      <w:bookmarkStart w:id="1335" w:name="bookmark1335"/>
      <w:bookmarkEnd w:id="1335"/>
      <w:r>
        <w:rPr>
          <w:b/>
          <w:bCs/>
          <w:color w:val="000000"/>
          <w:spacing w:val="0"/>
          <w:w w:val="100"/>
          <w:position w:val="0"/>
        </w:rPr>
        <w:t>按金融资产种类</w:t>
      </w:r>
    </w:p>
    <w:tbl>
      <w:tblPr>
        <w:tblOverlap w:val="never"/>
        <w:jc w:val="center"/>
        <w:tblLayout w:type="fixed"/>
      </w:tblPr>
      <w:tblGrid>
        <w:gridCol w:w="2909"/>
        <w:gridCol w:w="2784"/>
        <w:gridCol w:w="2808"/>
      </w:tblGrid>
      <w:tr>
        <w:trPr>
          <w:trHeight w:val="43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292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724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835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040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088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629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75</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债券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340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541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624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559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982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773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55</w:t>
            </w:r>
          </w:p>
        </w:tc>
      </w:tr>
      <w:tr>
        <w:trPr>
          <w:trHeight w:val="40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223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945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969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834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376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74</w:t>
            </w:r>
          </w:p>
        </w:tc>
      </w:tr>
      <w:tr>
        <w:trPr>
          <w:trHeight w:val="40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857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212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429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905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780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04</w:t>
            </w:r>
          </w:p>
        </w:tc>
      </w:tr>
      <w:tr>
        <w:trPr>
          <w:trHeight w:val="40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172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266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054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476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823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64</w:t>
            </w:r>
          </w:p>
        </w:tc>
      </w:tr>
      <w:tr>
        <w:trPr>
          <w:trHeight w:val="437"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账面价值合计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684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946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375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046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428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956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40</w:t>
            </w:r>
          </w:p>
        </w:tc>
      </w:tr>
    </w:tbl>
    <w:p>
      <w:pPr>
        <w:widowControl w:val="0"/>
        <w:spacing w:after="239" w:line="1" w:lineRule="exact"/>
      </w:pPr>
    </w:p>
    <w:p>
      <w:pPr>
        <w:pStyle w:val="Style16"/>
        <w:keepNext w:val="0"/>
        <w:keepLines w:val="0"/>
        <w:widowControl w:val="0"/>
        <w:numPr>
          <w:ilvl w:val="0"/>
          <w:numId w:val="81"/>
        </w:numPr>
        <w:shd w:val="clear" w:color="auto" w:fill="auto"/>
        <w:bidi w:val="0"/>
        <w:spacing w:before="0" w:after="0" w:line="240" w:lineRule="auto"/>
        <w:ind w:left="0" w:right="0" w:firstLine="420"/>
        <w:jc w:val="left"/>
      </w:pPr>
      <w:bookmarkStart w:id="1336" w:name="bookmark1336"/>
      <w:bookmarkEnd w:id="1336"/>
      <w:r>
        <w:rPr>
          <w:b/>
          <w:bCs/>
          <w:color w:val="000000"/>
          <w:spacing w:val="0"/>
          <w:w w:val="100"/>
          <w:position w:val="0"/>
        </w:rPr>
        <w:t>按担保物金额</w:t>
      </w:r>
    </w:p>
    <w:tbl>
      <w:tblPr>
        <w:tblOverlap w:val="never"/>
        <w:jc w:val="center"/>
        <w:tblLayout w:type="fixed"/>
      </w:tblPr>
      <w:tblGrid>
        <w:gridCol w:w="4632"/>
        <w:gridCol w:w="1901"/>
        <w:gridCol w:w="1915"/>
      </w:tblGrid>
      <w:tr>
        <w:trPr>
          <w:trHeight w:val="43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担保物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期末公允价值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期初公允价值</w:t>
            </w:r>
          </w:p>
        </w:tc>
      </w:tr>
      <w:tr>
        <w:trPr>
          <w:trHeight w:val="40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担保物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917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481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099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368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089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357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33</w:t>
            </w:r>
          </w:p>
        </w:tc>
      </w:tr>
      <w:tr>
        <w:trPr>
          <w:trHeight w:val="40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其中：可出售或可再次向外抵押的担保物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872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750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r>
      <w:tr>
        <w:trPr>
          <w:trHeight w:val="437"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其中：已出售或已再次向外抵押的担保物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872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750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r>
    </w:tbl>
    <w:p>
      <w:pPr>
        <w:widowControl w:val="0"/>
        <w:spacing w:after="239" w:line="1" w:lineRule="exact"/>
      </w:pPr>
    </w:p>
    <w:p>
      <w:pPr>
        <w:pStyle w:val="Style16"/>
        <w:keepNext w:val="0"/>
        <w:keepLines w:val="0"/>
        <w:widowControl w:val="0"/>
        <w:numPr>
          <w:ilvl w:val="0"/>
          <w:numId w:val="81"/>
        </w:numPr>
        <w:shd w:val="clear" w:color="auto" w:fill="auto"/>
        <w:bidi w:val="0"/>
        <w:spacing w:before="0" w:after="200" w:line="240" w:lineRule="auto"/>
        <w:ind w:left="0" w:right="0" w:firstLine="420"/>
        <w:jc w:val="left"/>
      </w:pPr>
      <w:bookmarkStart w:id="1337" w:name="bookmark1337"/>
      <w:bookmarkEnd w:id="1337"/>
      <w:r>
        <w:rPr>
          <w:b/>
          <w:bCs/>
          <w:color w:val="000000"/>
          <w:spacing w:val="0"/>
          <w:w w:val="100"/>
          <w:position w:val="0"/>
        </w:rPr>
        <w:t>买入返售金融资产按剩余期限分类披露</w:t>
      </w:r>
      <w:r>
        <w:br w:type="page"/>
      </w:r>
    </w:p>
    <w:tbl>
      <w:tblPr>
        <w:tblOverlap w:val="never"/>
        <w:jc w:val="center"/>
        <w:tblLayout w:type="fixed"/>
      </w:tblPr>
      <w:tblGrid>
        <w:gridCol w:w="2875"/>
        <w:gridCol w:w="2654"/>
        <w:gridCol w:w="168"/>
        <w:gridCol w:w="2770"/>
      </w:tblGrid>
      <w:tr>
        <w:trPr>
          <w:trHeight w:val="43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剩余期限</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一个月以内</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left"/>
              <w:rPr>
                <w:sz w:val="18"/>
                <w:szCs w:val="18"/>
              </w:rPr>
            </w:pPr>
            <w:r>
              <w:rPr>
                <w:rFonts w:ascii="Times New Roman" w:eastAsia="Times New Roman" w:hAnsi="Times New Roman" w:cs="Times New Roman"/>
                <w:color w:val="000000"/>
                <w:spacing w:val="0"/>
                <w:w w:val="100"/>
                <w:position w:val="0"/>
                <w:sz w:val="18"/>
                <w:szCs w:val="18"/>
              </w:rPr>
              <w:t>890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189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462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060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817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150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29</w:t>
            </w:r>
          </w:p>
        </w:tc>
      </w:tr>
      <w:tr>
        <w:trPr>
          <w:trHeight w:val="40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一个月至三个月内</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left"/>
              <w:rPr>
                <w:sz w:val="18"/>
                <w:szCs w:val="18"/>
              </w:rPr>
            </w:pPr>
            <w:r>
              <w:rPr>
                <w:rFonts w:ascii="Times New Roman" w:eastAsia="Times New Roman" w:hAnsi="Times New Roman" w:cs="Times New Roman"/>
                <w:color w:val="000000"/>
                <w:spacing w:val="0"/>
                <w:w w:val="100"/>
                <w:position w:val="0"/>
                <w:sz w:val="18"/>
                <w:szCs w:val="18"/>
              </w:rPr>
              <w:t>540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901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994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475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749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123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61</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三个月至一年内</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left"/>
              <w:rPr>
                <w:sz w:val="18"/>
                <w:szCs w:val="18"/>
              </w:rPr>
            </w:pPr>
            <w:r>
              <w:rPr>
                <w:rFonts w:ascii="Times New Roman" w:eastAsia="Times New Roman" w:hAnsi="Times New Roman" w:cs="Times New Roman"/>
                <w:color w:val="000000"/>
                <w:spacing w:val="0"/>
                <w:w w:val="100"/>
                <w:position w:val="0"/>
                <w:sz w:val="18"/>
                <w:szCs w:val="18"/>
              </w:rPr>
              <w:t>426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120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972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463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761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393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58</w:t>
            </w:r>
          </w:p>
        </w:tc>
      </w:tr>
      <w:tr>
        <w:trPr>
          <w:trHeight w:val="40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一年以上</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100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578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112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56</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合计</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857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212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429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905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780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04</w:t>
            </w:r>
          </w:p>
        </w:tc>
      </w:tr>
      <w:tr>
        <w:trPr>
          <w:trHeight w:val="950"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b/>
                <w:bCs/>
                <w:color w:val="000000"/>
                <w:spacing w:val="0"/>
                <w:w w:val="100"/>
                <w:position w:val="0"/>
              </w:rPr>
              <w:t>5.</w:t>
            </w:r>
            <w:r>
              <w:rPr>
                <w:b/>
                <w:bCs/>
                <w:color w:val="000000"/>
                <w:spacing w:val="0"/>
                <w:w w:val="100"/>
                <w:position w:val="0"/>
              </w:rPr>
              <w:t>买入返售金融资产减值准</w:t>
            </w:r>
          </w:p>
        </w:tc>
        <w:tc>
          <w:tcPr>
            <w:gridSpan w:val="3"/>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苴备明细</w:t>
            </w:r>
          </w:p>
        </w:tc>
      </w:tr>
      <w:tr>
        <w:trPr>
          <w:trHeight w:val="41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类别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期末减值准备</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期初减值准备</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股票质押式回购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192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489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97</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10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161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403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07</w:t>
            </w:r>
          </w:p>
        </w:tc>
      </w:tr>
      <w:tr>
        <w:trPr>
          <w:trHeight w:val="39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134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073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564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12</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44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315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420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57</w:t>
            </w:r>
          </w:p>
        </w:tc>
      </w:tr>
      <w:tr>
        <w:trPr>
          <w:trHeight w:val="432"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172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266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054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09</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54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476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823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64</w:t>
            </w:r>
          </w:p>
        </w:tc>
      </w:tr>
    </w:tbl>
    <w:p>
      <w:pPr>
        <w:widowControl w:val="0"/>
        <w:spacing w:after="439" w:line="1" w:lineRule="exact"/>
      </w:pPr>
    </w:p>
    <w:p>
      <w:pPr>
        <w:pStyle w:val="Style37"/>
        <w:keepNext/>
        <w:keepLines/>
        <w:widowControl w:val="0"/>
        <w:shd w:val="clear" w:color="auto" w:fill="auto"/>
        <w:bidi w:val="0"/>
        <w:spacing w:before="0" w:after="140" w:line="240" w:lineRule="auto"/>
        <w:ind w:left="0" w:right="0" w:firstLine="560"/>
        <w:jc w:val="left"/>
      </w:pPr>
      <w:bookmarkStart w:id="1338" w:name="bookmark1338"/>
      <w:bookmarkStart w:id="1339" w:name="bookmark1339"/>
      <w:bookmarkStart w:id="1340" w:name="bookmark1340"/>
      <w:r>
        <w:rPr>
          <w:color w:val="000000"/>
          <w:spacing w:val="0"/>
          <w:w w:val="100"/>
          <w:position w:val="0"/>
        </w:rPr>
        <w:t>注释</w:t>
      </w:r>
      <w:r>
        <w:rPr>
          <w:rFonts w:ascii="Times New Roman" w:eastAsia="Times New Roman" w:hAnsi="Times New Roman" w:cs="Times New Roman"/>
          <w:color w:val="000000"/>
          <w:spacing w:val="0"/>
          <w:w w:val="100"/>
          <w:position w:val="0"/>
        </w:rPr>
        <w:t>12.</w:t>
      </w:r>
      <w:r>
        <w:rPr>
          <w:color w:val="000000"/>
          <w:spacing w:val="0"/>
          <w:w w:val="100"/>
          <w:position w:val="0"/>
        </w:rPr>
        <w:t>存货</w:t>
      </w:r>
      <w:bookmarkEnd w:id="1338"/>
      <w:bookmarkEnd w:id="1339"/>
      <w:bookmarkEnd w:id="1340"/>
    </w:p>
    <w:tbl>
      <w:tblPr>
        <w:tblOverlap w:val="never"/>
        <w:jc w:val="center"/>
        <w:tblLayout w:type="fixed"/>
      </w:tblPr>
      <w:tblGrid>
        <w:gridCol w:w="1205"/>
        <w:gridCol w:w="1147"/>
        <w:gridCol w:w="1003"/>
        <w:gridCol w:w="1291"/>
        <w:gridCol w:w="1435"/>
        <w:gridCol w:w="1152"/>
        <w:gridCol w:w="1373"/>
      </w:tblGrid>
      <w:tr>
        <w:trPr>
          <w:trHeight w:val="427"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4"/>
                <w:szCs w:val="14"/>
              </w:rPr>
            </w:pPr>
            <w:r>
              <w:rPr>
                <w:color w:val="000000"/>
                <w:spacing w:val="0"/>
                <w:w w:val="100"/>
                <w:position w:val="0"/>
                <w:sz w:val="14"/>
                <w:szCs w:val="14"/>
              </w:rPr>
              <w:t>项目</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期末余额</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期初余额</w:t>
            </w:r>
          </w:p>
        </w:tc>
      </w:tr>
      <w:tr>
        <w:trPr>
          <w:trHeight w:val="398"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跌价准备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4"/>
                <w:szCs w:val="14"/>
              </w:rPr>
            </w:pPr>
            <w:r>
              <w:rPr>
                <w:color w:val="000000"/>
                <w:spacing w:val="0"/>
                <w:w w:val="100"/>
                <w:position w:val="0"/>
                <w:sz w:val="14"/>
                <w:szCs w:val="14"/>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跌价准备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400" w:firstLine="0"/>
              <w:jc w:val="right"/>
              <w:rPr>
                <w:sz w:val="14"/>
                <w:szCs w:val="14"/>
              </w:rPr>
            </w:pPr>
            <w:r>
              <w:rPr>
                <w:color w:val="000000"/>
                <w:spacing w:val="0"/>
                <w:w w:val="100"/>
                <w:position w:val="0"/>
                <w:sz w:val="14"/>
                <w:szCs w:val="14"/>
              </w:rPr>
              <w:t>账面价值</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在产品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983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276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983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276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17</w:t>
            </w:r>
          </w:p>
        </w:tc>
      </w:tr>
      <w:tr>
        <w:trPr>
          <w:trHeight w:val="432"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4"/>
                <w:szCs w:val="14"/>
              </w:rPr>
            </w:pPr>
            <w:r>
              <w:rPr>
                <w:color w:val="000000"/>
                <w:spacing w:val="0"/>
                <w:w w:val="100"/>
                <w:position w:val="0"/>
                <w:sz w:val="14"/>
                <w:szCs w:val="14"/>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983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276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983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276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17</w:t>
            </w:r>
          </w:p>
        </w:tc>
      </w:tr>
    </w:tbl>
    <w:p>
      <w:pPr>
        <w:widowControl w:val="0"/>
        <w:spacing w:after="439" w:line="1" w:lineRule="exact"/>
      </w:pPr>
    </w:p>
    <w:p>
      <w:pPr>
        <w:pStyle w:val="Style37"/>
        <w:keepNext/>
        <w:keepLines/>
        <w:widowControl w:val="0"/>
        <w:shd w:val="clear" w:color="auto" w:fill="auto"/>
        <w:bidi w:val="0"/>
        <w:spacing w:before="0" w:after="140" w:line="240" w:lineRule="auto"/>
        <w:ind w:left="0" w:right="0" w:firstLine="560"/>
        <w:jc w:val="left"/>
      </w:pPr>
      <w:bookmarkStart w:id="1341" w:name="bookmark1341"/>
      <w:bookmarkStart w:id="1342" w:name="bookmark1342"/>
      <w:bookmarkStart w:id="1343" w:name="bookmark1343"/>
      <w:r>
        <w:rPr>
          <w:color w:val="000000"/>
          <w:spacing w:val="0"/>
          <w:w w:val="100"/>
          <w:position w:val="0"/>
        </w:rPr>
        <w:t>注释</w:t>
      </w:r>
      <w:r>
        <w:rPr>
          <w:rFonts w:ascii="Times New Roman" w:eastAsia="Times New Roman" w:hAnsi="Times New Roman" w:cs="Times New Roman"/>
          <w:color w:val="000000"/>
          <w:spacing w:val="0"/>
          <w:w w:val="100"/>
          <w:position w:val="0"/>
        </w:rPr>
        <w:t>13.</w:t>
      </w:r>
      <w:r>
        <w:rPr>
          <w:color w:val="000000"/>
          <w:spacing w:val="0"/>
          <w:w w:val="100"/>
          <w:position w:val="0"/>
        </w:rPr>
        <w:t>其他流动资产</w:t>
      </w:r>
      <w:bookmarkEnd w:id="1341"/>
      <w:bookmarkEnd w:id="1342"/>
      <w:bookmarkEnd w:id="1343"/>
    </w:p>
    <w:tbl>
      <w:tblPr>
        <w:tblOverlap w:val="never"/>
        <w:jc w:val="center"/>
        <w:tblLayout w:type="fixed"/>
      </w:tblPr>
      <w:tblGrid>
        <w:gridCol w:w="3355"/>
        <w:gridCol w:w="2611"/>
        <w:gridCol w:w="2640"/>
      </w:tblGrid>
      <w:tr>
        <w:trPr>
          <w:trHeight w:val="37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留抵增值税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267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362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18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834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692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76</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待退还所得税款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640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47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815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168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36</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预扣增值税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870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256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128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485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403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98</w:t>
            </w:r>
          </w:p>
        </w:tc>
      </w:tr>
      <w:tr>
        <w:trPr>
          <w:trHeight w:val="432"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243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387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70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135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265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10</w:t>
            </w:r>
          </w:p>
        </w:tc>
      </w:tr>
    </w:tbl>
    <w:p>
      <w:pPr>
        <w:widowControl w:val="0"/>
        <w:spacing w:after="439" w:line="1" w:lineRule="exact"/>
      </w:pPr>
    </w:p>
    <w:p>
      <w:pPr>
        <w:pStyle w:val="Style37"/>
        <w:keepNext/>
        <w:keepLines/>
        <w:widowControl w:val="0"/>
        <w:shd w:val="clear" w:color="auto" w:fill="auto"/>
        <w:bidi w:val="0"/>
        <w:spacing w:before="0" w:after="140" w:line="240" w:lineRule="auto"/>
        <w:ind w:left="0" w:right="0" w:firstLine="560"/>
        <w:jc w:val="left"/>
      </w:pPr>
      <w:bookmarkStart w:id="1344" w:name="bookmark1344"/>
      <w:bookmarkStart w:id="1345" w:name="bookmark1345"/>
      <w:bookmarkStart w:id="1346" w:name="bookmark1346"/>
      <w:r>
        <w:rPr>
          <w:color w:val="000000"/>
          <w:spacing w:val="0"/>
          <w:w w:val="100"/>
          <w:position w:val="0"/>
        </w:rPr>
        <w:t>注释</w:t>
      </w:r>
      <w:r>
        <w:rPr>
          <w:rFonts w:ascii="Times New Roman" w:eastAsia="Times New Roman" w:hAnsi="Times New Roman" w:cs="Times New Roman"/>
          <w:color w:val="000000"/>
          <w:spacing w:val="0"/>
          <w:w w:val="100"/>
          <w:position w:val="0"/>
        </w:rPr>
        <w:t>14.</w:t>
      </w:r>
      <w:r>
        <w:rPr>
          <w:color w:val="000000"/>
          <w:spacing w:val="0"/>
          <w:w w:val="100"/>
          <w:position w:val="0"/>
        </w:rPr>
        <w:t>其他债权投资</w:t>
      </w:r>
      <w:bookmarkEnd w:id="1344"/>
      <w:bookmarkEnd w:id="1345"/>
      <w:bookmarkEnd w:id="1346"/>
    </w:p>
    <w:tbl>
      <w:tblPr>
        <w:tblOverlap w:val="never"/>
        <w:jc w:val="center"/>
        <w:tblLayout w:type="fixed"/>
      </w:tblPr>
      <w:tblGrid>
        <w:gridCol w:w="1536"/>
        <w:gridCol w:w="1397"/>
        <w:gridCol w:w="1392"/>
        <w:gridCol w:w="1387"/>
        <w:gridCol w:w="1397"/>
        <w:gridCol w:w="1421"/>
      </w:tblGrid>
      <w:tr>
        <w:trPr>
          <w:trHeight w:val="432"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项目</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403"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初始成本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公允价值变动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累计减值准备</w:t>
            </w:r>
          </w:p>
        </w:tc>
      </w:tr>
      <w:tr>
        <w:trPr>
          <w:trHeight w:val="40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国债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829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689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107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587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980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388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942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666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030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企业债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518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910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460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622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370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088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26</w:t>
            </w:r>
          </w:p>
        </w:tc>
      </w:tr>
      <w:tr>
        <w:trPr>
          <w:trHeight w:val="437"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公司债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36"/>
        <w:gridCol w:w="1397"/>
        <w:gridCol w:w="1392"/>
        <w:gridCol w:w="1387"/>
        <w:gridCol w:w="1397"/>
        <w:gridCol w:w="1421"/>
      </w:tblGrid>
      <w:tr>
        <w:trPr>
          <w:trHeight w:val="432"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项目</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408"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初始成本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公允价值变动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累计减值准备</w:t>
            </w:r>
          </w:p>
        </w:tc>
      </w:tr>
      <w:tr>
        <w:trPr>
          <w:trHeight w:val="40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私募债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7"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869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689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107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106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890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492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402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884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288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088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26</w:t>
            </w:r>
          </w:p>
        </w:tc>
      </w:tr>
    </w:tbl>
    <w:p>
      <w:pPr>
        <w:widowControl w:val="0"/>
        <w:spacing w:after="139" w:line="1" w:lineRule="exact"/>
      </w:pPr>
    </w:p>
    <w:p>
      <w:pPr>
        <w:pStyle w:val="Style16"/>
        <w:keepNext w:val="0"/>
        <w:keepLines w:val="0"/>
        <w:widowControl w:val="0"/>
        <w:shd w:val="clear" w:color="auto" w:fill="auto"/>
        <w:bidi w:val="0"/>
        <w:spacing w:before="0" w:after="140" w:line="240" w:lineRule="auto"/>
        <w:ind w:left="0" w:right="0" w:firstLine="500"/>
        <w:jc w:val="left"/>
      </w:pPr>
      <w:r>
        <w:rPr>
          <w:color w:val="000000"/>
          <w:spacing w:val="0"/>
          <w:w w:val="100"/>
          <w:position w:val="0"/>
        </w:rPr>
        <w:t>续:</w:t>
      </w:r>
    </w:p>
    <w:tbl>
      <w:tblPr>
        <w:tblOverlap w:val="never"/>
        <w:jc w:val="center"/>
        <w:tblLayout w:type="fixed"/>
      </w:tblPr>
      <w:tblGrid>
        <w:gridCol w:w="1512"/>
        <w:gridCol w:w="1584"/>
        <w:gridCol w:w="1349"/>
        <w:gridCol w:w="1344"/>
        <w:gridCol w:w="1358"/>
        <w:gridCol w:w="1354"/>
      </w:tblGrid>
      <w:tr>
        <w:trPr>
          <w:trHeight w:val="432"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项目</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3"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初始成本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公允价值变动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累计减值准备</w:t>
            </w:r>
          </w:p>
        </w:tc>
      </w:tr>
      <w:tr>
        <w:trPr>
          <w:trHeight w:val="40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国债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381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973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335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540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531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886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249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企业债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152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609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273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842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646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596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908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516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106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973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60</w:t>
            </w:r>
          </w:p>
        </w:tc>
      </w:tr>
      <w:tr>
        <w:trPr>
          <w:trHeight w:val="40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公司债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206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435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611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341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055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661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97</w:t>
            </w:r>
          </w:p>
        </w:tc>
      </w:tr>
      <w:tr>
        <w:trPr>
          <w:trHeight w:val="40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私募债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547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851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131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054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01</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7"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346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991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255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932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021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426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994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360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350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271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288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689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58</w:t>
            </w:r>
          </w:p>
        </w:tc>
      </w:tr>
    </w:tbl>
    <w:p>
      <w:pPr>
        <w:widowControl w:val="0"/>
        <w:spacing w:after="139" w:line="1" w:lineRule="exact"/>
      </w:pPr>
    </w:p>
    <w:p>
      <w:pPr>
        <w:pStyle w:val="Style16"/>
        <w:keepNext w:val="0"/>
        <w:keepLines w:val="0"/>
        <w:widowControl w:val="0"/>
        <w:shd w:val="clear" w:color="auto" w:fill="auto"/>
        <w:bidi w:val="0"/>
        <w:spacing w:before="0" w:after="140" w:line="240" w:lineRule="auto"/>
        <w:ind w:left="0" w:right="0" w:firstLine="500"/>
        <w:jc w:val="left"/>
      </w:pPr>
      <w:r>
        <w:rPr>
          <w:color w:val="000000"/>
          <w:spacing w:val="0"/>
          <w:w w:val="100"/>
          <w:position w:val="0"/>
        </w:rPr>
        <w:t>注：期末，其他债权投资受限金额为</w:t>
      </w:r>
      <w:r>
        <w:rPr>
          <w:rFonts w:ascii="Times New Roman" w:eastAsia="Times New Roman" w:hAnsi="Times New Roman" w:cs="Times New Roman"/>
          <w:color w:val="000000"/>
          <w:spacing w:val="0"/>
          <w:w w:val="100"/>
          <w:position w:val="0"/>
        </w:rPr>
        <w:t>501,498,833.54</w:t>
      </w:r>
      <w:r>
        <w:rPr>
          <w:color w:val="000000"/>
          <w:spacing w:val="0"/>
          <w:w w:val="100"/>
          <w:position w:val="0"/>
        </w:rPr>
        <w:t>元，其中：卖出回购业务受限金额</w:t>
      </w:r>
    </w:p>
    <w:p>
      <w:pPr>
        <w:pStyle w:val="Style97"/>
        <w:keepNext w:val="0"/>
        <w:keepLines w:val="0"/>
        <w:widowControl w:val="0"/>
        <w:shd w:val="clear" w:color="auto" w:fill="auto"/>
        <w:bidi w:val="0"/>
        <w:spacing w:before="0" w:after="140" w:line="240" w:lineRule="auto"/>
        <w:ind w:left="0" w:right="0" w:firstLine="0"/>
        <w:jc w:val="left"/>
        <w:sectPr>
          <w:headerReference w:type="default" r:id="rId43"/>
          <w:footerReference w:type="default" r:id="rId44"/>
          <w:footnotePr>
            <w:pos w:val="pageBottom"/>
            <w:numFmt w:val="decimal"/>
            <w:numRestart w:val="continuous"/>
          </w:footnotePr>
          <w:pgSz w:w="11900" w:h="16840"/>
          <w:pgMar w:top="1318" w:right="1546" w:bottom="1769" w:left="1608" w:header="0" w:footer="3" w:gutter="0"/>
          <w:cols w:space="720"/>
          <w:noEndnote/>
          <w:rtlGutter w:val="0"/>
          <w:docGrid w:linePitch="360"/>
        </w:sectPr>
      </w:pPr>
      <w:r>
        <w:rPr>
          <w:b w:val="0"/>
          <w:bCs w:val="0"/>
          <w:color w:val="000000"/>
          <w:spacing w:val="0"/>
          <w:w w:val="100"/>
          <w:position w:val="0"/>
        </w:rPr>
        <w:t>215,029,670.00</w:t>
      </w:r>
      <w:r>
        <w:rPr>
          <w:rFonts w:ascii="SimSun" w:eastAsia="SimSun" w:hAnsi="SimSun" w:cs="SimSun"/>
          <w:b w:val="0"/>
          <w:bCs w:val="0"/>
          <w:color w:val="000000"/>
          <w:spacing w:val="0"/>
          <w:w w:val="100"/>
          <w:position w:val="0"/>
        </w:rPr>
        <w:t>元，转融通业务受限金额</w:t>
      </w:r>
      <w:r>
        <w:rPr>
          <w:b w:val="0"/>
          <w:bCs w:val="0"/>
          <w:color w:val="000000"/>
          <w:spacing w:val="0"/>
          <w:w w:val="100"/>
          <w:position w:val="0"/>
        </w:rPr>
        <w:t>286,469,163.54</w:t>
      </w:r>
      <w:r>
        <w:rPr>
          <w:rFonts w:ascii="SimSun" w:eastAsia="SimSun" w:hAnsi="SimSun" w:cs="SimSun"/>
          <w:b w:val="0"/>
          <w:bCs w:val="0"/>
          <w:color w:val="000000"/>
          <w:spacing w:val="0"/>
          <w:w w:val="100"/>
          <w:position w:val="0"/>
        </w:rPr>
        <w:t>元。</w:t>
      </w:r>
    </w:p>
    <w:p>
      <w:pPr>
        <w:pStyle w:val="Style37"/>
        <w:keepNext/>
        <w:keepLines/>
        <w:widowControl w:val="0"/>
        <w:shd w:val="clear" w:color="auto" w:fill="auto"/>
        <w:bidi w:val="0"/>
        <w:spacing w:before="480" w:after="140" w:line="240" w:lineRule="auto"/>
        <w:ind w:left="0" w:right="0" w:firstLine="480"/>
        <w:jc w:val="left"/>
      </w:pPr>
      <w:bookmarkStart w:id="1347" w:name="bookmark1347"/>
      <w:bookmarkStart w:id="1348" w:name="bookmark1348"/>
      <w:bookmarkStart w:id="1349" w:name="bookmark1349"/>
      <w:r>
        <w:rPr>
          <w:color w:val="000000"/>
          <w:spacing w:val="0"/>
          <w:w w:val="100"/>
          <w:position w:val="0"/>
        </w:rPr>
        <w:t>注释</w:t>
      </w:r>
      <w:r>
        <w:rPr>
          <w:rFonts w:ascii="Times New Roman" w:eastAsia="Times New Roman" w:hAnsi="Times New Roman" w:cs="Times New Roman"/>
          <w:color w:val="000000"/>
          <w:spacing w:val="0"/>
          <w:w w:val="100"/>
          <w:position w:val="0"/>
        </w:rPr>
        <w:t>15.</w:t>
      </w:r>
      <w:r>
        <w:rPr>
          <w:color w:val="000000"/>
          <w:spacing w:val="0"/>
          <w:w w:val="100"/>
          <w:position w:val="0"/>
        </w:rPr>
        <w:t>长期股权投资</w:t>
      </w:r>
      <w:bookmarkEnd w:id="1347"/>
      <w:bookmarkEnd w:id="1348"/>
      <w:bookmarkEnd w:id="1349"/>
    </w:p>
    <w:tbl>
      <w:tblPr>
        <w:tblOverlap w:val="never"/>
        <w:jc w:val="center"/>
        <w:tblLayout w:type="fixed"/>
      </w:tblPr>
      <w:tblGrid>
        <w:gridCol w:w="2064"/>
        <w:gridCol w:w="1330"/>
        <w:gridCol w:w="494"/>
        <w:gridCol w:w="989"/>
        <w:gridCol w:w="1133"/>
        <w:gridCol w:w="1123"/>
        <w:gridCol w:w="1138"/>
        <w:gridCol w:w="1008"/>
        <w:gridCol w:w="1272"/>
        <w:gridCol w:w="1138"/>
        <w:gridCol w:w="1277"/>
        <w:gridCol w:w="1320"/>
      </w:tblGrid>
      <w:tr>
        <w:trPr>
          <w:trHeight w:val="422"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被投资单位</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期初余额</w:t>
            </w:r>
          </w:p>
        </w:tc>
        <w:tc>
          <w:tcPr>
            <w:gridSpan w:val="8"/>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本期增减变动</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减值准备期末余 额</w:t>
            </w:r>
          </w:p>
        </w:tc>
      </w:tr>
      <w:tr>
        <w:trPr>
          <w:trHeight w:val="1042"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追加</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减少投资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权益法下确认</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其他综合收益 调整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其他权益变动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宣告发放现 金股利或利 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计提减值准备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380" w:firstLine="0"/>
              <w:jc w:val="right"/>
              <w:rPr>
                <w:sz w:val="18"/>
                <w:szCs w:val="18"/>
              </w:rPr>
            </w:pPr>
            <w:r>
              <w:rPr>
                <w:color w:val="000000"/>
                <w:spacing w:val="0"/>
                <w:w w:val="100"/>
                <w:position w:val="0"/>
                <w:sz w:val="18"/>
                <w:szCs w:val="18"/>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一.联营企业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江信基金管理有限公司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226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438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104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164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122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274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27</w:t>
            </w:r>
          </w:p>
        </w:tc>
        <w:tc>
          <w:tcPr>
            <w:tcBorders>
              <w:top w:val="single" w:sz="4"/>
              <w:left w:val="single" w:sz="4"/>
            </w:tcBorders>
            <w:shd w:val="clear" w:color="auto" w:fill="FFFFFF"/>
            <w:vAlign w:val="top"/>
          </w:tcPr>
          <w:p>
            <w:pPr>
              <w:widowControl w:val="0"/>
              <w:rPr>
                <w:sz w:val="10"/>
                <w:szCs w:val="10"/>
              </w:rPr>
            </w:pPr>
          </w:p>
        </w:tc>
      </w:tr>
      <w:tr>
        <w:trPr>
          <w:trHeight w:val="73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广州仁诺互联网小额贷款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275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703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956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152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231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855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91</w:t>
            </w: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国盛国际集团有限公司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472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181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995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433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236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701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240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046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716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760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11</w:t>
            </w:r>
          </w:p>
        </w:tc>
      </w:tr>
      <w:tr>
        <w:trPr>
          <w:trHeight w:val="73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珠海凡泰极客科技有限责 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619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279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628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416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751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067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23</w:t>
            </w:r>
          </w:p>
        </w:tc>
        <w:tc>
          <w:tcPr>
            <w:tcBorders>
              <w:top w:val="single" w:sz="4"/>
              <w:left w:val="single" w:sz="4"/>
            </w:tcBorders>
            <w:shd w:val="clear" w:color="auto" w:fill="FFFFFF"/>
            <w:vAlign w:val="top"/>
          </w:tcPr>
          <w:p>
            <w:pPr>
              <w:widowControl w:val="0"/>
              <w:rPr>
                <w:sz w:val="10"/>
                <w:szCs w:val="10"/>
              </w:rPr>
            </w:pPr>
          </w:p>
        </w:tc>
      </w:tr>
      <w:tr>
        <w:trPr>
          <w:trHeight w:val="73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苏州梧桐汇智软件科技有</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711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367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162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717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529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top"/>
          </w:tcPr>
          <w:p>
            <w:pPr>
              <w:widowControl w:val="0"/>
              <w:rPr>
                <w:sz w:val="10"/>
                <w:szCs w:val="10"/>
              </w:rPr>
            </w:pPr>
          </w:p>
        </w:tc>
      </w:tr>
      <w:tr>
        <w:trPr>
          <w:trHeight w:val="73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宁波梅花天使投资管理有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457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427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089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829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547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256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82</w:t>
            </w:r>
          </w:p>
        </w:tc>
        <w:tc>
          <w:tcPr>
            <w:tcBorders>
              <w:top w:val="single" w:sz="4"/>
              <w:left w:val="single" w:sz="4"/>
            </w:tcBorders>
            <w:shd w:val="clear" w:color="auto" w:fill="FFFFFF"/>
            <w:vAlign w:val="top"/>
          </w:tcPr>
          <w:p>
            <w:pPr>
              <w:widowControl w:val="0"/>
              <w:rPr>
                <w:sz w:val="10"/>
                <w:szCs w:val="10"/>
              </w:rPr>
            </w:pPr>
          </w:p>
        </w:tc>
      </w:tr>
      <w:tr>
        <w:trPr>
          <w:trHeight w:val="73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沿海惠融科技（北京）有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580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726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909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618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713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796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821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Qudian Inc.</w:t>
            </w:r>
            <w:r>
              <w:rPr>
                <w:color w:val="000000"/>
                <w:spacing w:val="0"/>
                <w:w w:val="100"/>
                <w:position w:val="0"/>
                <w:sz w:val="18"/>
                <w:szCs w:val="18"/>
              </w:rPr>
              <w:t>（注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746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025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914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514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638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893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670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570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165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103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709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412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966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075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639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709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412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22</w:t>
            </w:r>
          </w:p>
        </w:tc>
      </w:tr>
      <w:tr>
        <w:trPr>
          <w:trHeight w:val="427"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368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724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914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486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937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893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670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242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035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103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709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412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777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891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406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851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426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172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33</w:t>
            </w:r>
          </w:p>
        </w:tc>
      </w:tr>
    </w:tbl>
    <w:p>
      <w:pPr>
        <w:widowControl w:val="0"/>
        <w:spacing w:after="139" w:line="1" w:lineRule="exact"/>
      </w:pPr>
    </w:p>
    <w:p>
      <w:pPr>
        <w:pStyle w:val="Style16"/>
        <w:keepNext w:val="0"/>
        <w:keepLines w:val="0"/>
        <w:widowControl w:val="0"/>
        <w:shd w:val="clear" w:color="auto" w:fill="auto"/>
        <w:bidi w:val="0"/>
        <w:spacing w:before="0" w:after="0" w:line="240" w:lineRule="auto"/>
        <w:ind w:left="0" w:right="0" w:firstLine="48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：更多与珠海凡泰、梅花天使、沿海惠融、</w:t>
      </w:r>
      <w:r>
        <w:rPr>
          <w:rFonts w:ascii="Times New Roman" w:eastAsia="Times New Roman" w:hAnsi="Times New Roman" w:cs="Times New Roman"/>
          <w:color w:val="000000"/>
          <w:spacing w:val="0"/>
          <w:w w:val="100"/>
          <w:position w:val="0"/>
        </w:rPr>
        <w:t>Qudian Inc.</w:t>
      </w:r>
      <w:r>
        <w:rPr>
          <w:rFonts w:ascii="Times New Roman" w:eastAsia="Times New Roman" w:hAnsi="Times New Roman" w:cs="Times New Roman"/>
          <w:color w:val="000000"/>
          <w:spacing w:val="0"/>
          <w:w w:val="100"/>
          <w:position w:val="0"/>
        </w:rPr>
        <w:t>（</w:t>
      </w:r>
      <w:r>
        <w:rPr>
          <w:color w:val="000000"/>
          <w:spacing w:val="0"/>
          <w:w w:val="100"/>
          <w:position w:val="0"/>
        </w:rPr>
        <w:t>以下简称“趣店”或</w:t>
      </w:r>
      <w:r>
        <w:rPr>
          <w:color w:val="000000"/>
          <w:spacing w:val="0"/>
          <w:w w:val="100"/>
          <w:position w:val="0"/>
        </w:rPr>
        <w:t>“</w:t>
      </w:r>
      <w:r>
        <w:rPr>
          <w:rFonts w:ascii="Times New Roman" w:eastAsia="Times New Roman" w:hAnsi="Times New Roman" w:cs="Times New Roman"/>
          <w:color w:val="000000"/>
          <w:spacing w:val="0"/>
          <w:w w:val="100"/>
          <w:position w:val="0"/>
        </w:rPr>
        <w:t>QD</w:t>
      </w:r>
      <w:r>
        <w:rPr>
          <w:color w:val="000000"/>
          <w:spacing w:val="0"/>
          <w:w w:val="100"/>
          <w:position w:val="0"/>
        </w:rPr>
        <w:t>”</w:t>
      </w:r>
      <w:r>
        <w:rPr>
          <w:color w:val="000000"/>
          <w:spacing w:val="0"/>
          <w:w w:val="100"/>
          <w:position w:val="0"/>
        </w:rPr>
        <w:t>）</w:t>
      </w:r>
      <w:r>
        <w:rPr>
          <w:color w:val="000000"/>
          <w:spacing w:val="0"/>
          <w:w w:val="100"/>
          <w:position w:val="0"/>
        </w:rPr>
        <w:t xml:space="preserve">有关的权益法核算信息另见本附注八（二）在合营安排或联 </w:t>
      </w:r>
      <w:r>
        <w:rPr>
          <w:color w:val="000000"/>
          <w:spacing w:val="0"/>
          <w:w w:val="100"/>
          <w:position w:val="0"/>
        </w:rPr>
        <w:t>营企业中的权益。</w:t>
      </w:r>
    </w:p>
    <w:p>
      <w:pPr>
        <w:pStyle w:val="Style16"/>
        <w:keepNext w:val="0"/>
        <w:keepLines w:val="0"/>
        <w:widowControl w:val="0"/>
        <w:shd w:val="clear" w:color="auto" w:fill="auto"/>
        <w:bidi w:val="0"/>
        <w:spacing w:before="0" w:after="0" w:line="413" w:lineRule="exact"/>
        <w:ind w:left="0" w:right="0" w:firstLine="420"/>
        <w:jc w:val="both"/>
        <w:sectPr>
          <w:headerReference w:type="default" r:id="rId45"/>
          <w:footerReference w:type="default" r:id="rId46"/>
          <w:footnotePr>
            <w:pos w:val="pageBottom"/>
            <w:numFmt w:val="decimal"/>
            <w:numRestart w:val="continuous"/>
          </w:footnotePr>
          <w:pgSz w:w="16840" w:h="11900" w:orient="landscape"/>
          <w:pgMar w:top="1842" w:right="1245" w:bottom="1568" w:left="1310" w:header="0" w:footer="3" w:gutter="0"/>
          <w:cols w:space="720"/>
          <w:noEndnote/>
          <w:rtlGutter w:val="0"/>
          <w:docGrid w:linePitch="360"/>
        </w:sectPr>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：前期差错更正调增趣店的长期股权投资期初余额</w:t>
      </w:r>
      <w:r>
        <w:rPr>
          <w:rFonts w:ascii="Times New Roman" w:eastAsia="Times New Roman" w:hAnsi="Times New Roman" w:cs="Times New Roman"/>
          <w:color w:val="000000"/>
          <w:spacing w:val="0"/>
          <w:w w:val="100"/>
          <w:position w:val="0"/>
        </w:rPr>
        <w:t>1.48</w:t>
      </w:r>
      <w:r>
        <w:rPr>
          <w:color w:val="000000"/>
          <w:spacing w:val="0"/>
          <w:w w:val="100"/>
          <w:position w:val="0"/>
        </w:rPr>
        <w:t>亿元，详见附注十五、（一）。本期趣店业务规模及业绩较上期大幅下滑，长期股权投资 出现减值迹象。根据北京中同华资产评估有限公司出具的中同华咨报字（</w:t>
      </w:r>
      <w:r>
        <w:rPr>
          <w:rFonts w:ascii="Times New Roman" w:eastAsia="Times New Roman" w:hAnsi="Times New Roman" w:cs="Times New Roman"/>
          <w:color w:val="000000"/>
          <w:spacing w:val="0"/>
          <w:w w:val="100"/>
          <w:position w:val="0"/>
        </w:rPr>
        <w:t>2021</w:t>
      </w:r>
      <w:r>
        <w:rPr>
          <w:color w:val="000000"/>
          <w:spacing w:val="0"/>
          <w:w w:val="100"/>
          <w:position w:val="0"/>
        </w:rPr>
        <w:t>）第</w:t>
      </w:r>
      <w:r>
        <w:rPr>
          <w:rFonts w:ascii="Times New Roman" w:eastAsia="Times New Roman" w:hAnsi="Times New Roman" w:cs="Times New Roman"/>
          <w:color w:val="000000"/>
          <w:spacing w:val="0"/>
          <w:w w:val="100"/>
          <w:position w:val="0"/>
        </w:rPr>
        <w:t>030064</w:t>
      </w:r>
      <w:r>
        <w:rPr>
          <w:color w:val="000000"/>
          <w:spacing w:val="0"/>
          <w:w w:val="100"/>
          <w:position w:val="0"/>
        </w:rPr>
        <w:t>号评估报告结果，期末对该项投资计提减值</w:t>
      </w:r>
      <w:r>
        <w:rPr>
          <w:rFonts w:ascii="Times New Roman" w:eastAsia="Times New Roman" w:hAnsi="Times New Roman" w:cs="Times New Roman"/>
          <w:color w:val="000000"/>
          <w:spacing w:val="0"/>
          <w:w w:val="100"/>
          <w:position w:val="0"/>
        </w:rPr>
        <w:t>1.04</w:t>
      </w:r>
      <w:r>
        <w:rPr>
          <w:color w:val="000000"/>
          <w:spacing w:val="0"/>
          <w:w w:val="100"/>
          <w:position w:val="0"/>
        </w:rPr>
        <w:t>亿元。</w:t>
      </w:r>
    </w:p>
    <w:p>
      <w:pPr>
        <w:pStyle w:val="Style37"/>
        <w:keepNext/>
        <w:keepLines/>
        <w:widowControl w:val="0"/>
        <w:shd w:val="clear" w:color="auto" w:fill="auto"/>
        <w:bidi w:val="0"/>
        <w:spacing w:before="320" w:after="140" w:line="240" w:lineRule="auto"/>
        <w:ind w:left="0" w:right="0" w:firstLine="480"/>
        <w:jc w:val="left"/>
      </w:pPr>
      <w:bookmarkStart w:id="1350" w:name="bookmark1350"/>
      <w:bookmarkStart w:id="1351" w:name="bookmark1351"/>
      <w:bookmarkStart w:id="1352" w:name="bookmark1352"/>
      <w:r>
        <w:rPr>
          <w:color w:val="000000"/>
          <w:spacing w:val="0"/>
          <w:w w:val="100"/>
          <w:position w:val="0"/>
        </w:rPr>
        <w:t>注释</w:t>
      </w:r>
      <w:r>
        <w:rPr>
          <w:rFonts w:ascii="Times New Roman" w:eastAsia="Times New Roman" w:hAnsi="Times New Roman" w:cs="Times New Roman"/>
          <w:color w:val="000000"/>
          <w:spacing w:val="0"/>
          <w:w w:val="100"/>
          <w:position w:val="0"/>
        </w:rPr>
        <w:t>16.</w:t>
      </w:r>
      <w:r>
        <w:rPr>
          <w:color w:val="000000"/>
          <w:spacing w:val="0"/>
          <w:w w:val="100"/>
          <w:position w:val="0"/>
        </w:rPr>
        <w:t>其他权益工具投资</w:t>
      </w:r>
      <w:bookmarkEnd w:id="1350"/>
      <w:bookmarkEnd w:id="1351"/>
      <w:bookmarkEnd w:id="1352"/>
    </w:p>
    <w:tbl>
      <w:tblPr>
        <w:tblOverlap w:val="never"/>
        <w:jc w:val="center"/>
        <w:tblLayout w:type="fixed"/>
      </w:tblPr>
      <w:tblGrid>
        <w:gridCol w:w="1301"/>
        <w:gridCol w:w="1344"/>
        <w:gridCol w:w="1339"/>
        <w:gridCol w:w="931"/>
        <w:gridCol w:w="1339"/>
        <w:gridCol w:w="1339"/>
        <w:gridCol w:w="883"/>
      </w:tblGrid>
      <w:tr>
        <w:trPr>
          <w:trHeight w:val="432"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792"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初始成本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期末公允价值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本期确</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认的股</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利收入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初始成本</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期末公允价值</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本期确</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认的股</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利收入</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16"/>
        <w:keepNext w:val="0"/>
        <w:keepLines w:val="0"/>
        <w:widowControl w:val="0"/>
        <w:shd w:val="clear" w:color="auto" w:fill="auto"/>
        <w:bidi w:val="0"/>
        <w:spacing w:before="0" w:after="840" w:line="408" w:lineRule="exact"/>
        <w:ind w:left="0" w:right="0" w:firstLine="480"/>
        <w:jc w:val="left"/>
      </w:pPr>
      <w:r>
        <w:rPr>
          <w:color w:val="000000"/>
          <w:spacing w:val="0"/>
          <w:w w:val="100"/>
          <w:position w:val="0"/>
        </w:rPr>
        <w:t>注：本公司</w:t>
      </w:r>
      <w:r>
        <w:rPr>
          <w:rFonts w:ascii="Times New Roman" w:eastAsia="Times New Roman" w:hAnsi="Times New Roman" w:cs="Times New Roman"/>
          <w:color w:val="000000"/>
          <w:spacing w:val="0"/>
          <w:w w:val="100"/>
          <w:position w:val="0"/>
        </w:rPr>
        <w:t>2015</w:t>
      </w:r>
      <w:r>
        <w:rPr>
          <w:color w:val="000000"/>
          <w:spacing w:val="0"/>
          <w:w w:val="100"/>
          <w:position w:val="0"/>
        </w:rPr>
        <w:t>年出资人民币</w:t>
      </w:r>
      <w:r>
        <w:rPr>
          <w:rFonts w:ascii="Times New Roman" w:eastAsia="Times New Roman" w:hAnsi="Times New Roman" w:cs="Times New Roman"/>
          <w:color w:val="000000"/>
          <w:spacing w:val="0"/>
          <w:w w:val="100"/>
          <w:position w:val="0"/>
        </w:rPr>
        <w:t>10</w:t>
      </w:r>
      <w:r>
        <w:rPr>
          <w:rFonts w:ascii="Arial Narrow" w:eastAsia="Arial Narrow" w:hAnsi="Arial Narrow" w:cs="Arial Narrow"/>
          <w:color w:val="000000"/>
          <w:spacing w:val="0"/>
          <w:w w:val="100"/>
          <w:position w:val="0"/>
        </w:rPr>
        <w:t>,</w:t>
      </w:r>
      <w:r>
        <w:rPr>
          <w:rFonts w:ascii="Times New Roman" w:eastAsia="Times New Roman" w:hAnsi="Times New Roman" w:cs="Times New Roman"/>
          <w:color w:val="000000"/>
          <w:spacing w:val="0"/>
          <w:w w:val="100"/>
          <w:position w:val="0"/>
        </w:rPr>
        <w:t>000</w:t>
      </w:r>
      <w:r>
        <w:rPr>
          <w:rFonts w:ascii="Arial Narrow" w:eastAsia="Arial Narrow" w:hAnsi="Arial Narrow" w:cs="Arial Narrow"/>
          <w:color w:val="000000"/>
          <w:spacing w:val="0"/>
          <w:w w:val="100"/>
          <w:position w:val="0"/>
        </w:rPr>
        <w:t>.</w:t>
      </w:r>
      <w:r>
        <w:rPr>
          <w:rFonts w:ascii="Times New Roman" w:eastAsia="Times New Roman" w:hAnsi="Times New Roman" w:cs="Times New Roman"/>
          <w:color w:val="000000"/>
          <w:spacing w:val="0"/>
          <w:w w:val="100"/>
          <w:position w:val="0"/>
        </w:rPr>
        <w:t>00</w:t>
      </w:r>
      <w:r>
        <w:rPr>
          <w:color w:val="000000"/>
          <w:spacing w:val="0"/>
          <w:w w:val="100"/>
          <w:position w:val="0"/>
        </w:rPr>
        <w:t>万元对中证机构间报价系统股份有限公司进行 投资，持股比例为</w:t>
      </w:r>
      <w:r>
        <w:rPr>
          <w:rFonts w:ascii="Times New Roman" w:eastAsia="Times New Roman" w:hAnsi="Times New Roman" w:cs="Times New Roman"/>
          <w:color w:val="000000"/>
          <w:spacing w:val="0"/>
          <w:w w:val="100"/>
          <w:position w:val="0"/>
        </w:rPr>
        <w:t>1</w:t>
      </w:r>
      <w:r>
        <w:rPr>
          <w:rFonts w:ascii="Arial Narrow" w:eastAsia="Arial Narrow" w:hAnsi="Arial Narrow" w:cs="Arial Narrow"/>
          <w:color w:val="000000"/>
          <w:spacing w:val="0"/>
          <w:w w:val="100"/>
          <w:position w:val="0"/>
        </w:rPr>
        <w:t>.</w:t>
      </w:r>
      <w:r>
        <w:rPr>
          <w:rFonts w:ascii="Times New Roman" w:eastAsia="Times New Roman" w:hAnsi="Times New Roman" w:cs="Times New Roman"/>
          <w:color w:val="000000"/>
          <w:spacing w:val="0"/>
          <w:w w:val="100"/>
          <w:position w:val="0"/>
        </w:rPr>
        <w:t>32</w:t>
      </w:r>
      <w:r>
        <w:rPr>
          <w:rFonts w:ascii="Arial Narrow" w:eastAsia="Arial Narrow" w:hAnsi="Arial Narrow" w:cs="Arial Narrow"/>
          <w:color w:val="000000"/>
          <w:spacing w:val="0"/>
          <w:w w:val="100"/>
          <w:position w:val="0"/>
        </w:rPr>
        <w:t>%</w:t>
      </w:r>
      <w:r>
        <w:rPr>
          <w:color w:val="000000"/>
          <w:spacing w:val="0"/>
          <w:w w:val="100"/>
          <w:position w:val="0"/>
        </w:rPr>
        <w:t>。</w:t>
      </w:r>
    </w:p>
    <w:p>
      <w:pPr>
        <w:pStyle w:val="Style37"/>
        <w:keepNext/>
        <w:keepLines/>
        <w:widowControl w:val="0"/>
        <w:pBdr>
          <w:bottom w:val="single" w:sz="4" w:space="0" w:color="auto"/>
        </w:pBdr>
        <w:shd w:val="clear" w:color="auto" w:fill="auto"/>
        <w:bidi w:val="0"/>
        <w:spacing w:before="0" w:after="260" w:line="240" w:lineRule="auto"/>
        <w:ind w:left="0" w:right="0" w:firstLine="480"/>
        <w:jc w:val="left"/>
      </w:pPr>
      <w:bookmarkStart w:id="1353" w:name="bookmark1353"/>
      <w:bookmarkStart w:id="1354" w:name="bookmark1354"/>
      <w:bookmarkStart w:id="1355" w:name="bookmark1355"/>
      <w:r>
        <w:rPr>
          <w:color w:val="000000"/>
          <w:spacing w:val="0"/>
          <w:w w:val="100"/>
          <w:position w:val="0"/>
        </w:rPr>
        <w:t>注释</w:t>
      </w:r>
      <w:r>
        <w:rPr>
          <w:rFonts w:ascii="Times New Roman" w:eastAsia="Times New Roman" w:hAnsi="Times New Roman" w:cs="Times New Roman"/>
          <w:color w:val="000000"/>
          <w:spacing w:val="0"/>
          <w:w w:val="100"/>
          <w:position w:val="0"/>
        </w:rPr>
        <w:t>17.</w:t>
      </w:r>
      <w:r>
        <w:rPr>
          <w:color w:val="000000"/>
          <w:spacing w:val="0"/>
          <w:w w:val="100"/>
          <w:position w:val="0"/>
        </w:rPr>
        <w:t>其他非流动金融资产</w:t>
      </w:r>
      <w:bookmarkEnd w:id="1353"/>
      <w:bookmarkEnd w:id="1354"/>
      <w:bookmarkEnd w:id="1355"/>
    </w:p>
    <w:p>
      <w:pPr>
        <w:pStyle w:val="Style40"/>
        <w:keepNext w:val="0"/>
        <w:keepLines w:val="0"/>
        <w:widowControl w:val="0"/>
        <w:shd w:val="clear" w:color="auto" w:fill="auto"/>
        <w:bidi w:val="0"/>
        <w:spacing w:before="0" w:after="0" w:line="240" w:lineRule="auto"/>
        <w:ind w:left="3912" w:right="0" w:firstLine="0"/>
        <w:jc w:val="left"/>
        <w:rPr>
          <w:sz w:val="18"/>
          <w:szCs w:val="18"/>
        </w:rPr>
      </w:pPr>
      <w:r>
        <w:rPr>
          <w:color w:val="000000"/>
          <w:spacing w:val="0"/>
          <w:w w:val="100"/>
          <w:position w:val="0"/>
          <w:sz w:val="18"/>
          <w:szCs w:val="18"/>
        </w:rPr>
        <w:t>期末余额</w:t>
      </w:r>
    </w:p>
    <w:tbl>
      <w:tblPr>
        <w:tblOverlap w:val="never"/>
        <w:jc w:val="center"/>
        <w:tblLayout w:type="fixed"/>
      </w:tblPr>
      <w:tblGrid>
        <w:gridCol w:w="1320"/>
        <w:gridCol w:w="1157"/>
        <w:gridCol w:w="1171"/>
        <w:gridCol w:w="1243"/>
        <w:gridCol w:w="1373"/>
        <w:gridCol w:w="1094"/>
        <w:gridCol w:w="1214"/>
      </w:tblGrid>
      <w:tr>
        <w:trPr>
          <w:trHeight w:val="422"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类别</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公允价值</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初始成本</w:t>
            </w:r>
          </w:p>
        </w:tc>
      </w:tr>
      <w:tr>
        <w:trPr>
          <w:trHeight w:val="166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8"/>
                <w:szCs w:val="18"/>
              </w:rPr>
              <w:t>分类为以公允 价值计量且其 变动计入当期 损益的金融资 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center"/>
              <w:rPr>
                <w:sz w:val="18"/>
                <w:szCs w:val="18"/>
              </w:rPr>
            </w:pPr>
            <w:r>
              <w:rPr>
                <w:color w:val="000000"/>
                <w:spacing w:val="0"/>
                <w:w w:val="100"/>
                <w:position w:val="0"/>
                <w:sz w:val="18"/>
                <w:szCs w:val="18"/>
              </w:rPr>
              <w:t>指定为以公允 价值计量且其 变动计入当期 损益的金融资 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公允价值合计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分类为以公允价 值计量且其变动 计入当期损益的</w:t>
            </w:r>
          </w:p>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18"/>
                <w:szCs w:val="18"/>
              </w:rPr>
            </w:pPr>
            <w:r>
              <w:rPr>
                <w:color w:val="000000"/>
                <w:spacing w:val="0"/>
                <w:w w:val="100"/>
                <w:position w:val="0"/>
                <w:sz w:val="18"/>
                <w:szCs w:val="18"/>
              </w:rPr>
              <w:t>指定为以公 允价值计量 且其变动计 入当期损益 的金融资产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初始成本合计</w:t>
            </w:r>
          </w:p>
        </w:tc>
      </w:tr>
      <w:tr>
        <w:trPr>
          <w:trHeight w:val="135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以公允价值计 量且其变动计 入当期损益的 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616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630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616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630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225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647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699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647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699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011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224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011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224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r>
      <w:tr>
        <w:trPr>
          <w:trHeight w:val="44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627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854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627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854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226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647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699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647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699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r>
    </w:tbl>
    <w:p>
      <w:pPr>
        <w:spacing w:lineRule="exact" w:line="1"/>
        <w:rPr>
          <w:sz w:val="2"/>
          <w:szCs w:val="2"/>
        </w:rPr>
      </w:pPr>
      <w:r>
        <w:br w:type="page"/>
      </w:r>
    </w:p>
    <w:p>
      <w:pPr>
        <w:pStyle w:val="Style16"/>
        <w:keepNext w:val="0"/>
        <w:keepLines w:val="0"/>
        <w:widowControl w:val="0"/>
        <w:pBdr>
          <w:bottom w:val="single" w:sz="4" w:space="0" w:color="auto"/>
        </w:pBdr>
        <w:shd w:val="clear" w:color="auto" w:fill="auto"/>
        <w:bidi w:val="0"/>
        <w:spacing w:before="0" w:after="300" w:line="240" w:lineRule="auto"/>
        <w:ind w:left="0" w:right="0" w:firstLine="460"/>
        <w:jc w:val="left"/>
      </w:pPr>
      <w:r>
        <w:rPr>
          <w:color w:val="000000"/>
          <w:spacing w:val="0"/>
          <w:w w:val="100"/>
          <w:position w:val="0"/>
        </w:rPr>
        <w:t>续:</w:t>
      </w:r>
    </w:p>
    <w:p>
      <w:pPr>
        <w:pStyle w:val="Style40"/>
        <w:keepNext w:val="0"/>
        <w:keepLines w:val="0"/>
        <w:widowControl w:val="0"/>
        <w:shd w:val="clear" w:color="auto" w:fill="auto"/>
        <w:bidi w:val="0"/>
        <w:spacing w:before="0" w:after="0" w:line="240" w:lineRule="auto"/>
        <w:ind w:left="3912" w:right="0" w:firstLine="0"/>
        <w:jc w:val="left"/>
        <w:rPr>
          <w:sz w:val="18"/>
          <w:szCs w:val="18"/>
        </w:rPr>
      </w:pPr>
      <w:r>
        <w:rPr>
          <w:color w:val="000000"/>
          <w:spacing w:val="0"/>
          <w:w w:val="100"/>
          <w:position w:val="0"/>
          <w:sz w:val="18"/>
          <w:szCs w:val="18"/>
        </w:rPr>
        <w:t>期初余额</w:t>
      </w:r>
    </w:p>
    <w:tbl>
      <w:tblPr>
        <w:tblOverlap w:val="never"/>
        <w:jc w:val="center"/>
        <w:tblLayout w:type="fixed"/>
      </w:tblPr>
      <w:tblGrid>
        <w:gridCol w:w="1320"/>
        <w:gridCol w:w="1157"/>
        <w:gridCol w:w="1200"/>
        <w:gridCol w:w="1186"/>
        <w:gridCol w:w="1282"/>
        <w:gridCol w:w="1229"/>
        <w:gridCol w:w="1200"/>
      </w:tblGrid>
      <w:tr>
        <w:trPr>
          <w:trHeight w:val="422"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类别</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公允价值</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初始成本</w:t>
            </w:r>
          </w:p>
        </w:tc>
      </w:tr>
      <w:tr>
        <w:trPr>
          <w:trHeight w:val="166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8"/>
                <w:szCs w:val="18"/>
              </w:rPr>
              <w:t>分类为以公允 价值计量且其 变动计入当期 损益的金融资 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center"/>
              <w:rPr>
                <w:sz w:val="18"/>
                <w:szCs w:val="18"/>
              </w:rPr>
            </w:pPr>
            <w:r>
              <w:rPr>
                <w:color w:val="000000"/>
                <w:spacing w:val="0"/>
                <w:w w:val="100"/>
                <w:position w:val="0"/>
                <w:sz w:val="18"/>
                <w:szCs w:val="18"/>
              </w:rPr>
              <w:t>指定为以公允 价值计量且其 变动计入当期 损益的金融资 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公允价值合计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8"/>
                <w:szCs w:val="18"/>
              </w:rPr>
              <w:t>分类为以公允 价值计量且其 变动计入当期 损益的金融资 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center"/>
              <w:rPr>
                <w:sz w:val="18"/>
                <w:szCs w:val="18"/>
              </w:rPr>
            </w:pPr>
            <w:r>
              <w:rPr>
                <w:color w:val="000000"/>
                <w:spacing w:val="0"/>
                <w:w w:val="100"/>
                <w:position w:val="0"/>
                <w:sz w:val="18"/>
                <w:szCs w:val="18"/>
              </w:rPr>
              <w:t>指定为以公允 价值计量且其 变动计入当期 损益的金融资 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初始成本合计</w:t>
            </w:r>
          </w:p>
        </w:tc>
      </w:tr>
      <w:tr>
        <w:trPr>
          <w:trHeight w:val="135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以公允价值计 量且其变动计 入当期损益的 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386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608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386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608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717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862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717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862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857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743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857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743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340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340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r>
      <w:tr>
        <w:trPr>
          <w:trHeight w:val="44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244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351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244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351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057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862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057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862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r>
    </w:tbl>
    <w:p>
      <w:pPr>
        <w:pStyle w:val="Style16"/>
        <w:keepNext w:val="0"/>
        <w:keepLines w:val="0"/>
        <w:widowControl w:val="0"/>
        <w:shd w:val="clear" w:color="auto" w:fill="auto"/>
        <w:bidi w:val="0"/>
        <w:spacing w:before="0" w:after="460" w:line="413" w:lineRule="exact"/>
        <w:ind w:left="0" w:right="0" w:firstLine="500"/>
        <w:jc w:val="left"/>
      </w:pPr>
      <w:r>
        <w:rPr>
          <w:color w:val="000000"/>
          <w:spacing w:val="0"/>
          <w:w w:val="100"/>
          <w:position w:val="0"/>
        </w:rPr>
        <w:t>注：报告期末，权益工具投资为公司非证券业务板块的公允价值变动计入损益的非上市 股权投资。</w:t>
      </w:r>
    </w:p>
    <w:p>
      <w:pPr>
        <w:pStyle w:val="Style37"/>
        <w:keepNext/>
        <w:keepLines/>
        <w:widowControl w:val="0"/>
        <w:shd w:val="clear" w:color="auto" w:fill="auto"/>
        <w:bidi w:val="0"/>
        <w:spacing w:before="0" w:after="140" w:line="240" w:lineRule="auto"/>
        <w:ind w:left="0" w:right="0" w:firstLine="460"/>
        <w:jc w:val="left"/>
      </w:pPr>
      <w:bookmarkStart w:id="1356" w:name="bookmark1356"/>
      <w:bookmarkStart w:id="1357" w:name="bookmark1357"/>
      <w:bookmarkStart w:id="1358" w:name="bookmark1358"/>
      <w:r>
        <w:rPr>
          <w:color w:val="000000"/>
          <w:spacing w:val="0"/>
          <w:w w:val="100"/>
          <w:position w:val="0"/>
        </w:rPr>
        <w:t>注释</w:t>
      </w:r>
      <w:r>
        <w:rPr>
          <w:rFonts w:ascii="Times New Roman" w:eastAsia="Times New Roman" w:hAnsi="Times New Roman" w:cs="Times New Roman"/>
          <w:color w:val="000000"/>
          <w:spacing w:val="0"/>
          <w:w w:val="100"/>
          <w:position w:val="0"/>
        </w:rPr>
        <w:t>18 .</w:t>
      </w:r>
      <w:r>
        <w:rPr>
          <w:color w:val="000000"/>
          <w:spacing w:val="0"/>
          <w:w w:val="100"/>
          <w:position w:val="0"/>
        </w:rPr>
        <w:t>固定资产</w:t>
      </w:r>
      <w:bookmarkEnd w:id="1356"/>
      <w:bookmarkEnd w:id="1357"/>
      <w:bookmarkEnd w:id="1358"/>
    </w:p>
    <w:tbl>
      <w:tblPr>
        <w:tblOverlap w:val="never"/>
        <w:jc w:val="center"/>
        <w:tblLayout w:type="fixed"/>
      </w:tblPr>
      <w:tblGrid>
        <w:gridCol w:w="3480"/>
        <w:gridCol w:w="2338"/>
        <w:gridCol w:w="2794"/>
      </w:tblGrid>
      <w:tr>
        <w:trPr>
          <w:trHeight w:val="37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121,530,538.79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112,967,809.22</w:t>
            </w:r>
          </w:p>
        </w:tc>
      </w:tr>
      <w:tr>
        <w:trPr>
          <w:trHeight w:val="379"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121,530,538.79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112,967,809.22</w:t>
            </w:r>
          </w:p>
        </w:tc>
      </w:tr>
    </w:tbl>
    <w:p>
      <w:pPr>
        <w:widowControl w:val="0"/>
        <w:spacing w:after="459" w:line="1" w:lineRule="exact"/>
      </w:pPr>
    </w:p>
    <w:p>
      <w:pPr>
        <w:pStyle w:val="Style16"/>
        <w:keepNext w:val="0"/>
        <w:keepLines w:val="0"/>
        <w:widowControl w:val="0"/>
        <w:numPr>
          <w:ilvl w:val="0"/>
          <w:numId w:val="83"/>
        </w:numPr>
        <w:shd w:val="clear" w:color="auto" w:fill="auto"/>
        <w:bidi w:val="0"/>
        <w:spacing w:before="0" w:after="140" w:line="240" w:lineRule="auto"/>
        <w:ind w:left="0" w:right="0" w:firstLine="460"/>
        <w:jc w:val="left"/>
      </w:pPr>
      <w:bookmarkStart w:id="1359" w:name="bookmark1359"/>
      <w:bookmarkStart w:id="1360" w:name="bookmark1360"/>
      <w:bookmarkEnd w:id="1359"/>
      <w:r>
        <w:rPr>
          <w:b/>
          <w:bCs/>
          <w:color w:val="000000"/>
          <w:spacing w:val="0"/>
          <w:w w:val="100"/>
          <w:position w:val="0"/>
        </w:rPr>
        <w:t>固定资产</w:t>
      </w:r>
      <w:bookmarkEnd w:id="1360"/>
    </w:p>
    <w:p>
      <w:pPr>
        <w:pStyle w:val="Style51"/>
        <w:keepNext/>
        <w:keepLines/>
        <w:widowControl w:val="0"/>
        <w:shd w:val="clear" w:color="auto" w:fill="auto"/>
        <w:bidi w:val="0"/>
        <w:spacing w:before="0" w:after="140" w:line="240" w:lineRule="auto"/>
        <w:ind w:left="0" w:right="0" w:firstLine="460"/>
        <w:jc w:val="left"/>
      </w:pPr>
      <w:bookmarkStart w:id="1361" w:name="bookmark1361"/>
      <w:bookmarkStart w:id="1362" w:name="bookmark1362"/>
      <w:bookmarkStart w:id="1363" w:name="bookmark1363"/>
      <w:r>
        <w:rPr>
          <w:color w:val="000000"/>
          <w:spacing w:val="0"/>
          <w:w w:val="100"/>
          <w:position w:val="0"/>
        </w:rPr>
        <w:t>1.</w:t>
      </w:r>
      <w:r>
        <w:rPr>
          <w:color w:val="000000"/>
          <w:spacing w:val="0"/>
          <w:w w:val="100"/>
          <w:position w:val="0"/>
        </w:rPr>
        <w:t>固定资产情况</w:t>
      </w:r>
      <w:bookmarkEnd w:id="1361"/>
      <w:bookmarkEnd w:id="1362"/>
      <w:bookmarkEnd w:id="1363"/>
    </w:p>
    <w:tbl>
      <w:tblPr>
        <w:tblOverlap w:val="never"/>
        <w:jc w:val="center"/>
        <w:tblLayout w:type="fixed"/>
      </w:tblPr>
      <w:tblGrid>
        <w:gridCol w:w="2467"/>
        <w:gridCol w:w="1133"/>
        <w:gridCol w:w="1421"/>
        <w:gridCol w:w="1272"/>
        <w:gridCol w:w="1138"/>
        <w:gridCol w:w="1306"/>
      </w:tblGrid>
      <w:tr>
        <w:trPr>
          <w:trHeight w:val="44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电子及机器设备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运输设备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办公设备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776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633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033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430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274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768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421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607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830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34</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304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999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118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641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684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084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325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10</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一购置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304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999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170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335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684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136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018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56</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—其他(汇兑损益导致)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693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693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46</w:t>
            </w:r>
          </w:p>
        </w:tc>
      </w:tr>
      <w:tr>
        <w:trPr>
          <w:trHeight w:val="44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)本期减少金额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467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645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965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165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839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278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806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25</w:t>
            </w:r>
          </w:p>
        </w:tc>
      </w:tr>
    </w:tbl>
    <w:p>
      <w:pPr>
        <w:spacing w:lineRule="exact" w:line="1"/>
        <w:rPr>
          <w:sz w:val="2"/>
          <w:szCs w:val="2"/>
        </w:rPr>
      </w:pPr>
      <w:r>
        <w:br w:type="page"/>
      </w:r>
    </w:p>
    <w:tbl>
      <w:tblPr>
        <w:tblOverlap w:val="never"/>
        <w:jc w:val="center"/>
        <w:tblLayout w:type="fixed"/>
      </w:tblPr>
      <w:tblGrid>
        <w:gridCol w:w="2467"/>
        <w:gridCol w:w="1133"/>
        <w:gridCol w:w="1421"/>
        <w:gridCol w:w="1272"/>
        <w:gridCol w:w="1138"/>
        <w:gridCol w:w="1306"/>
      </w:tblGrid>
      <w:tr>
        <w:trPr>
          <w:trHeight w:val="44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电子及机器设备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运输设备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办公设备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一处置或报废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467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645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965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165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839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278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806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25</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一处置子公司减少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776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471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032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902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950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263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265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254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413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349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19</w:t>
            </w:r>
          </w:p>
        </w:tc>
      </w:tr>
      <w:tr>
        <w:trPr>
          <w:trHeight w:val="41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762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661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434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105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726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337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430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640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021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12</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999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639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245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825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393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029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993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847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487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66</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一计提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999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639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245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825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393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029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993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847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487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66</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683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344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596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586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324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766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604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698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38</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一处置或报废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683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344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596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586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324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766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604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698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38</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一处置子公司减少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762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996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683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902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169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221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656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132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882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810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40</w:t>
            </w:r>
          </w:p>
        </w:tc>
      </w:tr>
      <w:tr>
        <w:trPr>
          <w:trHeight w:val="41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一计提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一处置或报废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013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474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348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781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041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609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530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538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79</w:t>
            </w:r>
          </w:p>
        </w:tc>
      </w:tr>
      <w:tr>
        <w:trPr>
          <w:trHeight w:val="451"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013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439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198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830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324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548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430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991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112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967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809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22</w:t>
            </w:r>
          </w:p>
        </w:tc>
      </w:tr>
    </w:tbl>
    <w:p>
      <w:pPr>
        <w:widowControl w:val="0"/>
        <w:spacing w:after="459" w:line="1" w:lineRule="exact"/>
      </w:pPr>
    </w:p>
    <w:p>
      <w:pPr>
        <w:pStyle w:val="Style37"/>
        <w:keepNext/>
        <w:keepLines/>
        <w:widowControl w:val="0"/>
        <w:shd w:val="clear" w:color="auto" w:fill="auto"/>
        <w:bidi w:val="0"/>
        <w:spacing w:before="0" w:after="160" w:line="240" w:lineRule="auto"/>
        <w:ind w:left="0" w:right="0" w:firstLine="480"/>
        <w:jc w:val="left"/>
      </w:pPr>
      <w:bookmarkStart w:id="1364" w:name="bookmark1364"/>
      <w:bookmarkStart w:id="1365" w:name="bookmark1365"/>
      <w:bookmarkStart w:id="1366" w:name="bookmark1366"/>
      <w:r>
        <w:rPr>
          <w:color w:val="000000"/>
          <w:spacing w:val="0"/>
          <w:w w:val="100"/>
          <w:position w:val="0"/>
        </w:rPr>
        <w:t>注释</w:t>
      </w:r>
      <w:r>
        <w:rPr>
          <w:rFonts w:ascii="Times New Roman" w:eastAsia="Times New Roman" w:hAnsi="Times New Roman" w:cs="Times New Roman"/>
          <w:color w:val="000000"/>
          <w:spacing w:val="0"/>
          <w:w w:val="100"/>
          <w:position w:val="0"/>
        </w:rPr>
        <w:t>19.</w:t>
      </w:r>
      <w:r>
        <w:rPr>
          <w:color w:val="000000"/>
          <w:spacing w:val="0"/>
          <w:w w:val="100"/>
          <w:position w:val="0"/>
        </w:rPr>
        <w:t>无形资产</w:t>
      </w:r>
      <w:bookmarkEnd w:id="1364"/>
      <w:bookmarkEnd w:id="1365"/>
      <w:bookmarkEnd w:id="1366"/>
    </w:p>
    <w:p>
      <w:pPr>
        <w:pStyle w:val="Style51"/>
        <w:keepNext/>
        <w:keepLines/>
        <w:widowControl w:val="0"/>
        <w:shd w:val="clear" w:color="auto" w:fill="auto"/>
        <w:bidi w:val="0"/>
        <w:spacing w:before="0" w:after="160" w:line="240" w:lineRule="auto"/>
        <w:ind w:left="0" w:right="0" w:firstLine="480"/>
        <w:jc w:val="left"/>
      </w:pPr>
      <w:bookmarkStart w:id="1367" w:name="bookmark1367"/>
      <w:bookmarkStart w:id="1368" w:name="bookmark1368"/>
      <w:bookmarkStart w:id="1369" w:name="bookmark1369"/>
      <w:r>
        <w:rPr>
          <w:color w:val="000000"/>
          <w:spacing w:val="0"/>
          <w:w w:val="100"/>
          <w:position w:val="0"/>
        </w:rPr>
        <w:t>1.</w:t>
      </w:r>
      <w:r>
        <w:rPr>
          <w:color w:val="000000"/>
          <w:spacing w:val="0"/>
          <w:w w:val="100"/>
          <w:position w:val="0"/>
        </w:rPr>
        <w:t>无形资产情况</w:t>
      </w:r>
      <w:bookmarkEnd w:id="1367"/>
      <w:bookmarkEnd w:id="1368"/>
      <w:bookmarkEnd w:id="1369"/>
    </w:p>
    <w:tbl>
      <w:tblPr>
        <w:tblOverlap w:val="never"/>
        <w:jc w:val="center"/>
        <w:tblLayout w:type="fixed"/>
      </w:tblPr>
      <w:tblGrid>
        <w:gridCol w:w="1613"/>
        <w:gridCol w:w="1339"/>
        <w:gridCol w:w="1334"/>
        <w:gridCol w:w="1330"/>
        <w:gridCol w:w="1334"/>
        <w:gridCol w:w="1363"/>
      </w:tblGrid>
      <w:tr>
        <w:trPr>
          <w:trHeight w:val="36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软件及著作权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特许经营权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交易席位费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期货会员资格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color w:val="000000"/>
                <w:spacing w:val="0"/>
                <w:w w:val="100"/>
                <w:position w:val="0"/>
                <w:sz w:val="18"/>
                <w:szCs w:val="18"/>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816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428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616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428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97</w:t>
            </w:r>
          </w:p>
        </w:tc>
      </w:tr>
      <w:tr>
        <w:trPr>
          <w:trHeight w:val="41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848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315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848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315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21</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购置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675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018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675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018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45</w:t>
            </w:r>
          </w:p>
        </w:tc>
      </w:tr>
      <w:tr>
        <w:trPr>
          <w:trHeight w:val="44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内部研发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173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296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173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296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76</w:t>
            </w:r>
          </w:p>
        </w:tc>
      </w:tr>
    </w:tbl>
    <w:p>
      <w:pPr>
        <w:spacing w:lineRule="exact" w:line="1"/>
        <w:rPr>
          <w:sz w:val="2"/>
          <w:szCs w:val="2"/>
        </w:rPr>
      </w:pPr>
      <w:r>
        <w:br w:type="page"/>
      </w:r>
    </w:p>
    <w:tbl>
      <w:tblPr>
        <w:tblOverlap w:val="never"/>
        <w:jc w:val="center"/>
        <w:tblLayout w:type="fixed"/>
      </w:tblPr>
      <w:tblGrid>
        <w:gridCol w:w="1613"/>
        <w:gridCol w:w="1339"/>
        <w:gridCol w:w="1334"/>
        <w:gridCol w:w="1334"/>
        <w:gridCol w:w="1330"/>
        <w:gridCol w:w="1363"/>
      </w:tblGrid>
      <w:tr>
        <w:trPr>
          <w:trHeight w:val="36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软件及著作权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特许经营权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交易席位费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期货会员资格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r>
            <w:r>
              <w:rPr>
                <w:color w:val="000000"/>
                <w:spacing w:val="0"/>
                <w:w w:val="100"/>
                <w:position w:val="0"/>
                <w:sz w:val="18"/>
                <w:szCs w:val="18"/>
              </w:rPr>
              <w:t>本期减少金额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554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617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554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617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98</w:t>
            </w:r>
          </w:p>
        </w:tc>
      </w:tr>
      <w:tr>
        <w:trPr>
          <w:trHeight w:val="41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处置或报废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554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617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554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617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98</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处置子公司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w:t>
            </w:r>
            <w:r>
              <w:rPr>
                <w:color w:val="000000"/>
                <w:spacing w:val="0"/>
                <w:w w:val="100"/>
                <w:position w:val="0"/>
                <w:sz w:val="18"/>
                <w:szCs w:val="18"/>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110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126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910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126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color w:val="000000"/>
                <w:spacing w:val="0"/>
                <w:w w:val="100"/>
                <w:position w:val="0"/>
                <w:sz w:val="18"/>
                <w:szCs w:val="18"/>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999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510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399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510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52</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930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337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930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337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26</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930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337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930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337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26</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r>
            <w:r>
              <w:rPr>
                <w:color w:val="000000"/>
                <w:spacing w:val="0"/>
                <w:w w:val="100"/>
                <w:position w:val="0"/>
                <w:sz w:val="18"/>
                <w:szCs w:val="18"/>
              </w:rPr>
              <w:t>本期减少金额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554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617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554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617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98</w:t>
            </w:r>
          </w:p>
        </w:tc>
      </w:tr>
      <w:tr>
        <w:trPr>
          <w:trHeight w:val="41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处置或报废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554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617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554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617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98</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w:t>
            </w:r>
            <w:r>
              <w:rPr>
                <w:color w:val="000000"/>
                <w:spacing w:val="0"/>
                <w:w w:val="100"/>
                <w:position w:val="0"/>
                <w:sz w:val="18"/>
                <w:szCs w:val="18"/>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375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229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775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229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80</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color w:val="000000"/>
                <w:spacing w:val="0"/>
                <w:w w:val="100"/>
                <w:position w:val="0"/>
                <w:sz w:val="18"/>
                <w:szCs w:val="18"/>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本期计提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r>
            <w:r>
              <w:rPr>
                <w:color w:val="000000"/>
                <w:spacing w:val="0"/>
                <w:w w:val="100"/>
                <w:position w:val="0"/>
                <w:sz w:val="18"/>
                <w:szCs w:val="18"/>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w:t>
            </w:r>
            <w:r>
              <w:rPr>
                <w:color w:val="000000"/>
                <w:spacing w:val="0"/>
                <w:w w:val="100"/>
                <w:position w:val="0"/>
                <w:sz w:val="18"/>
                <w:szCs w:val="18"/>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color w:val="000000"/>
                <w:spacing w:val="0"/>
                <w:w w:val="100"/>
                <w:position w:val="0"/>
                <w:sz w:val="18"/>
                <w:szCs w:val="18"/>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734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896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86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134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896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40</w:t>
            </w:r>
          </w:p>
        </w:tc>
      </w:tr>
      <w:tr>
        <w:trPr>
          <w:trHeight w:val="44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816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918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216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918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45</w:t>
            </w:r>
          </w:p>
        </w:tc>
      </w:tr>
    </w:tbl>
    <w:p>
      <w:pPr>
        <w:widowControl w:val="0"/>
        <w:spacing w:after="459" w:line="1" w:lineRule="exact"/>
      </w:pPr>
    </w:p>
    <w:p>
      <w:pPr>
        <w:pStyle w:val="Style37"/>
        <w:keepNext/>
        <w:keepLines/>
        <w:widowControl w:val="0"/>
        <w:shd w:val="clear" w:color="auto" w:fill="auto"/>
        <w:bidi w:val="0"/>
        <w:spacing w:before="0" w:after="140" w:line="240" w:lineRule="auto"/>
        <w:ind w:left="0" w:right="0" w:firstLine="480"/>
        <w:jc w:val="left"/>
      </w:pPr>
      <w:bookmarkStart w:id="1370" w:name="bookmark1370"/>
      <w:bookmarkStart w:id="1371" w:name="bookmark1371"/>
      <w:bookmarkStart w:id="1372" w:name="bookmark1372"/>
      <w:r>
        <w:rPr>
          <w:color w:val="000000"/>
          <w:spacing w:val="0"/>
          <w:w w:val="100"/>
          <w:position w:val="0"/>
        </w:rPr>
        <w:t>注释</w:t>
      </w:r>
      <w:r>
        <w:rPr>
          <w:rFonts w:ascii="Times New Roman" w:eastAsia="Times New Roman" w:hAnsi="Times New Roman" w:cs="Times New Roman"/>
          <w:color w:val="000000"/>
          <w:spacing w:val="0"/>
          <w:w w:val="100"/>
          <w:position w:val="0"/>
        </w:rPr>
        <w:t>20.</w:t>
      </w:r>
      <w:r>
        <w:rPr>
          <w:color w:val="000000"/>
          <w:spacing w:val="0"/>
          <w:w w:val="100"/>
          <w:position w:val="0"/>
        </w:rPr>
        <w:t>开发支出</w:t>
      </w:r>
      <w:bookmarkEnd w:id="1370"/>
      <w:bookmarkEnd w:id="1371"/>
      <w:bookmarkEnd w:id="1372"/>
    </w:p>
    <w:tbl>
      <w:tblPr>
        <w:tblOverlap w:val="never"/>
        <w:jc w:val="center"/>
        <w:tblLayout w:type="fixed"/>
      </w:tblPr>
      <w:tblGrid>
        <w:gridCol w:w="2328"/>
        <w:gridCol w:w="1133"/>
        <w:gridCol w:w="1277"/>
        <w:gridCol w:w="1421"/>
        <w:gridCol w:w="1272"/>
        <w:gridCol w:w="1128"/>
      </w:tblGrid>
      <w:tr>
        <w:trPr>
          <w:trHeight w:val="442"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本期增加金额</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本期减少金额</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418"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内部开发支出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确认为无形资产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转入当期损益</w:t>
            </w:r>
          </w:p>
        </w:tc>
        <w:tc>
          <w:tcPr>
            <w:vMerge/>
            <w:tcBorders>
              <w:left w:val="single" w:sz="4"/>
            </w:tcBorders>
            <w:shd w:val="clear" w:color="auto" w:fill="FFFFFF"/>
            <w:vAlign w:val="center"/>
          </w:tcPr>
          <w:p>
            <w:pPr/>
          </w:p>
        </w:tc>
      </w:tr>
      <w:tr>
        <w:trPr>
          <w:trHeight w:val="47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持仓复盘大数据分析项目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359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569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417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828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987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研报资讯快速分享平台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509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993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495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323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317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27</w:t>
            </w: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大数据分析自研平台项目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928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343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122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452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050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795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40</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证券推广运营平台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745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834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462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173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296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金融业务平台项目</w:t>
            </w:r>
            <w:r>
              <w:rPr>
                <w:color w:val="000000"/>
                <w:spacing w:val="0"/>
                <w:w w:val="100"/>
                <w:position w:val="0"/>
                <w:sz w:val="18"/>
                <w:szCs w:val="18"/>
              </w:rPr>
              <w:t>I</w:t>
            </w:r>
            <w:r>
              <w:rPr>
                <w:color w:val="000000"/>
                <w:spacing w:val="0"/>
                <w:w w:val="100"/>
                <w:position w:val="0"/>
                <w:sz w:val="18"/>
                <w:szCs w:val="18"/>
              </w:rPr>
              <w:t>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731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817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423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116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241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78</w:t>
            </w: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328"/>
        <w:gridCol w:w="1133"/>
        <w:gridCol w:w="1277"/>
        <w:gridCol w:w="1421"/>
        <w:gridCol w:w="1272"/>
        <w:gridCol w:w="1128"/>
      </w:tblGrid>
      <w:tr>
        <w:trPr>
          <w:trHeight w:val="442"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本期增加金额</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本期减少金额</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418"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内部开发支出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确认为无形资产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转入当期损益</w:t>
            </w:r>
          </w:p>
        </w:tc>
        <w:tc>
          <w:tcPr>
            <w:vMerge/>
            <w:tcBorders>
              <w:left w:val="single" w:sz="4"/>
            </w:tcBorders>
            <w:shd w:val="clear" w:color="auto" w:fill="FFFFFF"/>
            <w:vAlign w:val="center"/>
          </w:tcPr>
          <w:p>
            <w:pPr/>
          </w:p>
        </w:tc>
      </w:tr>
      <w:tr>
        <w:trPr>
          <w:trHeight w:val="44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275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558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899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079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173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296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950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546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050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795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40</w:t>
            </w:r>
          </w:p>
        </w:tc>
      </w:tr>
    </w:tbl>
    <w:p>
      <w:pPr>
        <w:widowControl w:val="0"/>
        <w:spacing w:after="439" w:line="1" w:lineRule="exact"/>
      </w:pPr>
    </w:p>
    <w:p>
      <w:pPr>
        <w:pStyle w:val="Style37"/>
        <w:keepNext/>
        <w:keepLines/>
        <w:widowControl w:val="0"/>
        <w:shd w:val="clear" w:color="auto" w:fill="auto"/>
        <w:bidi w:val="0"/>
        <w:spacing w:before="0" w:after="160" w:line="240" w:lineRule="auto"/>
        <w:ind w:left="0" w:right="0" w:firstLine="480"/>
        <w:jc w:val="left"/>
      </w:pPr>
      <w:bookmarkStart w:id="1373" w:name="bookmark1373"/>
      <w:bookmarkStart w:id="1374" w:name="bookmark1374"/>
      <w:bookmarkStart w:id="1375" w:name="bookmark1375"/>
      <w:r>
        <w:rPr>
          <w:color w:val="000000"/>
          <w:spacing w:val="0"/>
          <w:w w:val="100"/>
          <w:position w:val="0"/>
        </w:rPr>
        <w:t>注释</w:t>
      </w:r>
      <w:r>
        <w:rPr>
          <w:rFonts w:ascii="Times New Roman" w:eastAsia="Times New Roman" w:hAnsi="Times New Roman" w:cs="Times New Roman"/>
          <w:color w:val="000000"/>
          <w:spacing w:val="0"/>
          <w:w w:val="100"/>
          <w:position w:val="0"/>
        </w:rPr>
        <w:t>21.</w:t>
      </w:r>
      <w:r>
        <w:rPr>
          <w:color w:val="000000"/>
          <w:spacing w:val="0"/>
          <w:w w:val="100"/>
          <w:position w:val="0"/>
        </w:rPr>
        <w:t>商誉</w:t>
      </w:r>
      <w:bookmarkEnd w:id="1373"/>
      <w:bookmarkEnd w:id="1374"/>
      <w:bookmarkEnd w:id="1375"/>
    </w:p>
    <w:p>
      <w:pPr>
        <w:pStyle w:val="Style51"/>
        <w:keepNext/>
        <w:keepLines/>
        <w:widowControl w:val="0"/>
        <w:shd w:val="clear" w:color="auto" w:fill="auto"/>
        <w:bidi w:val="0"/>
        <w:spacing w:before="0" w:after="160" w:line="240" w:lineRule="auto"/>
        <w:ind w:left="0" w:right="0" w:firstLine="480"/>
        <w:jc w:val="left"/>
      </w:pPr>
      <w:bookmarkStart w:id="1376" w:name="bookmark1376"/>
      <w:bookmarkStart w:id="1377" w:name="bookmark1377"/>
      <w:bookmarkStart w:id="1378" w:name="bookmark1378"/>
      <w:r>
        <w:rPr>
          <w:color w:val="000000"/>
          <w:spacing w:val="0"/>
          <w:w w:val="100"/>
          <w:position w:val="0"/>
        </w:rPr>
        <w:t>1.</w:t>
      </w:r>
      <w:r>
        <w:rPr>
          <w:color w:val="000000"/>
          <w:spacing w:val="0"/>
          <w:w w:val="100"/>
          <w:position w:val="0"/>
        </w:rPr>
        <w:t>商誉账面原值</w:t>
      </w:r>
      <w:bookmarkEnd w:id="1376"/>
      <w:bookmarkEnd w:id="1377"/>
      <w:bookmarkEnd w:id="1378"/>
    </w:p>
    <w:tbl>
      <w:tblPr>
        <w:tblOverlap w:val="never"/>
        <w:jc w:val="center"/>
        <w:tblLayout w:type="fixed"/>
      </w:tblPr>
      <w:tblGrid>
        <w:gridCol w:w="2174"/>
        <w:gridCol w:w="1565"/>
        <w:gridCol w:w="979"/>
        <w:gridCol w:w="725"/>
        <w:gridCol w:w="725"/>
        <w:gridCol w:w="763"/>
        <w:gridCol w:w="1622"/>
      </w:tblGrid>
      <w:tr>
        <w:trPr>
          <w:trHeight w:val="374"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被投资单位名称或形成 商誉的事项</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期初余额</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期末余额</w:t>
            </w:r>
          </w:p>
        </w:tc>
      </w:tr>
      <w:tr>
        <w:trPr>
          <w:trHeight w:val="557"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企业合并 形成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处置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tcBorders>
              <w:left w:val="single" w:sz="4"/>
            </w:tcBorders>
            <w:shd w:val="clear" w:color="auto" w:fill="FFFFFF"/>
            <w:vAlign w:val="center"/>
          </w:tcPr>
          <w:p>
            <w:pPr/>
          </w:p>
        </w:tc>
      </w:tr>
      <w:tr>
        <w:trPr>
          <w:trHeight w:val="39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国盛证券有限责任公司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162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030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950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162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030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950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83</w:t>
            </w:r>
          </w:p>
        </w:tc>
      </w:tr>
      <w:tr>
        <w:trPr>
          <w:trHeight w:val="9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Kingley Ying Fat Paper</w:t>
            </w:r>
          </w:p>
          <w:p>
            <w:pPr>
              <w:pStyle w:val="Style2"/>
              <w:keepNext w:val="0"/>
              <w:keepLines w:val="0"/>
              <w:widowControl w:val="0"/>
              <w:shd w:val="clear" w:color="auto" w:fill="auto"/>
              <w:bidi w:val="0"/>
              <w:spacing w:before="0" w:after="10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 xml:space="preserve">Products </w:t>
            </w:r>
            <w:r>
              <w:rPr>
                <w:rFonts w:ascii="Times New Roman" w:eastAsia="Times New Roman" w:hAnsi="Times New Roman" w:cs="Times New Roman"/>
                <w:color w:val="000000"/>
                <w:spacing w:val="0"/>
                <w:w w:val="100"/>
                <w:position w:val="0"/>
                <w:sz w:val="18"/>
                <w:szCs w:val="18"/>
              </w:rPr>
              <w:t xml:space="preserve">&amp; </w:t>
            </w:r>
            <w:r>
              <w:rPr>
                <w:rFonts w:ascii="Times New Roman" w:eastAsia="Times New Roman" w:hAnsi="Times New Roman" w:cs="Times New Roman"/>
                <w:color w:val="000000"/>
                <w:spacing w:val="0"/>
                <w:w w:val="100"/>
                <w:position w:val="0"/>
                <w:sz w:val="18"/>
                <w:szCs w:val="18"/>
              </w:rPr>
              <w:t>Printing</w:t>
            </w:r>
          </w:p>
          <w:p>
            <w:pPr>
              <w:pStyle w:val="Style2"/>
              <w:keepNext w:val="0"/>
              <w:keepLines w:val="0"/>
              <w:widowControl w:val="0"/>
              <w:shd w:val="clear" w:color="auto" w:fill="auto"/>
              <w:bidi w:val="0"/>
              <w:spacing w:before="0" w:after="10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069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370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069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370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36</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35" w:lineRule="exact"/>
              <w:ind w:left="140" w:right="0" w:firstLine="0"/>
              <w:jc w:val="left"/>
              <w:rPr>
                <w:sz w:val="18"/>
                <w:szCs w:val="18"/>
              </w:rPr>
            </w:pPr>
            <w:r>
              <w:rPr>
                <w:color w:val="000000"/>
                <w:spacing w:val="0"/>
                <w:w w:val="100"/>
                <w:position w:val="0"/>
                <w:sz w:val="18"/>
                <w:szCs w:val="18"/>
              </w:rPr>
              <w:t>天津国盛信安科技有限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473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955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473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955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15</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26" w:lineRule="exact"/>
              <w:ind w:left="140" w:right="0" w:firstLine="0"/>
              <w:jc w:val="left"/>
              <w:rPr>
                <w:sz w:val="18"/>
                <w:szCs w:val="18"/>
              </w:rPr>
            </w:pPr>
            <w:r>
              <w:rPr>
                <w:color w:val="000000"/>
                <w:spacing w:val="0"/>
                <w:w w:val="100"/>
                <w:position w:val="0"/>
                <w:sz w:val="18"/>
                <w:szCs w:val="18"/>
              </w:rPr>
              <w:t>深圳前海弘大嘉豪资本 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上海多专科技有限公司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深圳弘大智合投资合伙</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企业（有限合伙）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r>
      <w:tr>
        <w:trPr>
          <w:trHeight w:val="432"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164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594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577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164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594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578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34</w:t>
            </w:r>
          </w:p>
        </w:tc>
      </w:tr>
    </w:tbl>
    <w:p>
      <w:pPr>
        <w:widowControl w:val="0"/>
        <w:spacing w:after="299" w:line="1" w:lineRule="exact"/>
      </w:pPr>
    </w:p>
    <w:p>
      <w:pPr>
        <w:pStyle w:val="Style51"/>
        <w:keepNext/>
        <w:keepLines/>
        <w:widowControl w:val="0"/>
        <w:numPr>
          <w:ilvl w:val="0"/>
          <w:numId w:val="85"/>
        </w:numPr>
        <w:shd w:val="clear" w:color="auto" w:fill="auto"/>
        <w:bidi w:val="0"/>
        <w:spacing w:before="0" w:after="160" w:line="240" w:lineRule="auto"/>
        <w:ind w:left="0" w:right="0" w:firstLine="480"/>
        <w:jc w:val="left"/>
      </w:pPr>
      <w:bookmarkStart w:id="1379" w:name="bookmark1379"/>
      <w:bookmarkStart w:id="1380" w:name="bookmark1380"/>
      <w:bookmarkStart w:id="1381" w:name="bookmark1381"/>
      <w:bookmarkStart w:id="1382" w:name="bookmark1382"/>
      <w:bookmarkEnd w:id="1381"/>
      <w:r>
        <w:rPr>
          <w:color w:val="000000"/>
          <w:spacing w:val="0"/>
          <w:w w:val="100"/>
          <w:position w:val="0"/>
        </w:rPr>
        <w:t>商誉减值准备</w:t>
      </w:r>
      <w:bookmarkEnd w:id="1379"/>
      <w:bookmarkEnd w:id="1380"/>
      <w:bookmarkEnd w:id="1382"/>
    </w:p>
    <w:tbl>
      <w:tblPr>
        <w:tblOverlap w:val="never"/>
        <w:jc w:val="center"/>
        <w:tblLayout w:type="fixed"/>
      </w:tblPr>
      <w:tblGrid>
        <w:gridCol w:w="1843"/>
        <w:gridCol w:w="1334"/>
        <w:gridCol w:w="1022"/>
        <w:gridCol w:w="874"/>
        <w:gridCol w:w="1032"/>
        <w:gridCol w:w="749"/>
        <w:gridCol w:w="1670"/>
      </w:tblGrid>
      <w:tr>
        <w:trPr>
          <w:trHeight w:val="379"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被投资单位名称或 形成商誉的事项</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期初余额</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期末余额</w:t>
            </w:r>
          </w:p>
        </w:tc>
      </w:tr>
      <w:tr>
        <w:trPr>
          <w:trHeight w:val="346"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处置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tcBorders>
              <w:left w:val="single" w:sz="4"/>
            </w:tcBorders>
            <w:shd w:val="clear" w:color="auto" w:fill="FFFFFF"/>
            <w:vAlign w:val="center"/>
          </w:tcPr>
          <w:p>
            <w:pPr/>
          </w:p>
        </w:tc>
      </w:tr>
      <w:tr>
        <w:trPr>
          <w:trHeight w:val="71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color w:val="000000"/>
                <w:spacing w:val="0"/>
                <w:w w:val="100"/>
                <w:position w:val="0"/>
                <w:sz w:val="18"/>
                <w:szCs w:val="18"/>
              </w:rPr>
              <w:t>国盛证券有限责任</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118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607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82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118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607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28</w:t>
            </w:r>
          </w:p>
        </w:tc>
      </w:tr>
      <w:tr>
        <w:trPr>
          <w:trHeight w:val="102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Kingley Ying Fat</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 xml:space="preserve">Paper Products </w:t>
            </w:r>
            <w:r>
              <w:rPr>
                <w:rFonts w:ascii="Times New Roman" w:eastAsia="Times New Roman" w:hAnsi="Times New Roman" w:cs="Times New Roman"/>
                <w:color w:val="000000"/>
                <w:spacing w:val="0"/>
                <w:w w:val="100"/>
                <w:position w:val="0"/>
                <w:sz w:val="18"/>
                <w:szCs w:val="18"/>
              </w:rPr>
              <w:t>&amp;</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Printing 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069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370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069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370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36</w:t>
            </w:r>
          </w:p>
        </w:tc>
      </w:tr>
      <w:tr>
        <w:trPr>
          <w:trHeight w:val="71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312" w:lineRule="exact"/>
              <w:ind w:left="140" w:right="0" w:firstLine="0"/>
              <w:jc w:val="left"/>
              <w:rPr>
                <w:sz w:val="18"/>
                <w:szCs w:val="18"/>
              </w:rPr>
            </w:pPr>
            <w:r>
              <w:rPr>
                <w:color w:val="000000"/>
                <w:spacing w:val="0"/>
                <w:w w:val="100"/>
                <w:position w:val="0"/>
                <w:sz w:val="18"/>
                <w:szCs w:val="18"/>
              </w:rPr>
              <w:t>天津国盛信安科技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473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955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473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955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15</w:t>
            </w:r>
          </w:p>
        </w:tc>
      </w:tr>
      <w:tr>
        <w:trPr>
          <w:trHeight w:val="71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140" w:right="0" w:firstLine="0"/>
              <w:jc w:val="left"/>
              <w:rPr>
                <w:sz w:val="18"/>
                <w:szCs w:val="18"/>
              </w:rPr>
            </w:pPr>
            <w:r>
              <w:rPr>
                <w:color w:val="000000"/>
                <w:spacing w:val="0"/>
                <w:w w:val="100"/>
                <w:position w:val="0"/>
                <w:sz w:val="18"/>
                <w:szCs w:val="18"/>
              </w:rPr>
              <w:t>上海多专科技有限</w:t>
            </w:r>
          </w:p>
          <w:p>
            <w:pPr>
              <w:pStyle w:val="Style2"/>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20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r>
      <w:tr>
        <w:trPr>
          <w:trHeight w:val="432"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682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232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84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682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232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79</w:t>
            </w:r>
          </w:p>
        </w:tc>
      </w:tr>
    </w:tbl>
    <w:p>
      <w:pPr>
        <w:widowControl w:val="0"/>
        <w:spacing w:after="299" w:line="1" w:lineRule="exact"/>
      </w:pPr>
    </w:p>
    <w:p>
      <w:pPr>
        <w:pStyle w:val="Style51"/>
        <w:keepNext/>
        <w:keepLines/>
        <w:widowControl w:val="0"/>
        <w:numPr>
          <w:ilvl w:val="0"/>
          <w:numId w:val="85"/>
        </w:numPr>
        <w:shd w:val="clear" w:color="auto" w:fill="auto"/>
        <w:bidi w:val="0"/>
        <w:spacing w:before="0" w:after="220" w:line="240" w:lineRule="auto"/>
        <w:ind w:left="0" w:right="0" w:firstLine="480"/>
        <w:jc w:val="left"/>
      </w:pPr>
      <w:bookmarkStart w:id="1383" w:name="bookmark1383"/>
      <w:bookmarkStart w:id="1384" w:name="bookmark1384"/>
      <w:bookmarkStart w:id="1385" w:name="bookmark1385"/>
      <w:bookmarkStart w:id="1386" w:name="bookmark1386"/>
      <w:bookmarkEnd w:id="1385"/>
      <w:r>
        <w:rPr>
          <w:color w:val="000000"/>
          <w:spacing w:val="0"/>
          <w:w w:val="100"/>
          <w:position w:val="0"/>
        </w:rPr>
        <w:t>商誉账面价值</w:t>
      </w:r>
      <w:bookmarkEnd w:id="1383"/>
      <w:bookmarkEnd w:id="1384"/>
      <w:bookmarkEnd w:id="1386"/>
    </w:p>
    <w:tbl>
      <w:tblPr>
        <w:tblOverlap w:val="never"/>
        <w:jc w:val="center"/>
        <w:tblLayout w:type="fixed"/>
      </w:tblPr>
      <w:tblGrid>
        <w:gridCol w:w="3461"/>
        <w:gridCol w:w="1416"/>
        <w:gridCol w:w="994"/>
        <w:gridCol w:w="970"/>
        <w:gridCol w:w="1699"/>
      </w:tblGrid>
      <w:tr>
        <w:trPr>
          <w:trHeight w:val="44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被投资单位名称或形成商誉的事项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期初账面价值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本期增加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期末账面价值</w:t>
            </w:r>
          </w:p>
        </w:tc>
      </w:tr>
      <w:tr>
        <w:trPr>
          <w:trHeight w:val="48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国盛证券有限责任公司【注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079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912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343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079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912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343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55</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深圳前海弘大嘉豪资本管理有限公司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r>
      <w:tr>
        <w:trPr>
          <w:trHeight w:val="42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深圳弘大智合投资合伙企业（有限合伙）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r>
      <w:tr>
        <w:trPr>
          <w:trHeight w:val="45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079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912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344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079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912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345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55</w:t>
            </w:r>
          </w:p>
        </w:tc>
      </w:tr>
    </w:tbl>
    <w:p>
      <w:pPr>
        <w:pStyle w:val="Style40"/>
        <w:keepNext w:val="0"/>
        <w:keepLines w:val="0"/>
        <w:widowControl w:val="0"/>
        <w:shd w:val="clear" w:color="auto" w:fill="auto"/>
        <w:bidi w:val="0"/>
        <w:spacing w:before="0" w:after="0" w:line="240" w:lineRule="auto"/>
        <w:ind w:left="59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w:t>
      </w:r>
    </w:p>
    <w:p>
      <w:pPr>
        <w:pStyle w:val="Style16"/>
        <w:keepNext w:val="0"/>
        <w:keepLines w:val="0"/>
        <w:widowControl w:val="0"/>
        <w:shd w:val="clear" w:color="auto" w:fill="auto"/>
        <w:bidi w:val="0"/>
        <w:spacing w:before="0" w:after="0" w:line="466" w:lineRule="exact"/>
        <w:ind w:left="0" w:right="0" w:firstLine="480"/>
        <w:jc w:val="left"/>
      </w:pPr>
      <w:r>
        <w:rPr>
          <w:color w:val="000000"/>
          <w:spacing w:val="0"/>
          <w:w w:val="100"/>
          <w:position w:val="0"/>
        </w:rPr>
        <w:t>本公司期末对商誉账面价值进行减值测试。对因收购国盛证券产生的商誉（以下简称 国盛证券商誉）减值测试情况如下：</w:t>
      </w:r>
    </w:p>
    <w:p>
      <w:pPr>
        <w:pStyle w:val="Style16"/>
        <w:keepNext w:val="0"/>
        <w:keepLines w:val="0"/>
        <w:widowControl w:val="0"/>
        <w:shd w:val="clear" w:color="auto" w:fill="auto"/>
        <w:tabs>
          <w:tab w:pos="961" w:val="left"/>
        </w:tabs>
        <w:bidi w:val="0"/>
        <w:spacing w:before="0" w:after="0" w:line="469" w:lineRule="exact"/>
        <w:ind w:left="0" w:right="0" w:firstLine="480"/>
        <w:jc w:val="left"/>
      </w:pPr>
      <w:bookmarkStart w:id="1387" w:name="bookmark1387"/>
      <w:r>
        <w:rPr>
          <w:color w:val="000000"/>
          <w:spacing w:val="0"/>
          <w:w w:val="100"/>
          <w:position w:val="0"/>
        </w:rPr>
        <w:t>（</w:t>
      </w:r>
      <w:bookmarkEnd w:id="1387"/>
      <w:r>
        <w:rPr>
          <w:rFonts w:ascii="Times New Roman" w:eastAsia="Times New Roman" w:hAnsi="Times New Roman" w:cs="Times New Roman"/>
          <w:color w:val="000000"/>
          <w:spacing w:val="0"/>
          <w:w w:val="100"/>
          <w:position w:val="0"/>
        </w:rPr>
        <w:t>1</w:t>
      </w:r>
      <w:r>
        <w:rPr>
          <w:color w:val="000000"/>
          <w:spacing w:val="0"/>
          <w:w w:val="100"/>
          <w:position w:val="0"/>
        </w:rPr>
        <w:t>）</w:t>
        <w:tab/>
        <w:t>资产组的确认：为国盛证券与商誉相关的全部经营性资产及负债形成的资产组价 值（以下简称国盛证券资产组）涉的资产范围为经过审计的国盛证券资产负债表所反映的 与商誉相关的全部经营性资产及负债，被界定为其他资产及负债的不包括在与商誉相关的 资产组范围内。自收购以来各年度减值测试评估基准日与购买日确认的资产组保持了一致。</w:t>
      </w:r>
    </w:p>
    <w:p>
      <w:pPr>
        <w:pStyle w:val="Style16"/>
        <w:keepNext w:val="0"/>
        <w:keepLines w:val="0"/>
        <w:widowControl w:val="0"/>
        <w:shd w:val="clear" w:color="auto" w:fill="auto"/>
        <w:tabs>
          <w:tab w:pos="961" w:val="left"/>
        </w:tabs>
        <w:bidi w:val="0"/>
        <w:spacing w:before="0" w:after="0" w:line="464" w:lineRule="exact"/>
        <w:ind w:left="0" w:right="0" w:firstLine="480"/>
        <w:jc w:val="left"/>
      </w:pPr>
      <w:bookmarkStart w:id="1388" w:name="bookmark1388"/>
      <w:r>
        <w:rPr>
          <w:color w:val="000000"/>
          <w:spacing w:val="0"/>
          <w:w w:val="100"/>
          <w:position w:val="0"/>
        </w:rPr>
        <w:t>（</w:t>
      </w:r>
      <w:bookmarkEnd w:id="1388"/>
      <w:r>
        <w:rPr>
          <w:rFonts w:ascii="Times New Roman" w:eastAsia="Times New Roman" w:hAnsi="Times New Roman" w:cs="Times New Roman"/>
          <w:color w:val="000000"/>
          <w:spacing w:val="0"/>
          <w:w w:val="100"/>
          <w:position w:val="0"/>
        </w:rPr>
        <w:t>2</w:t>
      </w:r>
      <w:r>
        <w:rPr>
          <w:color w:val="000000"/>
          <w:spacing w:val="0"/>
          <w:w w:val="100"/>
          <w:position w:val="0"/>
        </w:rPr>
        <w:t>）</w:t>
        <w:tab/>
        <w:t>商誉减值测试的具体方法：减值测试基于国盛证券资产组的可回收金额测算，可 回收金额为市场价值减去处置费用后的净额。减值测试采用市场法之上市公司比较法确定资 产组市场价值</w:t>
      </w:r>
      <w:r>
        <w:rPr>
          <w:color w:val="000000"/>
          <w:spacing w:val="0"/>
          <w:w w:val="100"/>
          <w:position w:val="0"/>
        </w:rPr>
        <w:t>，</w:t>
      </w:r>
      <w:r>
        <w:rPr>
          <w:color w:val="000000"/>
          <w:spacing w:val="0"/>
          <w:w w:val="100"/>
          <w:position w:val="0"/>
        </w:rPr>
        <w:t>并根据国盛证券所处行业特点选择市净率</w:t>
      </w:r>
      <w:r>
        <w:rPr>
          <w:color w:val="000000"/>
          <w:spacing w:val="0"/>
          <w:w w:val="100"/>
          <w:position w:val="0"/>
        </w:rPr>
        <w:t>（</w:t>
      </w:r>
      <w:r>
        <w:rPr>
          <w:rFonts w:ascii="Times New Roman" w:eastAsia="Times New Roman" w:hAnsi="Times New Roman" w:cs="Times New Roman"/>
          <w:color w:val="000000"/>
          <w:spacing w:val="0"/>
          <w:w w:val="100"/>
          <w:position w:val="0"/>
        </w:rPr>
        <w:t>P/B</w:t>
      </w:r>
      <w:r>
        <w:rPr>
          <w:color w:val="000000"/>
          <w:spacing w:val="0"/>
          <w:w w:val="100"/>
          <w:position w:val="0"/>
        </w:rPr>
        <w:t>）</w:t>
      </w:r>
      <w:r>
        <w:rPr>
          <w:color w:val="000000"/>
          <w:spacing w:val="0"/>
          <w:w w:val="100"/>
          <w:position w:val="0"/>
        </w:rPr>
        <w:t>估值模型，即：被评估资产组 市场价值（公允价值）</w:t>
      </w:r>
      <w:r>
        <w:rPr>
          <w:rFonts w:ascii="Times New Roman" w:eastAsia="Times New Roman" w:hAnsi="Times New Roman" w:cs="Times New Roman"/>
          <w:color w:val="000000"/>
          <w:spacing w:val="0"/>
          <w:w w:val="100"/>
          <w:position w:val="0"/>
        </w:rPr>
        <w:t>=</w:t>
      </w:r>
      <w:r>
        <w:rPr>
          <w:color w:val="000000"/>
          <w:spacing w:val="0"/>
          <w:w w:val="100"/>
          <w:position w:val="0"/>
        </w:rPr>
        <w:t>与商誉相关的资产组账面价值</w:t>
      </w:r>
      <w:r>
        <w:rPr>
          <w:rFonts w:ascii="Arial" w:eastAsia="Arial" w:hAnsi="Arial" w:cs="Arial"/>
          <w:color w:val="000000"/>
          <w:spacing w:val="0"/>
          <w:w w:val="100"/>
          <w:position w:val="0"/>
          <w:sz w:val="17"/>
          <w:szCs w:val="17"/>
        </w:rPr>
        <w:t>X</w:t>
      </w:r>
      <w:r>
        <w:rPr>
          <w:color w:val="000000"/>
          <w:spacing w:val="0"/>
          <w:w w:val="100"/>
          <w:position w:val="0"/>
        </w:rPr>
        <w:t>目标平均</w:t>
      </w:r>
      <w:r>
        <w:rPr>
          <w:rFonts w:ascii="Times New Roman" w:eastAsia="Times New Roman" w:hAnsi="Times New Roman" w:cs="Times New Roman"/>
          <w:color w:val="000000"/>
          <w:spacing w:val="0"/>
          <w:w w:val="100"/>
          <w:position w:val="0"/>
        </w:rPr>
        <w:t>P/B</w:t>
      </w:r>
      <w:r>
        <w:rPr>
          <w:rFonts w:ascii="Arial" w:eastAsia="Arial" w:hAnsi="Arial" w:cs="Arial"/>
          <w:color w:val="000000"/>
          <w:spacing w:val="0"/>
          <w:w w:val="100"/>
          <w:position w:val="0"/>
          <w:sz w:val="17"/>
          <w:szCs w:val="17"/>
        </w:rPr>
        <w:t>X</w:t>
      </w:r>
      <w:r>
        <w:rPr>
          <w:rFonts w:ascii="Times New Roman" w:eastAsia="Times New Roman" w:hAnsi="Times New Roman" w:cs="Times New Roman"/>
          <w:color w:val="000000"/>
          <w:spacing w:val="0"/>
          <w:w w:val="100"/>
          <w:position w:val="0"/>
        </w:rPr>
        <w:t>（1-</w:t>
      </w:r>
      <w:r>
        <w:rPr>
          <w:color w:val="000000"/>
          <w:spacing w:val="0"/>
          <w:w w:val="100"/>
          <w:position w:val="0"/>
        </w:rPr>
        <w:t>流通性折扣</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16"/>
        <w:keepNext w:val="0"/>
        <w:keepLines w:val="0"/>
        <w:widowControl w:val="0"/>
        <w:shd w:val="clear" w:color="auto" w:fill="auto"/>
        <w:tabs>
          <w:tab w:pos="961" w:val="left"/>
        </w:tabs>
        <w:bidi w:val="0"/>
        <w:spacing w:before="0" w:after="260" w:line="469" w:lineRule="exact"/>
        <w:ind w:left="0" w:right="0" w:firstLine="480"/>
        <w:jc w:val="left"/>
      </w:pPr>
      <w:bookmarkStart w:id="1389" w:name="bookmark1389"/>
      <w:r>
        <w:rPr>
          <w:color w:val="000000"/>
          <w:spacing w:val="0"/>
          <w:w w:val="100"/>
          <w:position w:val="0"/>
        </w:rPr>
        <w:t>（</w:t>
      </w:r>
      <w:bookmarkEnd w:id="1389"/>
      <w:r>
        <w:rPr>
          <w:rFonts w:ascii="Times New Roman" w:eastAsia="Times New Roman" w:hAnsi="Times New Roman" w:cs="Times New Roman"/>
          <w:color w:val="000000"/>
          <w:spacing w:val="0"/>
          <w:w w:val="100"/>
          <w:position w:val="0"/>
        </w:rPr>
        <w:t>3</w:t>
      </w:r>
      <w:r>
        <w:rPr>
          <w:color w:val="000000"/>
          <w:spacing w:val="0"/>
          <w:w w:val="100"/>
          <w:position w:val="0"/>
        </w:rPr>
        <w:t>）</w:t>
        <w:tab/>
        <w:t>商誉减值测试结果：根据北京中同华资产评估有限公司出具的中同华评报字（</w:t>
      </w:r>
      <w:r>
        <w:rPr>
          <w:rFonts w:ascii="Times New Roman" w:eastAsia="Times New Roman" w:hAnsi="Times New Roman" w:cs="Times New Roman"/>
          <w:color w:val="000000"/>
          <w:spacing w:val="0"/>
          <w:w w:val="100"/>
          <w:position w:val="0"/>
        </w:rPr>
        <w:t>2021</w:t>
      </w:r>
      <w:r>
        <w:rPr>
          <w:color w:val="000000"/>
          <w:spacing w:val="0"/>
          <w:w w:val="100"/>
          <w:position w:val="0"/>
        </w:rPr>
        <w:t>） 第</w:t>
      </w:r>
      <w:r>
        <w:rPr>
          <w:rFonts w:ascii="Times New Roman" w:eastAsia="Times New Roman" w:hAnsi="Times New Roman" w:cs="Times New Roman"/>
          <w:color w:val="000000"/>
          <w:spacing w:val="0"/>
          <w:w w:val="100"/>
          <w:position w:val="0"/>
        </w:rPr>
        <w:t>030259</w:t>
      </w:r>
      <w:r>
        <w:rPr>
          <w:color w:val="000000"/>
          <w:spacing w:val="0"/>
          <w:w w:val="100"/>
          <w:position w:val="0"/>
        </w:rPr>
        <w:t>号评估报告，国盛证券资产组可收回金额为</w:t>
      </w:r>
      <w:r>
        <w:rPr>
          <w:rFonts w:ascii="Times New Roman" w:eastAsia="Times New Roman" w:hAnsi="Times New Roman" w:cs="Times New Roman"/>
          <w:color w:val="000000"/>
          <w:spacing w:val="0"/>
          <w:w w:val="100"/>
          <w:position w:val="0"/>
        </w:rPr>
        <w:t>13,508,000,000.00</w:t>
      </w:r>
      <w:r>
        <w:rPr>
          <w:color w:val="000000"/>
          <w:spacing w:val="0"/>
          <w:w w:val="100"/>
          <w:position w:val="0"/>
        </w:rPr>
        <w:t>元，高于含商誉的 国盛证券资产组可辨认净资产账面价值</w:t>
      </w:r>
      <w:r>
        <w:rPr>
          <w:rFonts w:ascii="Times New Roman" w:eastAsia="Times New Roman" w:hAnsi="Times New Roman" w:cs="Times New Roman"/>
          <w:color w:val="000000"/>
          <w:spacing w:val="0"/>
          <w:w w:val="100"/>
          <w:position w:val="0"/>
        </w:rPr>
        <w:t>12,418,316,455.31</w:t>
      </w:r>
      <w:r>
        <w:rPr>
          <w:color w:val="000000"/>
          <w:spacing w:val="0"/>
          <w:w w:val="100"/>
          <w:position w:val="0"/>
        </w:rPr>
        <w:t>元，因此本年末未计提商誉减值 准备。</w:t>
      </w:r>
    </w:p>
    <w:p>
      <w:pPr>
        <w:pStyle w:val="Style40"/>
        <w:keepNext w:val="0"/>
        <w:keepLines w:val="0"/>
        <w:widowControl w:val="0"/>
        <w:shd w:val="clear" w:color="auto" w:fill="auto"/>
        <w:bidi w:val="0"/>
        <w:spacing w:before="0" w:after="0" w:line="240" w:lineRule="auto"/>
        <w:ind w:left="0" w:right="0" w:firstLine="0"/>
        <w:jc w:val="center"/>
      </w:pPr>
      <w:bookmarkStart w:id="1390" w:name="bookmark1390"/>
      <w:r>
        <w:rPr>
          <w:b/>
          <w:bCs/>
          <w:color w:val="000000"/>
          <w:spacing w:val="0"/>
          <w:w w:val="100"/>
          <w:position w:val="0"/>
        </w:rPr>
        <w:t>注释</w:t>
      </w:r>
      <w:r>
        <w:rPr>
          <w:rFonts w:ascii="Times New Roman" w:eastAsia="Times New Roman" w:hAnsi="Times New Roman" w:cs="Times New Roman"/>
          <w:b/>
          <w:bCs/>
          <w:color w:val="000000"/>
          <w:spacing w:val="0"/>
          <w:w w:val="100"/>
          <w:position w:val="0"/>
        </w:rPr>
        <w:t>22.</w:t>
      </w:r>
      <w:r>
        <w:rPr>
          <w:b/>
          <w:bCs/>
          <w:color w:val="000000"/>
          <w:spacing w:val="0"/>
          <w:w w:val="100"/>
          <w:position w:val="0"/>
        </w:rPr>
        <w:t>长期待摊费用</w:t>
      </w:r>
      <w:bookmarkEnd w:id="1390"/>
    </w:p>
    <w:tbl>
      <w:tblPr>
        <w:tblOverlap w:val="never"/>
        <w:jc w:val="center"/>
        <w:tblLayout w:type="fixed"/>
      </w:tblPr>
      <w:tblGrid>
        <w:gridCol w:w="1997"/>
        <w:gridCol w:w="1368"/>
        <w:gridCol w:w="1560"/>
        <w:gridCol w:w="1651"/>
        <w:gridCol w:w="1997"/>
      </w:tblGrid>
      <w:tr>
        <w:trPr>
          <w:trHeight w:val="42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本期摊销额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租赁物业的装修工程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867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671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631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540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573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46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031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925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64</w:t>
            </w:r>
          </w:p>
        </w:tc>
      </w:tr>
      <w:tr>
        <w:trPr>
          <w:trHeight w:val="39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租赁费用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374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799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374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799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99</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租赁物业的装修设计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719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319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715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021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297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88</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自有物业装修费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110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469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392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077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09</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76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742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971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771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r>
      <w:tr>
        <w:trPr>
          <w:trHeight w:val="432"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182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198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671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631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722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758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48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131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071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61</w:t>
            </w:r>
          </w:p>
        </w:tc>
      </w:tr>
    </w:tbl>
    <w:p>
      <w:pPr>
        <w:spacing w:lineRule="exact" w:line="1"/>
        <w:rPr>
          <w:sz w:val="2"/>
          <w:szCs w:val="2"/>
        </w:rPr>
      </w:pPr>
      <w:r>
        <w:br w:type="page"/>
      </w:r>
    </w:p>
    <w:p>
      <w:pPr>
        <w:pStyle w:val="Style37"/>
        <w:keepNext/>
        <w:keepLines/>
        <w:widowControl w:val="0"/>
        <w:shd w:val="clear" w:color="auto" w:fill="auto"/>
        <w:bidi w:val="0"/>
        <w:spacing w:before="0" w:after="140" w:line="240" w:lineRule="auto"/>
        <w:ind w:left="0" w:right="0" w:firstLine="440"/>
        <w:jc w:val="left"/>
      </w:pPr>
      <w:bookmarkStart w:id="1391" w:name="bookmark1391"/>
      <w:bookmarkStart w:id="1392" w:name="bookmark1392"/>
      <w:bookmarkStart w:id="1393" w:name="bookmark1393"/>
      <w:r>
        <w:rPr>
          <w:color w:val="000000"/>
          <w:spacing w:val="0"/>
          <w:w w:val="100"/>
          <w:position w:val="0"/>
        </w:rPr>
        <w:t>注释</w:t>
      </w:r>
      <w:r>
        <w:rPr>
          <w:rFonts w:ascii="Times New Roman" w:eastAsia="Times New Roman" w:hAnsi="Times New Roman" w:cs="Times New Roman"/>
          <w:color w:val="000000"/>
          <w:spacing w:val="0"/>
          <w:w w:val="100"/>
          <w:position w:val="0"/>
        </w:rPr>
        <w:t>23.</w:t>
      </w:r>
      <w:r>
        <w:rPr>
          <w:color w:val="000000"/>
          <w:spacing w:val="0"/>
          <w:w w:val="100"/>
          <w:position w:val="0"/>
        </w:rPr>
        <w:t>递延所得税资产和递延所得税负债</w:t>
      </w:r>
      <w:bookmarkEnd w:id="1391"/>
      <w:bookmarkEnd w:id="1392"/>
      <w:bookmarkEnd w:id="1393"/>
    </w:p>
    <w:p>
      <w:pPr>
        <w:pStyle w:val="Style51"/>
        <w:keepNext/>
        <w:keepLines/>
        <w:widowControl w:val="0"/>
        <w:shd w:val="clear" w:color="auto" w:fill="auto"/>
        <w:bidi w:val="0"/>
        <w:spacing w:before="0" w:after="140" w:line="240" w:lineRule="auto"/>
        <w:ind w:left="0" w:right="0" w:firstLine="440"/>
        <w:jc w:val="left"/>
      </w:pPr>
      <w:bookmarkStart w:id="1394" w:name="bookmark1394"/>
      <w:bookmarkStart w:id="1395" w:name="bookmark1395"/>
      <w:bookmarkStart w:id="1396" w:name="bookmark1396"/>
      <w:r>
        <w:rPr>
          <w:color w:val="000000"/>
          <w:spacing w:val="0"/>
          <w:w w:val="100"/>
          <w:position w:val="0"/>
        </w:rPr>
        <w:t>1.</w:t>
      </w:r>
      <w:r>
        <w:rPr>
          <w:color w:val="000000"/>
          <w:spacing w:val="0"/>
          <w:w w:val="100"/>
          <w:position w:val="0"/>
        </w:rPr>
        <w:t>未经抵销的递延所得税资产</w:t>
      </w:r>
      <w:bookmarkEnd w:id="1394"/>
      <w:bookmarkEnd w:id="1395"/>
      <w:bookmarkEnd w:id="1396"/>
    </w:p>
    <w:tbl>
      <w:tblPr>
        <w:tblOverlap w:val="never"/>
        <w:jc w:val="center"/>
        <w:tblLayout w:type="fixed"/>
      </w:tblPr>
      <w:tblGrid>
        <w:gridCol w:w="1771"/>
        <w:gridCol w:w="1829"/>
        <w:gridCol w:w="1560"/>
        <w:gridCol w:w="1709"/>
        <w:gridCol w:w="1632"/>
      </w:tblGrid>
      <w:tr>
        <w:trPr>
          <w:trHeight w:val="442"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项目</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509"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可抵扣暂时性差异</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递延所得税资产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可抵扣暂时性差异</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递延所得税资产</w:t>
            </w:r>
          </w:p>
        </w:tc>
      </w:tr>
      <w:tr>
        <w:trPr>
          <w:trHeight w:val="72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以公允价值计量的金 融资产公允价值变动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143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788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547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947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136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946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050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736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512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60</w:t>
            </w:r>
          </w:p>
        </w:tc>
      </w:tr>
      <w:tr>
        <w:trPr>
          <w:trHeight w:val="40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879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966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219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991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139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306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284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826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54</w:t>
            </w:r>
          </w:p>
        </w:tc>
      </w:tr>
      <w:tr>
        <w:trPr>
          <w:trHeight w:val="40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67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895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096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973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774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466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268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366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567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r>
      <w:tr>
        <w:trPr>
          <w:trHeight w:val="40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预计负债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681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670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139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534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91</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227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186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505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796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626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105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182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871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295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718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02</w:t>
            </w:r>
          </w:p>
        </w:tc>
      </w:tr>
      <w:tr>
        <w:trPr>
          <w:trHeight w:val="40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795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412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853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r>
      <w:tr>
        <w:trPr>
          <w:trHeight w:val="437"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453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664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210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416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052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162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912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636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728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159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07</w:t>
            </w:r>
          </w:p>
        </w:tc>
      </w:tr>
    </w:tbl>
    <w:p>
      <w:pPr>
        <w:widowControl w:val="0"/>
        <w:spacing w:after="299" w:line="1" w:lineRule="exact"/>
      </w:pPr>
    </w:p>
    <w:p>
      <w:pPr>
        <w:pStyle w:val="Style51"/>
        <w:keepNext/>
        <w:keepLines/>
        <w:widowControl w:val="0"/>
        <w:shd w:val="clear" w:color="auto" w:fill="auto"/>
        <w:bidi w:val="0"/>
        <w:spacing w:before="0" w:after="140" w:line="240" w:lineRule="auto"/>
        <w:ind w:left="0" w:right="0" w:firstLine="440"/>
        <w:jc w:val="left"/>
      </w:pPr>
      <w:bookmarkStart w:id="1397" w:name="bookmark1397"/>
      <w:bookmarkStart w:id="1398" w:name="bookmark1398"/>
      <w:bookmarkStart w:id="1399" w:name="bookmark1399"/>
      <w:r>
        <w:rPr>
          <w:color w:val="000000"/>
          <w:spacing w:val="0"/>
          <w:w w:val="100"/>
          <w:position w:val="0"/>
        </w:rPr>
        <w:t>2.</w:t>
      </w:r>
      <w:r>
        <w:rPr>
          <w:color w:val="000000"/>
          <w:spacing w:val="0"/>
          <w:w w:val="100"/>
          <w:position w:val="0"/>
        </w:rPr>
        <w:t>未经抵销的递延所得税负债</w:t>
      </w:r>
      <w:bookmarkEnd w:id="1397"/>
      <w:bookmarkEnd w:id="1398"/>
      <w:bookmarkEnd w:id="1399"/>
    </w:p>
    <w:tbl>
      <w:tblPr>
        <w:tblOverlap w:val="never"/>
        <w:jc w:val="center"/>
        <w:tblLayout w:type="fixed"/>
      </w:tblPr>
      <w:tblGrid>
        <w:gridCol w:w="1757"/>
        <w:gridCol w:w="1843"/>
        <w:gridCol w:w="1560"/>
        <w:gridCol w:w="1709"/>
        <w:gridCol w:w="1656"/>
      </w:tblGrid>
      <w:tr>
        <w:trPr>
          <w:trHeight w:val="442" w:hRule="exact"/>
        </w:trPr>
        <w:tc>
          <w:tcPr>
            <w:vMerge w:val="restart"/>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项目</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37" w:hRule="exact"/>
        </w:trPr>
        <w:tc>
          <w:tcPr>
            <w:vMerge/>
            <w:tcBorders/>
            <w:shd w:val="clear" w:color="auto" w:fill="FFFFFF"/>
            <w:vAlign w:val="bottom"/>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应纳税暂时性差异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应纳税暂时性差异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递延所得税负债</w:t>
            </w:r>
          </w:p>
        </w:tc>
      </w:tr>
      <w:tr>
        <w:trPr>
          <w:trHeight w:val="73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按税法加速折旧的固 定资产折旧变动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830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596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649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129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401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282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350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37</w:t>
            </w:r>
          </w:p>
        </w:tc>
      </w:tr>
      <w:tr>
        <w:trPr>
          <w:trHeight w:val="73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以公允价值计量的金</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融资产公允价值变动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965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417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491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354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41</w:t>
            </w:r>
          </w:p>
        </w:tc>
      </w:tr>
      <w:tr>
        <w:trPr>
          <w:trHeight w:val="44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830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596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649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094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819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773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704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78</w:t>
            </w:r>
          </w:p>
        </w:tc>
      </w:tr>
    </w:tbl>
    <w:p>
      <w:pPr>
        <w:widowControl w:val="0"/>
        <w:spacing w:after="459" w:line="1" w:lineRule="exact"/>
      </w:pPr>
    </w:p>
    <w:p>
      <w:pPr>
        <w:pStyle w:val="Style37"/>
        <w:keepNext/>
        <w:keepLines/>
        <w:widowControl w:val="0"/>
        <w:shd w:val="clear" w:color="auto" w:fill="auto"/>
        <w:bidi w:val="0"/>
        <w:spacing w:before="0" w:after="140" w:line="240" w:lineRule="auto"/>
        <w:ind w:left="0" w:right="0" w:firstLine="440"/>
        <w:jc w:val="left"/>
      </w:pPr>
      <w:bookmarkStart w:id="1400" w:name="bookmark1400"/>
      <w:bookmarkStart w:id="1401" w:name="bookmark1401"/>
      <w:bookmarkStart w:id="1402" w:name="bookmark1402"/>
      <w:r>
        <w:rPr>
          <w:color w:val="000000"/>
          <w:spacing w:val="0"/>
          <w:w w:val="100"/>
          <w:position w:val="0"/>
        </w:rPr>
        <w:t>注释</w:t>
      </w:r>
      <w:r>
        <w:rPr>
          <w:rFonts w:ascii="Times New Roman" w:eastAsia="Times New Roman" w:hAnsi="Times New Roman" w:cs="Times New Roman"/>
          <w:color w:val="000000"/>
          <w:spacing w:val="0"/>
          <w:w w:val="100"/>
          <w:position w:val="0"/>
        </w:rPr>
        <w:t>24.</w:t>
      </w:r>
      <w:r>
        <w:rPr>
          <w:color w:val="000000"/>
          <w:spacing w:val="0"/>
          <w:w w:val="100"/>
          <w:position w:val="0"/>
        </w:rPr>
        <w:t>其他非流动资产</w:t>
      </w:r>
      <w:bookmarkEnd w:id="1400"/>
      <w:bookmarkEnd w:id="1401"/>
      <w:bookmarkEnd w:id="1402"/>
    </w:p>
    <w:tbl>
      <w:tblPr>
        <w:tblOverlap w:val="never"/>
        <w:jc w:val="center"/>
        <w:tblLayout w:type="fixed"/>
      </w:tblPr>
      <w:tblGrid>
        <w:gridCol w:w="3317"/>
        <w:gridCol w:w="2597"/>
        <w:gridCol w:w="2626"/>
      </w:tblGrid>
      <w:tr>
        <w:trPr>
          <w:trHeight w:val="44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类别及内容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长期资产预付款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313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991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182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864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29</w:t>
            </w:r>
          </w:p>
        </w:tc>
      </w:tr>
      <w:tr>
        <w:trPr>
          <w:trHeight w:val="44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313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991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182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864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29</w:t>
            </w:r>
          </w:p>
        </w:tc>
      </w:tr>
    </w:tbl>
    <w:p>
      <w:pPr>
        <w:widowControl w:val="0"/>
        <w:spacing w:after="219" w:line="1" w:lineRule="exact"/>
      </w:pPr>
    </w:p>
    <w:p>
      <w:pPr>
        <w:pStyle w:val="Style16"/>
        <w:keepNext w:val="0"/>
        <w:keepLines w:val="0"/>
        <w:widowControl w:val="0"/>
        <w:shd w:val="clear" w:color="auto" w:fill="auto"/>
        <w:bidi w:val="0"/>
        <w:spacing w:before="0" w:after="340" w:line="240" w:lineRule="auto"/>
        <w:ind w:left="0" w:right="0" w:firstLine="440"/>
        <w:jc w:val="left"/>
      </w:pPr>
      <w:r>
        <w:rPr>
          <w:color w:val="000000"/>
          <w:spacing w:val="0"/>
          <w:w w:val="100"/>
          <w:position w:val="0"/>
        </w:rPr>
        <w:t>注：长期资产预付款主要因支付国盛证券南昌总部大楼购房款。</w:t>
      </w:r>
    </w:p>
    <w:p>
      <w:pPr>
        <w:pStyle w:val="Style37"/>
        <w:keepNext/>
        <w:keepLines/>
        <w:widowControl w:val="0"/>
        <w:shd w:val="clear" w:color="auto" w:fill="auto"/>
        <w:bidi w:val="0"/>
        <w:spacing w:before="0" w:after="380" w:line="240" w:lineRule="auto"/>
        <w:ind w:left="0" w:right="0" w:firstLine="440"/>
        <w:jc w:val="left"/>
      </w:pPr>
      <w:bookmarkStart w:id="1403" w:name="bookmark1403"/>
      <w:bookmarkStart w:id="1404" w:name="bookmark1404"/>
      <w:bookmarkStart w:id="1405" w:name="bookmark1405"/>
      <w:r>
        <w:rPr>
          <w:color w:val="000000"/>
          <w:spacing w:val="0"/>
          <w:w w:val="100"/>
          <w:position w:val="0"/>
        </w:rPr>
        <w:t>注释</w:t>
      </w:r>
      <w:r>
        <w:rPr>
          <w:rFonts w:ascii="Times New Roman" w:eastAsia="Times New Roman" w:hAnsi="Times New Roman" w:cs="Times New Roman"/>
          <w:color w:val="000000"/>
          <w:spacing w:val="0"/>
          <w:w w:val="100"/>
          <w:position w:val="0"/>
        </w:rPr>
        <w:t>25.</w:t>
      </w:r>
      <w:r>
        <w:rPr>
          <w:color w:val="000000"/>
          <w:spacing w:val="0"/>
          <w:w w:val="100"/>
          <w:position w:val="0"/>
        </w:rPr>
        <w:t>应付短期融资款</w:t>
      </w:r>
      <w:bookmarkEnd w:id="1403"/>
      <w:bookmarkEnd w:id="1404"/>
      <w:bookmarkEnd w:id="1405"/>
    </w:p>
    <w:p>
      <w:pPr>
        <w:pStyle w:val="Style37"/>
        <w:keepNext/>
        <w:keepLines/>
        <w:widowControl w:val="0"/>
        <w:shd w:val="clear" w:color="auto" w:fill="auto"/>
        <w:bidi w:val="0"/>
        <w:spacing w:before="0" w:after="300" w:line="240" w:lineRule="auto"/>
        <w:ind w:left="0" w:right="0" w:firstLine="440"/>
        <w:jc w:val="left"/>
      </w:pPr>
      <w:bookmarkStart w:id="1403" w:name="bookmark1403"/>
      <w:bookmarkStart w:id="1404" w:name="bookmark1404"/>
      <w:r>
        <w:rPr>
          <w:rFonts w:ascii="Times New Roman" w:eastAsia="Times New Roman" w:hAnsi="Times New Roman" w:cs="Times New Roman"/>
          <w:color w:val="000000"/>
          <w:spacing w:val="0"/>
          <w:w w:val="100"/>
          <w:position w:val="0"/>
        </w:rPr>
        <w:t>1.</w:t>
      </w:r>
      <w:r>
        <w:rPr>
          <w:color w:val="000000"/>
          <w:spacing w:val="0"/>
          <w:w w:val="100"/>
          <w:position w:val="0"/>
        </w:rPr>
        <w:t>分类</w:t>
      </w:r>
      <w:bookmarkEnd w:id="1403"/>
      <w:bookmarkEnd w:id="1404"/>
    </w:p>
    <w:p>
      <w:pPr>
        <w:pStyle w:val="Style100"/>
        <w:keepNext w:val="0"/>
        <w:keepLines w:val="0"/>
        <w:widowControl w:val="0"/>
        <w:shd w:val="clear" w:color="auto" w:fill="auto"/>
        <w:tabs>
          <w:tab w:pos="2765" w:val="left"/>
          <w:tab w:pos="4421" w:val="left"/>
          <w:tab w:pos="5366" w:val="left"/>
        </w:tabs>
        <w:bidi w:val="0"/>
        <w:spacing w:before="0" w:after="260" w:line="240" w:lineRule="auto"/>
        <w:ind w:left="0" w:right="0" w:firstLine="0"/>
        <w:jc w:val="center"/>
      </w:pPr>
      <w:r>
        <w:rPr>
          <w:color w:val="000000"/>
          <w:spacing w:val="0"/>
          <w:w w:val="100"/>
          <w:position w:val="0"/>
        </w:rPr>
        <w:t>项目</w:t>
        <w:tab/>
        <w:t>期末余额</w:t>
        <w:tab/>
      </w:r>
      <w:r>
        <w:rPr>
          <w:rFonts w:ascii="Times New Roman" w:eastAsia="Times New Roman" w:hAnsi="Times New Roman" w:cs="Times New Roman"/>
          <w:b/>
          <w:bCs/>
          <w:color w:val="000000"/>
          <w:spacing w:val="0"/>
          <w:w w:val="100"/>
          <w:position w:val="0"/>
          <w:sz w:val="24"/>
          <w:szCs w:val="24"/>
        </w:rPr>
        <w:t>I</w:t>
        <w:tab/>
      </w:r>
      <w:r>
        <w:rPr>
          <w:color w:val="000000"/>
          <w:spacing w:val="0"/>
          <w:w w:val="100"/>
          <w:position w:val="0"/>
        </w:rPr>
        <w:t>期初余额</w:t>
      </w:r>
      <w:r>
        <w:br w:type="page"/>
      </w:r>
    </w:p>
    <w:tbl>
      <w:tblPr>
        <w:tblOverlap w:val="never"/>
        <w:jc w:val="center"/>
        <w:tblLayout w:type="fixed"/>
      </w:tblPr>
      <w:tblGrid>
        <w:gridCol w:w="3331"/>
        <w:gridCol w:w="2621"/>
        <w:gridCol w:w="2602"/>
      </w:tblGrid>
      <w:tr>
        <w:trPr>
          <w:trHeight w:val="514"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9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应付短期融资款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398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424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893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854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971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761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64</w:t>
            </w:r>
          </w:p>
        </w:tc>
      </w:tr>
      <w:tr>
        <w:trPr>
          <w:trHeight w:val="523"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398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424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893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854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971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761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64</w:t>
            </w:r>
          </w:p>
        </w:tc>
      </w:tr>
    </w:tbl>
    <w:p>
      <w:pPr>
        <w:widowControl w:val="0"/>
        <w:spacing w:after="199" w:line="1" w:lineRule="exact"/>
      </w:pPr>
    </w:p>
    <w:p>
      <w:pPr>
        <w:pStyle w:val="Style16"/>
        <w:keepNext w:val="0"/>
        <w:keepLines w:val="0"/>
        <w:widowControl w:val="0"/>
        <w:shd w:val="clear" w:color="auto" w:fill="auto"/>
        <w:bidi w:val="0"/>
        <w:spacing w:before="0" w:after="140" w:line="240" w:lineRule="auto"/>
        <w:ind w:left="0" w:right="0" w:firstLine="50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应付短期融资款明细</w:t>
      </w:r>
    </w:p>
    <w:tbl>
      <w:tblPr>
        <w:tblOverlap w:val="never"/>
        <w:jc w:val="center"/>
        <w:tblLayout w:type="fixed"/>
      </w:tblPr>
      <w:tblGrid>
        <w:gridCol w:w="984"/>
        <w:gridCol w:w="859"/>
        <w:gridCol w:w="1051"/>
        <w:gridCol w:w="1358"/>
        <w:gridCol w:w="1421"/>
        <w:gridCol w:w="1363"/>
        <w:gridCol w:w="1430"/>
      </w:tblGrid>
      <w:tr>
        <w:trPr>
          <w:trHeight w:val="53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债券类型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剩余期限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票面利率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本期增加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期末余额</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收益凭证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已到期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w:t>
            </w:r>
            <w:r>
              <w:rPr>
                <w:rFonts w:ascii="Arial Narrow" w:eastAsia="Arial Narrow" w:hAnsi="Arial Narrow" w:cs="Arial Narrow"/>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854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971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761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764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444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767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619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416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529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收益凭证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个月内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w:t>
            </w:r>
            <w:r>
              <w:rPr>
                <w:rFonts w:ascii="Arial Narrow" w:eastAsia="Arial Narrow" w:hAnsi="Arial Narrow" w:cs="Arial Narrow"/>
                <w:color w:val="000000"/>
                <w:spacing w:val="0"/>
                <w:w w:val="100"/>
                <w:position w:val="0"/>
                <w:sz w:val="18"/>
                <w:szCs w:val="18"/>
              </w:rPr>
              <w:t>%4</w:t>
            </w:r>
            <w:r>
              <w:rPr>
                <w:rFonts w:ascii="Times New Roman" w:eastAsia="Times New Roman" w:hAnsi="Times New Roman" w:cs="Times New Roman"/>
                <w:color w:val="000000"/>
                <w:spacing w:val="0"/>
                <w:w w:val="100"/>
                <w:position w:val="0"/>
                <w:sz w:val="18"/>
                <w:szCs w:val="18"/>
              </w:rPr>
              <w:t>3</w:t>
            </w:r>
            <w:r>
              <w:rPr>
                <w:rFonts w:ascii="Arial Narrow" w:eastAsia="Arial Narrow" w:hAnsi="Arial Narrow" w:cs="Arial Narrow"/>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455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093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424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455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093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424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68</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收益凭证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w:t>
            </w:r>
            <w:r>
              <w:rPr>
                <w:rFonts w:ascii="Arial Narrow" w:eastAsia="Arial Narrow" w:hAnsi="Arial Narrow" w:cs="Arial Narrow"/>
                <w:color w:val="000000"/>
                <w:spacing w:val="0"/>
                <w:w w:val="100"/>
                <w:position w:val="0"/>
                <w:sz w:val="18"/>
                <w:szCs w:val="18"/>
              </w:rPr>
              <w:t>%4</w:t>
            </w:r>
            <w:r>
              <w:rPr>
                <w:rFonts w:ascii="Times New Roman" w:eastAsia="Times New Roman" w:hAnsi="Times New Roman" w:cs="Times New Roman"/>
                <w:color w:val="000000"/>
                <w:spacing w:val="0"/>
                <w:w w:val="100"/>
                <w:position w:val="0"/>
                <w:sz w:val="18"/>
                <w:szCs w:val="18"/>
              </w:rPr>
              <w:t>3</w:t>
            </w:r>
            <w:r>
              <w:rPr>
                <w:rFonts w:ascii="Arial Narrow" w:eastAsia="Arial Narrow" w:hAnsi="Arial Narrow" w:cs="Arial Narrow"/>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209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296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306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296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306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85</w:t>
            </w:r>
          </w:p>
        </w:tc>
      </w:tr>
      <w:tr>
        <w:trPr>
          <w:trHeight w:val="41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收益凭证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w:t>
            </w:r>
            <w:r>
              <w:rPr>
                <w:rFonts w:ascii="Arial Narrow" w:eastAsia="Arial Narrow" w:hAnsi="Arial Narrow" w:cs="Arial Narrow"/>
                <w:color w:val="000000"/>
                <w:spacing w:val="0"/>
                <w:w w:val="100"/>
                <w:position w:val="0"/>
                <w:sz w:val="18"/>
                <w:szCs w:val="18"/>
              </w:rPr>
              <w:t>%4</w:t>
            </w:r>
            <w:r>
              <w:rPr>
                <w:rFonts w:ascii="Times New Roman" w:eastAsia="Times New Roman" w:hAnsi="Times New Roman" w:cs="Times New Roman"/>
                <w:color w:val="000000"/>
                <w:spacing w:val="0"/>
                <w:w w:val="100"/>
                <w:position w:val="0"/>
                <w:sz w:val="18"/>
                <w:szCs w:val="18"/>
              </w:rPr>
              <w:t>5</w:t>
            </w:r>
            <w:r>
              <w:rPr>
                <w:rFonts w:ascii="Arial Narrow" w:eastAsia="Arial Narrow" w:hAnsi="Arial Narrow" w:cs="Arial Narrow"/>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661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096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767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661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096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767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10</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收益凭证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w:t>
            </w:r>
            <w:r>
              <w:rPr>
                <w:rFonts w:ascii="Arial Narrow" w:eastAsia="Arial Narrow" w:hAnsi="Arial Narrow" w:cs="Arial Narrow"/>
                <w:color w:val="000000"/>
                <w:spacing w:val="0"/>
                <w:w w:val="100"/>
                <w:position w:val="0"/>
                <w:sz w:val="18"/>
                <w:szCs w:val="18"/>
              </w:rPr>
              <w:t>%4</w:t>
            </w:r>
            <w:r>
              <w:rPr>
                <w:rFonts w:ascii="Times New Roman" w:eastAsia="Times New Roman" w:hAnsi="Times New Roman" w:cs="Times New Roman"/>
                <w:color w:val="000000"/>
                <w:spacing w:val="0"/>
                <w:w w:val="100"/>
                <w:position w:val="0"/>
                <w:sz w:val="18"/>
                <w:szCs w:val="18"/>
              </w:rPr>
              <w:t>4</w:t>
            </w:r>
            <w:r>
              <w:rPr>
                <w:rFonts w:ascii="Arial Narrow" w:eastAsia="Arial Narrow" w:hAnsi="Arial Narrow" w:cs="Arial Narrow"/>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938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394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938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394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49</w:t>
            </w:r>
          </w:p>
        </w:tc>
      </w:tr>
      <w:tr>
        <w:trPr>
          <w:trHeight w:val="44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854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971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761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162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869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660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619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416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529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398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424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893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12</w:t>
            </w:r>
          </w:p>
        </w:tc>
      </w:tr>
    </w:tbl>
    <w:p>
      <w:pPr>
        <w:widowControl w:val="0"/>
        <w:spacing w:after="799" w:line="1" w:lineRule="exact"/>
      </w:pPr>
    </w:p>
    <w:p>
      <w:pPr>
        <w:pStyle w:val="Style37"/>
        <w:keepNext/>
        <w:keepLines/>
        <w:widowControl w:val="0"/>
        <w:shd w:val="clear" w:color="auto" w:fill="auto"/>
        <w:bidi w:val="0"/>
        <w:spacing w:before="0" w:after="140" w:line="240" w:lineRule="auto"/>
        <w:ind w:left="0" w:right="0" w:firstLine="500"/>
        <w:jc w:val="left"/>
      </w:pPr>
      <w:bookmarkStart w:id="1406" w:name="bookmark1406"/>
      <w:bookmarkStart w:id="1407" w:name="bookmark1407"/>
      <w:bookmarkStart w:id="1408" w:name="bookmark1408"/>
      <w:r>
        <w:rPr>
          <w:color w:val="000000"/>
          <w:spacing w:val="0"/>
          <w:w w:val="100"/>
          <w:position w:val="0"/>
        </w:rPr>
        <w:t>注释</w:t>
      </w:r>
      <w:r>
        <w:rPr>
          <w:color w:val="000000"/>
          <w:spacing w:val="0"/>
          <w:w w:val="100"/>
          <w:position w:val="0"/>
        </w:rPr>
        <w:t>26.</w:t>
      </w:r>
      <w:r>
        <w:rPr>
          <w:color w:val="000000"/>
          <w:spacing w:val="0"/>
          <w:w w:val="100"/>
          <w:position w:val="0"/>
        </w:rPr>
        <w:t>拆入资金</w:t>
      </w:r>
      <w:bookmarkEnd w:id="1406"/>
      <w:bookmarkEnd w:id="1407"/>
      <w:bookmarkEnd w:id="1408"/>
    </w:p>
    <w:tbl>
      <w:tblPr>
        <w:tblOverlap w:val="never"/>
        <w:jc w:val="center"/>
        <w:tblLayout w:type="fixed"/>
      </w:tblPr>
      <w:tblGrid>
        <w:gridCol w:w="4402"/>
        <w:gridCol w:w="2026"/>
        <w:gridCol w:w="1987"/>
      </w:tblGrid>
      <w:tr>
        <w:trPr>
          <w:trHeight w:val="51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期末余额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期初余额</w:t>
            </w:r>
          </w:p>
        </w:tc>
      </w:tr>
      <w:tr>
        <w:trPr>
          <w:trHeight w:val="490"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转融通拆入资金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358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753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888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367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688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263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84</w:t>
            </w:r>
          </w:p>
        </w:tc>
      </w:tr>
      <w:tr>
        <w:trPr>
          <w:trHeight w:val="490"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银行拆入资金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400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223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611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11</w:t>
            </w:r>
          </w:p>
        </w:tc>
      </w:tr>
      <w:tr>
        <w:trPr>
          <w:trHeight w:val="518" w:hRule="exact"/>
        </w:trPr>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358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753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888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767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911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874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95</w:t>
            </w:r>
          </w:p>
        </w:tc>
      </w:tr>
    </w:tbl>
    <w:p>
      <w:pPr>
        <w:widowControl w:val="0"/>
        <w:spacing w:after="279" w:line="1" w:lineRule="exact"/>
      </w:pP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转融通拆入资金按剩余期限分类</w:t>
      </w:r>
    </w:p>
    <w:tbl>
      <w:tblPr>
        <w:tblOverlap w:val="never"/>
        <w:jc w:val="center"/>
        <w:tblLayout w:type="fixed"/>
      </w:tblPr>
      <w:tblGrid>
        <w:gridCol w:w="1757"/>
        <w:gridCol w:w="2069"/>
        <w:gridCol w:w="1334"/>
        <w:gridCol w:w="1747"/>
        <w:gridCol w:w="1531"/>
      </w:tblGrid>
      <w:tr>
        <w:trPr>
          <w:trHeight w:val="442"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剩余期限</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18"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利率区间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利率区间</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个月以内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156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786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111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80</w:t>
            </w:r>
            <w:r>
              <w:rPr>
                <w:rFonts w:ascii="Arial Narrow" w:eastAsia="Arial Narrow" w:hAnsi="Arial Narrow" w:cs="Arial Narrow"/>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967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777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80</w:t>
            </w:r>
            <w:r>
              <w:rPr>
                <w:rFonts w:ascii="Arial Narrow" w:eastAsia="Arial Narrow" w:hAnsi="Arial Narrow" w:cs="Arial Narrow"/>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010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490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277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50</w:t>
            </w:r>
            <w:r>
              <w:rPr>
                <w:rFonts w:ascii="Arial Narrow" w:eastAsia="Arial Narrow" w:hAnsi="Arial Narrow" w:cs="Arial Narrow"/>
                <w:color w:val="000000"/>
                <w:spacing w:val="0"/>
                <w:w w:val="100"/>
                <w:position w:val="0"/>
                <w:sz w:val="18"/>
                <w:szCs w:val="18"/>
              </w:rPr>
              <w:t>%</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个月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357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197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986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25</w:t>
            </w:r>
            <w:r>
              <w:rPr>
                <w:rFonts w:ascii="Arial Narrow" w:eastAsia="Arial Narrow" w:hAnsi="Arial Narrow" w:cs="Arial Narrow"/>
                <w:color w:val="000000"/>
                <w:spacing w:val="0"/>
                <w:w w:val="100"/>
                <w:position w:val="0"/>
                <w:sz w:val="18"/>
                <w:szCs w:val="18"/>
              </w:rPr>
              <w:t>%</w:t>
            </w:r>
          </w:p>
        </w:tc>
      </w:tr>
      <w:tr>
        <w:trPr>
          <w:trHeight w:val="44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358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753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888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367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688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263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84</w:t>
            </w: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7"/>
        <w:keepNext/>
        <w:keepLines/>
        <w:widowControl w:val="0"/>
        <w:shd w:val="clear" w:color="auto" w:fill="auto"/>
        <w:bidi w:val="0"/>
        <w:spacing w:before="0" w:after="160" w:line="240" w:lineRule="auto"/>
        <w:ind w:left="0" w:right="0" w:firstLine="460"/>
        <w:jc w:val="left"/>
      </w:pPr>
      <w:bookmarkStart w:id="1409" w:name="bookmark1409"/>
      <w:bookmarkStart w:id="1410" w:name="bookmark1410"/>
      <w:bookmarkStart w:id="1411" w:name="bookmark1411"/>
      <w:r>
        <w:rPr>
          <w:color w:val="000000"/>
          <w:spacing w:val="0"/>
          <w:w w:val="100"/>
          <w:position w:val="0"/>
        </w:rPr>
        <w:t>注释</w:t>
      </w:r>
      <w:r>
        <w:rPr>
          <w:rFonts w:ascii="Times New Roman" w:eastAsia="Times New Roman" w:hAnsi="Times New Roman" w:cs="Times New Roman"/>
          <w:color w:val="000000"/>
          <w:spacing w:val="0"/>
          <w:w w:val="100"/>
          <w:position w:val="0"/>
        </w:rPr>
        <w:t>27.</w:t>
      </w:r>
      <w:r>
        <w:rPr>
          <w:color w:val="000000"/>
          <w:spacing w:val="0"/>
          <w:w w:val="100"/>
          <w:position w:val="0"/>
        </w:rPr>
        <w:t>交易性金融负债</w:t>
      </w:r>
      <w:bookmarkEnd w:id="1409"/>
      <w:bookmarkEnd w:id="1410"/>
      <w:bookmarkEnd w:id="1411"/>
    </w:p>
    <w:tbl>
      <w:tblPr>
        <w:tblOverlap w:val="never"/>
        <w:jc w:val="center"/>
        <w:tblLayout w:type="fixed"/>
      </w:tblPr>
      <w:tblGrid>
        <w:gridCol w:w="835"/>
        <w:gridCol w:w="1301"/>
        <w:gridCol w:w="1157"/>
        <w:gridCol w:w="1301"/>
        <w:gridCol w:w="1334"/>
        <w:gridCol w:w="1080"/>
        <w:gridCol w:w="1358"/>
      </w:tblGrid>
      <w:tr>
        <w:trPr>
          <w:trHeight w:val="432"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类别</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1723"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6" w:lineRule="exact"/>
              <w:ind w:left="0" w:right="0" w:firstLine="0"/>
              <w:jc w:val="center"/>
              <w:rPr>
                <w:sz w:val="18"/>
                <w:szCs w:val="18"/>
              </w:rPr>
            </w:pPr>
            <w:r>
              <w:rPr>
                <w:color w:val="000000"/>
                <w:spacing w:val="0"/>
                <w:w w:val="100"/>
                <w:position w:val="0"/>
                <w:sz w:val="18"/>
                <w:szCs w:val="18"/>
              </w:rPr>
              <w:t>分类为以公允 价值计量且其 变动计入当期 损益的金融负 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left"/>
              <w:rPr>
                <w:sz w:val="18"/>
                <w:szCs w:val="18"/>
              </w:rPr>
            </w:pPr>
            <w:r>
              <w:rPr>
                <w:color w:val="000000"/>
                <w:spacing w:val="0"/>
                <w:w w:val="100"/>
                <w:position w:val="0"/>
                <w:sz w:val="18"/>
                <w:szCs w:val="18"/>
              </w:rPr>
              <w:t>指定为以公 允价值计量 且其变动计 入当期损益 的金融负债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6" w:lineRule="exact"/>
              <w:ind w:left="0" w:right="0" w:firstLine="0"/>
              <w:jc w:val="center"/>
              <w:rPr>
                <w:sz w:val="18"/>
                <w:szCs w:val="18"/>
              </w:rPr>
            </w:pPr>
            <w:r>
              <w:rPr>
                <w:color w:val="000000"/>
                <w:spacing w:val="0"/>
                <w:w w:val="100"/>
                <w:position w:val="0"/>
                <w:sz w:val="18"/>
                <w:szCs w:val="18"/>
              </w:rPr>
              <w:t>分类为以公允 价值计量且其 变动计入当期 损益的金融负 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center"/>
              <w:rPr>
                <w:sz w:val="18"/>
                <w:szCs w:val="18"/>
              </w:rPr>
            </w:pPr>
            <w:r>
              <w:rPr>
                <w:color w:val="000000"/>
                <w:spacing w:val="0"/>
                <w:w w:val="100"/>
                <w:position w:val="0"/>
                <w:sz w:val="18"/>
                <w:szCs w:val="18"/>
              </w:rPr>
              <w:t>指定为以 公允价值 计量且其 变动计入 当期损益 的金融负 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r>
      <w:tr>
        <w:trPr>
          <w:trHeight w:val="40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750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750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r>
      <w:tr>
        <w:trPr>
          <w:trHeight w:val="437"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750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750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r>
    </w:tbl>
    <w:p>
      <w:pPr>
        <w:widowControl w:val="0"/>
        <w:spacing w:after="439" w:line="1" w:lineRule="exact"/>
      </w:pPr>
    </w:p>
    <w:p>
      <w:pPr>
        <w:pStyle w:val="Style37"/>
        <w:keepNext/>
        <w:keepLines/>
        <w:widowControl w:val="0"/>
        <w:shd w:val="clear" w:color="auto" w:fill="auto"/>
        <w:bidi w:val="0"/>
        <w:spacing w:before="0" w:after="160" w:line="240" w:lineRule="auto"/>
        <w:ind w:left="0" w:right="0" w:firstLine="460"/>
        <w:jc w:val="left"/>
      </w:pPr>
      <w:bookmarkStart w:id="1412" w:name="bookmark1412"/>
      <w:bookmarkStart w:id="1413" w:name="bookmark1413"/>
      <w:bookmarkStart w:id="1414" w:name="bookmark1414"/>
      <w:r>
        <w:rPr>
          <w:color w:val="000000"/>
          <w:spacing w:val="0"/>
          <w:w w:val="100"/>
          <w:position w:val="0"/>
        </w:rPr>
        <w:t>注释</w:t>
      </w:r>
      <w:r>
        <w:rPr>
          <w:rFonts w:ascii="Times New Roman" w:eastAsia="Times New Roman" w:hAnsi="Times New Roman" w:cs="Times New Roman"/>
          <w:color w:val="000000"/>
          <w:spacing w:val="0"/>
          <w:w w:val="100"/>
          <w:position w:val="0"/>
        </w:rPr>
        <w:t>28.</w:t>
      </w:r>
      <w:r>
        <w:rPr>
          <w:color w:val="000000"/>
          <w:spacing w:val="0"/>
          <w:w w:val="100"/>
          <w:position w:val="0"/>
        </w:rPr>
        <w:t>应付账款</w:t>
      </w:r>
      <w:bookmarkEnd w:id="1412"/>
      <w:bookmarkEnd w:id="1413"/>
      <w:bookmarkEnd w:id="1414"/>
    </w:p>
    <w:tbl>
      <w:tblPr>
        <w:tblOverlap w:val="never"/>
        <w:jc w:val="center"/>
        <w:tblLayout w:type="fixed"/>
      </w:tblPr>
      <w:tblGrid>
        <w:gridCol w:w="2784"/>
        <w:gridCol w:w="2846"/>
        <w:gridCol w:w="2750"/>
      </w:tblGrid>
      <w:tr>
        <w:trPr>
          <w:trHeight w:val="37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种类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39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left"/>
              <w:rPr>
                <w:sz w:val="18"/>
                <w:szCs w:val="18"/>
              </w:rPr>
            </w:pPr>
            <w:r>
              <w:rPr>
                <w:rFonts w:ascii="Times New Roman" w:eastAsia="Times New Roman" w:hAnsi="Times New Roman" w:cs="Times New Roman"/>
                <w:color w:val="000000"/>
                <w:spacing w:val="0"/>
                <w:w w:val="100"/>
                <w:position w:val="0"/>
                <w:sz w:val="18"/>
                <w:szCs w:val="18"/>
              </w:rPr>
              <w:t>227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168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850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217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135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303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43</w:t>
            </w:r>
          </w:p>
        </w:tc>
      </w:tr>
      <w:tr>
        <w:trPr>
          <w:trHeight w:val="432"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left"/>
              <w:rPr>
                <w:sz w:val="18"/>
                <w:szCs w:val="18"/>
              </w:rPr>
            </w:pPr>
            <w:r>
              <w:rPr>
                <w:rFonts w:ascii="Times New Roman" w:eastAsia="Times New Roman" w:hAnsi="Times New Roman" w:cs="Times New Roman"/>
                <w:color w:val="000000"/>
                <w:spacing w:val="0"/>
                <w:w w:val="100"/>
                <w:position w:val="0"/>
                <w:sz w:val="18"/>
                <w:szCs w:val="18"/>
              </w:rPr>
              <w:t>227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168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850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217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135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303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43</w:t>
            </w:r>
          </w:p>
        </w:tc>
      </w:tr>
    </w:tbl>
    <w:p>
      <w:pPr>
        <w:widowControl w:val="0"/>
        <w:spacing w:after="299" w:line="1" w:lineRule="exact"/>
      </w:pPr>
    </w:p>
    <w:p>
      <w:pPr>
        <w:pStyle w:val="Style16"/>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b/>
          <w:bCs/>
          <w:color w:val="000000"/>
          <w:spacing w:val="0"/>
          <w:w w:val="100"/>
          <w:position w:val="0"/>
        </w:rPr>
        <w:t>1</w:t>
      </w:r>
      <w:r>
        <w:rPr>
          <w:rFonts w:ascii="Calibri" w:eastAsia="Calibri" w:hAnsi="Calibri" w:cs="Calibri"/>
          <w:b/>
          <w:bCs/>
          <w:color w:val="000000"/>
          <w:spacing w:val="0"/>
          <w:w w:val="100"/>
          <w:position w:val="0"/>
          <w:sz w:val="20"/>
          <w:szCs w:val="20"/>
        </w:rPr>
        <w:t>.</w:t>
      </w:r>
      <w:r>
        <w:rPr>
          <w:b/>
          <w:bCs/>
          <w:color w:val="000000"/>
          <w:spacing w:val="0"/>
          <w:w w:val="100"/>
          <w:position w:val="0"/>
        </w:rPr>
        <w:t>应付账款列示:</w:t>
      </w:r>
    </w:p>
    <w:tbl>
      <w:tblPr>
        <w:tblOverlap w:val="never"/>
        <w:jc w:val="center"/>
        <w:tblLayout w:type="fixed"/>
      </w:tblPr>
      <w:tblGrid>
        <w:gridCol w:w="2736"/>
        <w:gridCol w:w="2837"/>
        <w:gridCol w:w="2789"/>
      </w:tblGrid>
      <w:tr>
        <w:trPr>
          <w:trHeight w:val="44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证券清算款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372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892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683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150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50</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手续费及佣金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301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162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107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754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35</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经纪人风险金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353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634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402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635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37</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中证投资者保护基金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099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540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257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517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04</w:t>
            </w:r>
          </w:p>
        </w:tc>
      </w:tr>
      <w:tr>
        <w:trPr>
          <w:trHeight w:val="41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采购款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233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464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24</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386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781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93</w:t>
            </w:r>
          </w:p>
        </w:tc>
      </w:tr>
      <w:tr>
        <w:trPr>
          <w:trHeight w:val="44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168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850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135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303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43</w:t>
            </w:r>
          </w:p>
        </w:tc>
      </w:tr>
    </w:tbl>
    <w:p>
      <w:pPr>
        <w:widowControl w:val="0"/>
        <w:spacing w:after="299" w:line="1" w:lineRule="exact"/>
      </w:pPr>
    </w:p>
    <w:p>
      <w:pPr>
        <w:pStyle w:val="Style16"/>
        <w:keepNext w:val="0"/>
        <w:keepLines w:val="0"/>
        <w:widowControl w:val="0"/>
        <w:shd w:val="clear" w:color="auto" w:fill="auto"/>
        <w:bidi w:val="0"/>
        <w:spacing w:before="0" w:after="160" w:line="240" w:lineRule="auto"/>
        <w:ind w:left="0" w:right="0" w:firstLine="460"/>
        <w:jc w:val="left"/>
      </w:pPr>
      <w:r>
        <w:rPr>
          <w:rFonts w:ascii="Times New Roman" w:eastAsia="Times New Roman" w:hAnsi="Times New Roman" w:cs="Times New Roman"/>
          <w:b/>
          <w:bCs/>
          <w:color w:val="000000"/>
          <w:spacing w:val="0"/>
          <w:w w:val="100"/>
          <w:position w:val="0"/>
        </w:rPr>
        <w:t>2</w:t>
      </w:r>
      <w:r>
        <w:rPr>
          <w:rFonts w:ascii="Calibri" w:eastAsia="Calibri" w:hAnsi="Calibri" w:cs="Calibri"/>
          <w:b/>
          <w:bCs/>
          <w:color w:val="000000"/>
          <w:spacing w:val="0"/>
          <w:w w:val="100"/>
          <w:position w:val="0"/>
          <w:sz w:val="20"/>
          <w:szCs w:val="20"/>
        </w:rPr>
        <w:t>.</w:t>
      </w:r>
      <w:r>
        <w:rPr>
          <w:b/>
          <w:bCs/>
          <w:color w:val="000000"/>
          <w:spacing w:val="0"/>
          <w:w w:val="100"/>
          <w:position w:val="0"/>
        </w:rPr>
        <w:t>账龄超过一年的重要应付账款</w:t>
      </w:r>
    </w:p>
    <w:p>
      <w:pPr>
        <w:pStyle w:val="Style16"/>
        <w:keepNext w:val="0"/>
        <w:keepLines w:val="0"/>
        <w:widowControl w:val="0"/>
        <w:shd w:val="clear" w:color="auto" w:fill="auto"/>
        <w:bidi w:val="0"/>
        <w:spacing w:before="0" w:after="500" w:line="240" w:lineRule="auto"/>
        <w:ind w:left="0" w:right="0" w:firstLine="460"/>
        <w:jc w:val="left"/>
      </w:pPr>
      <w:r>
        <w:rPr>
          <w:color w:val="000000"/>
          <w:spacing w:val="0"/>
          <w:w w:val="100"/>
          <w:position w:val="0"/>
        </w:rPr>
        <w:t>本期无此事项。</w:t>
      </w:r>
    </w:p>
    <w:p>
      <w:pPr>
        <w:pStyle w:val="Style37"/>
        <w:keepNext/>
        <w:keepLines/>
        <w:widowControl w:val="0"/>
        <w:shd w:val="clear" w:color="auto" w:fill="auto"/>
        <w:bidi w:val="0"/>
        <w:spacing w:before="0" w:after="160" w:line="240" w:lineRule="auto"/>
        <w:ind w:left="0" w:right="0" w:firstLine="460"/>
        <w:jc w:val="left"/>
      </w:pPr>
      <w:bookmarkStart w:id="1415" w:name="bookmark1415"/>
      <w:bookmarkStart w:id="1416" w:name="bookmark1416"/>
      <w:bookmarkStart w:id="1417" w:name="bookmark1417"/>
      <w:r>
        <w:rPr>
          <w:color w:val="000000"/>
          <w:spacing w:val="0"/>
          <w:w w:val="100"/>
          <w:position w:val="0"/>
        </w:rPr>
        <w:t>注释</w:t>
      </w:r>
      <w:r>
        <w:rPr>
          <w:rFonts w:ascii="Times New Roman" w:eastAsia="Times New Roman" w:hAnsi="Times New Roman" w:cs="Times New Roman"/>
          <w:color w:val="000000"/>
          <w:spacing w:val="0"/>
          <w:w w:val="100"/>
          <w:position w:val="0"/>
        </w:rPr>
        <w:t>29.</w:t>
      </w:r>
      <w:r>
        <w:rPr>
          <w:color w:val="000000"/>
          <w:spacing w:val="0"/>
          <w:w w:val="100"/>
          <w:position w:val="0"/>
        </w:rPr>
        <w:t>预收款项</w:t>
      </w:r>
      <w:bookmarkEnd w:id="1415"/>
      <w:bookmarkEnd w:id="1416"/>
      <w:bookmarkEnd w:id="1417"/>
    </w:p>
    <w:tbl>
      <w:tblPr>
        <w:tblOverlap w:val="never"/>
        <w:jc w:val="center"/>
        <w:tblLayout w:type="fixed"/>
      </w:tblPr>
      <w:tblGrid>
        <w:gridCol w:w="4195"/>
        <w:gridCol w:w="4186"/>
      </w:tblGrid>
      <w:tr>
        <w:trPr>
          <w:trHeight w:val="37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账龄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上年年末余额</w:t>
            </w:r>
          </w:p>
        </w:tc>
      </w:tr>
      <w:tr>
        <w:trPr>
          <w:trHeight w:val="39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120" w:right="0" w:firstLine="0"/>
              <w:jc w:val="left"/>
              <w:rPr>
                <w:sz w:val="18"/>
                <w:szCs w:val="18"/>
              </w:rPr>
            </w:pPr>
            <w:r>
              <w:rPr>
                <w:rFonts w:ascii="Times New Roman" w:eastAsia="Times New Roman" w:hAnsi="Times New Roman" w:cs="Times New Roman"/>
                <w:color w:val="000000"/>
                <w:spacing w:val="0"/>
                <w:w w:val="100"/>
                <w:position w:val="0"/>
                <w:sz w:val="18"/>
                <w:szCs w:val="18"/>
              </w:rPr>
              <w:t>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930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28</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658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27</w:t>
            </w:r>
          </w:p>
        </w:tc>
      </w:tr>
      <w:tr>
        <w:trPr>
          <w:trHeight w:val="432"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3120" w:right="0" w:firstLine="0"/>
              <w:jc w:val="left"/>
              <w:rPr>
                <w:sz w:val="18"/>
                <w:szCs w:val="18"/>
              </w:rPr>
            </w:pPr>
            <w:r>
              <w:rPr>
                <w:rFonts w:ascii="Times New Roman" w:eastAsia="Times New Roman" w:hAnsi="Times New Roman" w:cs="Times New Roman"/>
                <w:color w:val="000000"/>
                <w:spacing w:val="0"/>
                <w:w w:val="100"/>
                <w:position w:val="0"/>
                <w:sz w:val="18"/>
                <w:szCs w:val="18"/>
              </w:rPr>
              <w:t>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619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588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55</w:t>
            </w:r>
          </w:p>
        </w:tc>
      </w:tr>
    </w:tbl>
    <w:p>
      <w:pPr>
        <w:spacing w:lineRule="exact" w:line="1"/>
        <w:rPr>
          <w:sz w:val="2"/>
          <w:szCs w:val="2"/>
        </w:rPr>
      </w:pPr>
      <w:r>
        <w:br w:type="page"/>
      </w:r>
    </w:p>
    <w:p>
      <w:pPr>
        <w:pStyle w:val="Style16"/>
        <w:keepNext w:val="0"/>
        <w:keepLines w:val="0"/>
        <w:widowControl w:val="0"/>
        <w:shd w:val="clear" w:color="auto" w:fill="auto"/>
        <w:bidi w:val="0"/>
        <w:spacing w:before="0" w:after="320" w:line="240" w:lineRule="auto"/>
        <w:ind w:left="0" w:right="0" w:firstLine="460"/>
        <w:jc w:val="left"/>
      </w:pPr>
      <w:r>
        <w:rPr>
          <w:color w:val="000000"/>
          <w:spacing w:val="0"/>
          <w:w w:val="100"/>
          <w:position w:val="0"/>
        </w:rPr>
        <w:t>注：因本公司自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 xml:space="preserve">日起执行新收入准则，该项目无期末余额，期初余额与 </w:t>
      </w:r>
      <w:r>
        <w:rPr>
          <w:color w:val="000000"/>
          <w:spacing w:val="0"/>
          <w:w w:val="100"/>
          <w:position w:val="0"/>
        </w:rPr>
        <w:t>上年末余额存在差异。差异情况详见附注四、（四十二）。</w:t>
      </w:r>
    </w:p>
    <w:p>
      <w:pPr>
        <w:pStyle w:val="Style37"/>
        <w:keepNext/>
        <w:keepLines/>
        <w:widowControl w:val="0"/>
        <w:shd w:val="clear" w:color="auto" w:fill="auto"/>
        <w:bidi w:val="0"/>
        <w:spacing w:before="0" w:after="320" w:line="240" w:lineRule="auto"/>
        <w:ind w:left="0" w:right="0" w:firstLine="460"/>
        <w:jc w:val="left"/>
      </w:pPr>
      <w:bookmarkStart w:id="1418" w:name="bookmark1418"/>
      <w:bookmarkStart w:id="1419" w:name="bookmark1419"/>
      <w:bookmarkStart w:id="1420" w:name="bookmark1420"/>
      <w:r>
        <w:rPr>
          <w:color w:val="000000"/>
          <w:spacing w:val="0"/>
          <w:w w:val="100"/>
          <w:position w:val="0"/>
        </w:rPr>
        <w:t>注释</w:t>
      </w:r>
      <w:r>
        <w:rPr>
          <w:rFonts w:ascii="Times New Roman" w:eastAsia="Times New Roman" w:hAnsi="Times New Roman" w:cs="Times New Roman"/>
          <w:color w:val="000000"/>
          <w:spacing w:val="0"/>
          <w:w w:val="100"/>
          <w:position w:val="0"/>
        </w:rPr>
        <w:t>30.</w:t>
      </w:r>
      <w:r>
        <w:rPr>
          <w:color w:val="000000"/>
          <w:spacing w:val="0"/>
          <w:w w:val="100"/>
          <w:position w:val="0"/>
        </w:rPr>
        <w:t>卖出回购金融资产款</w:t>
      </w:r>
      <w:bookmarkEnd w:id="1418"/>
      <w:bookmarkEnd w:id="1419"/>
      <w:bookmarkEnd w:id="1420"/>
    </w:p>
    <w:p>
      <w:pPr>
        <w:pStyle w:val="Style37"/>
        <w:keepNext/>
        <w:keepLines/>
        <w:widowControl w:val="0"/>
        <w:shd w:val="clear" w:color="auto" w:fill="auto"/>
        <w:bidi w:val="0"/>
        <w:spacing w:before="0" w:after="0" w:line="240" w:lineRule="auto"/>
        <w:ind w:left="0" w:right="0" w:firstLine="460"/>
        <w:jc w:val="left"/>
      </w:pPr>
      <w:bookmarkStart w:id="1418" w:name="bookmark1418"/>
      <w:bookmarkStart w:id="1419" w:name="bookmark1419"/>
      <w:r>
        <w:rPr>
          <w:rFonts w:ascii="Times New Roman" w:eastAsia="Times New Roman" w:hAnsi="Times New Roman" w:cs="Times New Roman"/>
          <w:color w:val="000000"/>
          <w:spacing w:val="0"/>
          <w:w w:val="100"/>
          <w:position w:val="0"/>
        </w:rPr>
        <w:t>1</w:t>
      </w:r>
      <w:r>
        <w:rPr>
          <w:rFonts w:ascii="Calibri" w:eastAsia="Calibri" w:hAnsi="Calibri" w:cs="Calibri"/>
          <w:color w:val="000000"/>
          <w:spacing w:val="0"/>
          <w:w w:val="100"/>
          <w:position w:val="0"/>
          <w:sz w:val="20"/>
          <w:szCs w:val="20"/>
        </w:rPr>
        <w:t>.</w:t>
      </w:r>
      <w:r>
        <w:rPr>
          <w:color w:val="000000"/>
          <w:spacing w:val="0"/>
          <w:w w:val="100"/>
          <w:position w:val="0"/>
        </w:rPr>
        <w:t>按业务类别列示</w:t>
      </w:r>
      <w:bookmarkEnd w:id="1418"/>
      <w:bookmarkEnd w:id="1419"/>
    </w:p>
    <w:tbl>
      <w:tblPr>
        <w:tblOverlap w:val="never"/>
        <w:jc w:val="center"/>
        <w:tblLayout w:type="fixed"/>
      </w:tblPr>
      <w:tblGrid>
        <w:gridCol w:w="2722"/>
        <w:gridCol w:w="2760"/>
        <w:gridCol w:w="2861"/>
      </w:tblGrid>
      <w:tr>
        <w:trPr>
          <w:trHeight w:val="514"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90"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买断式卖出回购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388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835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27</w:t>
            </w:r>
          </w:p>
        </w:tc>
      </w:tr>
      <w:tr>
        <w:trPr>
          <w:trHeight w:val="490"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质押式卖出回购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609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954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650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261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570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303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72</w:t>
            </w:r>
          </w:p>
        </w:tc>
      </w:tr>
      <w:tr>
        <w:trPr>
          <w:trHeight w:val="523" w:hRule="exact"/>
        </w:trPr>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609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954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650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358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959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138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99</w:t>
            </w:r>
          </w:p>
        </w:tc>
      </w:tr>
    </w:tbl>
    <w:p>
      <w:pPr>
        <w:widowControl w:val="0"/>
        <w:spacing w:after="259" w:line="1" w:lineRule="exact"/>
      </w:pPr>
    </w:p>
    <w:p>
      <w:pPr>
        <w:pStyle w:val="Style16"/>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b/>
          <w:bCs/>
          <w:color w:val="000000"/>
          <w:spacing w:val="0"/>
          <w:w w:val="100"/>
          <w:position w:val="0"/>
        </w:rPr>
        <w:t>2</w:t>
      </w:r>
      <w:r>
        <w:rPr>
          <w:rFonts w:ascii="Calibri" w:eastAsia="Calibri" w:hAnsi="Calibri" w:cs="Calibri"/>
          <w:b/>
          <w:bCs/>
          <w:color w:val="000000"/>
          <w:spacing w:val="0"/>
          <w:w w:val="100"/>
          <w:position w:val="0"/>
          <w:sz w:val="20"/>
          <w:szCs w:val="20"/>
        </w:rPr>
        <w:t>.</w:t>
      </w:r>
      <w:r>
        <w:rPr>
          <w:b/>
          <w:bCs/>
          <w:color w:val="000000"/>
          <w:spacing w:val="0"/>
          <w:w w:val="100"/>
          <w:position w:val="0"/>
        </w:rPr>
        <w:t>按金融资产种类列示</w:t>
      </w:r>
    </w:p>
    <w:tbl>
      <w:tblPr>
        <w:tblOverlap w:val="never"/>
        <w:jc w:val="center"/>
        <w:tblLayout w:type="fixed"/>
      </w:tblPr>
      <w:tblGrid>
        <w:gridCol w:w="2851"/>
        <w:gridCol w:w="2770"/>
        <w:gridCol w:w="2688"/>
      </w:tblGrid>
      <w:tr>
        <w:trPr>
          <w:trHeight w:val="514"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90"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债券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609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954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650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358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959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138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99</w:t>
            </w:r>
          </w:p>
        </w:tc>
      </w:tr>
      <w:tr>
        <w:trPr>
          <w:trHeight w:val="518" w:hRule="exact"/>
        </w:trPr>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609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954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650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358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959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138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99</w:t>
            </w:r>
          </w:p>
        </w:tc>
      </w:tr>
    </w:tbl>
    <w:p>
      <w:pPr>
        <w:widowControl w:val="0"/>
        <w:spacing w:after="659" w:line="1" w:lineRule="exact"/>
      </w:pPr>
    </w:p>
    <w:p>
      <w:pPr>
        <w:pStyle w:val="Style16"/>
        <w:keepNext w:val="0"/>
        <w:keepLines w:val="0"/>
        <w:widowControl w:val="0"/>
        <w:numPr>
          <w:ilvl w:val="0"/>
          <w:numId w:val="87"/>
        </w:numPr>
        <w:shd w:val="clear" w:color="auto" w:fill="auto"/>
        <w:bidi w:val="0"/>
        <w:spacing w:before="0" w:after="0" w:line="240" w:lineRule="auto"/>
        <w:ind w:left="0" w:right="0" w:firstLine="460"/>
        <w:jc w:val="left"/>
      </w:pPr>
      <w:bookmarkStart w:id="1421" w:name="bookmark1421"/>
      <w:bookmarkEnd w:id="1421"/>
      <w:r>
        <w:rPr>
          <w:b/>
          <w:bCs/>
          <w:color w:val="000000"/>
          <w:spacing w:val="0"/>
          <w:w w:val="100"/>
          <w:position w:val="0"/>
        </w:rPr>
        <w:t>按担保物金额列示</w:t>
      </w:r>
    </w:p>
    <w:tbl>
      <w:tblPr>
        <w:tblOverlap w:val="never"/>
        <w:jc w:val="center"/>
        <w:tblLayout w:type="fixed"/>
      </w:tblPr>
      <w:tblGrid>
        <w:gridCol w:w="2846"/>
        <w:gridCol w:w="2774"/>
        <w:gridCol w:w="2702"/>
      </w:tblGrid>
      <w:tr>
        <w:trPr>
          <w:trHeight w:val="514"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期末公允价值</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期初公允价值</w:t>
            </w:r>
          </w:p>
        </w:tc>
      </w:tr>
      <w:tr>
        <w:trPr>
          <w:trHeight w:val="494"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债券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073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991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196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253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365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858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51</w:t>
            </w:r>
          </w:p>
        </w:tc>
      </w:tr>
      <w:tr>
        <w:trPr>
          <w:trHeight w:val="518" w:hRule="exact"/>
        </w:trPr>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073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991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196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253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365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858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51</w:t>
            </w:r>
          </w:p>
        </w:tc>
      </w:tr>
    </w:tbl>
    <w:p>
      <w:pPr>
        <w:widowControl w:val="0"/>
        <w:spacing w:after="259" w:line="1" w:lineRule="exact"/>
      </w:pPr>
    </w:p>
    <w:p>
      <w:pPr>
        <w:pStyle w:val="Style16"/>
        <w:keepNext w:val="0"/>
        <w:keepLines w:val="0"/>
        <w:widowControl w:val="0"/>
        <w:numPr>
          <w:ilvl w:val="0"/>
          <w:numId w:val="87"/>
        </w:numPr>
        <w:shd w:val="clear" w:color="auto" w:fill="auto"/>
        <w:bidi w:val="0"/>
        <w:spacing w:before="0" w:after="0" w:line="240" w:lineRule="auto"/>
        <w:ind w:left="0" w:right="0" w:firstLine="460"/>
        <w:jc w:val="left"/>
      </w:pPr>
      <w:bookmarkStart w:id="1422" w:name="bookmark1422"/>
      <w:bookmarkEnd w:id="1422"/>
      <w:r>
        <w:rPr>
          <w:b/>
          <w:bCs/>
          <w:color w:val="000000"/>
          <w:spacing w:val="0"/>
          <w:w w:val="100"/>
          <w:position w:val="0"/>
        </w:rPr>
        <w:t>卖出回购金融资产款按剩余期限分类</w:t>
      </w:r>
    </w:p>
    <w:tbl>
      <w:tblPr>
        <w:tblOverlap w:val="never"/>
        <w:jc w:val="center"/>
        <w:tblLayout w:type="fixed"/>
      </w:tblPr>
      <w:tblGrid>
        <w:gridCol w:w="2755"/>
        <w:gridCol w:w="1474"/>
        <w:gridCol w:w="1358"/>
        <w:gridCol w:w="1478"/>
        <w:gridCol w:w="1262"/>
      </w:tblGrid>
      <w:tr>
        <w:trPr>
          <w:trHeight w:val="43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剩余期限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利率区间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利率区间</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一个月内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609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954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650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18</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1.62%-4.21%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166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414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63</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2.05%-5.30%</w:t>
            </w:r>
          </w:p>
        </w:tc>
      </w:tr>
      <w:tr>
        <w:trPr>
          <w:trHeight w:val="40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一个月至三个月内</w:t>
            </w: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544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438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36</w:t>
            </w:r>
          </w:p>
        </w:tc>
        <w:tc>
          <w:tcPr>
            <w:vMerge/>
            <w:tcBorders>
              <w:left w:val="single" w:sz="4"/>
            </w:tcBorders>
            <w:shd w:val="clear" w:color="auto" w:fill="FFFFFF"/>
            <w:vAlign w:val="center"/>
          </w:tcPr>
          <w:p>
            <w:pPr/>
          </w:p>
        </w:tc>
      </w:tr>
      <w:tr>
        <w:trPr>
          <w:trHeight w:val="437"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609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954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650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358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959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138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99</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459" w:line="1" w:lineRule="exact"/>
      </w:pPr>
    </w:p>
    <w:p>
      <w:pPr>
        <w:pStyle w:val="Style37"/>
        <w:keepNext/>
        <w:keepLines/>
        <w:widowControl w:val="0"/>
        <w:shd w:val="clear" w:color="auto" w:fill="auto"/>
        <w:bidi w:val="0"/>
        <w:spacing w:before="0" w:after="260" w:line="240" w:lineRule="auto"/>
        <w:ind w:left="0" w:right="0" w:firstLine="460"/>
        <w:jc w:val="left"/>
      </w:pPr>
      <w:bookmarkStart w:id="1423" w:name="bookmark1423"/>
      <w:bookmarkStart w:id="1424" w:name="bookmark1424"/>
      <w:bookmarkStart w:id="1425" w:name="bookmark1425"/>
      <w:r>
        <w:rPr>
          <w:color w:val="000000"/>
          <w:spacing w:val="0"/>
          <w:w w:val="100"/>
          <w:position w:val="0"/>
        </w:rPr>
        <w:t>注释</w:t>
      </w:r>
      <w:r>
        <w:rPr>
          <w:rFonts w:ascii="Times New Roman" w:eastAsia="Times New Roman" w:hAnsi="Times New Roman" w:cs="Times New Roman"/>
          <w:color w:val="000000"/>
          <w:spacing w:val="0"/>
          <w:w w:val="100"/>
          <w:position w:val="0"/>
        </w:rPr>
        <w:t>31.</w:t>
      </w:r>
      <w:r>
        <w:rPr>
          <w:color w:val="000000"/>
          <w:spacing w:val="0"/>
          <w:w w:val="100"/>
          <w:position w:val="0"/>
        </w:rPr>
        <w:t>代理买卖证券款</w:t>
      </w:r>
      <w:bookmarkEnd w:id="1423"/>
      <w:bookmarkEnd w:id="1424"/>
      <w:bookmarkEnd w:id="1425"/>
    </w:p>
    <w:p>
      <w:pPr>
        <w:pStyle w:val="Style37"/>
        <w:keepNext/>
        <w:keepLines/>
        <w:widowControl w:val="0"/>
        <w:shd w:val="clear" w:color="auto" w:fill="auto"/>
        <w:bidi w:val="0"/>
        <w:spacing w:before="0" w:after="0" w:line="240" w:lineRule="auto"/>
        <w:ind w:left="0" w:right="0" w:firstLine="460"/>
        <w:jc w:val="left"/>
      </w:pPr>
      <w:bookmarkStart w:id="1423" w:name="bookmark1423"/>
      <w:bookmarkStart w:id="1424" w:name="bookmark1424"/>
      <w:r>
        <w:rPr>
          <w:rFonts w:ascii="Times New Roman" w:eastAsia="Times New Roman" w:hAnsi="Times New Roman" w:cs="Times New Roman"/>
          <w:color w:val="000000"/>
          <w:spacing w:val="0"/>
          <w:w w:val="100"/>
          <w:position w:val="0"/>
        </w:rPr>
        <w:t>1</w:t>
      </w:r>
      <w:r>
        <w:rPr>
          <w:rFonts w:ascii="Calibri" w:eastAsia="Calibri" w:hAnsi="Calibri" w:cs="Calibri"/>
          <w:color w:val="000000"/>
          <w:spacing w:val="0"/>
          <w:w w:val="100"/>
          <w:position w:val="0"/>
          <w:sz w:val="20"/>
          <w:szCs w:val="20"/>
        </w:rPr>
        <w:t>.</w:t>
      </w:r>
      <w:r>
        <w:rPr>
          <w:color w:val="000000"/>
          <w:spacing w:val="0"/>
          <w:w w:val="100"/>
          <w:position w:val="0"/>
        </w:rPr>
        <w:t>按业务</w:t>
      </w:r>
      <w:bookmarkEnd w:id="1423"/>
      <w:bookmarkEnd w:id="1424"/>
    </w:p>
    <w:tbl>
      <w:tblPr>
        <w:tblOverlap w:val="never"/>
        <w:jc w:val="center"/>
        <w:tblLayout w:type="fixed"/>
      </w:tblPr>
      <w:tblGrid>
        <w:gridCol w:w="2870"/>
        <w:gridCol w:w="2794"/>
        <w:gridCol w:w="2722"/>
      </w:tblGrid>
      <w:tr>
        <w:trPr>
          <w:trHeight w:val="514"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523" w:hRule="exact"/>
        </w:trPr>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普通经纪业务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70"/>
        <w:gridCol w:w="2794"/>
        <w:gridCol w:w="2722"/>
      </w:tblGrid>
      <w:tr>
        <w:trPr>
          <w:trHeight w:val="514"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90"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其中：个人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302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756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606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450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336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458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95</w:t>
            </w:r>
          </w:p>
        </w:tc>
      </w:tr>
      <w:tr>
        <w:trPr>
          <w:trHeight w:val="490"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233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668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606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535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541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411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40</w:t>
            </w:r>
          </w:p>
        </w:tc>
      </w:tr>
      <w:tr>
        <w:trPr>
          <w:trHeight w:val="490"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536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425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213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985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877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870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35</w:t>
            </w:r>
          </w:p>
        </w:tc>
      </w:tr>
      <w:tr>
        <w:trPr>
          <w:trHeight w:val="494"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信用业务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其中：个人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731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258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509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765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415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088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04</w:t>
            </w:r>
          </w:p>
        </w:tc>
      </w:tr>
      <w:tr>
        <w:trPr>
          <w:trHeight w:val="490"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136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121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576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565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285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66</w:t>
            </w:r>
          </w:p>
        </w:tc>
      </w:tr>
      <w:tr>
        <w:trPr>
          <w:trHeight w:val="490"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867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380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085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805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980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373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70</w:t>
            </w:r>
          </w:p>
        </w:tc>
      </w:tr>
      <w:tr>
        <w:trPr>
          <w:trHeight w:val="518" w:hRule="exact"/>
        </w:trPr>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403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805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298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791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858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244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05</w:t>
            </w:r>
          </w:p>
        </w:tc>
      </w:tr>
    </w:tbl>
    <w:p>
      <w:pPr>
        <w:widowControl w:val="0"/>
        <w:spacing w:after="519" w:line="1" w:lineRule="exact"/>
      </w:pPr>
    </w:p>
    <w:tbl>
      <w:tblPr>
        <w:tblOverlap w:val="never"/>
        <w:jc w:val="center"/>
        <w:tblLayout w:type="fixed"/>
      </w:tblPr>
      <w:tblGrid>
        <w:gridCol w:w="960"/>
        <w:gridCol w:w="1205"/>
        <w:gridCol w:w="888"/>
        <w:gridCol w:w="1656"/>
        <w:gridCol w:w="1344"/>
        <w:gridCol w:w="802"/>
        <w:gridCol w:w="1526"/>
      </w:tblGrid>
      <w:tr>
        <w:trPr>
          <w:trHeight w:val="283" w:hRule="exact"/>
        </w:trPr>
        <w:tc>
          <w:tcPr>
            <w:gridSpan w:val="7"/>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b/>
                <w:bCs/>
                <w:color w:val="000000"/>
                <w:spacing w:val="0"/>
                <w:w w:val="100"/>
                <w:position w:val="0"/>
              </w:rPr>
              <w:t>2</w:t>
            </w:r>
            <w:r>
              <w:rPr>
                <w:rFonts w:ascii="Calibri" w:eastAsia="Calibri" w:hAnsi="Calibri" w:cs="Calibri"/>
                <w:b/>
                <w:bCs/>
                <w:color w:val="000000"/>
                <w:spacing w:val="0"/>
                <w:w w:val="100"/>
                <w:position w:val="0"/>
                <w:sz w:val="20"/>
                <w:szCs w:val="20"/>
              </w:rPr>
              <w:t>.</w:t>
            </w:r>
            <w:r>
              <w:rPr>
                <w:b/>
                <w:bCs/>
                <w:color w:val="000000"/>
                <w:spacing w:val="0"/>
                <w:w w:val="100"/>
                <w:position w:val="0"/>
              </w:rPr>
              <w:t>按币种</w:t>
            </w:r>
          </w:p>
        </w:tc>
      </w:tr>
      <w:tr>
        <w:trPr>
          <w:trHeight w:val="418"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项目</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期末账面余额</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期初账面余额</w:t>
            </w:r>
          </w:p>
        </w:tc>
      </w:tr>
      <w:tr>
        <w:trPr>
          <w:trHeight w:val="408"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原币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汇率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原币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汇率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本币</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人民币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378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241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804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761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649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352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13</w:t>
            </w:r>
          </w:p>
        </w:tc>
      </w:tr>
      <w:tr>
        <w:trPr>
          <w:trHeight w:val="40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797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811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5249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255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440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168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825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9762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106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362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06</w:t>
            </w:r>
          </w:p>
        </w:tc>
      </w:tr>
      <w:tr>
        <w:trPr>
          <w:trHeight w:val="40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683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524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8416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308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054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045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021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8958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102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529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86</w:t>
            </w:r>
          </w:p>
        </w:tc>
      </w:tr>
      <w:tr>
        <w:trPr>
          <w:trHeight w:val="437"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403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805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298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791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858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244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05</w:t>
            </w:r>
          </w:p>
        </w:tc>
      </w:tr>
    </w:tbl>
    <w:p>
      <w:pPr>
        <w:widowControl w:val="0"/>
        <w:spacing w:after="719" w:line="1" w:lineRule="exact"/>
      </w:pPr>
    </w:p>
    <w:p>
      <w:pPr>
        <w:pStyle w:val="Style37"/>
        <w:keepNext/>
        <w:keepLines/>
        <w:widowControl w:val="0"/>
        <w:shd w:val="clear" w:color="auto" w:fill="auto"/>
        <w:bidi w:val="0"/>
        <w:spacing w:before="0" w:after="160" w:line="240" w:lineRule="auto"/>
        <w:ind w:left="0" w:right="0" w:firstLine="480"/>
        <w:jc w:val="left"/>
      </w:pPr>
      <w:bookmarkStart w:id="1426" w:name="bookmark1426"/>
      <w:bookmarkStart w:id="1427" w:name="bookmark1427"/>
      <w:bookmarkStart w:id="1428" w:name="bookmark1428"/>
      <w:r>
        <w:rPr>
          <w:color w:val="000000"/>
          <w:spacing w:val="0"/>
          <w:w w:val="100"/>
          <w:position w:val="0"/>
        </w:rPr>
        <w:t>注释</w:t>
      </w:r>
      <w:r>
        <w:rPr>
          <w:rFonts w:ascii="Times New Roman" w:eastAsia="Times New Roman" w:hAnsi="Times New Roman" w:cs="Times New Roman"/>
          <w:color w:val="000000"/>
          <w:spacing w:val="0"/>
          <w:w w:val="100"/>
          <w:position w:val="0"/>
        </w:rPr>
        <w:t>32.</w:t>
      </w:r>
      <w:r>
        <w:rPr>
          <w:color w:val="000000"/>
          <w:spacing w:val="0"/>
          <w:w w:val="100"/>
          <w:position w:val="0"/>
        </w:rPr>
        <w:t>应付职工薪酬</w:t>
      </w:r>
      <w:bookmarkEnd w:id="1426"/>
      <w:bookmarkEnd w:id="1427"/>
      <w:bookmarkEnd w:id="1428"/>
    </w:p>
    <w:p>
      <w:pPr>
        <w:pStyle w:val="Style51"/>
        <w:keepNext/>
        <w:keepLines/>
        <w:widowControl w:val="0"/>
        <w:shd w:val="clear" w:color="auto" w:fill="auto"/>
        <w:bidi w:val="0"/>
        <w:spacing w:before="0" w:after="160" w:line="240" w:lineRule="auto"/>
        <w:ind w:left="0" w:right="0" w:firstLine="480"/>
        <w:jc w:val="left"/>
      </w:pPr>
      <w:bookmarkStart w:id="1429" w:name="bookmark1429"/>
      <w:bookmarkStart w:id="1430" w:name="bookmark1430"/>
      <w:bookmarkStart w:id="1431" w:name="bookmark1431"/>
      <w:r>
        <w:rPr>
          <w:color w:val="000000"/>
          <w:spacing w:val="0"/>
          <w:w w:val="100"/>
          <w:position w:val="0"/>
        </w:rPr>
        <w:t>1.</w:t>
      </w:r>
      <w:r>
        <w:rPr>
          <w:color w:val="000000"/>
          <w:spacing w:val="0"/>
          <w:w w:val="100"/>
          <w:position w:val="0"/>
        </w:rPr>
        <w:t>应付职工薪酬列示</w:t>
      </w:r>
      <w:bookmarkEnd w:id="1429"/>
      <w:bookmarkEnd w:id="1430"/>
      <w:bookmarkEnd w:id="1431"/>
    </w:p>
    <w:tbl>
      <w:tblPr>
        <w:tblOverlap w:val="never"/>
        <w:jc w:val="center"/>
        <w:tblLayout w:type="fixed"/>
      </w:tblPr>
      <w:tblGrid>
        <w:gridCol w:w="2726"/>
        <w:gridCol w:w="1214"/>
        <w:gridCol w:w="1478"/>
        <w:gridCol w:w="1320"/>
        <w:gridCol w:w="1680"/>
      </w:tblGrid>
      <w:tr>
        <w:trPr>
          <w:trHeight w:val="44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期末余额</w:t>
            </w:r>
          </w:p>
        </w:tc>
      </w:tr>
      <w:tr>
        <w:trPr>
          <w:trHeight w:val="41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短期薪酬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536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019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142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945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926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461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122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344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020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823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55</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离职后福利</w:t>
            </w:r>
            <w:r>
              <w:rPr>
                <w:rFonts w:ascii="Arial Narrow" w:eastAsia="Arial Narrow" w:hAnsi="Arial Narrow" w:cs="Arial Narrow"/>
                <w:color w:val="000000"/>
                <w:spacing w:val="0"/>
                <w:w w:val="100"/>
                <w:position w:val="0"/>
                <w:sz w:val="18"/>
                <w:szCs w:val="18"/>
              </w:rPr>
              <w:t>-</w:t>
            </w:r>
            <w:r>
              <w:rPr>
                <w:color w:val="000000"/>
                <w:spacing w:val="0"/>
                <w:w w:val="100"/>
                <w:position w:val="0"/>
                <w:sz w:val="18"/>
                <w:szCs w:val="18"/>
              </w:rPr>
              <w:t>设定提存计划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281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016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348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025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244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932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384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109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44</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辞退福利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97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546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911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220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767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914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581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175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173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025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714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822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347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404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932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99</w:t>
            </w:r>
          </w:p>
        </w:tc>
      </w:tr>
    </w:tbl>
    <w:p>
      <w:pPr>
        <w:widowControl w:val="0"/>
        <w:spacing w:after="299" w:line="1" w:lineRule="exact"/>
      </w:pPr>
    </w:p>
    <w:p>
      <w:pPr>
        <w:pStyle w:val="Style51"/>
        <w:keepNext/>
        <w:keepLines/>
        <w:widowControl w:val="0"/>
        <w:shd w:val="clear" w:color="auto" w:fill="auto"/>
        <w:bidi w:val="0"/>
        <w:spacing w:before="0" w:after="160" w:line="240" w:lineRule="auto"/>
        <w:ind w:left="0" w:right="0" w:firstLine="480"/>
        <w:jc w:val="left"/>
      </w:pPr>
      <w:bookmarkStart w:id="1432" w:name="bookmark1432"/>
      <w:bookmarkStart w:id="1433" w:name="bookmark1433"/>
      <w:bookmarkStart w:id="1434" w:name="bookmark1434"/>
      <w:r>
        <w:rPr>
          <w:color w:val="000000"/>
          <w:spacing w:val="0"/>
          <w:w w:val="100"/>
          <w:position w:val="0"/>
        </w:rPr>
        <w:t>2.</w:t>
      </w:r>
      <w:r>
        <w:rPr>
          <w:color w:val="000000"/>
          <w:spacing w:val="0"/>
          <w:w w:val="100"/>
          <w:position w:val="0"/>
        </w:rPr>
        <w:t>短期薪酬列示</w:t>
      </w:r>
      <w:bookmarkEnd w:id="1432"/>
      <w:bookmarkEnd w:id="1433"/>
      <w:bookmarkEnd w:id="1434"/>
    </w:p>
    <w:tbl>
      <w:tblPr>
        <w:tblOverlap w:val="never"/>
        <w:jc w:val="center"/>
        <w:tblLayout w:type="fixed"/>
      </w:tblPr>
      <w:tblGrid>
        <w:gridCol w:w="2726"/>
        <w:gridCol w:w="1214"/>
        <w:gridCol w:w="1474"/>
        <w:gridCol w:w="1512"/>
        <w:gridCol w:w="1478"/>
      </w:tblGrid>
      <w:tr>
        <w:trPr>
          <w:trHeight w:val="44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本期减少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427"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工资、奖金、津贴和补贴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392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529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030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250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883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890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969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698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673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713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99</w:t>
            </w:r>
          </w:p>
        </w:tc>
      </w:tr>
    </w:tbl>
    <w:p>
      <w:pPr>
        <w:spacing w:lineRule="exact" w:line="1"/>
        <w:rPr>
          <w:sz w:val="2"/>
          <w:szCs w:val="2"/>
        </w:rPr>
      </w:pPr>
      <w:r>
        <w:br w:type="page"/>
      </w:r>
    </w:p>
    <w:tbl>
      <w:tblPr>
        <w:tblOverlap w:val="never"/>
        <w:jc w:val="center"/>
        <w:tblLayout w:type="fixed"/>
      </w:tblPr>
      <w:tblGrid>
        <w:gridCol w:w="2726"/>
        <w:gridCol w:w="1214"/>
        <w:gridCol w:w="1474"/>
        <w:gridCol w:w="1512"/>
        <w:gridCol w:w="1478"/>
      </w:tblGrid>
      <w:tr>
        <w:trPr>
          <w:trHeight w:val="44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本期增加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本期减少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期末余额</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196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286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149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386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46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社会保险费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178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556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759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805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904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412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948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91</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其中：医疗保险费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158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895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860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072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016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739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228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70</w:t>
            </w:r>
          </w:p>
        </w:tc>
      </w:tr>
      <w:tr>
        <w:trPr>
          <w:trHeight w:val="41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工伤保险费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708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202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740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976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472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41</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生育保险费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952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696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991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713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696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80</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住房公积金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867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45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710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929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719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385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412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45</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工会经费和职工教育经费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937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777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853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408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542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858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248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328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其他短期薪酬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288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174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612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175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381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520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r>
      <w:tr>
        <w:trPr>
          <w:trHeight w:val="44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536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019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142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945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926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461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122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020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823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55</w:t>
            </w:r>
          </w:p>
        </w:tc>
      </w:tr>
    </w:tbl>
    <w:p>
      <w:pPr>
        <w:widowControl w:val="0"/>
        <w:spacing w:after="299" w:line="1" w:lineRule="exact"/>
      </w:pPr>
    </w:p>
    <w:p>
      <w:pPr>
        <w:pStyle w:val="Style51"/>
        <w:keepNext/>
        <w:keepLines/>
        <w:widowControl w:val="0"/>
        <w:numPr>
          <w:ilvl w:val="0"/>
          <w:numId w:val="89"/>
        </w:numPr>
        <w:shd w:val="clear" w:color="auto" w:fill="auto"/>
        <w:bidi w:val="0"/>
        <w:spacing w:before="0" w:after="140" w:line="240" w:lineRule="auto"/>
        <w:ind w:left="0" w:right="0" w:firstLine="480"/>
        <w:jc w:val="left"/>
      </w:pPr>
      <w:bookmarkStart w:id="1435" w:name="bookmark1435"/>
      <w:bookmarkStart w:id="1436" w:name="bookmark1436"/>
      <w:bookmarkStart w:id="1437" w:name="bookmark1437"/>
      <w:bookmarkStart w:id="1438" w:name="bookmark1438"/>
      <w:bookmarkEnd w:id="1437"/>
      <w:r>
        <w:rPr>
          <w:color w:val="000000"/>
          <w:spacing w:val="0"/>
          <w:w w:val="100"/>
          <w:position w:val="0"/>
        </w:rPr>
        <w:t>设定提存计划列示</w:t>
      </w:r>
      <w:bookmarkEnd w:id="1435"/>
      <w:bookmarkEnd w:id="1436"/>
      <w:bookmarkEnd w:id="1438"/>
    </w:p>
    <w:tbl>
      <w:tblPr>
        <w:tblOverlap w:val="never"/>
        <w:jc w:val="center"/>
        <w:tblLayout w:type="fixed"/>
      </w:tblPr>
      <w:tblGrid>
        <w:gridCol w:w="2726"/>
        <w:gridCol w:w="1214"/>
        <w:gridCol w:w="1474"/>
        <w:gridCol w:w="1325"/>
        <w:gridCol w:w="1680"/>
      </w:tblGrid>
      <w:tr>
        <w:trPr>
          <w:trHeight w:val="44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本期增加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本期减少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期末余额</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基本养老保险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272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663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844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927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756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131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361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459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12</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失业保险费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352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503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098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650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32</w:t>
            </w:r>
          </w:p>
        </w:tc>
      </w:tr>
      <w:tr>
        <w:trPr>
          <w:trHeight w:val="44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281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016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348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025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244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932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384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109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44</w:t>
            </w:r>
          </w:p>
        </w:tc>
      </w:tr>
    </w:tbl>
    <w:p>
      <w:pPr>
        <w:widowControl w:val="0"/>
        <w:spacing w:after="439" w:line="1" w:lineRule="exact"/>
      </w:pPr>
    </w:p>
    <w:p>
      <w:pPr>
        <w:pStyle w:val="Style37"/>
        <w:keepNext/>
        <w:keepLines/>
        <w:widowControl w:val="0"/>
        <w:shd w:val="clear" w:color="auto" w:fill="auto"/>
        <w:bidi w:val="0"/>
        <w:spacing w:before="0" w:after="140" w:line="240" w:lineRule="auto"/>
        <w:ind w:left="0" w:right="0" w:firstLine="480"/>
        <w:jc w:val="left"/>
      </w:pPr>
      <w:bookmarkStart w:id="1439" w:name="bookmark1439"/>
      <w:bookmarkStart w:id="1440" w:name="bookmark1440"/>
      <w:bookmarkStart w:id="1441" w:name="bookmark1441"/>
      <w:r>
        <w:rPr>
          <w:color w:val="000000"/>
          <w:spacing w:val="0"/>
          <w:w w:val="100"/>
          <w:position w:val="0"/>
        </w:rPr>
        <w:t>注释</w:t>
      </w:r>
      <w:r>
        <w:rPr>
          <w:rFonts w:ascii="Times New Roman" w:eastAsia="Times New Roman" w:hAnsi="Times New Roman" w:cs="Times New Roman"/>
          <w:color w:val="000000"/>
          <w:spacing w:val="0"/>
          <w:w w:val="100"/>
          <w:position w:val="0"/>
        </w:rPr>
        <w:t>33.</w:t>
      </w:r>
      <w:r>
        <w:rPr>
          <w:color w:val="000000"/>
          <w:spacing w:val="0"/>
          <w:w w:val="100"/>
          <w:position w:val="0"/>
        </w:rPr>
        <w:t>应交税费</w:t>
      </w:r>
      <w:bookmarkEnd w:id="1439"/>
      <w:bookmarkEnd w:id="1440"/>
      <w:bookmarkEnd w:id="1441"/>
    </w:p>
    <w:tbl>
      <w:tblPr>
        <w:tblOverlap w:val="never"/>
        <w:jc w:val="center"/>
        <w:tblLayout w:type="fixed"/>
      </w:tblPr>
      <w:tblGrid>
        <w:gridCol w:w="2822"/>
        <w:gridCol w:w="2832"/>
        <w:gridCol w:w="2765"/>
      </w:tblGrid>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税费项目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1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44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273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176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62</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个人所得税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18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568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686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880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617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433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751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108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758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93</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763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258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267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56</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026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155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376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77</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990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189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19</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土地使用税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730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649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17</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309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256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562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73</w:t>
            </w:r>
          </w:p>
        </w:tc>
      </w:tr>
      <w:tr>
        <w:trPr>
          <w:trHeight w:val="41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382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577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51</w:t>
            </w:r>
          </w:p>
        </w:tc>
      </w:tr>
      <w:tr>
        <w:trPr>
          <w:trHeight w:val="451"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69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077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843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744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175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68</w:t>
            </w:r>
          </w:p>
        </w:tc>
      </w:tr>
    </w:tbl>
    <w:p>
      <w:pPr>
        <w:widowControl w:val="0"/>
        <w:spacing w:after="439" w:line="1" w:lineRule="exact"/>
      </w:pPr>
    </w:p>
    <w:p>
      <w:pPr>
        <w:pStyle w:val="Style37"/>
        <w:keepNext/>
        <w:keepLines/>
        <w:widowControl w:val="0"/>
        <w:shd w:val="clear" w:color="auto" w:fill="auto"/>
        <w:bidi w:val="0"/>
        <w:spacing w:before="0" w:after="360" w:line="240" w:lineRule="auto"/>
        <w:ind w:left="0" w:right="0" w:firstLine="480"/>
        <w:jc w:val="left"/>
      </w:pPr>
      <w:bookmarkStart w:id="1442" w:name="bookmark1442"/>
      <w:bookmarkStart w:id="1443" w:name="bookmark1443"/>
      <w:bookmarkStart w:id="1444" w:name="bookmark1444"/>
      <w:r>
        <w:rPr>
          <w:color w:val="000000"/>
          <w:spacing w:val="0"/>
          <w:w w:val="100"/>
          <w:position w:val="0"/>
        </w:rPr>
        <w:t>注释</w:t>
      </w:r>
      <w:r>
        <w:rPr>
          <w:rFonts w:ascii="Times New Roman" w:eastAsia="Times New Roman" w:hAnsi="Times New Roman" w:cs="Times New Roman"/>
          <w:color w:val="000000"/>
          <w:spacing w:val="0"/>
          <w:w w:val="100"/>
          <w:position w:val="0"/>
        </w:rPr>
        <w:t>34.</w:t>
      </w:r>
      <w:r>
        <w:rPr>
          <w:color w:val="000000"/>
          <w:spacing w:val="0"/>
          <w:w w:val="100"/>
          <w:position w:val="0"/>
        </w:rPr>
        <w:t>其他应付款</w:t>
      </w:r>
      <w:bookmarkEnd w:id="1442"/>
      <w:bookmarkEnd w:id="1443"/>
      <w:bookmarkEnd w:id="1444"/>
      <w:r>
        <w:br w:type="page"/>
      </w:r>
    </w:p>
    <w:tbl>
      <w:tblPr>
        <w:tblOverlap w:val="never"/>
        <w:jc w:val="center"/>
        <w:tblLayout w:type="fixed"/>
      </w:tblPr>
      <w:tblGrid>
        <w:gridCol w:w="3437"/>
        <w:gridCol w:w="2338"/>
        <w:gridCol w:w="2640"/>
      </w:tblGrid>
      <w:tr>
        <w:trPr>
          <w:trHeight w:val="37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643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552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728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922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83</w:t>
            </w:r>
          </w:p>
        </w:tc>
      </w:tr>
      <w:tr>
        <w:trPr>
          <w:trHeight w:val="432"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643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552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728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922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83</w:t>
            </w:r>
          </w:p>
        </w:tc>
      </w:tr>
    </w:tbl>
    <w:p>
      <w:pPr>
        <w:widowControl w:val="0"/>
        <w:spacing w:after="279" w:line="1" w:lineRule="exact"/>
      </w:pPr>
    </w:p>
    <w:p>
      <w:pPr>
        <w:pStyle w:val="Style51"/>
        <w:keepNext/>
        <w:keepLines/>
        <w:widowControl w:val="0"/>
        <w:shd w:val="clear" w:color="auto" w:fill="auto"/>
        <w:bidi w:val="0"/>
        <w:spacing w:before="0" w:after="140" w:line="240" w:lineRule="auto"/>
        <w:ind w:left="0" w:right="0" w:firstLine="500"/>
        <w:jc w:val="both"/>
      </w:pPr>
      <w:bookmarkStart w:id="1445" w:name="bookmark1445"/>
      <w:bookmarkStart w:id="1446" w:name="bookmark1446"/>
      <w:bookmarkStart w:id="1447" w:name="bookmark1447"/>
      <w:r>
        <w:rPr>
          <w:color w:val="000000"/>
          <w:spacing w:val="0"/>
          <w:w w:val="100"/>
          <w:position w:val="0"/>
        </w:rPr>
        <w:t>按款项性质列示的其他应付款</w:t>
      </w:r>
      <w:bookmarkEnd w:id="1445"/>
      <w:bookmarkEnd w:id="1446"/>
      <w:bookmarkEnd w:id="1447"/>
    </w:p>
    <w:tbl>
      <w:tblPr>
        <w:tblOverlap w:val="never"/>
        <w:jc w:val="center"/>
        <w:tblLayout w:type="fixed"/>
      </w:tblPr>
      <w:tblGrid>
        <w:gridCol w:w="4094"/>
        <w:gridCol w:w="2280"/>
        <w:gridCol w:w="2040"/>
      </w:tblGrid>
      <w:tr>
        <w:trPr>
          <w:trHeight w:val="37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款项性质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期初余额</w:t>
            </w:r>
          </w:p>
        </w:tc>
      </w:tr>
      <w:tr>
        <w:trPr>
          <w:trHeight w:val="39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保证金</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644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227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401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389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689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50</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费用报销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228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390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913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814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47</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房租及水电费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641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971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098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122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06</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929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181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487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799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31</w:t>
            </w:r>
          </w:p>
        </w:tc>
      </w:tr>
      <w:tr>
        <w:trPr>
          <w:trHeight w:val="39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应付融资款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337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808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63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028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767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12</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861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973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810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730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37</w:t>
            </w:r>
          </w:p>
        </w:tc>
      </w:tr>
      <w:tr>
        <w:trPr>
          <w:trHeight w:val="432"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643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552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486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728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922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83</w:t>
            </w:r>
          </w:p>
        </w:tc>
      </w:tr>
    </w:tbl>
    <w:p>
      <w:pPr>
        <w:widowControl w:val="0"/>
        <w:spacing w:after="279" w:line="1" w:lineRule="exact"/>
      </w:pPr>
    </w:p>
    <w:p>
      <w:pPr>
        <w:pStyle w:val="Style16"/>
        <w:keepNext w:val="0"/>
        <w:keepLines w:val="0"/>
        <w:widowControl w:val="0"/>
        <w:shd w:val="clear" w:color="auto" w:fill="auto"/>
        <w:bidi w:val="0"/>
        <w:spacing w:before="0" w:after="140" w:line="240" w:lineRule="auto"/>
        <w:ind w:left="0" w:right="0" w:firstLine="500"/>
        <w:jc w:val="both"/>
      </w:pPr>
      <w:r>
        <w:rPr>
          <w:color w:val="000000"/>
          <w:spacing w:val="0"/>
          <w:w w:val="100"/>
          <w:position w:val="0"/>
        </w:rPr>
        <w:t>注：期末保证金较期初减少</w:t>
      </w:r>
      <w:r>
        <w:rPr>
          <w:rFonts w:ascii="Times New Roman" w:eastAsia="Times New Roman" w:hAnsi="Times New Roman" w:cs="Times New Roman"/>
          <w:color w:val="000000"/>
          <w:spacing w:val="0"/>
          <w:w w:val="100"/>
          <w:position w:val="0"/>
        </w:rPr>
        <w:t>2</w:t>
      </w:r>
      <w:r>
        <w:rPr>
          <w:color w:val="000000"/>
          <w:spacing w:val="0"/>
          <w:w w:val="100"/>
          <w:position w:val="0"/>
        </w:rPr>
        <w:t xml:space="preserve">. </w:t>
      </w:r>
      <w:r>
        <w:rPr>
          <w:rFonts w:ascii="Times New Roman" w:eastAsia="Times New Roman" w:hAnsi="Times New Roman" w:cs="Times New Roman"/>
          <w:color w:val="000000"/>
          <w:spacing w:val="0"/>
          <w:w w:val="100"/>
          <w:position w:val="0"/>
        </w:rPr>
        <w:t>63</w:t>
      </w:r>
      <w:r>
        <w:rPr>
          <w:color w:val="000000"/>
          <w:spacing w:val="0"/>
          <w:w w:val="100"/>
          <w:position w:val="0"/>
        </w:rPr>
        <w:t>亿元，本期收益互换业务规模减少及买入返售业务赎</w:t>
      </w:r>
    </w:p>
    <w:p>
      <w:pPr>
        <w:pStyle w:val="Style16"/>
        <w:keepNext w:val="0"/>
        <w:keepLines w:val="0"/>
        <w:widowControl w:val="0"/>
        <w:shd w:val="clear" w:color="auto" w:fill="auto"/>
        <w:bidi w:val="0"/>
        <w:spacing w:before="0" w:after="340" w:line="240" w:lineRule="auto"/>
        <w:ind w:left="0" w:right="0" w:firstLine="0"/>
        <w:jc w:val="left"/>
      </w:pPr>
      <w:r>
        <w:rPr>
          <w:color w:val="000000"/>
          <w:spacing w:val="0"/>
          <w:w w:val="100"/>
          <w:position w:val="0"/>
        </w:rPr>
        <w:t>回，其中买入返售保证金减少</w:t>
      </w:r>
      <w:r>
        <w:rPr>
          <w:rFonts w:ascii="Times New Roman" w:eastAsia="Times New Roman" w:hAnsi="Times New Roman" w:cs="Times New Roman"/>
          <w:color w:val="000000"/>
          <w:spacing w:val="0"/>
          <w:w w:val="100"/>
          <w:position w:val="0"/>
        </w:rPr>
        <w:t>1</w:t>
      </w:r>
      <w:r>
        <w:rPr>
          <w:color w:val="000000"/>
          <w:spacing w:val="0"/>
          <w:w w:val="100"/>
          <w:position w:val="0"/>
        </w:rPr>
        <w:t xml:space="preserve">. </w:t>
      </w:r>
      <w:r>
        <w:rPr>
          <w:rFonts w:ascii="Times New Roman" w:eastAsia="Times New Roman" w:hAnsi="Times New Roman" w:cs="Times New Roman"/>
          <w:color w:val="000000"/>
          <w:spacing w:val="0"/>
          <w:w w:val="100"/>
          <w:position w:val="0"/>
        </w:rPr>
        <w:t>42</w:t>
      </w:r>
      <w:r>
        <w:rPr>
          <w:color w:val="000000"/>
          <w:spacing w:val="0"/>
          <w:w w:val="100"/>
          <w:position w:val="0"/>
        </w:rPr>
        <w:t>亿元，收益互换保证金减少</w:t>
      </w:r>
      <w:r>
        <w:rPr>
          <w:rFonts w:ascii="Times New Roman" w:eastAsia="Times New Roman" w:hAnsi="Times New Roman" w:cs="Times New Roman"/>
          <w:color w:val="000000"/>
          <w:spacing w:val="0"/>
          <w:w w:val="100"/>
          <w:position w:val="0"/>
        </w:rPr>
        <w:t>1</w:t>
      </w:r>
      <w:r>
        <w:rPr>
          <w:color w:val="000000"/>
          <w:spacing w:val="0"/>
          <w:w w:val="100"/>
          <w:position w:val="0"/>
        </w:rPr>
        <w:t xml:space="preserve">. </w:t>
      </w:r>
      <w:r>
        <w:rPr>
          <w:rFonts w:ascii="Times New Roman" w:eastAsia="Times New Roman" w:hAnsi="Times New Roman" w:cs="Times New Roman"/>
          <w:color w:val="000000"/>
          <w:spacing w:val="0"/>
          <w:w w:val="100"/>
          <w:position w:val="0"/>
        </w:rPr>
        <w:t>21</w:t>
      </w:r>
      <w:r>
        <w:rPr>
          <w:color w:val="000000"/>
          <w:spacing w:val="0"/>
          <w:w w:val="100"/>
          <w:position w:val="0"/>
        </w:rPr>
        <w:t>亿元。</w:t>
      </w:r>
    </w:p>
    <w:p>
      <w:pPr>
        <w:pStyle w:val="Style37"/>
        <w:keepNext/>
        <w:keepLines/>
        <w:widowControl w:val="0"/>
        <w:shd w:val="clear" w:color="auto" w:fill="auto"/>
        <w:bidi w:val="0"/>
        <w:spacing w:before="0" w:after="140" w:line="240" w:lineRule="auto"/>
        <w:ind w:left="0" w:right="0" w:firstLine="500"/>
        <w:jc w:val="left"/>
      </w:pPr>
      <w:bookmarkStart w:id="1448" w:name="bookmark1448"/>
      <w:bookmarkStart w:id="1449" w:name="bookmark1449"/>
      <w:bookmarkStart w:id="1450" w:name="bookmark1450"/>
      <w:r>
        <w:rPr>
          <w:color w:val="000000"/>
          <w:spacing w:val="0"/>
          <w:w w:val="100"/>
          <w:position w:val="0"/>
        </w:rPr>
        <w:t>注释</w:t>
      </w:r>
      <w:r>
        <w:rPr>
          <w:rFonts w:ascii="Times New Roman" w:eastAsia="Times New Roman" w:hAnsi="Times New Roman" w:cs="Times New Roman"/>
          <w:color w:val="000000"/>
          <w:spacing w:val="0"/>
          <w:w w:val="100"/>
          <w:position w:val="0"/>
        </w:rPr>
        <w:t>35.</w:t>
      </w:r>
      <w:r>
        <w:rPr>
          <w:color w:val="000000"/>
          <w:spacing w:val="0"/>
          <w:w w:val="100"/>
          <w:position w:val="0"/>
        </w:rPr>
        <w:t>合同负债</w:t>
      </w:r>
      <w:bookmarkEnd w:id="1448"/>
      <w:bookmarkEnd w:id="1449"/>
      <w:bookmarkEnd w:id="1450"/>
    </w:p>
    <w:tbl>
      <w:tblPr>
        <w:tblOverlap w:val="never"/>
        <w:jc w:val="center"/>
        <w:tblLayout w:type="fixed"/>
      </w:tblPr>
      <w:tblGrid>
        <w:gridCol w:w="2784"/>
        <w:gridCol w:w="2846"/>
        <w:gridCol w:w="2750"/>
      </w:tblGrid>
      <w:tr>
        <w:trPr>
          <w:trHeight w:val="37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740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139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558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561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99</w:t>
            </w:r>
          </w:p>
        </w:tc>
      </w:tr>
      <w:tr>
        <w:trPr>
          <w:trHeight w:val="432"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740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139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558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561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99</w:t>
            </w:r>
          </w:p>
        </w:tc>
      </w:tr>
    </w:tbl>
    <w:p>
      <w:pPr>
        <w:widowControl w:val="0"/>
        <w:spacing w:after="139" w:line="1" w:lineRule="exact"/>
      </w:pPr>
    </w:p>
    <w:p>
      <w:pPr>
        <w:pStyle w:val="Style16"/>
        <w:keepNext w:val="0"/>
        <w:keepLines w:val="0"/>
        <w:widowControl w:val="0"/>
        <w:shd w:val="clear" w:color="auto" w:fill="auto"/>
        <w:bidi w:val="0"/>
        <w:spacing w:before="0" w:after="340" w:line="398" w:lineRule="exact"/>
        <w:ind w:left="0" w:right="0" w:firstLine="500"/>
        <w:jc w:val="left"/>
      </w:pPr>
      <w:r>
        <w:rPr>
          <w:color w:val="000000"/>
          <w:spacing w:val="0"/>
          <w:w w:val="100"/>
          <w:position w:val="0"/>
        </w:rPr>
        <w:t>注：本公司自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日起执行财政部</w:t>
      </w:r>
      <w:r>
        <w:rPr>
          <w:rFonts w:ascii="Times New Roman" w:eastAsia="Times New Roman" w:hAnsi="Times New Roman" w:cs="Times New Roman"/>
          <w:color w:val="000000"/>
          <w:spacing w:val="0"/>
          <w:w w:val="100"/>
          <w:position w:val="0"/>
        </w:rPr>
        <w:t>2017</w:t>
      </w:r>
      <w:r>
        <w:rPr>
          <w:color w:val="000000"/>
          <w:spacing w:val="0"/>
          <w:w w:val="100"/>
          <w:position w:val="0"/>
        </w:rPr>
        <w:t>年修订的《企业会计准则第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 收入》，涉及到的预收款项、合同负债以及待转销项税情况详见附注四、（二十二）和（二十 六）及（四十二）。</w:t>
      </w:r>
    </w:p>
    <w:p>
      <w:pPr>
        <w:pStyle w:val="Style37"/>
        <w:keepNext/>
        <w:keepLines/>
        <w:widowControl w:val="0"/>
        <w:shd w:val="clear" w:color="auto" w:fill="auto"/>
        <w:bidi w:val="0"/>
        <w:spacing w:before="0" w:after="140" w:line="240" w:lineRule="auto"/>
        <w:ind w:left="0" w:right="0" w:firstLine="500"/>
        <w:jc w:val="left"/>
      </w:pPr>
      <w:bookmarkStart w:id="1451" w:name="bookmark1451"/>
      <w:bookmarkStart w:id="1452" w:name="bookmark1452"/>
      <w:bookmarkStart w:id="1453" w:name="bookmark1453"/>
      <w:r>
        <w:rPr>
          <w:color w:val="000000"/>
          <w:spacing w:val="0"/>
          <w:w w:val="100"/>
          <w:position w:val="0"/>
        </w:rPr>
        <w:t>注释</w:t>
      </w:r>
      <w:r>
        <w:rPr>
          <w:rFonts w:ascii="Times New Roman" w:eastAsia="Times New Roman" w:hAnsi="Times New Roman" w:cs="Times New Roman"/>
          <w:color w:val="000000"/>
          <w:spacing w:val="0"/>
          <w:w w:val="100"/>
          <w:position w:val="0"/>
        </w:rPr>
        <w:t xml:space="preserve">36. </w:t>
      </w:r>
      <w:r>
        <w:rPr>
          <w:color w:val="000000"/>
          <w:spacing w:val="0"/>
          <w:w w:val="100"/>
          <w:position w:val="0"/>
        </w:rPr>
        <w:t>一年内到期的非流动负债</w:t>
      </w:r>
      <w:bookmarkEnd w:id="1451"/>
      <w:bookmarkEnd w:id="1452"/>
      <w:bookmarkEnd w:id="1453"/>
    </w:p>
    <w:tbl>
      <w:tblPr>
        <w:tblOverlap w:val="never"/>
        <w:jc w:val="center"/>
        <w:tblLayout w:type="fixed"/>
      </w:tblPr>
      <w:tblGrid>
        <w:gridCol w:w="4166"/>
        <w:gridCol w:w="2184"/>
        <w:gridCol w:w="2078"/>
      </w:tblGrid>
      <w:tr>
        <w:trPr>
          <w:trHeight w:val="37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年内到期的应付债券</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8"/>
                <w:szCs w:val="18"/>
              </w:rPr>
              <w:t>国盛</w:t>
            </w:r>
            <w:r>
              <w:rPr>
                <w:rFonts w:ascii="Times New Roman" w:eastAsia="Times New Roman" w:hAnsi="Times New Roman" w:cs="Times New Roman"/>
                <w:color w:val="000000"/>
                <w:spacing w:val="0"/>
                <w:w w:val="100"/>
                <w:position w:val="0"/>
                <w:sz w:val="18"/>
                <w:szCs w:val="18"/>
              </w:rPr>
              <w:t>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886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326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06</w:t>
            </w: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年内到期的应付债券</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8"/>
                <w:szCs w:val="18"/>
              </w:rPr>
              <w:t>国盛金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269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245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159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11</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年内到期的应付债券</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8"/>
                <w:szCs w:val="18"/>
              </w:rPr>
              <w:t>国盛控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312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328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270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372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45</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年内到期的应付债券</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8"/>
                <w:szCs w:val="18"/>
              </w:rPr>
              <w:t>国盛金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797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260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068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690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09</w:t>
            </w:r>
          </w:p>
        </w:tc>
      </w:tr>
      <w:tr>
        <w:trPr>
          <w:trHeight w:val="432"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178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995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915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274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584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221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65</w:t>
            </w:r>
          </w:p>
        </w:tc>
      </w:tr>
    </w:tbl>
    <w:p>
      <w:pPr>
        <w:widowControl w:val="0"/>
        <w:spacing w:after="279" w:line="1" w:lineRule="exact"/>
      </w:pPr>
    </w:p>
    <w:p>
      <w:pPr>
        <w:pStyle w:val="Style16"/>
        <w:keepNext w:val="0"/>
        <w:keepLines w:val="0"/>
        <w:widowControl w:val="0"/>
        <w:shd w:val="clear" w:color="auto" w:fill="auto"/>
        <w:bidi w:val="0"/>
        <w:spacing w:before="0" w:after="200" w:line="240" w:lineRule="auto"/>
        <w:ind w:left="0" w:right="0" w:firstLine="500"/>
        <w:jc w:val="left"/>
      </w:pPr>
      <w:r>
        <w:rPr>
          <w:color w:val="000000"/>
          <w:spacing w:val="0"/>
          <w:w w:val="100"/>
          <w:position w:val="0"/>
        </w:rPr>
        <w:t>注：详见附注六、注释</w:t>
      </w:r>
      <w:r>
        <w:rPr>
          <w:rFonts w:ascii="Times New Roman" w:eastAsia="Times New Roman" w:hAnsi="Times New Roman" w:cs="Times New Roman"/>
          <w:color w:val="000000"/>
          <w:spacing w:val="0"/>
          <w:w w:val="100"/>
          <w:position w:val="0"/>
        </w:rPr>
        <w:t>38</w:t>
      </w:r>
      <w:r>
        <w:rPr>
          <w:color w:val="000000"/>
          <w:spacing w:val="0"/>
          <w:w w:val="100"/>
          <w:position w:val="0"/>
        </w:rPr>
        <w:t>应付债券。</w:t>
      </w:r>
      <w:r>
        <w:br w:type="page"/>
      </w:r>
    </w:p>
    <w:p>
      <w:pPr>
        <w:pStyle w:val="Style37"/>
        <w:keepNext/>
        <w:keepLines/>
        <w:widowControl w:val="0"/>
        <w:shd w:val="clear" w:color="auto" w:fill="auto"/>
        <w:bidi w:val="0"/>
        <w:spacing w:before="0" w:after="140" w:line="240" w:lineRule="auto"/>
        <w:ind w:left="0" w:right="0" w:firstLine="480"/>
        <w:jc w:val="left"/>
      </w:pPr>
      <w:bookmarkStart w:id="1454" w:name="bookmark1454"/>
      <w:bookmarkStart w:id="1455" w:name="bookmark1455"/>
      <w:bookmarkStart w:id="1456" w:name="bookmark1456"/>
      <w:r>
        <w:rPr>
          <w:color w:val="000000"/>
          <w:spacing w:val="0"/>
          <w:w w:val="100"/>
          <w:position w:val="0"/>
        </w:rPr>
        <w:t>注释</w:t>
      </w:r>
      <w:r>
        <w:rPr>
          <w:rFonts w:ascii="Times New Roman" w:eastAsia="Times New Roman" w:hAnsi="Times New Roman" w:cs="Times New Roman"/>
          <w:color w:val="000000"/>
          <w:spacing w:val="0"/>
          <w:w w:val="100"/>
          <w:position w:val="0"/>
        </w:rPr>
        <w:t>37.</w:t>
      </w:r>
      <w:r>
        <w:rPr>
          <w:color w:val="000000"/>
          <w:spacing w:val="0"/>
          <w:w w:val="100"/>
          <w:position w:val="0"/>
        </w:rPr>
        <w:t>其他流动负债</w:t>
      </w:r>
      <w:bookmarkEnd w:id="1454"/>
      <w:bookmarkEnd w:id="1455"/>
      <w:bookmarkEnd w:id="1456"/>
    </w:p>
    <w:tbl>
      <w:tblPr>
        <w:tblOverlap w:val="never"/>
        <w:jc w:val="center"/>
        <w:tblLayout w:type="fixed"/>
      </w:tblPr>
      <w:tblGrid>
        <w:gridCol w:w="3456"/>
        <w:gridCol w:w="2381"/>
        <w:gridCol w:w="2554"/>
      </w:tblGrid>
      <w:tr>
        <w:trPr>
          <w:trHeight w:val="44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期货风险准备金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065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723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065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338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72</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应付期货投资者保障基金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527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660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68</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待转销项税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677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098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111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04</w:t>
            </w:r>
          </w:p>
        </w:tc>
      </w:tr>
      <w:tr>
        <w:trPr>
          <w:trHeight w:val="44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441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928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175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110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44</w:t>
            </w:r>
          </w:p>
        </w:tc>
      </w:tr>
    </w:tbl>
    <w:p>
      <w:pPr>
        <w:widowControl w:val="0"/>
        <w:spacing w:after="79" w:line="1" w:lineRule="exact"/>
      </w:pPr>
    </w:p>
    <w:p>
      <w:pPr>
        <w:pStyle w:val="Style16"/>
        <w:keepNext w:val="0"/>
        <w:keepLines w:val="0"/>
        <w:widowControl w:val="0"/>
        <w:shd w:val="clear" w:color="auto" w:fill="auto"/>
        <w:bidi w:val="0"/>
        <w:spacing w:before="0" w:after="120" w:line="401" w:lineRule="exact"/>
        <w:ind w:left="0" w:right="0" w:firstLine="480"/>
        <w:jc w:val="left"/>
        <w:sectPr>
          <w:headerReference w:type="default" r:id="rId47"/>
          <w:footerReference w:type="default" r:id="rId48"/>
          <w:footnotePr>
            <w:pos w:val="pageBottom"/>
            <w:numFmt w:val="decimal"/>
            <w:numRestart w:val="continuous"/>
          </w:footnotePr>
          <w:pgSz w:w="11900" w:h="16840"/>
          <w:pgMar w:top="2156" w:right="1522" w:bottom="1652" w:left="1603" w:header="0" w:footer="3" w:gutter="0"/>
          <w:cols w:space="720"/>
          <w:noEndnote/>
          <w:rtlGutter w:val="0"/>
          <w:docGrid w:linePitch="360"/>
        </w:sectPr>
      </w:pPr>
      <w:r>
        <w:rPr>
          <w:color w:val="000000"/>
          <w:spacing w:val="0"/>
          <w:w w:val="100"/>
          <w:position w:val="0"/>
        </w:rPr>
        <w:t>注：本公司自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日起执行财政部</w:t>
      </w:r>
      <w:r>
        <w:rPr>
          <w:rFonts w:ascii="Times New Roman" w:eastAsia="Times New Roman" w:hAnsi="Times New Roman" w:cs="Times New Roman"/>
          <w:color w:val="000000"/>
          <w:spacing w:val="0"/>
          <w:w w:val="100"/>
          <w:position w:val="0"/>
        </w:rPr>
        <w:t>2017</w:t>
      </w:r>
      <w:r>
        <w:rPr>
          <w:color w:val="000000"/>
          <w:spacing w:val="0"/>
          <w:w w:val="100"/>
          <w:position w:val="0"/>
        </w:rPr>
        <w:t>年修订的《企业会计准则第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 收入》，涉及到的预收款项、合同负债以及待转销项税情况详见附注四、（二十二）和（二十 六）及（四十二）。</w:t>
      </w:r>
    </w:p>
    <w:p>
      <w:pPr>
        <w:pStyle w:val="Style37"/>
        <w:keepNext/>
        <w:keepLines/>
        <w:widowControl w:val="0"/>
        <w:shd w:val="clear" w:color="auto" w:fill="auto"/>
        <w:bidi w:val="0"/>
        <w:spacing w:before="0" w:after="180" w:line="240" w:lineRule="auto"/>
        <w:ind w:left="0" w:right="0" w:firstLine="440"/>
        <w:jc w:val="left"/>
      </w:pPr>
      <w:bookmarkStart w:id="1457" w:name="bookmark1457"/>
      <w:bookmarkStart w:id="1458" w:name="bookmark1458"/>
      <w:bookmarkStart w:id="1459" w:name="bookmark1459"/>
      <w:r>
        <w:rPr>
          <w:color w:val="000000"/>
          <w:spacing w:val="0"/>
          <w:w w:val="100"/>
          <w:position w:val="0"/>
        </w:rPr>
        <w:t>注释</w:t>
      </w:r>
      <w:r>
        <w:rPr>
          <w:rFonts w:ascii="Times New Roman" w:eastAsia="Times New Roman" w:hAnsi="Times New Roman" w:cs="Times New Roman"/>
          <w:color w:val="000000"/>
          <w:spacing w:val="0"/>
          <w:w w:val="100"/>
          <w:position w:val="0"/>
        </w:rPr>
        <w:t>38.</w:t>
      </w:r>
      <w:r>
        <w:rPr>
          <w:color w:val="000000"/>
          <w:spacing w:val="0"/>
          <w:w w:val="100"/>
          <w:position w:val="0"/>
        </w:rPr>
        <w:t>应付债券</w:t>
      </w:r>
      <w:bookmarkEnd w:id="1457"/>
      <w:bookmarkEnd w:id="1458"/>
      <w:bookmarkEnd w:id="1459"/>
    </w:p>
    <w:p>
      <w:pPr>
        <w:pStyle w:val="Style51"/>
        <w:keepNext/>
        <w:keepLines/>
        <w:widowControl w:val="0"/>
        <w:shd w:val="clear" w:color="auto" w:fill="auto"/>
        <w:bidi w:val="0"/>
        <w:spacing w:before="0" w:after="120" w:line="240" w:lineRule="auto"/>
        <w:ind w:left="0" w:right="0" w:firstLine="440"/>
        <w:jc w:val="left"/>
      </w:pPr>
      <w:bookmarkStart w:id="1460" w:name="bookmark1460"/>
      <w:bookmarkStart w:id="1461" w:name="bookmark1461"/>
      <w:bookmarkStart w:id="1462" w:name="bookmark1462"/>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应付债券类别</w:t>
      </w:r>
      <w:bookmarkEnd w:id="1460"/>
      <w:bookmarkEnd w:id="1461"/>
      <w:bookmarkEnd w:id="1462"/>
    </w:p>
    <w:tbl>
      <w:tblPr>
        <w:tblOverlap w:val="never"/>
        <w:jc w:val="center"/>
        <w:tblLayout w:type="fixed"/>
      </w:tblPr>
      <w:tblGrid>
        <w:gridCol w:w="4421"/>
        <w:gridCol w:w="4378"/>
        <w:gridCol w:w="4411"/>
      </w:tblGrid>
      <w:tr>
        <w:trPr>
          <w:trHeight w:val="44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8"/>
                <w:szCs w:val="18"/>
              </w:rPr>
              <w:t>国盛</w:t>
            </w:r>
            <w:r>
              <w:rPr>
                <w:rFonts w:ascii="Times New Roman" w:eastAsia="Times New Roman" w:hAnsi="Times New Roman" w:cs="Times New Roman"/>
                <w:color w:val="000000"/>
                <w:spacing w:val="0"/>
                <w:w w:val="100"/>
                <w:position w:val="0"/>
                <w:sz w:val="18"/>
                <w:szCs w:val="18"/>
              </w:rPr>
              <w:t>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367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803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35</w:t>
            </w:r>
          </w:p>
        </w:tc>
      </w:tr>
      <w:tr>
        <w:trPr>
          <w:trHeight w:val="41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8"/>
                <w:szCs w:val="18"/>
              </w:rPr>
              <w:t>国盛控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041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956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32</w:t>
            </w:r>
          </w:p>
        </w:tc>
      </w:tr>
      <w:tr>
        <w:trPr>
          <w:trHeight w:val="451"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171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409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759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67</w:t>
            </w:r>
          </w:p>
        </w:tc>
      </w:tr>
    </w:tbl>
    <w:p>
      <w:pPr>
        <w:widowControl w:val="0"/>
        <w:spacing w:after="279" w:line="1" w:lineRule="exact"/>
      </w:pPr>
    </w:p>
    <w:p>
      <w:pPr>
        <w:pStyle w:val="Style51"/>
        <w:keepNext/>
        <w:keepLines/>
        <w:widowControl w:val="0"/>
        <w:shd w:val="clear" w:color="auto" w:fill="auto"/>
        <w:bidi w:val="0"/>
        <w:spacing w:before="0" w:after="120" w:line="240" w:lineRule="auto"/>
        <w:ind w:left="0" w:right="0" w:firstLine="440"/>
        <w:jc w:val="left"/>
      </w:pPr>
      <w:bookmarkStart w:id="1463" w:name="bookmark1463"/>
      <w:bookmarkStart w:id="1464" w:name="bookmark1464"/>
      <w:bookmarkStart w:id="1465" w:name="bookmark1465"/>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应付债券的增减变动</w:t>
      </w:r>
      <w:r>
        <w:rPr>
          <w:rFonts w:ascii="Times New Roman" w:eastAsia="Times New Roman" w:hAnsi="Times New Roman" w:cs="Times New Roman"/>
          <w:color w:val="000000"/>
          <w:spacing w:val="0"/>
          <w:w w:val="100"/>
          <w:position w:val="0"/>
        </w:rPr>
        <w:t>（</w:t>
      </w:r>
      <w:r>
        <w:rPr>
          <w:color w:val="000000"/>
          <w:spacing w:val="0"/>
          <w:w w:val="100"/>
          <w:position w:val="0"/>
        </w:rPr>
        <w:t>不包括划分为金融负债的优先股、永续债等其他金融工具）</w:t>
      </w:r>
      <w:bookmarkEnd w:id="1463"/>
      <w:bookmarkEnd w:id="1464"/>
      <w:bookmarkEnd w:id="1465"/>
    </w:p>
    <w:tbl>
      <w:tblPr>
        <w:tblOverlap w:val="never"/>
        <w:jc w:val="center"/>
        <w:tblLayout w:type="fixed"/>
      </w:tblPr>
      <w:tblGrid>
        <w:gridCol w:w="1445"/>
        <w:gridCol w:w="1555"/>
        <w:gridCol w:w="1656"/>
        <w:gridCol w:w="1656"/>
        <w:gridCol w:w="1728"/>
        <w:gridCol w:w="1704"/>
        <w:gridCol w:w="2040"/>
        <w:gridCol w:w="1622"/>
      </w:tblGrid>
      <w:tr>
        <w:trPr>
          <w:trHeight w:val="42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债券名称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本期回售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本期转售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本期增加应计利息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本期支付利息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重分类金额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期末余额</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8"/>
                <w:szCs w:val="18"/>
              </w:rPr>
              <w:t>国盛</w:t>
            </w:r>
            <w:r>
              <w:rPr>
                <w:rFonts w:ascii="Times New Roman" w:eastAsia="Times New Roman" w:hAnsi="Times New Roman" w:cs="Times New Roman"/>
                <w:color w:val="000000"/>
                <w:spacing w:val="0"/>
                <w:w w:val="100"/>
                <w:position w:val="0"/>
                <w:sz w:val="18"/>
                <w:szCs w:val="18"/>
              </w:rPr>
              <w:t>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571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367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803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293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522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775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571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886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326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06</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8"/>
                <w:szCs w:val="18"/>
              </w:rPr>
              <w:t>国盛控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041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956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39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041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956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top"/>
          </w:tcPr>
          <w:p>
            <w:pPr>
              <w:widowControl w:val="0"/>
              <w:rPr>
                <w:sz w:val="10"/>
                <w:szCs w:val="10"/>
              </w:rPr>
            </w:pPr>
          </w:p>
        </w:tc>
      </w:tr>
      <w:tr>
        <w:trPr>
          <w:trHeight w:val="437"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171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409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759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67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293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522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66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775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171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928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282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38</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279" w:line="1" w:lineRule="exact"/>
      </w:pPr>
    </w:p>
    <w:p>
      <w:pPr>
        <w:pStyle w:val="Style16"/>
        <w:keepNext w:val="0"/>
        <w:keepLines w:val="0"/>
        <w:widowControl w:val="0"/>
        <w:numPr>
          <w:ilvl w:val="0"/>
          <w:numId w:val="91"/>
        </w:numPr>
        <w:shd w:val="clear" w:color="auto" w:fill="auto"/>
        <w:bidi w:val="0"/>
        <w:spacing w:before="0" w:after="120" w:line="240" w:lineRule="auto"/>
        <w:ind w:left="0" w:right="0" w:firstLine="580"/>
        <w:jc w:val="left"/>
      </w:pPr>
      <w:bookmarkStart w:id="1466" w:name="bookmark1466"/>
      <w:bookmarkEnd w:id="1466"/>
      <w:r>
        <w:rPr>
          <w:b/>
          <w:bCs/>
          <w:color w:val="000000"/>
          <w:spacing w:val="0"/>
          <w:w w:val="100"/>
          <w:position w:val="0"/>
        </w:rPr>
        <w:t>债券的基本信息</w:t>
      </w:r>
    </w:p>
    <w:tbl>
      <w:tblPr>
        <w:tblOverlap w:val="never"/>
        <w:jc w:val="center"/>
        <w:tblLayout w:type="fixed"/>
      </w:tblPr>
      <w:tblGrid>
        <w:gridCol w:w="2842"/>
        <w:gridCol w:w="1848"/>
        <w:gridCol w:w="2669"/>
        <w:gridCol w:w="1963"/>
        <w:gridCol w:w="2035"/>
        <w:gridCol w:w="2035"/>
      </w:tblGrid>
      <w:tr>
        <w:trPr>
          <w:trHeight w:val="43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债券名称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发行规模（亿元）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发行日期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当前规模（亿元）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当前债券期限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当前票面利率</w:t>
            </w:r>
          </w:p>
        </w:tc>
      </w:tr>
      <w:tr>
        <w:trPr>
          <w:trHeight w:val="40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8"/>
                <w:szCs w:val="18"/>
              </w:rPr>
              <w:t>国盛</w:t>
            </w:r>
            <w:r>
              <w:rPr>
                <w:rFonts w:ascii="Times New Roman" w:eastAsia="Times New Roman" w:hAnsi="Times New Roman" w:cs="Times New Roman"/>
                <w:color w:val="000000"/>
                <w:spacing w:val="0"/>
                <w:w w:val="100"/>
                <w:position w:val="0"/>
                <w:sz w:val="18"/>
                <w:szCs w:val="18"/>
              </w:rPr>
              <w:t>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r>
              <w:rPr>
                <w:rFonts w:ascii="Arial Narrow" w:eastAsia="Arial Narrow" w:hAnsi="Arial Narrow" w:cs="Arial Narrow"/>
                <w:color w:val="000000"/>
                <w:spacing w:val="0"/>
                <w:w w:val="100"/>
                <w:position w:val="0"/>
                <w:sz w:val="18"/>
                <w:szCs w:val="18"/>
              </w:rPr>
              <w:t>%</w:t>
            </w:r>
          </w:p>
        </w:tc>
      </w:tr>
      <w:tr>
        <w:trPr>
          <w:trHeight w:val="41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8"/>
                <w:szCs w:val="18"/>
              </w:rPr>
              <w:t>国盛金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50</w:t>
            </w:r>
            <w:r>
              <w:rPr>
                <w:rFonts w:ascii="Arial Narrow" w:eastAsia="Arial Narrow" w:hAnsi="Arial Narrow" w:cs="Arial Narrow"/>
                <w:color w:val="000000"/>
                <w:spacing w:val="0"/>
                <w:w w:val="100"/>
                <w:position w:val="0"/>
                <w:sz w:val="18"/>
                <w:szCs w:val="18"/>
              </w:rPr>
              <w:t>%</w:t>
            </w:r>
          </w:p>
        </w:tc>
      </w:tr>
      <w:tr>
        <w:trPr>
          <w:trHeight w:val="40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8"/>
                <w:szCs w:val="18"/>
              </w:rPr>
              <w:t>国盛控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50</w:t>
            </w:r>
            <w:r>
              <w:rPr>
                <w:rFonts w:ascii="Arial Narrow" w:eastAsia="Arial Narrow" w:hAnsi="Arial Narrow" w:cs="Arial Narrow"/>
                <w:color w:val="000000"/>
                <w:spacing w:val="0"/>
                <w:w w:val="100"/>
                <w:position w:val="0"/>
                <w:sz w:val="18"/>
                <w:szCs w:val="18"/>
              </w:rPr>
              <w:t>%</w:t>
            </w:r>
          </w:p>
        </w:tc>
      </w:tr>
      <w:tr>
        <w:trPr>
          <w:trHeight w:val="422"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8"/>
                <w:szCs w:val="18"/>
              </w:rPr>
              <w:t>国盛金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30</w:t>
            </w:r>
            <w:r>
              <w:rPr>
                <w:rFonts w:ascii="Arial Narrow" w:eastAsia="Arial Narrow" w:hAnsi="Arial Narrow" w:cs="Arial Narrow"/>
                <w:color w:val="000000"/>
                <w:spacing w:val="0"/>
                <w:w w:val="100"/>
                <w:position w:val="0"/>
                <w:sz w:val="18"/>
                <w:szCs w:val="18"/>
              </w:rPr>
              <w:t>%</w:t>
            </w:r>
          </w:p>
        </w:tc>
      </w:tr>
    </w:tbl>
    <w:p>
      <w:pPr>
        <w:sectPr>
          <w:headerReference w:type="default" r:id="rId49"/>
          <w:footerReference w:type="default" r:id="rId50"/>
          <w:footnotePr>
            <w:pos w:val="pageBottom"/>
            <w:numFmt w:val="decimal"/>
            <w:numRestart w:val="continuous"/>
          </w:footnotePr>
          <w:pgSz w:w="16840" w:h="11900" w:orient="landscape"/>
          <w:pgMar w:top="2110" w:right="2017" w:bottom="2104" w:left="1417" w:header="0" w:footer="3" w:gutter="0"/>
          <w:cols w:space="720"/>
          <w:noEndnote/>
          <w:rtlGutter w:val="0"/>
          <w:docGrid w:linePitch="360"/>
        </w:sectPr>
      </w:pPr>
    </w:p>
    <w:p>
      <w:pPr>
        <w:widowControl w:val="0"/>
        <w:spacing w:line="240" w:lineRule="exact"/>
        <w:rPr>
          <w:sz w:val="19"/>
          <w:szCs w:val="19"/>
        </w:rPr>
      </w:pPr>
    </w:p>
    <w:p>
      <w:pPr>
        <w:widowControl w:val="0"/>
        <w:spacing w:before="109" w:after="109" w:line="240" w:lineRule="exact"/>
        <w:rPr>
          <w:sz w:val="19"/>
          <w:szCs w:val="19"/>
        </w:rPr>
      </w:pPr>
    </w:p>
    <w:p>
      <w:pPr>
        <w:widowControl w:val="0"/>
        <w:spacing w:line="1" w:lineRule="exact"/>
        <w:sectPr>
          <w:footnotePr>
            <w:pos w:val="pageBottom"/>
            <w:numFmt w:val="decimal"/>
            <w:numRestart w:val="continuous"/>
          </w:footnotePr>
          <w:pgSz w:w="16840" w:h="11900" w:orient="landscape"/>
          <w:pgMar w:top="1145" w:right="2156" w:bottom="1385" w:left="2674" w:header="0" w:footer="3" w:gutter="0"/>
          <w:cols w:space="720"/>
          <w:noEndnote/>
          <w:rtlGutter w:val="0"/>
          <w:docGrid w:linePitch="360"/>
        </w:sectPr>
      </w:pPr>
    </w:p>
    <w:p>
      <w:pPr>
        <w:pStyle w:val="Style100"/>
        <w:keepNext w:val="0"/>
        <w:keepLines w:val="0"/>
        <w:framePr w:w="403" w:h="235" w:wrap="none" w:vAnchor="text" w:hAnchor="page" w:x="2675" w:y="21"/>
        <w:widowControl w:val="0"/>
        <w:shd w:val="clear" w:color="auto" w:fill="auto"/>
        <w:bidi w:val="0"/>
        <w:spacing w:before="0" w:after="0" w:line="240" w:lineRule="auto"/>
        <w:ind w:left="0" w:right="0" w:firstLine="0"/>
        <w:jc w:val="both"/>
      </w:pPr>
      <w:r>
        <w:rPr>
          <w:color w:val="000000"/>
          <w:spacing w:val="0"/>
          <w:w w:val="100"/>
          <w:position w:val="0"/>
        </w:rPr>
        <w:t>合计</w:t>
      </w:r>
    </w:p>
    <w:p>
      <w:pPr>
        <w:pStyle w:val="Style116"/>
        <w:keepNext w:val="0"/>
        <w:keepLines w:val="0"/>
        <w:framePr w:w="451" w:h="226" w:wrap="none" w:vAnchor="text" w:hAnchor="page" w:x="5589" w:y="21"/>
        <w:widowControl w:val="0"/>
        <w:shd w:val="clear" w:color="auto" w:fill="auto"/>
        <w:bidi w:val="0"/>
        <w:spacing w:before="0" w:after="0" w:line="240" w:lineRule="auto"/>
        <w:ind w:left="0" w:right="0" w:firstLine="0"/>
        <w:jc w:val="left"/>
      </w:pPr>
      <w:r>
        <w:rPr>
          <w:color w:val="000000"/>
          <w:spacing w:val="0"/>
          <w:w w:val="100"/>
          <w:position w:val="0"/>
        </w:rPr>
        <w:t>60.00</w:t>
      </w:r>
    </w:p>
    <w:p>
      <w:pPr>
        <w:pStyle w:val="Style116"/>
        <w:keepNext w:val="0"/>
        <w:keepLines w:val="0"/>
        <w:framePr w:w="446" w:h="226" w:wrap="none" w:vAnchor="text" w:hAnchor="page" w:x="10216" w:y="21"/>
        <w:widowControl w:val="0"/>
        <w:shd w:val="clear" w:color="auto" w:fill="auto"/>
        <w:bidi w:val="0"/>
        <w:spacing w:before="0" w:after="0" w:line="240" w:lineRule="auto"/>
        <w:ind w:left="0" w:right="0" w:firstLine="0"/>
        <w:jc w:val="center"/>
      </w:pPr>
      <w:r>
        <w:rPr>
          <w:color w:val="000000"/>
          <w:spacing w:val="0"/>
          <w:w w:val="100"/>
          <w:position w:val="0"/>
        </w:rPr>
        <w:t>31.56</w:t>
      </w:r>
    </w:p>
    <w:p>
      <w:pPr>
        <w:widowControl w:val="0"/>
        <w:spacing w:after="234" w:line="1" w:lineRule="exact"/>
      </w:pPr>
    </w:p>
    <w:p>
      <w:pPr>
        <w:widowControl w:val="0"/>
        <w:spacing w:line="1" w:lineRule="exact"/>
        <w:sectPr>
          <w:footnotePr>
            <w:pos w:val="pageBottom"/>
            <w:numFmt w:val="decimal"/>
            <w:numRestart w:val="continuous"/>
          </w:footnotePr>
          <w:type w:val="continuous"/>
          <w:pgSz w:w="16840" w:h="11900" w:orient="landscape"/>
          <w:pgMar w:top="1145" w:right="2156" w:bottom="1385" w:left="2674" w:header="0" w:footer="3" w:gutter="0"/>
          <w:cols w:space="720"/>
          <w:noEndnote/>
          <w:rtlGutter w:val="0"/>
          <w:docGrid w:linePitch="360"/>
        </w:sectPr>
      </w:pPr>
    </w:p>
    <w:p>
      <w:pPr>
        <w:pStyle w:val="Style16"/>
        <w:keepNext w:val="0"/>
        <w:keepLines w:val="0"/>
        <w:widowControl w:val="0"/>
        <w:shd w:val="clear" w:color="auto" w:fill="auto"/>
        <w:bidi w:val="0"/>
        <w:spacing w:before="0" w:after="40" w:line="467" w:lineRule="exact"/>
        <w:ind w:left="0" w:right="0" w:firstLine="460"/>
        <w:jc w:val="both"/>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：公司全资子公司国盛证券于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 xml:space="preserve">日发行了 </w:t>
      </w:r>
      <w:r>
        <w:rPr>
          <w:rFonts w:ascii="Times New Roman" w:eastAsia="Times New Roman" w:hAnsi="Times New Roman" w:cs="Times New Roman"/>
          <w:color w:val="000000"/>
          <w:spacing w:val="0"/>
          <w:w w:val="100"/>
          <w:position w:val="0"/>
        </w:rPr>
        <w:t>5</w:t>
      </w:r>
      <w:r>
        <w:rPr>
          <w:color w:val="000000"/>
          <w:spacing w:val="0"/>
          <w:w w:val="100"/>
          <w:position w:val="0"/>
        </w:rPr>
        <w:t>年期面值总额为</w:t>
      </w:r>
      <w:r>
        <w:rPr>
          <w:rFonts w:ascii="Times New Roman" w:eastAsia="Times New Roman" w:hAnsi="Times New Roman" w:cs="Times New Roman"/>
          <w:color w:val="000000"/>
          <w:spacing w:val="0"/>
          <w:w w:val="100"/>
          <w:position w:val="0"/>
        </w:rPr>
        <w:t>10</w:t>
      </w:r>
      <w:r>
        <w:rPr>
          <w:color w:val="000000"/>
          <w:spacing w:val="0"/>
          <w:w w:val="100"/>
          <w:position w:val="0"/>
        </w:rPr>
        <w:t>亿元 的公司债券“</w:t>
      </w:r>
      <w:r>
        <w:rPr>
          <w:rFonts w:ascii="Times New Roman" w:eastAsia="Times New Roman" w:hAnsi="Times New Roman" w:cs="Times New Roman"/>
          <w:color w:val="000000"/>
          <w:spacing w:val="0"/>
          <w:w w:val="100"/>
          <w:position w:val="0"/>
        </w:rPr>
        <w:t>16</w:t>
      </w:r>
      <w:r>
        <w:rPr>
          <w:color w:val="000000"/>
          <w:spacing w:val="0"/>
          <w:w w:val="100"/>
          <w:position w:val="0"/>
        </w:rPr>
        <w:t>国盛</w:t>
      </w:r>
      <w:r>
        <w:rPr>
          <w:rFonts w:ascii="Times New Roman" w:eastAsia="Times New Roman" w:hAnsi="Times New Roman" w:cs="Times New Roman"/>
          <w:color w:val="000000"/>
          <w:spacing w:val="0"/>
          <w:w w:val="100"/>
          <w:position w:val="0"/>
        </w:rPr>
        <w:t>01</w:t>
      </w:r>
      <w:r>
        <w:rPr>
          <w:color w:val="000000"/>
          <w:spacing w:val="0"/>
          <w:w w:val="100"/>
          <w:position w:val="0"/>
        </w:rPr>
        <w:t>”，到期日为</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日，票面利率为</w:t>
      </w:r>
      <w:r>
        <w:rPr>
          <w:rFonts w:ascii="Times New Roman" w:eastAsia="Times New Roman" w:hAnsi="Times New Roman" w:cs="Times New Roman"/>
          <w:color w:val="000000"/>
          <w:spacing w:val="0"/>
          <w:w w:val="100"/>
          <w:position w:val="0"/>
        </w:rPr>
        <w:t>4.28%</w:t>
      </w:r>
      <w:r>
        <w:rPr>
          <w:color w:val="000000"/>
          <w:spacing w:val="0"/>
          <w:w w:val="100"/>
          <w:position w:val="0"/>
        </w:rPr>
        <w:t>，附第</w:t>
      </w:r>
      <w:r>
        <w:rPr>
          <w:rFonts w:ascii="Times New Roman" w:eastAsia="Times New Roman" w:hAnsi="Times New Roman" w:cs="Times New Roman"/>
          <w:color w:val="000000"/>
          <w:spacing w:val="0"/>
          <w:w w:val="100"/>
          <w:position w:val="0"/>
        </w:rPr>
        <w:t>3</w:t>
      </w:r>
      <w:r>
        <w:rPr>
          <w:color w:val="000000"/>
          <w:spacing w:val="0"/>
          <w:w w:val="100"/>
          <w:position w:val="0"/>
        </w:rPr>
        <w:t>年末 发行人上调票面利率选择权及投资者回售选择权。第</w:t>
      </w:r>
      <w:r>
        <w:rPr>
          <w:rFonts w:ascii="Times New Roman" w:eastAsia="Times New Roman" w:hAnsi="Times New Roman" w:cs="Times New Roman"/>
          <w:color w:val="000000"/>
          <w:spacing w:val="0"/>
          <w:w w:val="100"/>
          <w:position w:val="0"/>
        </w:rPr>
        <w:t>3</w:t>
      </w:r>
      <w:r>
        <w:rPr>
          <w:color w:val="000000"/>
          <w:spacing w:val="0"/>
          <w:w w:val="100"/>
          <w:position w:val="0"/>
        </w:rPr>
        <w:t>年末回售金额为</w:t>
      </w:r>
      <w:r>
        <w:rPr>
          <w:rFonts w:ascii="Times New Roman" w:eastAsia="Times New Roman" w:hAnsi="Times New Roman" w:cs="Times New Roman"/>
          <w:color w:val="000000"/>
          <w:spacing w:val="0"/>
          <w:w w:val="100"/>
          <w:position w:val="0"/>
        </w:rPr>
        <w:t>601,500,000.00</w:t>
      </w:r>
      <w:r>
        <w:rPr>
          <w:color w:val="000000"/>
          <w:spacing w:val="0"/>
          <w:w w:val="100"/>
          <w:position w:val="0"/>
        </w:rPr>
        <w:t>元 （不含利息）、转售金额</w:t>
      </w:r>
      <w:r>
        <w:rPr>
          <w:rFonts w:ascii="Times New Roman" w:eastAsia="Times New Roman" w:hAnsi="Times New Roman" w:cs="Times New Roman"/>
          <w:color w:val="000000"/>
          <w:spacing w:val="0"/>
          <w:w w:val="100"/>
          <w:position w:val="0"/>
        </w:rPr>
        <w:t>157,000,000.00</w:t>
      </w:r>
      <w:r>
        <w:rPr>
          <w:color w:val="000000"/>
          <w:spacing w:val="0"/>
          <w:w w:val="100"/>
          <w:position w:val="0"/>
        </w:rPr>
        <w:t>元（不含利息），票面利率自</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日起 调整至</w:t>
      </w:r>
      <w:r>
        <w:rPr>
          <w:rFonts w:ascii="Times New Roman" w:eastAsia="Times New Roman" w:hAnsi="Times New Roman" w:cs="Times New Roman"/>
          <w:color w:val="000000"/>
          <w:spacing w:val="0"/>
          <w:w w:val="100"/>
          <w:position w:val="0"/>
        </w:rPr>
        <w:t>5.00%</w:t>
      </w:r>
      <w:r>
        <w:rPr>
          <w:color w:val="000000"/>
          <w:spacing w:val="0"/>
          <w:w w:val="100"/>
          <w:position w:val="0"/>
        </w:rPr>
        <w:t>。报表日至债券到期日小于</w:t>
      </w:r>
      <w:r>
        <w:rPr>
          <w:rFonts w:ascii="Times New Roman" w:eastAsia="Times New Roman" w:hAnsi="Times New Roman" w:cs="Times New Roman"/>
          <w:color w:val="000000"/>
          <w:spacing w:val="0"/>
          <w:w w:val="100"/>
          <w:position w:val="0"/>
        </w:rPr>
        <w:t>12</w:t>
      </w:r>
      <w:r>
        <w:rPr>
          <w:color w:val="000000"/>
          <w:spacing w:val="0"/>
          <w:w w:val="100"/>
          <w:position w:val="0"/>
        </w:rPr>
        <w:t>个月，调整至一年内到期的非流动负债。</w:t>
      </w:r>
    </w:p>
    <w:p>
      <w:pPr>
        <w:pStyle w:val="Style16"/>
        <w:keepNext w:val="0"/>
        <w:keepLines w:val="0"/>
        <w:widowControl w:val="0"/>
        <w:shd w:val="clear" w:color="auto" w:fill="auto"/>
        <w:bidi w:val="0"/>
        <w:spacing w:before="0" w:after="40" w:line="467" w:lineRule="exact"/>
        <w:ind w:left="0" w:right="0" w:firstLine="460"/>
        <w:jc w:val="both"/>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 xml:space="preserve">日发行了 </w:t>
      </w:r>
      <w:r>
        <w:rPr>
          <w:rFonts w:ascii="Times New Roman" w:eastAsia="Times New Roman" w:hAnsi="Times New Roman" w:cs="Times New Roman"/>
          <w:color w:val="000000"/>
          <w:spacing w:val="0"/>
          <w:w w:val="100"/>
          <w:position w:val="0"/>
        </w:rPr>
        <w:t>5</w:t>
      </w:r>
      <w:r>
        <w:rPr>
          <w:color w:val="000000"/>
          <w:spacing w:val="0"/>
          <w:w w:val="100"/>
          <w:position w:val="0"/>
        </w:rPr>
        <w:t>年期面值总额为</w:t>
      </w:r>
      <w:r>
        <w:rPr>
          <w:rFonts w:ascii="Times New Roman" w:eastAsia="Times New Roman" w:hAnsi="Times New Roman" w:cs="Times New Roman"/>
          <w:color w:val="000000"/>
          <w:spacing w:val="0"/>
          <w:w w:val="100"/>
          <w:position w:val="0"/>
        </w:rPr>
        <w:t>10</w:t>
      </w:r>
      <w:r>
        <w:rPr>
          <w:color w:val="000000"/>
          <w:spacing w:val="0"/>
          <w:w w:val="100"/>
          <w:position w:val="0"/>
        </w:rPr>
        <w:t>亿元的公司债券“</w:t>
      </w:r>
      <w:r>
        <w:rPr>
          <w:rFonts w:ascii="Times New Roman" w:eastAsia="Times New Roman" w:hAnsi="Times New Roman" w:cs="Times New Roman"/>
          <w:color w:val="000000"/>
          <w:spacing w:val="0"/>
          <w:w w:val="100"/>
          <w:position w:val="0"/>
        </w:rPr>
        <w:t>16</w:t>
      </w:r>
      <w:r>
        <w:rPr>
          <w:color w:val="000000"/>
          <w:spacing w:val="0"/>
          <w:w w:val="100"/>
          <w:position w:val="0"/>
        </w:rPr>
        <w:t>国盛 金”，到期日为</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日，票面利率为</w:t>
      </w:r>
      <w:r>
        <w:rPr>
          <w:rFonts w:ascii="Times New Roman" w:eastAsia="Times New Roman" w:hAnsi="Times New Roman" w:cs="Times New Roman"/>
          <w:color w:val="000000"/>
          <w:spacing w:val="0"/>
          <w:w w:val="100"/>
          <w:position w:val="0"/>
        </w:rPr>
        <w:t>4.27%</w:t>
      </w:r>
      <w:r>
        <w:rPr>
          <w:color w:val="000000"/>
          <w:spacing w:val="0"/>
          <w:w w:val="100"/>
          <w:position w:val="0"/>
        </w:rPr>
        <w:t>，附第</w:t>
      </w:r>
      <w:r>
        <w:rPr>
          <w:rFonts w:ascii="Times New Roman" w:eastAsia="Times New Roman" w:hAnsi="Times New Roman" w:cs="Times New Roman"/>
          <w:color w:val="000000"/>
          <w:spacing w:val="0"/>
          <w:w w:val="100"/>
          <w:position w:val="0"/>
        </w:rPr>
        <w:t>3</w:t>
      </w:r>
      <w:r>
        <w:rPr>
          <w:color w:val="000000"/>
          <w:spacing w:val="0"/>
          <w:w w:val="100"/>
          <w:position w:val="0"/>
        </w:rPr>
        <w:t>年末发行人上调票面利率选 择权及投资者回售选择权。第</w:t>
      </w:r>
      <w:r>
        <w:rPr>
          <w:rFonts w:ascii="Times New Roman" w:eastAsia="Times New Roman" w:hAnsi="Times New Roman" w:cs="Times New Roman"/>
          <w:color w:val="000000"/>
          <w:spacing w:val="0"/>
          <w:w w:val="100"/>
          <w:position w:val="0"/>
        </w:rPr>
        <w:t>3</w:t>
      </w:r>
      <w:r>
        <w:rPr>
          <w:color w:val="000000"/>
          <w:spacing w:val="0"/>
          <w:w w:val="100"/>
          <w:position w:val="0"/>
        </w:rPr>
        <w:t>年末回售金额为</w:t>
      </w:r>
      <w:r>
        <w:rPr>
          <w:rFonts w:ascii="Times New Roman" w:eastAsia="Times New Roman" w:hAnsi="Times New Roman" w:cs="Times New Roman"/>
          <w:color w:val="000000"/>
          <w:spacing w:val="0"/>
          <w:w w:val="100"/>
          <w:position w:val="0"/>
        </w:rPr>
        <w:t>732,006,700.00</w:t>
      </w:r>
      <w:r>
        <w:rPr>
          <w:color w:val="000000"/>
          <w:spacing w:val="0"/>
          <w:w w:val="100"/>
          <w:position w:val="0"/>
        </w:rPr>
        <w:t>元（不含利息），票面利率 自</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日起调整至</w:t>
      </w:r>
      <w:r>
        <w:rPr>
          <w:rFonts w:ascii="Times New Roman" w:eastAsia="Times New Roman" w:hAnsi="Times New Roman" w:cs="Times New Roman"/>
          <w:color w:val="000000"/>
          <w:spacing w:val="0"/>
          <w:w w:val="100"/>
          <w:position w:val="0"/>
        </w:rPr>
        <w:t>5.50%</w:t>
      </w:r>
      <w:r>
        <w:rPr>
          <w:color w:val="000000"/>
          <w:spacing w:val="0"/>
          <w:w w:val="100"/>
          <w:position w:val="0"/>
        </w:rPr>
        <w:t>。</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日，经债券持有人大会同意，债券 期限由“</w:t>
      </w:r>
      <w:r>
        <w:rPr>
          <w:rFonts w:ascii="Times New Roman" w:eastAsia="Times New Roman" w:hAnsi="Times New Roman" w:cs="Times New Roman"/>
          <w:color w:val="000000"/>
          <w:spacing w:val="0"/>
          <w:w w:val="100"/>
          <w:position w:val="0"/>
        </w:rPr>
        <w:t>3+2</w:t>
      </w:r>
      <w:r>
        <w:rPr>
          <w:color w:val="000000"/>
          <w:spacing w:val="0"/>
          <w:w w:val="100"/>
          <w:position w:val="0"/>
        </w:rPr>
        <w:t>”年变更为“</w:t>
      </w:r>
      <w:r>
        <w:rPr>
          <w:rFonts w:ascii="Times New Roman" w:eastAsia="Times New Roman" w:hAnsi="Times New Roman" w:cs="Times New Roman"/>
          <w:color w:val="000000"/>
          <w:spacing w:val="0"/>
          <w:w w:val="100"/>
          <w:position w:val="0"/>
        </w:rPr>
        <w:t>3+1+1</w:t>
      </w:r>
      <w:r>
        <w:rPr>
          <w:color w:val="000000"/>
          <w:spacing w:val="0"/>
          <w:w w:val="100"/>
          <w:position w:val="0"/>
        </w:rPr>
        <w:t>”年。</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日，公司全额回售存续债券，回售 金额为</w:t>
      </w:r>
      <w:r>
        <w:rPr>
          <w:rFonts w:ascii="Times New Roman" w:eastAsia="Times New Roman" w:hAnsi="Times New Roman" w:cs="Times New Roman"/>
          <w:color w:val="000000"/>
          <w:spacing w:val="0"/>
          <w:w w:val="100"/>
          <w:position w:val="0"/>
        </w:rPr>
        <w:t>267,993,300.00</w:t>
      </w:r>
      <w:r>
        <w:rPr>
          <w:color w:val="000000"/>
          <w:spacing w:val="0"/>
          <w:w w:val="100"/>
          <w:position w:val="0"/>
        </w:rPr>
        <w:t>元（不含利息）。</w:t>
      </w:r>
    </w:p>
    <w:p>
      <w:pPr>
        <w:pStyle w:val="Style16"/>
        <w:keepNext w:val="0"/>
        <w:keepLines w:val="0"/>
        <w:widowControl w:val="0"/>
        <w:shd w:val="clear" w:color="auto" w:fill="auto"/>
        <w:bidi w:val="0"/>
        <w:spacing w:before="0" w:after="40" w:line="472" w:lineRule="exact"/>
        <w:ind w:left="0" w:right="0" w:firstLine="460"/>
        <w:jc w:val="both"/>
      </w:pPr>
      <w:r>
        <w:rPr>
          <w:color w:val="000000"/>
          <w:spacing w:val="0"/>
          <w:w w:val="100"/>
          <w:position w:val="0"/>
        </w:rPr>
        <w:t>注</w:t>
      </w:r>
      <w:r>
        <w:rPr>
          <w:rFonts w:ascii="Times New Roman" w:eastAsia="Times New Roman" w:hAnsi="Times New Roman" w:cs="Times New Roman"/>
          <w:color w:val="000000"/>
          <w:spacing w:val="0"/>
          <w:w w:val="100"/>
          <w:position w:val="0"/>
        </w:rPr>
        <w:t>3</w:t>
      </w:r>
      <w:r>
        <w:rPr>
          <w:color w:val="000000"/>
          <w:spacing w:val="0"/>
          <w:w w:val="100"/>
          <w:position w:val="0"/>
        </w:rPr>
        <w:t>：公司于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 xml:space="preserve">日发行了 </w:t>
      </w:r>
      <w:r>
        <w:rPr>
          <w:rFonts w:ascii="Times New Roman" w:eastAsia="Times New Roman" w:hAnsi="Times New Roman" w:cs="Times New Roman"/>
          <w:color w:val="000000"/>
          <w:spacing w:val="0"/>
          <w:w w:val="100"/>
          <w:position w:val="0"/>
        </w:rPr>
        <w:t>5</w:t>
      </w:r>
      <w:r>
        <w:rPr>
          <w:color w:val="000000"/>
          <w:spacing w:val="0"/>
          <w:w w:val="100"/>
          <w:position w:val="0"/>
        </w:rPr>
        <w:t>年期面值总额为</w:t>
      </w:r>
      <w:r>
        <w:rPr>
          <w:rFonts w:ascii="Times New Roman" w:eastAsia="Times New Roman" w:hAnsi="Times New Roman" w:cs="Times New Roman"/>
          <w:color w:val="000000"/>
          <w:spacing w:val="0"/>
          <w:w w:val="100"/>
          <w:position w:val="0"/>
        </w:rPr>
        <w:t>20</w:t>
      </w:r>
      <w:r>
        <w:rPr>
          <w:color w:val="000000"/>
          <w:spacing w:val="0"/>
          <w:w w:val="100"/>
          <w:position w:val="0"/>
        </w:rPr>
        <w:t>亿元的公司债券“</w:t>
      </w:r>
      <w:r>
        <w:rPr>
          <w:rFonts w:ascii="Times New Roman" w:eastAsia="Times New Roman" w:hAnsi="Times New Roman" w:cs="Times New Roman"/>
          <w:color w:val="000000"/>
          <w:spacing w:val="0"/>
          <w:w w:val="100"/>
          <w:position w:val="0"/>
        </w:rPr>
        <w:t>16</w:t>
      </w:r>
      <w:r>
        <w:rPr>
          <w:color w:val="000000"/>
          <w:spacing w:val="0"/>
          <w:w w:val="100"/>
          <w:position w:val="0"/>
        </w:rPr>
        <w:t>国盛 控”，到期日为</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日，票面利率为</w:t>
      </w:r>
      <w:r>
        <w:rPr>
          <w:rFonts w:ascii="Times New Roman" w:eastAsia="Times New Roman" w:hAnsi="Times New Roman" w:cs="Times New Roman"/>
          <w:color w:val="000000"/>
          <w:spacing w:val="0"/>
          <w:w w:val="100"/>
          <w:position w:val="0"/>
        </w:rPr>
        <w:t>5.00%</w:t>
      </w:r>
      <w:r>
        <w:rPr>
          <w:color w:val="000000"/>
          <w:spacing w:val="0"/>
          <w:w w:val="100"/>
          <w:position w:val="0"/>
        </w:rPr>
        <w:t>，附第</w:t>
      </w:r>
      <w:r>
        <w:rPr>
          <w:rFonts w:ascii="Times New Roman" w:eastAsia="Times New Roman" w:hAnsi="Times New Roman" w:cs="Times New Roman"/>
          <w:color w:val="000000"/>
          <w:spacing w:val="0"/>
          <w:w w:val="100"/>
          <w:position w:val="0"/>
        </w:rPr>
        <w:t>3</w:t>
      </w:r>
      <w:r>
        <w:rPr>
          <w:color w:val="000000"/>
          <w:spacing w:val="0"/>
          <w:w w:val="100"/>
          <w:position w:val="0"/>
        </w:rPr>
        <w:t>年末发行人上调票面利率选 择权及投资者回售选择权。第</w:t>
      </w:r>
      <w:r>
        <w:rPr>
          <w:rFonts w:ascii="Times New Roman" w:eastAsia="Times New Roman" w:hAnsi="Times New Roman" w:cs="Times New Roman"/>
          <w:color w:val="000000"/>
          <w:spacing w:val="0"/>
          <w:w w:val="100"/>
          <w:position w:val="0"/>
        </w:rPr>
        <w:t>3</w:t>
      </w:r>
      <w:r>
        <w:rPr>
          <w:color w:val="000000"/>
          <w:spacing w:val="0"/>
          <w:w w:val="100"/>
          <w:position w:val="0"/>
        </w:rPr>
        <w:t>年末回售金额为</w:t>
      </w:r>
      <w:r>
        <w:rPr>
          <w:rFonts w:ascii="Times New Roman" w:eastAsia="Times New Roman" w:hAnsi="Times New Roman" w:cs="Times New Roman"/>
          <w:color w:val="000000"/>
          <w:spacing w:val="0"/>
          <w:w w:val="100"/>
          <w:position w:val="0"/>
        </w:rPr>
        <w:t>1,400,000,000.00</w:t>
      </w:r>
      <w:r>
        <w:rPr>
          <w:color w:val="000000"/>
          <w:spacing w:val="0"/>
          <w:w w:val="100"/>
          <w:position w:val="0"/>
        </w:rPr>
        <w:t>元（不含利息），票面利 率自</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日起调整至</w:t>
      </w:r>
      <w:r>
        <w:rPr>
          <w:rFonts w:ascii="Times New Roman" w:eastAsia="Times New Roman" w:hAnsi="Times New Roman" w:cs="Times New Roman"/>
          <w:color w:val="000000"/>
          <w:spacing w:val="0"/>
          <w:w w:val="100"/>
          <w:position w:val="0"/>
        </w:rPr>
        <w:t>6.50%</w:t>
      </w:r>
      <w:r>
        <w:rPr>
          <w:color w:val="000000"/>
          <w:spacing w:val="0"/>
          <w:w w:val="100"/>
          <w:position w:val="0"/>
        </w:rPr>
        <w:t>。报表日至债券到期日小于</w:t>
      </w:r>
      <w:r>
        <w:rPr>
          <w:rFonts w:ascii="Times New Roman" w:eastAsia="Times New Roman" w:hAnsi="Times New Roman" w:cs="Times New Roman"/>
          <w:color w:val="000000"/>
          <w:spacing w:val="0"/>
          <w:w w:val="100"/>
          <w:position w:val="0"/>
        </w:rPr>
        <w:t>12</w:t>
      </w:r>
      <w:r>
        <w:rPr>
          <w:color w:val="000000"/>
          <w:spacing w:val="0"/>
          <w:w w:val="100"/>
          <w:position w:val="0"/>
        </w:rPr>
        <w:t>个月，调整至一年内 到期的非流动负债。</w:t>
      </w:r>
    </w:p>
    <w:p>
      <w:pPr>
        <w:pStyle w:val="Style16"/>
        <w:keepNext w:val="0"/>
        <w:keepLines w:val="0"/>
        <w:widowControl w:val="0"/>
        <w:shd w:val="clear" w:color="auto" w:fill="auto"/>
        <w:bidi w:val="0"/>
        <w:spacing w:before="0" w:after="660" w:line="468" w:lineRule="exact"/>
        <w:ind w:left="0" w:right="0" w:firstLine="460"/>
        <w:jc w:val="both"/>
      </w:pPr>
      <w:r>
        <w:rPr>
          <w:color w:val="000000"/>
          <w:spacing w:val="0"/>
          <w:w w:val="100"/>
          <w:position w:val="0"/>
        </w:rPr>
        <w:t>注</w:t>
      </w:r>
      <w:r>
        <w:rPr>
          <w:rFonts w:ascii="Times New Roman" w:eastAsia="Times New Roman" w:hAnsi="Times New Roman" w:cs="Times New Roman"/>
          <w:color w:val="000000"/>
          <w:spacing w:val="0"/>
          <w:w w:val="100"/>
          <w:position w:val="0"/>
        </w:rPr>
        <w:t>4</w:t>
      </w:r>
      <w:r>
        <w:rPr>
          <w:color w:val="000000"/>
          <w:spacing w:val="0"/>
          <w:w w:val="100"/>
          <w:position w:val="0"/>
        </w:rPr>
        <w:t>：公司于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 xml:space="preserve">日发行了 </w:t>
      </w:r>
      <w:r>
        <w:rPr>
          <w:rFonts w:ascii="Times New Roman" w:eastAsia="Times New Roman" w:hAnsi="Times New Roman" w:cs="Times New Roman"/>
          <w:color w:val="000000"/>
          <w:spacing w:val="0"/>
          <w:w w:val="100"/>
          <w:position w:val="0"/>
        </w:rPr>
        <w:t>5</w:t>
      </w:r>
      <w:r>
        <w:rPr>
          <w:color w:val="000000"/>
          <w:spacing w:val="0"/>
          <w:w w:val="100"/>
          <w:position w:val="0"/>
        </w:rPr>
        <w:t>年期面值总额为</w:t>
      </w:r>
      <w:r>
        <w:rPr>
          <w:rFonts w:ascii="Times New Roman" w:eastAsia="Times New Roman" w:hAnsi="Times New Roman" w:cs="Times New Roman"/>
          <w:color w:val="000000"/>
          <w:spacing w:val="0"/>
          <w:w w:val="100"/>
          <w:position w:val="0"/>
        </w:rPr>
        <w:t>20</w:t>
      </w:r>
      <w:r>
        <w:rPr>
          <w:color w:val="000000"/>
          <w:spacing w:val="0"/>
          <w:w w:val="100"/>
          <w:position w:val="0"/>
        </w:rPr>
        <w:t>亿元的公司债券“</w:t>
      </w:r>
      <w:r>
        <w:rPr>
          <w:rFonts w:ascii="Times New Roman" w:eastAsia="Times New Roman" w:hAnsi="Times New Roman" w:cs="Times New Roman"/>
          <w:color w:val="000000"/>
          <w:spacing w:val="0"/>
          <w:w w:val="100"/>
          <w:position w:val="0"/>
        </w:rPr>
        <w:t>17</w:t>
      </w:r>
      <w:r>
        <w:rPr>
          <w:color w:val="000000"/>
          <w:spacing w:val="0"/>
          <w:w w:val="100"/>
          <w:position w:val="0"/>
        </w:rPr>
        <w:t>国 盛金”，到期日为</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日，票面年利率为</w:t>
      </w:r>
      <w:r>
        <w:rPr>
          <w:rFonts w:ascii="Times New Roman" w:eastAsia="Times New Roman" w:hAnsi="Times New Roman" w:cs="Times New Roman"/>
          <w:color w:val="000000"/>
          <w:spacing w:val="0"/>
          <w:w w:val="100"/>
          <w:position w:val="0"/>
        </w:rPr>
        <w:t>6.30%</w:t>
      </w:r>
      <w:r>
        <w:rPr>
          <w:color w:val="000000"/>
          <w:spacing w:val="0"/>
          <w:w w:val="100"/>
          <w:position w:val="0"/>
        </w:rPr>
        <w:t>，附第</w:t>
      </w:r>
      <w:r>
        <w:rPr>
          <w:rFonts w:ascii="Times New Roman" w:eastAsia="Times New Roman" w:hAnsi="Times New Roman" w:cs="Times New Roman"/>
          <w:color w:val="000000"/>
          <w:spacing w:val="0"/>
          <w:w w:val="100"/>
          <w:position w:val="0"/>
        </w:rPr>
        <w:t>3</w:t>
      </w:r>
      <w:r>
        <w:rPr>
          <w:color w:val="000000"/>
          <w:spacing w:val="0"/>
          <w:w w:val="100"/>
          <w:position w:val="0"/>
        </w:rPr>
        <w:t>年末发行人上调票面 利率选择权及投资者回售选择权。</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月，公司召开债券持有人会议，会议审议通过 将“</w:t>
      </w:r>
      <w:r>
        <w:rPr>
          <w:rFonts w:ascii="Times New Roman" w:eastAsia="Times New Roman" w:hAnsi="Times New Roman" w:cs="Times New Roman"/>
          <w:color w:val="000000"/>
          <w:spacing w:val="0"/>
          <w:w w:val="100"/>
          <w:position w:val="0"/>
        </w:rPr>
        <w:t>17</w:t>
      </w:r>
      <w:r>
        <w:rPr>
          <w:color w:val="000000"/>
          <w:spacing w:val="0"/>
          <w:w w:val="100"/>
          <w:position w:val="0"/>
        </w:rPr>
        <w:t xml:space="preserve">国盛金” </w:t>
      </w:r>
      <w:r>
        <w:rPr>
          <w:rFonts w:ascii="Times New Roman" w:eastAsia="Times New Roman" w:hAnsi="Times New Roman" w:cs="Times New Roman"/>
          <w:color w:val="000000"/>
          <w:spacing w:val="0"/>
          <w:w w:val="100"/>
          <w:position w:val="0"/>
        </w:rPr>
        <w:t>2020</w:t>
      </w:r>
      <w:r>
        <w:rPr>
          <w:color w:val="000000"/>
          <w:spacing w:val="0"/>
          <w:w w:val="100"/>
          <w:position w:val="0"/>
        </w:rPr>
        <w:t>年回售支付日调整至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日。报表日至债券回售支付日 小于</w:t>
      </w:r>
      <w:r>
        <w:rPr>
          <w:rFonts w:ascii="Times New Roman" w:eastAsia="Times New Roman" w:hAnsi="Times New Roman" w:cs="Times New Roman"/>
          <w:color w:val="000000"/>
          <w:spacing w:val="0"/>
          <w:w w:val="100"/>
          <w:position w:val="0"/>
        </w:rPr>
        <w:t>12</w:t>
      </w:r>
      <w:r>
        <w:rPr>
          <w:color w:val="000000"/>
          <w:spacing w:val="0"/>
          <w:w w:val="100"/>
          <w:position w:val="0"/>
        </w:rPr>
        <w:t>个月，调整至一年内到期的非流动负债。</w:t>
      </w:r>
    </w:p>
    <w:p>
      <w:pPr>
        <w:pStyle w:val="Style40"/>
        <w:keepNext w:val="0"/>
        <w:keepLines w:val="0"/>
        <w:widowControl w:val="0"/>
        <w:shd w:val="clear" w:color="auto" w:fill="auto"/>
        <w:bidi w:val="0"/>
        <w:spacing w:before="0" w:after="0" w:line="240" w:lineRule="auto"/>
        <w:ind w:left="437" w:right="0" w:firstLine="0"/>
        <w:jc w:val="left"/>
      </w:pPr>
      <w:bookmarkStart w:id="1467" w:name="bookmark1467"/>
      <w:r>
        <w:rPr>
          <w:b/>
          <w:bCs/>
          <w:color w:val="000000"/>
          <w:spacing w:val="0"/>
          <w:w w:val="100"/>
          <w:position w:val="0"/>
        </w:rPr>
        <w:t>注释</w:t>
      </w:r>
      <w:r>
        <w:rPr>
          <w:rFonts w:ascii="Times New Roman" w:eastAsia="Times New Roman" w:hAnsi="Times New Roman" w:cs="Times New Roman"/>
          <w:b/>
          <w:bCs/>
          <w:color w:val="000000"/>
          <w:spacing w:val="0"/>
          <w:w w:val="100"/>
          <w:position w:val="0"/>
        </w:rPr>
        <w:t>39.</w:t>
      </w:r>
      <w:r>
        <w:rPr>
          <w:b/>
          <w:bCs/>
          <w:color w:val="000000"/>
          <w:spacing w:val="0"/>
          <w:w w:val="100"/>
          <w:position w:val="0"/>
        </w:rPr>
        <w:t>预计负债</w:t>
      </w:r>
      <w:bookmarkEnd w:id="1467"/>
    </w:p>
    <w:tbl>
      <w:tblPr>
        <w:tblOverlap w:val="never"/>
        <w:jc w:val="center"/>
        <w:tblLayout w:type="fixed"/>
      </w:tblPr>
      <w:tblGrid>
        <w:gridCol w:w="2059"/>
        <w:gridCol w:w="2136"/>
        <w:gridCol w:w="2136"/>
        <w:gridCol w:w="2040"/>
      </w:tblGrid>
      <w:tr>
        <w:trPr>
          <w:trHeight w:val="37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形成原因</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未决诉讼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118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681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139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劳动争议，根据已有判 决计提。</w:t>
            </w:r>
          </w:p>
        </w:tc>
      </w:tr>
      <w:tr>
        <w:trPr>
          <w:trHeight w:val="432"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118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681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139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64</w:t>
            </w: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7"/>
        <w:keepNext/>
        <w:keepLines/>
        <w:widowControl w:val="0"/>
        <w:shd w:val="clear" w:color="auto" w:fill="auto"/>
        <w:bidi w:val="0"/>
        <w:spacing w:before="0" w:after="140" w:line="240" w:lineRule="auto"/>
        <w:ind w:left="0" w:right="0" w:firstLine="440"/>
        <w:jc w:val="left"/>
      </w:pPr>
      <w:bookmarkStart w:id="1468" w:name="bookmark1468"/>
      <w:bookmarkStart w:id="1469" w:name="bookmark1469"/>
      <w:bookmarkStart w:id="1470" w:name="bookmark1470"/>
      <w:r>
        <w:rPr>
          <w:color w:val="000000"/>
          <w:spacing w:val="0"/>
          <w:w w:val="100"/>
          <w:position w:val="0"/>
        </w:rPr>
        <w:t>注释</w:t>
      </w:r>
      <w:r>
        <w:rPr>
          <w:rFonts w:ascii="Times New Roman" w:eastAsia="Times New Roman" w:hAnsi="Times New Roman" w:cs="Times New Roman"/>
          <w:color w:val="000000"/>
          <w:spacing w:val="0"/>
          <w:w w:val="100"/>
          <w:position w:val="0"/>
        </w:rPr>
        <w:t>40.</w:t>
      </w:r>
      <w:r>
        <w:rPr>
          <w:color w:val="000000"/>
          <w:spacing w:val="0"/>
          <w:w w:val="100"/>
          <w:position w:val="0"/>
        </w:rPr>
        <w:t>递延收益</w:t>
      </w:r>
      <w:bookmarkEnd w:id="1468"/>
      <w:bookmarkEnd w:id="1469"/>
      <w:bookmarkEnd w:id="1470"/>
    </w:p>
    <w:tbl>
      <w:tblPr>
        <w:tblOverlap w:val="never"/>
        <w:jc w:val="center"/>
        <w:tblLayout w:type="fixed"/>
      </w:tblPr>
      <w:tblGrid>
        <w:gridCol w:w="1502"/>
        <w:gridCol w:w="1330"/>
        <w:gridCol w:w="1334"/>
        <w:gridCol w:w="1334"/>
        <w:gridCol w:w="1334"/>
        <w:gridCol w:w="1522"/>
      </w:tblGrid>
      <w:tr>
        <w:trPr>
          <w:trHeight w:val="37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本期增加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本期减少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形成原因</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139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306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175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906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934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709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380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503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政府奖励及补助</w:t>
            </w:r>
          </w:p>
        </w:tc>
      </w:tr>
      <w:tr>
        <w:trPr>
          <w:trHeight w:val="432"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139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306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175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906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934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709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380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503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42</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679" w:line="1" w:lineRule="exact"/>
      </w:pPr>
    </w:p>
    <w:p>
      <w:pPr>
        <w:pStyle w:val="Style51"/>
        <w:keepNext/>
        <w:keepLines/>
        <w:widowControl w:val="0"/>
        <w:shd w:val="clear" w:color="auto" w:fill="auto"/>
        <w:bidi w:val="0"/>
        <w:spacing w:before="0" w:after="140" w:line="240" w:lineRule="auto"/>
        <w:ind w:left="0" w:right="0" w:firstLine="440"/>
        <w:jc w:val="left"/>
      </w:pPr>
      <w:bookmarkStart w:id="1471" w:name="bookmark1471"/>
      <w:bookmarkStart w:id="1472" w:name="bookmark1472"/>
      <w:bookmarkStart w:id="1473" w:name="bookmark1473"/>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与政府补助相关的递延收益</w:t>
      </w:r>
      <w:bookmarkEnd w:id="1471"/>
      <w:bookmarkEnd w:id="1472"/>
      <w:bookmarkEnd w:id="1473"/>
    </w:p>
    <w:tbl>
      <w:tblPr>
        <w:tblOverlap w:val="never"/>
        <w:jc w:val="center"/>
        <w:tblLayout w:type="fixed"/>
      </w:tblPr>
      <w:tblGrid>
        <w:gridCol w:w="2093"/>
        <w:gridCol w:w="1454"/>
        <w:gridCol w:w="1296"/>
        <w:gridCol w:w="1186"/>
        <w:gridCol w:w="1306"/>
        <w:gridCol w:w="1051"/>
      </w:tblGrid>
      <w:tr>
        <w:trPr>
          <w:trHeight w:val="62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负债项目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69" w:lineRule="exact"/>
              <w:ind w:left="0" w:right="0" w:firstLine="0"/>
              <w:jc w:val="center"/>
              <w:rPr>
                <w:sz w:val="18"/>
                <w:szCs w:val="18"/>
              </w:rPr>
            </w:pPr>
            <w:r>
              <w:rPr>
                <w:color w:val="000000"/>
                <w:spacing w:val="0"/>
                <w:w w:val="100"/>
                <w:position w:val="0"/>
                <w:sz w:val="18"/>
                <w:szCs w:val="18"/>
              </w:rPr>
              <w:t>本期新增 补助金额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140"/>
              <w:jc w:val="left"/>
              <w:rPr>
                <w:sz w:val="18"/>
                <w:szCs w:val="18"/>
              </w:rPr>
            </w:pPr>
            <w:r>
              <w:rPr>
                <w:color w:val="000000"/>
                <w:spacing w:val="0"/>
                <w:w w:val="100"/>
                <w:position w:val="0"/>
                <w:sz w:val="18"/>
                <w:szCs w:val="18"/>
              </w:rPr>
              <w:t>本期计入其 他收益金额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与资产相关</w:t>
            </w:r>
            <w:r>
              <w:rPr>
                <w:rFonts w:ascii="Arial Narrow" w:eastAsia="Arial Narrow" w:hAnsi="Arial Narrow" w:cs="Arial Narrow"/>
                <w:color w:val="000000"/>
                <w:spacing w:val="0"/>
                <w:w w:val="100"/>
                <w:position w:val="0"/>
                <w:sz w:val="18"/>
                <w:szCs w:val="18"/>
              </w:rPr>
              <w:t xml:space="preserve">/ </w:t>
            </w:r>
            <w:r>
              <w:rPr>
                <w:color w:val="000000"/>
                <w:spacing w:val="0"/>
                <w:w w:val="100"/>
                <w:position w:val="0"/>
                <w:sz w:val="18"/>
                <w:szCs w:val="18"/>
              </w:rPr>
              <w:t>与收益相关</w:t>
            </w:r>
          </w:p>
        </w:tc>
      </w:tr>
      <w:tr>
        <w:trPr>
          <w:trHeight w:val="71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40"/>
              <w:jc w:val="both"/>
              <w:rPr>
                <w:sz w:val="18"/>
                <w:szCs w:val="18"/>
              </w:rPr>
            </w:pPr>
            <w:r>
              <w:rPr>
                <w:color w:val="000000"/>
                <w:spacing w:val="0"/>
                <w:w w:val="100"/>
                <w:position w:val="0"/>
                <w:sz w:val="18"/>
                <w:szCs w:val="18"/>
              </w:rPr>
              <w:t>入驻湖南金融中心机</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构奖励金（注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与收益相</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关</w:t>
            </w:r>
          </w:p>
        </w:tc>
      </w:tr>
      <w:tr>
        <w:trPr>
          <w:trHeight w:val="102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310" w:lineRule="exact"/>
              <w:ind w:left="140" w:right="0" w:firstLine="100"/>
              <w:jc w:val="left"/>
              <w:rPr>
                <w:sz w:val="18"/>
                <w:szCs w:val="18"/>
              </w:rPr>
            </w:pPr>
            <w:r>
              <w:rPr>
                <w:color w:val="000000"/>
                <w:spacing w:val="0"/>
                <w:w w:val="100"/>
                <w:position w:val="0"/>
                <w:sz w:val="18"/>
                <w:szCs w:val="18"/>
              </w:rPr>
              <w:t>国盛证券总部过渡期 办公场所租赁期补助资 金（注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333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333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666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666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666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666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与收益相</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关</w:t>
            </w:r>
          </w:p>
        </w:tc>
      </w:tr>
      <w:tr>
        <w:trPr>
          <w:trHeight w:val="102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317" w:lineRule="exact"/>
              <w:ind w:left="140" w:right="0" w:firstLine="100"/>
              <w:jc w:val="left"/>
              <w:rPr>
                <w:sz w:val="18"/>
                <w:szCs w:val="18"/>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8"/>
                <w:szCs w:val="18"/>
              </w:rPr>
              <w:t xml:space="preserve">年金融业和企业 上市发展扶持基金（注 </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与收益相</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关</w:t>
            </w:r>
          </w:p>
        </w:tc>
      </w:tr>
      <w:tr>
        <w:trPr>
          <w:trHeight w:val="71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240"/>
              <w:jc w:val="both"/>
              <w:rPr>
                <w:sz w:val="18"/>
                <w:szCs w:val="18"/>
              </w:rPr>
            </w:pPr>
            <w:r>
              <w:rPr>
                <w:color w:val="000000"/>
                <w:spacing w:val="0"/>
                <w:w w:val="100"/>
                <w:position w:val="0"/>
                <w:sz w:val="18"/>
                <w:szCs w:val="18"/>
              </w:rPr>
              <w:t>广州市金融发展专项</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资金（注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与收益相</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关</w:t>
            </w:r>
          </w:p>
        </w:tc>
      </w:tr>
      <w:tr>
        <w:trPr>
          <w:trHeight w:val="71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40"/>
              <w:jc w:val="both"/>
              <w:rPr>
                <w:sz w:val="18"/>
                <w:szCs w:val="18"/>
              </w:rPr>
            </w:pPr>
            <w:r>
              <w:rPr>
                <w:color w:val="000000"/>
                <w:spacing w:val="0"/>
                <w:w w:val="100"/>
                <w:position w:val="0"/>
                <w:sz w:val="18"/>
                <w:szCs w:val="18"/>
              </w:rPr>
              <w:t>金融类企业落户资金</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8"/>
                <w:szCs w:val="18"/>
              </w:rPr>
              <w:t>万元（注</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与收益相</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关</w:t>
            </w:r>
          </w:p>
        </w:tc>
      </w:tr>
      <w:tr>
        <w:trPr>
          <w:trHeight w:val="102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317" w:lineRule="exact"/>
              <w:ind w:left="140" w:right="0" w:firstLine="100"/>
              <w:jc w:val="left"/>
              <w:rPr>
                <w:sz w:val="18"/>
                <w:szCs w:val="18"/>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8"/>
                <w:szCs w:val="18"/>
              </w:rPr>
              <w:t>年第</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8"/>
                <w:szCs w:val="18"/>
              </w:rPr>
              <w:t>批金融发 展专项资金（一次性落 户奖励）（注</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733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333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333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与收益相</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关</w:t>
            </w:r>
          </w:p>
        </w:tc>
      </w:tr>
      <w:tr>
        <w:trPr>
          <w:trHeight w:val="71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40"/>
              <w:jc w:val="left"/>
              <w:rPr>
                <w:sz w:val="18"/>
                <w:szCs w:val="18"/>
              </w:rPr>
            </w:pPr>
            <w:r>
              <w:rPr>
                <w:color w:val="000000"/>
                <w:spacing w:val="0"/>
                <w:w w:val="100"/>
                <w:position w:val="0"/>
                <w:sz w:val="18"/>
                <w:szCs w:val="18"/>
              </w:rPr>
              <w:t>金融机构落户补助（注</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与收益相</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关</w:t>
            </w:r>
          </w:p>
        </w:tc>
      </w:tr>
      <w:tr>
        <w:trPr>
          <w:trHeight w:val="71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rPr>
                <w:sz w:val="18"/>
                <w:szCs w:val="18"/>
              </w:rPr>
            </w:pPr>
            <w:r>
              <w:rPr>
                <w:color w:val="000000"/>
                <w:spacing w:val="0"/>
                <w:w w:val="100"/>
                <w:position w:val="0"/>
                <w:sz w:val="18"/>
                <w:szCs w:val="18"/>
              </w:rPr>
              <w:t>深圳市政府租房补助</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539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039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502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536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与收益相</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关</w:t>
            </w:r>
          </w:p>
        </w:tc>
      </w:tr>
      <w:tr>
        <w:trPr>
          <w:trHeight w:val="71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rPr>
                <w:sz w:val="18"/>
                <w:szCs w:val="18"/>
              </w:rPr>
            </w:pPr>
            <w:r>
              <w:rPr>
                <w:color w:val="000000"/>
                <w:spacing w:val="0"/>
                <w:w w:val="100"/>
                <w:position w:val="0"/>
                <w:sz w:val="18"/>
                <w:szCs w:val="18"/>
              </w:rPr>
              <w:t>苏州营业部金融机构房</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租补贴（注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76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与收益相</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关</w:t>
            </w:r>
          </w:p>
        </w:tc>
      </w:tr>
      <w:tr>
        <w:trPr>
          <w:trHeight w:val="102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120" w:line="322" w:lineRule="exact"/>
              <w:ind w:left="140" w:right="0" w:firstLine="0"/>
              <w:jc w:val="left"/>
              <w:rPr>
                <w:sz w:val="18"/>
                <w:szCs w:val="18"/>
              </w:rPr>
            </w:pPr>
            <w:r>
              <w:rPr>
                <w:color w:val="000000"/>
                <w:spacing w:val="0"/>
                <w:w w:val="100"/>
                <w:position w:val="0"/>
                <w:sz w:val="18"/>
                <w:szCs w:val="18"/>
              </w:rPr>
              <w:t>佛山市南海区金融业发 展办公室进驻奖励（注</w:t>
            </w:r>
          </w:p>
          <w:p>
            <w:pPr>
              <w:pStyle w:val="Style2"/>
              <w:keepNext w:val="0"/>
              <w:keepLines w:val="0"/>
              <w:widowControl w:val="0"/>
              <w:shd w:val="clear" w:color="auto" w:fill="auto"/>
              <w:bidi w:val="0"/>
              <w:spacing w:before="0" w:after="0" w:line="374"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与收益相</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关</w:t>
            </w:r>
          </w:p>
        </w:tc>
      </w:tr>
      <w:tr>
        <w:trPr>
          <w:trHeight w:val="715" w:hRule="exact"/>
        </w:trPr>
        <w:tc>
          <w:tcPr>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140"/>
              <w:jc w:val="left"/>
              <w:rPr>
                <w:sz w:val="18"/>
                <w:szCs w:val="18"/>
              </w:rPr>
            </w:pPr>
            <w:r>
              <w:rPr>
                <w:color w:val="000000"/>
                <w:spacing w:val="0"/>
                <w:w w:val="100"/>
                <w:position w:val="0"/>
                <w:sz w:val="18"/>
                <w:szCs w:val="18"/>
              </w:rPr>
              <w:t>香港投资工资补贴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96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与收益相</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关</w:t>
            </w:r>
          </w:p>
        </w:tc>
      </w:tr>
      <w:tr>
        <w:trPr>
          <w:trHeight w:val="432"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139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306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175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906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934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709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380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503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42</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16"/>
        <w:keepNext w:val="0"/>
        <w:keepLines w:val="0"/>
        <w:widowControl w:val="0"/>
        <w:shd w:val="clear" w:color="auto" w:fill="auto"/>
        <w:bidi w:val="0"/>
        <w:spacing w:before="0" w:after="40" w:line="470" w:lineRule="exact"/>
        <w:ind w:left="0" w:right="0" w:firstLine="440"/>
        <w:jc w:val="both"/>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：根据湖南湘江新区管理委员会湘新管字</w:t>
      </w:r>
      <w:r>
        <w:rPr>
          <w:rFonts w:ascii="Times New Roman" w:eastAsia="Times New Roman" w:hAnsi="Times New Roman" w:cs="Times New Roman"/>
          <w:color w:val="000000"/>
          <w:spacing w:val="0"/>
          <w:w w:val="100"/>
          <w:position w:val="0"/>
        </w:rPr>
        <w:t>[2018]108</w:t>
      </w:r>
      <w:r>
        <w:rPr>
          <w:color w:val="000000"/>
          <w:spacing w:val="0"/>
          <w:w w:val="100"/>
          <w:position w:val="0"/>
        </w:rPr>
        <w:t>号文件，经湖南湘江新区管理 委员会批准，对持牌金融机构在湘江新区金融中心新设非独立法人的区域总部，并在当地 有结算、产生税收的证券公司、期货公司、保险公司给予一次性开业奖励</w:t>
      </w:r>
      <w:r>
        <w:rPr>
          <w:rFonts w:ascii="Times New Roman" w:eastAsia="Times New Roman" w:hAnsi="Times New Roman" w:cs="Times New Roman"/>
          <w:color w:val="000000"/>
          <w:spacing w:val="0"/>
          <w:w w:val="100"/>
          <w:position w:val="0"/>
        </w:rPr>
        <w:t>150.00</w:t>
      </w:r>
      <w:r>
        <w:rPr>
          <w:color w:val="000000"/>
          <w:spacing w:val="0"/>
          <w:w w:val="100"/>
          <w:position w:val="0"/>
        </w:rPr>
        <w:t>万元，由 于该补助设置了退回条款，故暂未摊销。</w:t>
      </w:r>
    </w:p>
    <w:p>
      <w:pPr>
        <w:pStyle w:val="Style16"/>
        <w:keepNext w:val="0"/>
        <w:keepLines w:val="0"/>
        <w:widowControl w:val="0"/>
        <w:shd w:val="clear" w:color="auto" w:fill="auto"/>
        <w:bidi w:val="0"/>
        <w:spacing w:before="0" w:after="40" w:line="475" w:lineRule="exact"/>
        <w:ind w:left="0" w:right="0" w:firstLine="440"/>
        <w:jc w:val="both"/>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：根据公司与南昌市新建区人民政府签订的</w:t>
      </w:r>
      <w:r>
        <w:rPr>
          <w:rFonts w:ascii="Times New Roman" w:eastAsia="Times New Roman" w:hAnsi="Times New Roman" w:cs="Times New Roman"/>
          <w:color w:val="000000"/>
          <w:spacing w:val="0"/>
          <w:w w:val="100"/>
          <w:position w:val="0"/>
        </w:rPr>
        <w:t>“</w:t>
      </w:r>
      <w:r>
        <w:rPr>
          <w:color w:val="000000"/>
          <w:spacing w:val="0"/>
          <w:w w:val="100"/>
          <w:position w:val="0"/>
        </w:rPr>
        <w:t>国盛证券总部项目合作协议</w:t>
      </w:r>
      <w:r>
        <w:rPr>
          <w:rFonts w:ascii="Times New Roman" w:eastAsia="Times New Roman" w:hAnsi="Times New Roman" w:cs="Times New Roman"/>
          <w:color w:val="000000"/>
          <w:spacing w:val="0"/>
          <w:w w:val="100"/>
          <w:position w:val="0"/>
        </w:rPr>
        <w:t>”</w:t>
      </w:r>
      <w:r>
        <w:rPr>
          <w:color w:val="000000"/>
          <w:spacing w:val="0"/>
          <w:w w:val="100"/>
          <w:position w:val="0"/>
        </w:rPr>
        <w:t>及</w:t>
      </w:r>
      <w:r>
        <w:rPr>
          <w:rFonts w:ascii="Times New Roman" w:eastAsia="Times New Roman" w:hAnsi="Times New Roman" w:cs="Times New Roman"/>
          <w:color w:val="000000"/>
          <w:spacing w:val="0"/>
          <w:w w:val="100"/>
          <w:position w:val="0"/>
        </w:rPr>
        <w:t>“</w:t>
      </w:r>
      <w:r>
        <w:rPr>
          <w:color w:val="000000"/>
          <w:spacing w:val="0"/>
          <w:w w:val="100"/>
          <w:position w:val="0"/>
        </w:rPr>
        <w:t>国盛 证券总部项目合作补充协议</w:t>
      </w:r>
      <w:r>
        <w:rPr>
          <w:rFonts w:ascii="Times New Roman" w:eastAsia="Times New Roman" w:hAnsi="Times New Roman" w:cs="Times New Roman"/>
          <w:color w:val="000000"/>
          <w:spacing w:val="0"/>
          <w:w w:val="100"/>
          <w:position w:val="0"/>
        </w:rPr>
        <w:t>''</w:t>
      </w:r>
      <w:r>
        <w:rPr>
          <w:color w:val="000000"/>
          <w:spacing w:val="0"/>
          <w:w w:val="100"/>
          <w:position w:val="0"/>
        </w:rPr>
        <w:t>约定，南昌市新建区人民政府向乙方提供</w:t>
      </w:r>
      <w:r>
        <w:rPr>
          <w:rFonts w:ascii="Times New Roman" w:eastAsia="Times New Roman" w:hAnsi="Times New Roman" w:cs="Times New Roman"/>
          <w:color w:val="000000"/>
          <w:spacing w:val="0"/>
          <w:w w:val="100"/>
          <w:position w:val="0"/>
        </w:rPr>
        <w:t>1,000.00</w:t>
      </w:r>
      <w:r>
        <w:rPr>
          <w:color w:val="000000"/>
          <w:spacing w:val="0"/>
          <w:w w:val="100"/>
          <w:position w:val="0"/>
        </w:rPr>
        <w:t>万元人民币 的过渡期办公场所租赁补助资金，公司根据预计租赁期限摊销。</w:t>
      </w:r>
    </w:p>
    <w:p>
      <w:pPr>
        <w:pStyle w:val="Style16"/>
        <w:keepNext w:val="0"/>
        <w:keepLines w:val="0"/>
        <w:widowControl w:val="0"/>
        <w:shd w:val="clear" w:color="auto" w:fill="auto"/>
        <w:bidi w:val="0"/>
        <w:spacing w:before="0" w:after="40" w:line="473" w:lineRule="exact"/>
        <w:ind w:left="0" w:right="0" w:firstLine="440"/>
        <w:jc w:val="both"/>
      </w:pPr>
      <w:r>
        <w:rPr>
          <w:color w:val="000000"/>
          <w:spacing w:val="0"/>
          <w:w w:val="100"/>
          <w:position w:val="0"/>
        </w:rPr>
        <w:t>注</w:t>
      </w:r>
      <w:r>
        <w:rPr>
          <w:rFonts w:ascii="Times New Roman" w:eastAsia="Times New Roman" w:hAnsi="Times New Roman" w:cs="Times New Roman"/>
          <w:color w:val="000000"/>
          <w:spacing w:val="0"/>
          <w:w w:val="100"/>
          <w:position w:val="0"/>
        </w:rPr>
        <w:t>3</w:t>
      </w:r>
      <w:r>
        <w:rPr>
          <w:color w:val="000000"/>
          <w:spacing w:val="0"/>
          <w:w w:val="100"/>
          <w:position w:val="0"/>
        </w:rPr>
        <w:t>：根据南京市建邺区人民政府转发的《建邺区关于支持金融业和企业上市发展的暂 行办法》，给予江苏分公司金融业和企业上市发展扶持基金</w:t>
      </w:r>
      <w:r>
        <w:rPr>
          <w:rFonts w:ascii="Times New Roman" w:eastAsia="Times New Roman" w:hAnsi="Times New Roman" w:cs="Times New Roman"/>
          <w:color w:val="000000"/>
          <w:spacing w:val="0"/>
          <w:w w:val="100"/>
          <w:position w:val="0"/>
        </w:rPr>
        <w:t>100.00</w:t>
      </w:r>
      <w:r>
        <w:rPr>
          <w:color w:val="000000"/>
          <w:spacing w:val="0"/>
          <w:w w:val="100"/>
          <w:position w:val="0"/>
        </w:rPr>
        <w:t>万元，由于该补助设置 了退回条款，故暂未摊销。</w:t>
      </w:r>
    </w:p>
    <w:p>
      <w:pPr>
        <w:pStyle w:val="Style16"/>
        <w:keepNext w:val="0"/>
        <w:keepLines w:val="0"/>
        <w:widowControl w:val="0"/>
        <w:shd w:val="clear" w:color="auto" w:fill="auto"/>
        <w:bidi w:val="0"/>
        <w:spacing w:before="0" w:after="40" w:line="475" w:lineRule="exact"/>
        <w:ind w:left="0" w:right="0" w:firstLine="440"/>
        <w:jc w:val="both"/>
      </w:pPr>
      <w:r>
        <w:rPr>
          <w:color w:val="000000"/>
          <w:spacing w:val="0"/>
          <w:w w:val="100"/>
          <w:position w:val="0"/>
        </w:rPr>
        <w:t>注</w:t>
      </w:r>
      <w:r>
        <w:rPr>
          <w:rFonts w:ascii="Times New Roman" w:eastAsia="Times New Roman" w:hAnsi="Times New Roman" w:cs="Times New Roman"/>
          <w:color w:val="000000"/>
          <w:spacing w:val="0"/>
          <w:w w:val="100"/>
          <w:position w:val="0"/>
        </w:rPr>
        <w:t>4</w:t>
      </w:r>
      <w:r>
        <w:rPr>
          <w:color w:val="000000"/>
          <w:spacing w:val="0"/>
          <w:w w:val="100"/>
          <w:position w:val="0"/>
        </w:rPr>
        <w:t>：根据广州市人民政府关于印发《支持广州区域金融中心建设若干规定的通知》， 给予设立广东地区总部奖励补贴</w:t>
      </w:r>
      <w:r>
        <w:rPr>
          <w:rFonts w:ascii="Times New Roman" w:eastAsia="Times New Roman" w:hAnsi="Times New Roman" w:cs="Times New Roman"/>
          <w:color w:val="000000"/>
          <w:spacing w:val="0"/>
          <w:w w:val="100"/>
          <w:position w:val="0"/>
        </w:rPr>
        <w:t>200.00</w:t>
      </w:r>
      <w:r>
        <w:rPr>
          <w:color w:val="000000"/>
          <w:spacing w:val="0"/>
          <w:w w:val="100"/>
          <w:position w:val="0"/>
        </w:rPr>
        <w:t>万元，由于该补助设置了退回条款，故暂未摊销。</w:t>
      </w:r>
    </w:p>
    <w:p>
      <w:pPr>
        <w:pStyle w:val="Style16"/>
        <w:keepNext w:val="0"/>
        <w:keepLines w:val="0"/>
        <w:widowControl w:val="0"/>
        <w:shd w:val="clear" w:color="auto" w:fill="auto"/>
        <w:bidi w:val="0"/>
        <w:spacing w:before="0" w:after="40" w:line="470" w:lineRule="exact"/>
        <w:ind w:left="0" w:right="0" w:firstLine="440"/>
        <w:jc w:val="both"/>
      </w:pPr>
      <w:r>
        <w:rPr>
          <w:color w:val="000000"/>
          <w:spacing w:val="0"/>
          <w:w w:val="100"/>
          <w:position w:val="0"/>
        </w:rPr>
        <w:t>注</w:t>
      </w:r>
      <w:r>
        <w:rPr>
          <w:rFonts w:ascii="Times New Roman" w:eastAsia="Times New Roman" w:hAnsi="Times New Roman" w:cs="Times New Roman"/>
          <w:color w:val="000000"/>
          <w:spacing w:val="0"/>
          <w:w w:val="100"/>
          <w:position w:val="0"/>
        </w:rPr>
        <w:t>5</w:t>
      </w:r>
      <w:r>
        <w:rPr>
          <w:color w:val="000000"/>
          <w:spacing w:val="0"/>
          <w:w w:val="100"/>
          <w:position w:val="0"/>
        </w:rPr>
        <w:t>：根据深圳分公司与深圳市福田区投资推广署签订的《投资合作协议》，给予一次 性金融类企业落户支持奖励</w:t>
      </w:r>
      <w:r>
        <w:rPr>
          <w:rFonts w:ascii="Times New Roman" w:eastAsia="Times New Roman" w:hAnsi="Times New Roman" w:cs="Times New Roman"/>
          <w:color w:val="000000"/>
          <w:spacing w:val="0"/>
          <w:w w:val="100"/>
          <w:position w:val="0"/>
        </w:rPr>
        <w:t>100.00</w:t>
      </w:r>
      <w:r>
        <w:rPr>
          <w:color w:val="000000"/>
          <w:spacing w:val="0"/>
          <w:w w:val="100"/>
          <w:position w:val="0"/>
        </w:rPr>
        <w:t>万元，由于该补助设置了退回条款，故暂未摊销。</w:t>
      </w:r>
    </w:p>
    <w:p>
      <w:pPr>
        <w:pStyle w:val="Style16"/>
        <w:keepNext w:val="0"/>
        <w:keepLines w:val="0"/>
        <w:widowControl w:val="0"/>
        <w:shd w:val="clear" w:color="auto" w:fill="auto"/>
        <w:bidi w:val="0"/>
        <w:spacing w:before="0" w:after="40" w:line="473" w:lineRule="exact"/>
        <w:ind w:left="0" w:right="0" w:firstLine="440"/>
        <w:jc w:val="both"/>
      </w:pPr>
      <w:r>
        <w:rPr>
          <w:color w:val="000000"/>
          <w:spacing w:val="0"/>
          <w:w w:val="100"/>
          <w:position w:val="0"/>
        </w:rPr>
        <w:t>注</w:t>
      </w:r>
      <w:r>
        <w:rPr>
          <w:rFonts w:ascii="Times New Roman" w:eastAsia="Times New Roman" w:hAnsi="Times New Roman" w:cs="Times New Roman"/>
          <w:color w:val="000000"/>
          <w:spacing w:val="0"/>
          <w:w w:val="100"/>
          <w:position w:val="0"/>
        </w:rPr>
        <w:t>6</w:t>
      </w:r>
      <w:r>
        <w:rPr>
          <w:color w:val="000000"/>
          <w:spacing w:val="0"/>
          <w:w w:val="100"/>
          <w:position w:val="0"/>
        </w:rPr>
        <w:t>：根据深圳市人民政府金融发展服务办公室深府金发【</w:t>
      </w:r>
      <w:r>
        <w:rPr>
          <w:rFonts w:ascii="Times New Roman" w:eastAsia="Times New Roman" w:hAnsi="Times New Roman" w:cs="Times New Roman"/>
          <w:color w:val="000000"/>
          <w:spacing w:val="0"/>
          <w:w w:val="100"/>
          <w:position w:val="0"/>
        </w:rPr>
        <w:t>2018</w:t>
      </w:r>
      <w:r>
        <w:rPr>
          <w:color w:val="000000"/>
          <w:spacing w:val="0"/>
          <w:w w:val="100"/>
          <w:position w:val="0"/>
        </w:rPr>
        <w:t>】</w:t>
      </w:r>
      <w:r>
        <w:rPr>
          <w:rFonts w:ascii="Times New Roman" w:eastAsia="Times New Roman" w:hAnsi="Times New Roman" w:cs="Times New Roman"/>
          <w:color w:val="000000"/>
          <w:spacing w:val="0"/>
          <w:w w:val="100"/>
          <w:position w:val="0"/>
        </w:rPr>
        <w:t>37</w:t>
      </w:r>
      <w:r>
        <w:rPr>
          <w:color w:val="000000"/>
          <w:spacing w:val="0"/>
          <w:w w:val="100"/>
          <w:position w:val="0"/>
        </w:rPr>
        <w:t>号《关于下达</w:t>
      </w:r>
      <w:r>
        <w:rPr>
          <w:rFonts w:ascii="Times New Roman" w:eastAsia="Times New Roman" w:hAnsi="Times New Roman" w:cs="Times New Roman"/>
          <w:color w:val="000000"/>
          <w:spacing w:val="0"/>
          <w:w w:val="100"/>
          <w:position w:val="0"/>
        </w:rPr>
        <w:t xml:space="preserve">2018 </w:t>
      </w:r>
      <w:r>
        <w:rPr>
          <w:color w:val="000000"/>
          <w:spacing w:val="0"/>
          <w:w w:val="100"/>
          <w:position w:val="0"/>
        </w:rPr>
        <w:t>年第二十七批市金融发展专项资金补助计划的通知》，给予金融机构一次性落户奖励</w:t>
      </w:r>
      <w:r>
        <w:rPr>
          <w:rFonts w:ascii="Times New Roman" w:eastAsia="Times New Roman" w:hAnsi="Times New Roman" w:cs="Times New Roman"/>
          <w:color w:val="000000"/>
          <w:spacing w:val="0"/>
          <w:w w:val="100"/>
          <w:position w:val="0"/>
        </w:rPr>
        <w:t xml:space="preserve">200.00 </w:t>
      </w:r>
      <w:r>
        <w:rPr>
          <w:color w:val="000000"/>
          <w:spacing w:val="0"/>
          <w:w w:val="100"/>
          <w:position w:val="0"/>
        </w:rPr>
        <w:t>万元，公司按照通知要求及实际入驻期限摊销。</w:t>
      </w:r>
    </w:p>
    <w:p>
      <w:pPr>
        <w:pStyle w:val="Style16"/>
        <w:keepNext w:val="0"/>
        <w:keepLines w:val="0"/>
        <w:widowControl w:val="0"/>
        <w:shd w:val="clear" w:color="auto" w:fill="auto"/>
        <w:bidi w:val="0"/>
        <w:spacing w:before="0" w:after="40" w:line="471" w:lineRule="exact"/>
        <w:ind w:left="0" w:right="0" w:firstLine="440"/>
        <w:jc w:val="both"/>
      </w:pPr>
      <w:r>
        <w:rPr>
          <w:color w:val="000000"/>
          <w:spacing w:val="0"/>
          <w:w w:val="100"/>
          <w:position w:val="0"/>
        </w:rPr>
        <w:t>注</w:t>
      </w:r>
      <w:r>
        <w:rPr>
          <w:rFonts w:ascii="Times New Roman" w:eastAsia="Times New Roman" w:hAnsi="Times New Roman" w:cs="Times New Roman"/>
          <w:color w:val="000000"/>
          <w:spacing w:val="0"/>
          <w:w w:val="100"/>
          <w:position w:val="0"/>
        </w:rPr>
        <w:t>7</w:t>
      </w:r>
      <w:r>
        <w:rPr>
          <w:color w:val="000000"/>
          <w:spacing w:val="0"/>
          <w:w w:val="100"/>
          <w:position w:val="0"/>
        </w:rPr>
        <w:t>：根据《郑东新区管委会关于印发郑东新区加快金融业发展扶持办法的通知》，郑 州市郑东新区管理委员会金融服务局给予金融机构落户奖励，由于该补助设置了退回条款， 故暂未摊销。</w:t>
      </w:r>
    </w:p>
    <w:p>
      <w:pPr>
        <w:pStyle w:val="Style16"/>
        <w:keepNext w:val="0"/>
        <w:keepLines w:val="0"/>
        <w:widowControl w:val="0"/>
        <w:shd w:val="clear" w:color="auto" w:fill="auto"/>
        <w:bidi w:val="0"/>
        <w:spacing w:before="0" w:after="40" w:line="471" w:lineRule="exact"/>
        <w:ind w:left="0" w:right="0" w:firstLine="440"/>
        <w:jc w:val="both"/>
      </w:pPr>
      <w:r>
        <w:rPr>
          <w:color w:val="000000"/>
          <w:spacing w:val="0"/>
          <w:w w:val="100"/>
          <w:position w:val="0"/>
        </w:rPr>
        <w:t>注</w:t>
      </w:r>
      <w:r>
        <w:rPr>
          <w:rFonts w:ascii="Times New Roman" w:eastAsia="Times New Roman" w:hAnsi="Times New Roman" w:cs="Times New Roman"/>
          <w:color w:val="000000"/>
          <w:spacing w:val="0"/>
          <w:w w:val="100"/>
          <w:position w:val="0"/>
        </w:rPr>
        <w:t>8</w:t>
      </w:r>
      <w:r>
        <w:rPr>
          <w:color w:val="000000"/>
          <w:spacing w:val="0"/>
          <w:w w:val="100"/>
          <w:position w:val="0"/>
        </w:rPr>
        <w:t>：根据深圳市人民政府根据《深圳市扶持金融企业发展若干措施》深府规</w:t>
      </w:r>
      <w:r>
        <w:rPr>
          <w:rFonts w:ascii="Times New Roman" w:eastAsia="Times New Roman" w:hAnsi="Times New Roman" w:cs="Times New Roman"/>
          <w:color w:val="000000"/>
          <w:spacing w:val="0"/>
          <w:w w:val="100"/>
          <w:position w:val="0"/>
        </w:rPr>
        <w:t>[2017]2</w:t>
      </w:r>
      <w:r>
        <w:rPr>
          <w:color w:val="000000"/>
          <w:spacing w:val="0"/>
          <w:w w:val="100"/>
          <w:position w:val="0"/>
        </w:rPr>
        <w:t>号 文件，和《</w:t>
      </w:r>
      <w:r>
        <w:rPr>
          <w:color w:val="000000"/>
          <w:spacing w:val="0"/>
          <w:w w:val="100"/>
          <w:position w:val="0"/>
        </w:rPr>
        <w:t>〈</w:t>
      </w:r>
      <w:r>
        <w:rPr>
          <w:color w:val="000000"/>
          <w:spacing w:val="0"/>
          <w:w w:val="100"/>
          <w:position w:val="0"/>
        </w:rPr>
        <w:t>深圳市扶持金融企业发展若干措施</w:t>
      </w:r>
      <w:r>
        <w:rPr>
          <w:color w:val="000000"/>
          <w:spacing w:val="0"/>
          <w:w w:val="100"/>
          <w:position w:val="0"/>
        </w:rPr>
        <w:t>〉</w:t>
      </w:r>
      <w:r>
        <w:rPr>
          <w:color w:val="000000"/>
          <w:spacing w:val="0"/>
          <w:w w:val="100"/>
          <w:position w:val="0"/>
        </w:rPr>
        <w:t>资助项目申报操作指引》（深金规</w:t>
      </w:r>
      <w:r>
        <w:rPr>
          <w:rFonts w:ascii="Times New Roman" w:eastAsia="Times New Roman" w:hAnsi="Times New Roman" w:cs="Times New Roman"/>
          <w:color w:val="000000"/>
          <w:spacing w:val="0"/>
          <w:w w:val="100"/>
          <w:position w:val="0"/>
        </w:rPr>
        <w:t xml:space="preserve">{2018}1 </w:t>
      </w:r>
      <w:r>
        <w:rPr>
          <w:color w:val="000000"/>
          <w:spacing w:val="0"/>
          <w:w w:val="100"/>
          <w:position w:val="0"/>
        </w:rPr>
        <w:t>号）对深圳市金融办受理并审核通过符合条件的证券机构</w:t>
      </w:r>
      <w:r>
        <w:rPr>
          <w:rFonts w:ascii="Times New Roman" w:eastAsia="Times New Roman" w:hAnsi="Times New Roman" w:cs="Times New Roman"/>
          <w:color w:val="000000"/>
          <w:spacing w:val="0"/>
          <w:w w:val="100"/>
          <w:position w:val="0"/>
        </w:rPr>
        <w:t>2017</w:t>
      </w:r>
      <w:r>
        <w:rPr>
          <w:color w:val="000000"/>
          <w:spacing w:val="0"/>
          <w:w w:val="100"/>
          <w:position w:val="0"/>
        </w:rPr>
        <w:t>年度自用办公用房租房补贴， 国盛证券资管公司符合条件并于</w:t>
      </w:r>
      <w:r>
        <w:rPr>
          <w:rFonts w:ascii="Times New Roman" w:eastAsia="Times New Roman" w:hAnsi="Times New Roman" w:cs="Times New Roman"/>
          <w:color w:val="000000"/>
          <w:spacing w:val="0"/>
          <w:w w:val="100"/>
          <w:position w:val="0"/>
        </w:rPr>
        <w:t>2019</w:t>
      </w:r>
      <w:r>
        <w:rPr>
          <w:color w:val="000000"/>
          <w:spacing w:val="0"/>
          <w:w w:val="100"/>
          <w:position w:val="0"/>
        </w:rPr>
        <w:t>年收到补贴款</w:t>
      </w:r>
      <w:r>
        <w:rPr>
          <w:rFonts w:ascii="Times New Roman" w:eastAsia="Times New Roman" w:hAnsi="Times New Roman" w:cs="Times New Roman"/>
          <w:color w:val="000000"/>
          <w:spacing w:val="0"/>
          <w:w w:val="100"/>
          <w:position w:val="0"/>
        </w:rPr>
        <w:t>57.75</w:t>
      </w:r>
      <w:r>
        <w:rPr>
          <w:color w:val="000000"/>
          <w:spacing w:val="0"/>
          <w:w w:val="100"/>
          <w:position w:val="0"/>
        </w:rPr>
        <w:t>万元，根据租赁期限摊销。</w:t>
      </w:r>
    </w:p>
    <w:p>
      <w:pPr>
        <w:pStyle w:val="Style16"/>
        <w:keepNext w:val="0"/>
        <w:keepLines w:val="0"/>
        <w:widowControl w:val="0"/>
        <w:shd w:val="clear" w:color="auto" w:fill="auto"/>
        <w:bidi w:val="0"/>
        <w:spacing w:before="0" w:after="0" w:line="471" w:lineRule="exact"/>
        <w:ind w:left="0" w:right="0" w:firstLine="440"/>
        <w:jc w:val="left"/>
      </w:pPr>
      <w:r>
        <w:rPr>
          <w:color w:val="000000"/>
          <w:spacing w:val="0"/>
          <w:w w:val="100"/>
          <w:position w:val="0"/>
        </w:rPr>
        <w:t>注</w:t>
      </w:r>
      <w:r>
        <w:rPr>
          <w:rFonts w:ascii="Times New Roman" w:eastAsia="Times New Roman" w:hAnsi="Times New Roman" w:cs="Times New Roman"/>
          <w:color w:val="000000"/>
          <w:spacing w:val="0"/>
          <w:w w:val="100"/>
          <w:position w:val="0"/>
        </w:rPr>
        <w:t>9</w:t>
      </w:r>
      <w:r>
        <w:rPr>
          <w:color w:val="000000"/>
          <w:spacing w:val="0"/>
          <w:w w:val="100"/>
          <w:position w:val="0"/>
        </w:rPr>
        <w:t>：根据《苏州工业园区管委会关于推进金融机构持续聚集的若干意见》（苏园管（</w:t>
      </w:r>
      <w:r>
        <w:rPr>
          <w:rFonts w:ascii="Times New Roman" w:eastAsia="Times New Roman" w:hAnsi="Times New Roman" w:cs="Times New Roman"/>
          <w:color w:val="000000"/>
          <w:spacing w:val="0"/>
          <w:w w:val="100"/>
          <w:position w:val="0"/>
        </w:rPr>
        <w:t>2014</w:t>
      </w:r>
      <w:r>
        <w:rPr>
          <w:color w:val="000000"/>
          <w:spacing w:val="0"/>
          <w:w w:val="100"/>
          <w:position w:val="0"/>
        </w:rPr>
        <w:t>）</w:t>
      </w:r>
    </w:p>
    <w:p>
      <w:pPr>
        <w:pStyle w:val="Style16"/>
        <w:keepNext w:val="0"/>
        <w:keepLines w:val="0"/>
        <w:widowControl w:val="0"/>
        <w:shd w:val="clear" w:color="auto" w:fill="auto"/>
        <w:bidi w:val="0"/>
        <w:spacing w:before="0" w:after="40" w:line="485" w:lineRule="exact"/>
        <w:ind w:left="0" w:right="0" w:firstLine="0"/>
        <w:jc w:val="both"/>
      </w:pPr>
      <w:r>
        <w:rPr>
          <w:rFonts w:ascii="Times New Roman" w:eastAsia="Times New Roman" w:hAnsi="Times New Roman" w:cs="Times New Roman"/>
          <w:color w:val="000000"/>
          <w:spacing w:val="0"/>
          <w:w w:val="100"/>
          <w:position w:val="0"/>
        </w:rPr>
        <w:t>67</w:t>
      </w:r>
      <w:r>
        <w:rPr>
          <w:color w:val="000000"/>
          <w:spacing w:val="0"/>
          <w:w w:val="100"/>
          <w:position w:val="0"/>
        </w:rPr>
        <w:t>号），</w:t>
      </w:r>
      <w:r>
        <w:rPr>
          <w:rFonts w:ascii="Times New Roman" w:eastAsia="Times New Roman" w:hAnsi="Times New Roman" w:cs="Times New Roman"/>
          <w:color w:val="000000"/>
          <w:spacing w:val="0"/>
          <w:w w:val="100"/>
          <w:position w:val="0"/>
        </w:rPr>
        <w:t>2020</w:t>
      </w:r>
      <w:r>
        <w:rPr>
          <w:color w:val="000000"/>
          <w:spacing w:val="0"/>
          <w:w w:val="100"/>
          <w:position w:val="0"/>
        </w:rPr>
        <w:t>年收到苏州工业园区管委会给予的金融机构房租补贴</w:t>
      </w:r>
      <w:r>
        <w:rPr>
          <w:rFonts w:ascii="Times New Roman" w:eastAsia="Times New Roman" w:hAnsi="Times New Roman" w:cs="Times New Roman"/>
          <w:color w:val="000000"/>
          <w:spacing w:val="0"/>
          <w:w w:val="100"/>
          <w:position w:val="0"/>
        </w:rPr>
        <w:t>7</w:t>
      </w:r>
      <w:r>
        <w:rPr>
          <w:color w:val="000000"/>
          <w:spacing w:val="0"/>
          <w:w w:val="100"/>
          <w:position w:val="0"/>
        </w:rPr>
        <w:t>.</w:t>
      </w:r>
      <w:r>
        <w:rPr>
          <w:rFonts w:ascii="Times New Roman" w:eastAsia="Times New Roman" w:hAnsi="Times New Roman" w:cs="Times New Roman"/>
          <w:color w:val="000000"/>
          <w:spacing w:val="0"/>
          <w:w w:val="100"/>
          <w:position w:val="0"/>
        </w:rPr>
        <w:t>6</w:t>
      </w:r>
      <w:r>
        <w:rPr>
          <w:color w:val="000000"/>
          <w:spacing w:val="0"/>
          <w:w w:val="100"/>
          <w:position w:val="0"/>
        </w:rPr>
        <w:t>万元，由于该补助 设置了退回条款，故暂未摊销。</w:t>
      </w:r>
      <w:r>
        <w:br w:type="page"/>
      </w:r>
    </w:p>
    <w:p>
      <w:pPr>
        <w:pStyle w:val="Style16"/>
        <w:keepNext w:val="0"/>
        <w:keepLines w:val="0"/>
        <w:widowControl w:val="0"/>
        <w:shd w:val="clear" w:color="auto" w:fill="auto"/>
        <w:bidi w:val="0"/>
        <w:spacing w:before="0" w:after="540" w:line="413" w:lineRule="exact"/>
        <w:ind w:left="0" w:right="0" w:firstLine="480"/>
        <w:jc w:val="both"/>
      </w:pPr>
      <w:r>
        <w:rPr>
          <w:color w:val="000000"/>
          <w:spacing w:val="0"/>
          <w:w w:val="100"/>
          <w:position w:val="0"/>
        </w:rPr>
        <w:t>注</w:t>
      </w:r>
      <w:r>
        <w:rPr>
          <w:rFonts w:ascii="Times New Roman" w:eastAsia="Times New Roman" w:hAnsi="Times New Roman" w:cs="Times New Roman"/>
          <w:color w:val="000000"/>
          <w:spacing w:val="0"/>
          <w:w w:val="100"/>
          <w:position w:val="0"/>
        </w:rPr>
        <w:t>10</w:t>
      </w:r>
      <w:r>
        <w:rPr>
          <w:color w:val="000000"/>
          <w:spacing w:val="0"/>
          <w:w w:val="100"/>
          <w:position w:val="0"/>
        </w:rPr>
        <w:t>:根据《佛山市南海区关于印发南海区加快金融业发展扶持办法的通知》，佛山市 南海区金融业发展办公室给与进驻奖励</w:t>
      </w:r>
      <w:r>
        <w:rPr>
          <w:rFonts w:ascii="Times New Roman" w:eastAsia="Times New Roman" w:hAnsi="Times New Roman" w:cs="Times New Roman"/>
          <w:color w:val="000000"/>
          <w:spacing w:val="0"/>
          <w:w w:val="100"/>
          <w:position w:val="0"/>
        </w:rPr>
        <w:t>300</w:t>
      </w:r>
      <w:r>
        <w:rPr>
          <w:rFonts w:ascii="Arial Narrow" w:eastAsia="Arial Narrow" w:hAnsi="Arial Narrow" w:cs="Arial Narrow"/>
          <w:color w:val="000000"/>
          <w:spacing w:val="0"/>
          <w:w w:val="100"/>
          <w:position w:val="0"/>
        </w:rPr>
        <w:t>.</w:t>
      </w:r>
      <w:r>
        <w:rPr>
          <w:rFonts w:ascii="Times New Roman" w:eastAsia="Times New Roman" w:hAnsi="Times New Roman" w:cs="Times New Roman"/>
          <w:color w:val="000000"/>
          <w:spacing w:val="0"/>
          <w:w w:val="100"/>
          <w:position w:val="0"/>
        </w:rPr>
        <w:t>00</w:t>
      </w:r>
      <w:r>
        <w:rPr>
          <w:color w:val="000000"/>
          <w:spacing w:val="0"/>
          <w:w w:val="100"/>
          <w:position w:val="0"/>
        </w:rPr>
        <w:t>万元，由于该补助设置了退回条款，故暂未 摊销。</w:t>
      </w:r>
    </w:p>
    <w:p>
      <w:pPr>
        <w:pStyle w:val="Style37"/>
        <w:keepNext/>
        <w:keepLines/>
        <w:widowControl w:val="0"/>
        <w:shd w:val="clear" w:color="auto" w:fill="auto"/>
        <w:bidi w:val="0"/>
        <w:spacing w:before="0" w:after="180" w:line="240" w:lineRule="auto"/>
        <w:ind w:left="0" w:right="0" w:firstLine="480"/>
        <w:jc w:val="both"/>
      </w:pPr>
      <w:bookmarkStart w:id="1474" w:name="bookmark1474"/>
      <w:bookmarkStart w:id="1475" w:name="bookmark1475"/>
      <w:bookmarkStart w:id="1476" w:name="bookmark1476"/>
      <w:r>
        <w:rPr>
          <w:color w:val="000000"/>
          <w:spacing w:val="0"/>
          <w:w w:val="100"/>
          <w:position w:val="0"/>
        </w:rPr>
        <w:t>注释</w:t>
      </w:r>
      <w:r>
        <w:rPr>
          <w:rFonts w:ascii="Times New Roman" w:eastAsia="Times New Roman" w:hAnsi="Times New Roman" w:cs="Times New Roman"/>
          <w:color w:val="000000"/>
          <w:spacing w:val="0"/>
          <w:w w:val="100"/>
          <w:position w:val="0"/>
        </w:rPr>
        <w:t>41.</w:t>
      </w:r>
      <w:r>
        <w:rPr>
          <w:color w:val="000000"/>
          <w:spacing w:val="0"/>
          <w:w w:val="100"/>
          <w:position w:val="0"/>
        </w:rPr>
        <w:t>股本</w:t>
      </w:r>
      <w:bookmarkEnd w:id="1474"/>
      <w:bookmarkEnd w:id="1475"/>
      <w:bookmarkEnd w:id="1476"/>
    </w:p>
    <w:tbl>
      <w:tblPr>
        <w:tblOverlap w:val="never"/>
        <w:jc w:val="center"/>
        <w:tblLayout w:type="fixed"/>
      </w:tblPr>
      <w:tblGrid>
        <w:gridCol w:w="1051"/>
        <w:gridCol w:w="1560"/>
        <w:gridCol w:w="994"/>
        <w:gridCol w:w="706"/>
        <w:gridCol w:w="998"/>
        <w:gridCol w:w="706"/>
        <w:gridCol w:w="854"/>
        <w:gridCol w:w="1550"/>
      </w:tblGrid>
      <w:tr>
        <w:trPr>
          <w:trHeight w:val="442"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项目</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本期变动增（+）减</w:t>
            </w:r>
            <w:r>
              <w:rPr>
                <w:color w:val="000000"/>
                <w:spacing w:val="0"/>
                <w:w w:val="100"/>
                <w:position w:val="0"/>
                <w:sz w:val="18"/>
                <w:szCs w:val="18"/>
              </w:rPr>
              <w:t>（-）</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期末余额</w:t>
            </w:r>
          </w:p>
        </w:tc>
      </w:tr>
      <w:tr>
        <w:trPr>
          <w:trHeight w:val="418"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发行新股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公积金转股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小计</w:t>
            </w:r>
          </w:p>
        </w:tc>
        <w:tc>
          <w:tcPr>
            <w:vMerge/>
            <w:tcBorders>
              <w:left w:val="single" w:sz="4"/>
            </w:tcBorders>
            <w:shd w:val="clear" w:color="auto" w:fill="FFFFFF"/>
            <w:vAlign w:val="center"/>
          </w:tcPr>
          <w:p>
            <w:pPr/>
          </w:p>
        </w:tc>
      </w:tr>
      <w:tr>
        <w:trPr>
          <w:trHeight w:val="44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股份总额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935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084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653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935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084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653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r>
    </w:tbl>
    <w:p>
      <w:pPr>
        <w:widowControl w:val="0"/>
        <w:spacing w:after="439" w:line="1" w:lineRule="exact"/>
      </w:pPr>
    </w:p>
    <w:p>
      <w:pPr>
        <w:pStyle w:val="Style37"/>
        <w:keepNext/>
        <w:keepLines/>
        <w:widowControl w:val="0"/>
        <w:shd w:val="clear" w:color="auto" w:fill="auto"/>
        <w:bidi w:val="0"/>
        <w:spacing w:before="0" w:after="180" w:line="240" w:lineRule="auto"/>
        <w:ind w:left="0" w:right="0" w:firstLine="480"/>
        <w:jc w:val="both"/>
      </w:pPr>
      <w:bookmarkStart w:id="1477" w:name="bookmark1477"/>
      <w:bookmarkStart w:id="1478" w:name="bookmark1478"/>
      <w:bookmarkStart w:id="1479" w:name="bookmark1479"/>
      <w:r>
        <w:rPr>
          <w:color w:val="000000"/>
          <w:spacing w:val="0"/>
          <w:w w:val="100"/>
          <w:position w:val="0"/>
        </w:rPr>
        <w:t>注释</w:t>
      </w:r>
      <w:r>
        <w:rPr>
          <w:rFonts w:ascii="Times New Roman" w:eastAsia="Times New Roman" w:hAnsi="Times New Roman" w:cs="Times New Roman"/>
          <w:color w:val="000000"/>
          <w:spacing w:val="0"/>
          <w:w w:val="100"/>
          <w:position w:val="0"/>
        </w:rPr>
        <w:t>42.</w:t>
      </w:r>
      <w:r>
        <w:rPr>
          <w:color w:val="000000"/>
          <w:spacing w:val="0"/>
          <w:w w:val="100"/>
          <w:position w:val="0"/>
        </w:rPr>
        <w:t>资本公积</w:t>
      </w:r>
      <w:bookmarkEnd w:id="1477"/>
      <w:bookmarkEnd w:id="1478"/>
      <w:bookmarkEnd w:id="1479"/>
    </w:p>
    <w:tbl>
      <w:tblPr>
        <w:tblOverlap w:val="never"/>
        <w:jc w:val="center"/>
        <w:tblLayout w:type="fixed"/>
      </w:tblPr>
      <w:tblGrid>
        <w:gridCol w:w="2568"/>
        <w:gridCol w:w="1546"/>
        <w:gridCol w:w="1032"/>
        <w:gridCol w:w="1450"/>
        <w:gridCol w:w="1810"/>
      </w:tblGrid>
      <w:tr>
        <w:trPr>
          <w:trHeight w:val="42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本期增加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本期减少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期末余额</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资本溢价（股本溢价）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861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090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306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657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860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640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648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91</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）投资者投入的资本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855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586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507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855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586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507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w:t>
            </w:r>
          </w:p>
        </w:tc>
      </w:tr>
      <w:tr>
        <w:trPr>
          <w:trHeight w:val="71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326" w:lineRule="exact"/>
              <w:ind w:left="14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）同一控制下企业合并的 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585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017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585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017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45</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）购买子公司少数股权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918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781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657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469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124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26</w:t>
            </w:r>
          </w:p>
        </w:tc>
      </w:tr>
      <w:tr>
        <w:trPr>
          <w:trHeight w:val="44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其他资本公积（注）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70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078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942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129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639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962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767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110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08</w:t>
            </w:r>
          </w:p>
        </w:tc>
      </w:tr>
      <w:tr>
        <w:trPr>
          <w:trHeight w:val="432"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931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169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248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129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089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619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884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407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758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99</w:t>
            </w:r>
          </w:p>
        </w:tc>
      </w:tr>
    </w:tbl>
    <w:p>
      <w:pPr>
        <w:pStyle w:val="Style16"/>
        <w:keepNext w:val="0"/>
        <w:keepLines w:val="0"/>
        <w:widowControl w:val="0"/>
        <w:shd w:val="clear" w:color="auto" w:fill="auto"/>
        <w:bidi w:val="0"/>
        <w:spacing w:before="0" w:after="300" w:line="413" w:lineRule="exact"/>
        <w:ind w:left="0" w:right="0" w:firstLine="480"/>
        <w:jc w:val="both"/>
        <w:sectPr>
          <w:headerReference w:type="default" r:id="rId51"/>
          <w:footerReference w:type="default" r:id="rId52"/>
          <w:footnotePr>
            <w:pos w:val="pageBottom"/>
            <w:numFmt w:val="decimal"/>
            <w:numRestart w:val="continuous"/>
          </w:footnotePr>
          <w:pgSz w:w="11900" w:h="16840"/>
          <w:pgMar w:top="2007" w:right="1657" w:bottom="1772" w:left="1703" w:header="0" w:footer="3" w:gutter="0"/>
          <w:cols w:space="720"/>
          <w:noEndnote/>
          <w:rtlGutter w:val="0"/>
          <w:docGrid w:linePitch="360"/>
        </w:sectPr>
      </w:pPr>
      <w:r>
        <w:rPr>
          <w:color w:val="000000"/>
          <w:spacing w:val="0"/>
          <w:w w:val="100"/>
          <w:position w:val="0"/>
        </w:rPr>
        <w:t>注：因前期差错更正调增期初资本公积</w:t>
      </w:r>
      <w:r>
        <w:rPr>
          <w:rFonts w:ascii="Times New Roman" w:eastAsia="Times New Roman" w:hAnsi="Times New Roman" w:cs="Times New Roman"/>
          <w:color w:val="000000"/>
          <w:spacing w:val="0"/>
          <w:w w:val="100"/>
          <w:position w:val="0"/>
        </w:rPr>
        <w:t>69</w:t>
      </w:r>
      <w:r>
        <w:rPr>
          <w:rFonts w:ascii="Arial Narrow" w:eastAsia="Arial Narrow" w:hAnsi="Arial Narrow" w:cs="Arial Narrow"/>
          <w:color w:val="000000"/>
          <w:spacing w:val="0"/>
          <w:w w:val="100"/>
          <w:position w:val="0"/>
        </w:rPr>
        <w:t>,</w:t>
      </w:r>
      <w:r>
        <w:rPr>
          <w:rFonts w:ascii="Times New Roman" w:eastAsia="Times New Roman" w:hAnsi="Times New Roman" w:cs="Times New Roman"/>
          <w:color w:val="000000"/>
          <w:spacing w:val="0"/>
          <w:w w:val="100"/>
          <w:position w:val="0"/>
        </w:rPr>
        <w:t>342</w:t>
      </w:r>
      <w:r>
        <w:rPr>
          <w:rFonts w:ascii="Arial Narrow" w:eastAsia="Arial Narrow" w:hAnsi="Arial Narrow" w:cs="Arial Narrow"/>
          <w:color w:val="000000"/>
          <w:spacing w:val="0"/>
          <w:w w:val="100"/>
          <w:position w:val="0"/>
        </w:rPr>
        <w:t>.</w:t>
      </w:r>
      <w:r>
        <w:rPr>
          <w:rFonts w:ascii="Times New Roman" w:eastAsia="Times New Roman" w:hAnsi="Times New Roman" w:cs="Times New Roman"/>
          <w:color w:val="000000"/>
          <w:spacing w:val="0"/>
          <w:w w:val="100"/>
          <w:position w:val="0"/>
        </w:rPr>
        <w:t>254</w:t>
      </w:r>
      <w:r>
        <w:rPr>
          <w:rFonts w:ascii="Arial Narrow" w:eastAsia="Arial Narrow" w:hAnsi="Arial Narrow" w:cs="Arial Narrow"/>
          <w:color w:val="000000"/>
          <w:spacing w:val="0"/>
          <w:w w:val="100"/>
          <w:position w:val="0"/>
        </w:rPr>
        <w:t>.</w:t>
      </w:r>
      <w:r>
        <w:rPr>
          <w:rFonts w:ascii="Times New Roman" w:eastAsia="Times New Roman" w:hAnsi="Times New Roman" w:cs="Times New Roman"/>
          <w:color w:val="000000"/>
          <w:spacing w:val="0"/>
          <w:w w:val="100"/>
          <w:position w:val="0"/>
        </w:rPr>
        <w:t>59</w:t>
      </w:r>
      <w:r>
        <w:rPr>
          <w:color w:val="000000"/>
          <w:spacing w:val="0"/>
          <w:w w:val="100"/>
          <w:position w:val="0"/>
        </w:rPr>
        <w:t>元，详见附注十五、（一）；本期 减少主要来源于联营公司</w:t>
      </w:r>
      <w:r>
        <w:rPr>
          <w:rFonts w:ascii="Arial Narrow" w:eastAsia="Arial Narrow" w:hAnsi="Arial Narrow" w:cs="Arial Narrow"/>
          <w:color w:val="000000"/>
          <w:spacing w:val="0"/>
          <w:w w:val="100"/>
          <w:position w:val="0"/>
        </w:rPr>
        <w:t>QD</w:t>
      </w:r>
      <w:r>
        <w:rPr>
          <w:color w:val="000000"/>
          <w:spacing w:val="0"/>
          <w:w w:val="100"/>
          <w:position w:val="0"/>
        </w:rPr>
        <w:t>报告期内的其他权益变动。</w:t>
      </w:r>
    </w:p>
    <w:p>
      <w:pPr>
        <w:pStyle w:val="Style37"/>
        <w:keepNext/>
        <w:keepLines/>
        <w:widowControl w:val="0"/>
        <w:shd w:val="clear" w:color="auto" w:fill="auto"/>
        <w:bidi w:val="0"/>
        <w:spacing w:before="0" w:after="140" w:line="240" w:lineRule="auto"/>
        <w:ind w:left="0" w:right="0" w:firstLine="480"/>
        <w:jc w:val="left"/>
      </w:pPr>
      <w:bookmarkStart w:id="1480" w:name="bookmark1480"/>
      <w:bookmarkStart w:id="1481" w:name="bookmark1481"/>
      <w:bookmarkStart w:id="1482" w:name="bookmark1482"/>
      <w:r>
        <w:rPr>
          <w:color w:val="000000"/>
          <w:spacing w:val="0"/>
          <w:w w:val="100"/>
          <w:position w:val="0"/>
        </w:rPr>
        <w:t>注释</w:t>
      </w:r>
      <w:r>
        <w:rPr>
          <w:rFonts w:ascii="Times New Roman" w:eastAsia="Times New Roman" w:hAnsi="Times New Roman" w:cs="Times New Roman"/>
          <w:color w:val="000000"/>
          <w:spacing w:val="0"/>
          <w:w w:val="100"/>
          <w:position w:val="0"/>
        </w:rPr>
        <w:t>43.</w:t>
      </w:r>
      <w:r>
        <w:rPr>
          <w:color w:val="000000"/>
          <w:spacing w:val="0"/>
          <w:w w:val="100"/>
          <w:position w:val="0"/>
        </w:rPr>
        <w:t>其他综合收益</w:t>
      </w:r>
      <w:bookmarkEnd w:id="1480"/>
      <w:bookmarkEnd w:id="1481"/>
      <w:bookmarkEnd w:id="1482"/>
    </w:p>
    <w:tbl>
      <w:tblPr>
        <w:tblOverlap w:val="never"/>
        <w:jc w:val="center"/>
        <w:tblLayout w:type="fixed"/>
      </w:tblPr>
      <w:tblGrid>
        <w:gridCol w:w="3178"/>
        <w:gridCol w:w="1133"/>
        <w:gridCol w:w="1138"/>
        <w:gridCol w:w="1411"/>
        <w:gridCol w:w="1426"/>
        <w:gridCol w:w="1272"/>
        <w:gridCol w:w="1282"/>
        <w:gridCol w:w="1128"/>
        <w:gridCol w:w="1310"/>
      </w:tblGrid>
      <w:tr>
        <w:trPr>
          <w:trHeight w:val="442"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期初余额</w:t>
            </w:r>
          </w:p>
        </w:tc>
        <w:tc>
          <w:tcPr>
            <w:gridSpan w:val="6"/>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本期金额</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期末余额</w:t>
            </w:r>
          </w:p>
        </w:tc>
      </w:tr>
      <w:tr>
        <w:trPr>
          <w:trHeight w:val="1042"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本期所得税前</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发生额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8"/>
                <w:szCs w:val="18"/>
              </w:rPr>
              <w:t>减：前期计入其他 综合收益当期转 入损益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8"/>
                <w:szCs w:val="18"/>
              </w:rPr>
              <w:t>减：前期计入其他 综合收益当期转 入留存收益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税后归属于母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税后归属于少</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数股东</w:t>
            </w:r>
          </w:p>
        </w:tc>
        <w:tc>
          <w:tcPr>
            <w:vMerge/>
            <w:tcBorders>
              <w:left w:val="single" w:sz="4"/>
            </w:tcBorders>
            <w:shd w:val="clear" w:color="auto" w:fill="FFFFFF"/>
            <w:vAlign w:val="center"/>
          </w:tcPr>
          <w:p>
            <w:pPr/>
          </w:p>
        </w:tc>
      </w:tr>
      <w:tr>
        <w:trPr>
          <w:trHeight w:val="47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.将重分类进损益的其他综合收益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273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564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295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397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320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459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766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352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741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289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467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725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55</w:t>
            </w:r>
          </w:p>
        </w:tc>
      </w:tr>
      <w:tr>
        <w:trPr>
          <w:trHeight w:val="73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其中：权益法下可转损益的其他综合收</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u w:val="single"/>
              </w:rPr>
              <w:t>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381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717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920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949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728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962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191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987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573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704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90</w:t>
            </w:r>
          </w:p>
        </w:tc>
      </w:tr>
      <w:tr>
        <w:trPr>
          <w:trHeight w:val="47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其他债权投资公允价值变动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221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249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065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408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598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996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766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352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898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052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119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302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04</w:t>
            </w:r>
          </w:p>
        </w:tc>
      </w:tr>
      <w:tr>
        <w:trPr>
          <w:trHeight w:val="73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600"/>
              <w:jc w:val="left"/>
              <w:rPr>
                <w:sz w:val="18"/>
                <w:szCs w:val="18"/>
              </w:rPr>
            </w:pPr>
            <w:r>
              <w:rPr>
                <w:color w:val="000000"/>
                <w:spacing w:val="0"/>
                <w:w w:val="100"/>
                <w:position w:val="0"/>
                <w:sz w:val="18"/>
                <w:szCs w:val="18"/>
              </w:rPr>
              <w:t>金融资产重分类计入其他综合收 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其他债权投资信用减值准备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288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689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247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601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247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601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088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26</w:t>
            </w:r>
          </w:p>
        </w:tc>
      </w:tr>
      <w:tr>
        <w:trPr>
          <w:trHeight w:val="73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600"/>
              <w:jc w:val="left"/>
              <w:rPr>
                <w:sz w:val="18"/>
                <w:szCs w:val="18"/>
              </w:rPr>
            </w:pPr>
            <w:r>
              <w:rPr>
                <w:color w:val="000000"/>
                <w:spacing w:val="0"/>
                <w:w w:val="100"/>
                <w:position w:val="0"/>
                <w:sz w:val="18"/>
                <w:szCs w:val="18"/>
              </w:rPr>
              <w:t>现金流量套期储备（现金流量套 期损益的有效部分）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外币财务报表折算差额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145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342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192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255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498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199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753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054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410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95</w:t>
            </w:r>
          </w:p>
        </w:tc>
      </w:tr>
      <w:tr>
        <w:trPr>
          <w:trHeight w:val="451"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其他综合收益合计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273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564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295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397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320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459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766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352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741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289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467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725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55</w:t>
            </w:r>
          </w:p>
        </w:tc>
      </w:tr>
    </w:tbl>
    <w:p>
      <w:pPr>
        <w:pStyle w:val="Style16"/>
        <w:keepNext w:val="0"/>
        <w:keepLines w:val="0"/>
        <w:widowControl w:val="0"/>
        <w:shd w:val="clear" w:color="auto" w:fill="auto"/>
        <w:bidi w:val="0"/>
        <w:spacing w:before="0" w:after="80" w:line="408" w:lineRule="exact"/>
        <w:ind w:left="0" w:right="0" w:firstLine="480"/>
        <w:jc w:val="left"/>
        <w:sectPr>
          <w:headerReference w:type="default" r:id="rId53"/>
          <w:footerReference w:type="default" r:id="rId54"/>
          <w:footnotePr>
            <w:pos w:val="pageBottom"/>
            <w:numFmt w:val="decimal"/>
            <w:numRestart w:val="continuous"/>
          </w:footnotePr>
          <w:pgSz w:w="16840" w:h="11900" w:orient="landscape"/>
          <w:pgMar w:top="2067" w:right="2127" w:bottom="2067" w:left="1383" w:header="0" w:footer="3" w:gutter="0"/>
          <w:cols w:space="720"/>
          <w:noEndnote/>
          <w:rtlGutter w:val="0"/>
          <w:docGrid w:linePitch="360"/>
        </w:sectPr>
      </w:pPr>
      <w:r>
        <w:rPr>
          <w:color w:val="000000"/>
          <w:spacing w:val="0"/>
          <w:w w:val="100"/>
          <w:position w:val="0"/>
        </w:rPr>
        <w:t>注：由于前期会计差错更正，分别影响其他综合收益期初余额</w:t>
      </w:r>
      <w:r>
        <w:rPr>
          <w:rFonts w:ascii="Times New Roman" w:eastAsia="Times New Roman" w:hAnsi="Times New Roman" w:cs="Times New Roman"/>
          <w:color w:val="000000"/>
          <w:spacing w:val="0"/>
          <w:w w:val="100"/>
          <w:position w:val="0"/>
        </w:rPr>
        <w:t>-10,649,490.60</w:t>
      </w:r>
      <w:r>
        <w:rPr>
          <w:color w:val="000000"/>
          <w:spacing w:val="0"/>
          <w:w w:val="100"/>
          <w:position w:val="0"/>
        </w:rPr>
        <w:t>元，其中权益法下可转损益的其他综合收益</w:t>
      </w:r>
      <w:r>
        <w:rPr>
          <w:rFonts w:ascii="Times New Roman" w:eastAsia="Times New Roman" w:hAnsi="Times New Roman" w:cs="Times New Roman"/>
          <w:color w:val="000000"/>
          <w:spacing w:val="0"/>
          <w:w w:val="100"/>
          <w:position w:val="0"/>
        </w:rPr>
        <w:t>-652,524.94</w:t>
      </w:r>
      <w:r>
        <w:rPr>
          <w:color w:val="000000"/>
          <w:spacing w:val="0"/>
          <w:w w:val="100"/>
          <w:position w:val="0"/>
        </w:rPr>
        <w:t>元和外币 财务报表折算差额</w:t>
      </w:r>
      <w:r>
        <w:rPr>
          <w:rFonts w:ascii="Times New Roman" w:eastAsia="Times New Roman" w:hAnsi="Times New Roman" w:cs="Times New Roman"/>
          <w:color w:val="000000"/>
          <w:spacing w:val="0"/>
          <w:w w:val="100"/>
          <w:position w:val="0"/>
        </w:rPr>
        <w:t>-9,996,965.66</w:t>
      </w:r>
      <w:r>
        <w:rPr>
          <w:color w:val="000000"/>
          <w:spacing w:val="0"/>
          <w:w w:val="100"/>
          <w:position w:val="0"/>
        </w:rPr>
        <w:t>元，详见附注十五、（一）。</w:t>
      </w:r>
    </w:p>
    <w:p>
      <w:pPr>
        <w:pStyle w:val="Style37"/>
        <w:keepNext/>
        <w:keepLines/>
        <w:widowControl w:val="0"/>
        <w:shd w:val="clear" w:color="auto" w:fill="auto"/>
        <w:bidi w:val="0"/>
        <w:spacing w:before="540" w:after="140" w:line="240" w:lineRule="auto"/>
        <w:ind w:left="0" w:right="0" w:firstLine="460"/>
        <w:jc w:val="left"/>
      </w:pPr>
      <w:bookmarkStart w:id="1483" w:name="bookmark1483"/>
      <w:bookmarkStart w:id="1484" w:name="bookmark1484"/>
      <w:bookmarkStart w:id="1485" w:name="bookmark1485"/>
      <w:r>
        <w:rPr>
          <w:color w:val="000000"/>
          <w:spacing w:val="0"/>
          <w:w w:val="100"/>
          <w:position w:val="0"/>
        </w:rPr>
        <w:t>注释</w:t>
      </w:r>
      <w:r>
        <w:rPr>
          <w:rFonts w:ascii="Times New Roman" w:eastAsia="Times New Roman" w:hAnsi="Times New Roman" w:cs="Times New Roman"/>
          <w:color w:val="000000"/>
          <w:spacing w:val="0"/>
          <w:w w:val="100"/>
          <w:position w:val="0"/>
        </w:rPr>
        <w:t>44.</w:t>
      </w:r>
      <w:r>
        <w:rPr>
          <w:color w:val="000000"/>
          <w:spacing w:val="0"/>
          <w:w w:val="100"/>
          <w:position w:val="0"/>
        </w:rPr>
        <w:t>盈余公积</w:t>
      </w:r>
      <w:bookmarkEnd w:id="1483"/>
      <w:bookmarkEnd w:id="1484"/>
      <w:bookmarkEnd w:id="1485"/>
    </w:p>
    <w:tbl>
      <w:tblPr>
        <w:tblOverlap w:val="never"/>
        <w:jc w:val="center"/>
        <w:tblLayout w:type="fixed"/>
      </w:tblPr>
      <w:tblGrid>
        <w:gridCol w:w="1949"/>
        <w:gridCol w:w="1709"/>
        <w:gridCol w:w="1493"/>
        <w:gridCol w:w="1608"/>
        <w:gridCol w:w="1642"/>
      </w:tblGrid>
      <w:tr>
        <w:trPr>
          <w:trHeight w:val="37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期末余额</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253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651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253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651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01</w:t>
            </w:r>
          </w:p>
        </w:tc>
      </w:tr>
      <w:tr>
        <w:trPr>
          <w:trHeight w:val="432"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253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651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253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651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01</w:t>
            </w:r>
          </w:p>
        </w:tc>
      </w:tr>
    </w:tbl>
    <w:p>
      <w:pPr>
        <w:widowControl w:val="0"/>
        <w:spacing w:after="439" w:line="1" w:lineRule="exact"/>
      </w:pPr>
    </w:p>
    <w:p>
      <w:pPr>
        <w:pStyle w:val="Style37"/>
        <w:keepNext/>
        <w:keepLines/>
        <w:widowControl w:val="0"/>
        <w:shd w:val="clear" w:color="auto" w:fill="auto"/>
        <w:bidi w:val="0"/>
        <w:spacing w:before="0" w:after="140" w:line="240" w:lineRule="auto"/>
        <w:ind w:left="0" w:right="0" w:firstLine="460"/>
        <w:jc w:val="left"/>
      </w:pPr>
      <w:bookmarkStart w:id="1486" w:name="bookmark1486"/>
      <w:bookmarkStart w:id="1487" w:name="bookmark1487"/>
      <w:bookmarkStart w:id="1488" w:name="bookmark1488"/>
      <w:r>
        <w:rPr>
          <w:color w:val="000000"/>
          <w:spacing w:val="0"/>
          <w:w w:val="100"/>
          <w:position w:val="0"/>
        </w:rPr>
        <w:t>注释</w:t>
      </w:r>
      <w:r>
        <w:rPr>
          <w:rFonts w:ascii="Times New Roman" w:eastAsia="Times New Roman" w:hAnsi="Times New Roman" w:cs="Times New Roman"/>
          <w:color w:val="000000"/>
          <w:spacing w:val="0"/>
          <w:w w:val="100"/>
          <w:position w:val="0"/>
        </w:rPr>
        <w:t xml:space="preserve">45. </w:t>
      </w:r>
      <w:r>
        <w:rPr>
          <w:color w:val="000000"/>
          <w:spacing w:val="0"/>
          <w:w w:val="100"/>
          <w:position w:val="0"/>
        </w:rPr>
        <w:t>一般风险准备</w:t>
      </w:r>
      <w:bookmarkEnd w:id="1486"/>
      <w:bookmarkEnd w:id="1487"/>
      <w:bookmarkEnd w:id="1488"/>
    </w:p>
    <w:tbl>
      <w:tblPr>
        <w:tblOverlap w:val="never"/>
        <w:jc w:val="center"/>
        <w:tblLayout w:type="fixed"/>
      </w:tblPr>
      <w:tblGrid>
        <w:gridCol w:w="2342"/>
        <w:gridCol w:w="1522"/>
        <w:gridCol w:w="1565"/>
        <w:gridCol w:w="1416"/>
        <w:gridCol w:w="1526"/>
      </w:tblGrid>
      <w:tr>
        <w:trPr>
          <w:trHeight w:val="43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本期增加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期末余额</w:t>
            </w:r>
          </w:p>
        </w:tc>
      </w:tr>
      <w:tr>
        <w:trPr>
          <w:trHeight w:val="40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一般风险准备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347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784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553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682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169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901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467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21</w:t>
            </w:r>
          </w:p>
        </w:tc>
      </w:tr>
      <w:tr>
        <w:trPr>
          <w:trHeight w:val="40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交易风险准备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347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784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387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388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169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735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172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66</w:t>
            </w:r>
          </w:p>
        </w:tc>
      </w:tr>
      <w:tr>
        <w:trPr>
          <w:trHeight w:val="437"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308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695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568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941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071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339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636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639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87</w:t>
            </w:r>
          </w:p>
        </w:tc>
      </w:tr>
    </w:tbl>
    <w:p>
      <w:pPr>
        <w:widowControl w:val="0"/>
        <w:spacing w:after="439" w:line="1" w:lineRule="exact"/>
      </w:pPr>
    </w:p>
    <w:p>
      <w:pPr>
        <w:pStyle w:val="Style37"/>
        <w:keepNext/>
        <w:keepLines/>
        <w:widowControl w:val="0"/>
        <w:shd w:val="clear" w:color="auto" w:fill="auto"/>
        <w:bidi w:val="0"/>
        <w:spacing w:before="0" w:after="140" w:line="240" w:lineRule="auto"/>
        <w:ind w:left="0" w:right="0" w:firstLine="460"/>
        <w:jc w:val="left"/>
      </w:pPr>
      <w:bookmarkStart w:id="1489" w:name="bookmark1489"/>
      <w:bookmarkStart w:id="1490" w:name="bookmark1490"/>
      <w:bookmarkStart w:id="1491" w:name="bookmark1491"/>
      <w:r>
        <w:rPr>
          <w:color w:val="000000"/>
          <w:spacing w:val="0"/>
          <w:w w:val="100"/>
          <w:position w:val="0"/>
        </w:rPr>
        <w:t>注释</w:t>
      </w:r>
      <w:r>
        <w:rPr>
          <w:rFonts w:ascii="Times New Roman" w:eastAsia="Times New Roman" w:hAnsi="Times New Roman" w:cs="Times New Roman"/>
          <w:color w:val="000000"/>
          <w:spacing w:val="0"/>
          <w:w w:val="100"/>
          <w:position w:val="0"/>
        </w:rPr>
        <w:t>46.</w:t>
      </w:r>
      <w:r>
        <w:rPr>
          <w:color w:val="000000"/>
          <w:spacing w:val="0"/>
          <w:w w:val="100"/>
          <w:position w:val="0"/>
        </w:rPr>
        <w:t>未分配利润</w:t>
      </w:r>
      <w:bookmarkEnd w:id="1489"/>
      <w:bookmarkEnd w:id="1490"/>
      <w:bookmarkEnd w:id="1491"/>
    </w:p>
    <w:tbl>
      <w:tblPr>
        <w:tblOverlap w:val="never"/>
        <w:jc w:val="center"/>
        <w:tblLayout w:type="fixed"/>
      </w:tblPr>
      <w:tblGrid>
        <w:gridCol w:w="3965"/>
        <w:gridCol w:w="2155"/>
        <w:gridCol w:w="2179"/>
      </w:tblGrid>
      <w:tr>
        <w:trPr>
          <w:trHeight w:val="44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调整前上期末未分配利润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834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197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600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115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330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16</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调整期初未分配利润合计数（调增+,调减</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89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142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769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127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227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608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40</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调整后期初未分配利润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976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967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727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342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938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56</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加：本期归属于母公司所有者的净利润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365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875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868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329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597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60</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减：提取法定盈余公积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提取任意盈余公积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提取一般风险准备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30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941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071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308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695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568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82</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应付普通股股利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其他利润分配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加：盈余公积弥补亏损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设定受益计划变动额结转留存收益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其他综合收益结转留存收益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320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459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79</w:t>
            </w: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所有者权益其他内部结转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期末未分配利润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95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839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568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495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976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967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34</w:t>
            </w:r>
          </w:p>
        </w:tc>
      </w:tr>
    </w:tbl>
    <w:p>
      <w:pPr>
        <w:widowControl w:val="0"/>
        <w:spacing w:after="299" w:line="1" w:lineRule="exact"/>
      </w:pPr>
    </w:p>
    <w:p>
      <w:pPr>
        <w:pStyle w:val="Style16"/>
        <w:keepNext w:val="0"/>
        <w:keepLines w:val="0"/>
        <w:widowControl w:val="0"/>
        <w:shd w:val="clear" w:color="auto" w:fill="auto"/>
        <w:bidi w:val="0"/>
        <w:spacing w:before="0" w:after="140" w:line="240" w:lineRule="auto"/>
        <w:ind w:left="0" w:right="0" w:firstLine="460"/>
        <w:jc w:val="left"/>
      </w:pPr>
      <w:r>
        <w:rPr>
          <w:color w:val="000000"/>
          <w:spacing w:val="0"/>
          <w:w w:val="100"/>
          <w:position w:val="0"/>
        </w:rPr>
        <w:t>注：由于前期会计差错更正，分别影响上期期初未分配利润和本期期初未分配利润</w:t>
      </w:r>
    </w:p>
    <w:p>
      <w:pPr>
        <w:pStyle w:val="Style97"/>
        <w:keepNext w:val="0"/>
        <w:keepLines w:val="0"/>
        <w:widowControl w:val="0"/>
        <w:shd w:val="clear" w:color="auto" w:fill="auto"/>
        <w:bidi w:val="0"/>
        <w:spacing w:before="0" w:after="220" w:line="240" w:lineRule="auto"/>
        <w:ind w:left="0" w:right="0" w:firstLine="0"/>
        <w:jc w:val="left"/>
      </w:pPr>
      <w:r>
        <w:rPr>
          <w:b w:val="0"/>
          <w:bCs w:val="0"/>
          <w:color w:val="000000"/>
          <w:spacing w:val="0"/>
          <w:w w:val="100"/>
          <w:position w:val="0"/>
        </w:rPr>
        <w:t xml:space="preserve">107,019,267.27 </w:t>
      </w:r>
      <w:r>
        <w:rPr>
          <w:rFonts w:ascii="SimSun" w:eastAsia="SimSun" w:hAnsi="SimSun" w:cs="SimSun"/>
          <w:b w:val="0"/>
          <w:bCs w:val="0"/>
          <w:color w:val="000000"/>
          <w:spacing w:val="0"/>
          <w:w w:val="100"/>
          <w:position w:val="0"/>
        </w:rPr>
        <w:t xml:space="preserve">元和 </w:t>
      </w:r>
      <w:r>
        <w:rPr>
          <w:b w:val="0"/>
          <w:bCs w:val="0"/>
          <w:color w:val="000000"/>
          <w:spacing w:val="0"/>
          <w:w w:val="100"/>
          <w:position w:val="0"/>
        </w:rPr>
        <w:t xml:space="preserve">89,142,769.63 </w:t>
      </w:r>
      <w:r>
        <w:rPr>
          <w:rFonts w:ascii="SimSun" w:eastAsia="SimSun" w:hAnsi="SimSun" w:cs="SimSun"/>
          <w:b w:val="0"/>
          <w:bCs w:val="0"/>
          <w:color w:val="000000"/>
          <w:spacing w:val="0"/>
          <w:w w:val="100"/>
          <w:position w:val="0"/>
        </w:rPr>
        <w:t>元，详见附注十五、（一）。</w:t>
      </w:r>
      <w:r>
        <w:br w:type="page"/>
      </w:r>
    </w:p>
    <w:p>
      <w:pPr>
        <w:pStyle w:val="Style37"/>
        <w:keepNext/>
        <w:keepLines/>
        <w:widowControl w:val="0"/>
        <w:shd w:val="clear" w:color="auto" w:fill="auto"/>
        <w:bidi w:val="0"/>
        <w:spacing w:before="0" w:after="120" w:line="240" w:lineRule="auto"/>
        <w:ind w:left="0" w:right="0" w:firstLine="460"/>
        <w:jc w:val="left"/>
      </w:pPr>
      <w:bookmarkStart w:id="1492" w:name="bookmark1492"/>
      <w:bookmarkStart w:id="1493" w:name="bookmark1493"/>
      <w:bookmarkStart w:id="1494" w:name="bookmark1494"/>
      <w:r>
        <w:rPr>
          <w:color w:val="000000"/>
          <w:spacing w:val="0"/>
          <w:w w:val="100"/>
          <w:position w:val="0"/>
        </w:rPr>
        <w:t>注释</w:t>
      </w:r>
      <w:r>
        <w:rPr>
          <w:rFonts w:ascii="Times New Roman" w:eastAsia="Times New Roman" w:hAnsi="Times New Roman" w:cs="Times New Roman"/>
          <w:color w:val="000000"/>
          <w:spacing w:val="0"/>
          <w:w w:val="100"/>
          <w:position w:val="0"/>
        </w:rPr>
        <w:t>47 .</w:t>
      </w:r>
      <w:r>
        <w:rPr>
          <w:color w:val="000000"/>
          <w:spacing w:val="0"/>
          <w:w w:val="100"/>
          <w:position w:val="0"/>
        </w:rPr>
        <w:t>营业总收入</w:t>
      </w:r>
      <w:bookmarkEnd w:id="1492"/>
      <w:bookmarkEnd w:id="1493"/>
      <w:bookmarkEnd w:id="1494"/>
    </w:p>
    <w:tbl>
      <w:tblPr>
        <w:tblOverlap w:val="never"/>
        <w:jc w:val="center"/>
        <w:tblLayout w:type="fixed"/>
      </w:tblPr>
      <w:tblGrid>
        <w:gridCol w:w="3965"/>
        <w:gridCol w:w="2155"/>
        <w:gridCol w:w="2179"/>
      </w:tblGrid>
      <w:tr>
        <w:trPr>
          <w:trHeight w:val="44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主营业务（注）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521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221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668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363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715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32</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137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506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099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061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09</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手续费及佣金收入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412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350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695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264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654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23</w:t>
            </w:r>
          </w:p>
        </w:tc>
      </w:tr>
      <w:tr>
        <w:trPr>
          <w:trHeight w:val="41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其他行业营业收入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033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018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82</w:t>
            </w: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035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350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575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65</w:t>
            </w:r>
          </w:p>
        </w:tc>
      </w:tr>
      <w:tr>
        <w:trPr>
          <w:trHeight w:val="44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985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257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669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714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290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97</w:t>
            </w:r>
          </w:p>
        </w:tc>
      </w:tr>
    </w:tbl>
    <w:p>
      <w:pPr>
        <w:widowControl w:val="0"/>
        <w:spacing w:after="119" w:line="1" w:lineRule="exact"/>
      </w:pPr>
    </w:p>
    <w:p>
      <w:pPr>
        <w:pStyle w:val="Style16"/>
        <w:keepNext w:val="0"/>
        <w:keepLines w:val="0"/>
        <w:widowControl w:val="0"/>
        <w:shd w:val="clear" w:color="auto" w:fill="auto"/>
        <w:bidi w:val="0"/>
        <w:spacing w:before="0" w:after="180" w:line="413" w:lineRule="exact"/>
        <w:ind w:left="0" w:right="0" w:firstLine="460"/>
        <w:jc w:val="left"/>
      </w:pPr>
      <w:r>
        <w:rPr>
          <w:color w:val="000000"/>
          <w:spacing w:val="0"/>
          <w:w w:val="100"/>
          <w:position w:val="0"/>
        </w:rPr>
        <w:t>注：公司营业总收入包括证券行业的利息收入、手续费及佣金收入和其他行业营业收入; 其中利息收入和手续费及佣金收入及相应支出详见注释</w:t>
      </w:r>
      <w:r>
        <w:rPr>
          <w:rFonts w:ascii="Times New Roman" w:eastAsia="Times New Roman" w:hAnsi="Times New Roman" w:cs="Times New Roman"/>
          <w:color w:val="000000"/>
          <w:spacing w:val="0"/>
          <w:w w:val="100"/>
          <w:position w:val="0"/>
        </w:rPr>
        <w:t>48</w:t>
      </w:r>
      <w:r>
        <w:rPr>
          <w:color w:val="000000"/>
          <w:spacing w:val="0"/>
          <w:w w:val="100"/>
          <w:position w:val="0"/>
        </w:rPr>
        <w:t>和注释</w:t>
      </w:r>
      <w:r>
        <w:rPr>
          <w:rFonts w:ascii="Times New Roman" w:eastAsia="Times New Roman" w:hAnsi="Times New Roman" w:cs="Times New Roman"/>
          <w:color w:val="000000"/>
          <w:spacing w:val="0"/>
          <w:w w:val="100"/>
          <w:position w:val="0"/>
        </w:rPr>
        <w:t>49</w:t>
      </w:r>
      <w:r>
        <w:rPr>
          <w:color w:val="000000"/>
          <w:spacing w:val="0"/>
          <w:w w:val="100"/>
          <w:position w:val="0"/>
        </w:rPr>
        <w:t>。</w:t>
      </w:r>
    </w:p>
    <w:p>
      <w:pPr>
        <w:pStyle w:val="Style51"/>
        <w:keepNext/>
        <w:keepLines/>
        <w:widowControl w:val="0"/>
        <w:shd w:val="clear" w:color="auto" w:fill="auto"/>
        <w:bidi w:val="0"/>
        <w:spacing w:before="0" w:after="0" w:line="432" w:lineRule="auto"/>
        <w:ind w:left="0" w:right="0" w:firstLine="460"/>
        <w:jc w:val="left"/>
      </w:pPr>
      <w:bookmarkStart w:id="1495" w:name="bookmark1495"/>
      <w:bookmarkStart w:id="1496" w:name="bookmark1496"/>
      <w:bookmarkStart w:id="1497" w:name="bookmark1497"/>
      <w:r>
        <w:rPr>
          <w:rFonts w:ascii="Times New Roman" w:eastAsia="Times New Roman" w:hAnsi="Times New Roman" w:cs="Times New Roman"/>
          <w:color w:val="000000"/>
          <w:spacing w:val="0"/>
          <w:w w:val="100"/>
          <w:position w:val="0"/>
        </w:rPr>
        <w:t>1</w:t>
      </w:r>
      <w:r>
        <w:rPr>
          <w:color w:val="000000"/>
          <w:spacing w:val="0"/>
          <w:w w:val="100"/>
          <w:position w:val="0"/>
        </w:rPr>
        <w:t>、营业收入和营业成本</w:t>
      </w:r>
      <w:bookmarkEnd w:id="1495"/>
      <w:bookmarkEnd w:id="1496"/>
      <w:bookmarkEnd w:id="1497"/>
    </w:p>
    <w:tbl>
      <w:tblPr>
        <w:tblOverlap w:val="never"/>
        <w:jc w:val="center"/>
        <w:tblLayout w:type="fixed"/>
      </w:tblPr>
      <w:tblGrid>
        <w:gridCol w:w="1670"/>
        <w:gridCol w:w="1882"/>
        <w:gridCol w:w="1790"/>
        <w:gridCol w:w="2021"/>
        <w:gridCol w:w="994"/>
      </w:tblGrid>
      <w:tr>
        <w:trPr>
          <w:trHeight w:val="442"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项目</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437"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成本</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033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018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680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296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464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035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350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575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922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13</w:t>
            </w:r>
          </w:p>
        </w:tc>
      </w:tr>
      <w:tr>
        <w:trPr>
          <w:trHeight w:val="44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497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054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680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296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350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575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922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13</w:t>
            </w:r>
          </w:p>
        </w:tc>
      </w:tr>
    </w:tbl>
    <w:p>
      <w:pPr>
        <w:widowControl w:val="0"/>
        <w:spacing w:after="119" w:line="1" w:lineRule="exact"/>
      </w:pPr>
    </w:p>
    <w:p>
      <w:pPr>
        <w:pStyle w:val="Style51"/>
        <w:keepNext/>
        <w:keepLines/>
        <w:widowControl w:val="0"/>
        <w:shd w:val="clear" w:color="auto" w:fill="auto"/>
        <w:bidi w:val="0"/>
        <w:spacing w:before="0" w:after="120" w:line="240" w:lineRule="auto"/>
        <w:ind w:left="0" w:right="0" w:firstLine="460"/>
        <w:jc w:val="left"/>
      </w:pPr>
      <w:bookmarkStart w:id="1498" w:name="bookmark1498"/>
      <w:bookmarkStart w:id="1499" w:name="bookmark1499"/>
      <w:bookmarkStart w:id="1500" w:name="bookmark1500"/>
      <w:r>
        <w:rPr>
          <w:rFonts w:ascii="Times New Roman" w:eastAsia="Times New Roman" w:hAnsi="Times New Roman" w:cs="Times New Roman"/>
          <w:color w:val="000000"/>
          <w:spacing w:val="0"/>
          <w:w w:val="100"/>
          <w:position w:val="0"/>
        </w:rPr>
        <w:t>2</w:t>
      </w:r>
      <w:r>
        <w:rPr>
          <w:color w:val="000000"/>
          <w:spacing w:val="0"/>
          <w:w w:val="100"/>
          <w:position w:val="0"/>
        </w:rPr>
        <w:t>、营业总收入扣除情况表</w:t>
      </w:r>
      <w:bookmarkEnd w:id="1498"/>
      <w:bookmarkEnd w:id="1499"/>
      <w:bookmarkEnd w:id="1500"/>
    </w:p>
    <w:tbl>
      <w:tblPr>
        <w:tblOverlap w:val="never"/>
        <w:jc w:val="center"/>
        <w:tblLayout w:type="fixed"/>
      </w:tblPr>
      <w:tblGrid>
        <w:gridCol w:w="3581"/>
        <w:gridCol w:w="1594"/>
        <w:gridCol w:w="1589"/>
        <w:gridCol w:w="1622"/>
      </w:tblGrid>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本期发生额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上期发生额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备注</w:t>
            </w:r>
          </w:p>
        </w:tc>
      </w:tr>
      <w:tr>
        <w:trPr>
          <w:trHeight w:val="42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营业总收入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985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257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669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714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290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97</w:t>
            </w: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减：扣除项目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464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035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350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575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65</w:t>
            </w: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与主营业务无关的业务收入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464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035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350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575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65</w:t>
            </w: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不具备商业实质的收入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营业总收入扣除后金额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521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221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668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363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715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32</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439" w:line="1" w:lineRule="exact"/>
      </w:pPr>
    </w:p>
    <w:p>
      <w:pPr>
        <w:pStyle w:val="Style37"/>
        <w:keepNext/>
        <w:keepLines/>
        <w:widowControl w:val="0"/>
        <w:shd w:val="clear" w:color="auto" w:fill="auto"/>
        <w:bidi w:val="0"/>
        <w:spacing w:before="0" w:after="120" w:line="240" w:lineRule="auto"/>
        <w:ind w:left="0" w:right="0" w:firstLine="460"/>
        <w:jc w:val="left"/>
      </w:pPr>
      <w:bookmarkStart w:id="1501" w:name="bookmark1501"/>
      <w:bookmarkStart w:id="1502" w:name="bookmark1502"/>
      <w:bookmarkStart w:id="1503" w:name="bookmark1503"/>
      <w:r>
        <w:rPr>
          <w:color w:val="000000"/>
          <w:spacing w:val="0"/>
          <w:w w:val="100"/>
          <w:position w:val="0"/>
        </w:rPr>
        <w:t>注释</w:t>
      </w:r>
      <w:r>
        <w:rPr>
          <w:rFonts w:ascii="Times New Roman" w:eastAsia="Times New Roman" w:hAnsi="Times New Roman" w:cs="Times New Roman"/>
          <w:color w:val="000000"/>
          <w:spacing w:val="0"/>
          <w:w w:val="100"/>
          <w:position w:val="0"/>
        </w:rPr>
        <w:t>48.</w:t>
      </w:r>
      <w:r>
        <w:rPr>
          <w:color w:val="000000"/>
          <w:spacing w:val="0"/>
          <w:w w:val="100"/>
          <w:position w:val="0"/>
        </w:rPr>
        <w:t>利息净收入</w:t>
      </w:r>
      <w:bookmarkEnd w:id="1501"/>
      <w:bookmarkEnd w:id="1502"/>
      <w:bookmarkEnd w:id="1503"/>
    </w:p>
    <w:tbl>
      <w:tblPr>
        <w:tblOverlap w:val="never"/>
        <w:jc w:val="center"/>
        <w:tblLayout w:type="fixed"/>
      </w:tblPr>
      <w:tblGrid>
        <w:gridCol w:w="4997"/>
        <w:gridCol w:w="1954"/>
        <w:gridCol w:w="1435"/>
      </w:tblGrid>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上期发生额</w:t>
            </w:r>
          </w:p>
        </w:tc>
      </w:tr>
      <w:tr>
        <w:trPr>
          <w:trHeight w:val="42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789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137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506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716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099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061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09</w:t>
            </w:r>
          </w:p>
        </w:tc>
      </w:tr>
      <w:tr>
        <w:trPr>
          <w:trHeight w:val="42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其中：货币资金及结算备付金利息收入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263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074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572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180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715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738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58</w:t>
            </w:r>
          </w:p>
        </w:tc>
      </w:tr>
      <w:tr>
        <w:trPr>
          <w:trHeight w:val="42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拆出资金利息收入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融出资金利息收入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336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156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535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222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809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435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89</w:t>
            </w:r>
          </w:p>
        </w:tc>
      </w:tr>
    </w:tbl>
    <w:p>
      <w:pPr>
        <w:widowControl w:val="0"/>
        <w:spacing w:line="1" w:lineRule="exact"/>
      </w:pPr>
      <w:r>
        <w:br w:type="page"/>
      </w:r>
    </w:p>
    <w:tbl>
      <w:tblPr>
        <w:tblOverlap w:val="never"/>
        <w:jc w:val="center"/>
        <w:tblLayout w:type="fixed"/>
      </w:tblPr>
      <w:tblGrid>
        <w:gridCol w:w="4997"/>
        <w:gridCol w:w="1949"/>
        <w:gridCol w:w="1440"/>
      </w:tblGrid>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买入返售金融资产利息收入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177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147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231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294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220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868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73</w:t>
            </w:r>
          </w:p>
        </w:tc>
      </w:tr>
      <w:tr>
        <w:trPr>
          <w:trHeight w:val="42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其中：约定购回利息收入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股权质押回购利息收入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168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366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589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281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267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492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03</w:t>
            </w:r>
          </w:p>
        </w:tc>
      </w:tr>
      <w:tr>
        <w:trPr>
          <w:trHeight w:val="42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债权投资利息收入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其他债权投资利息收入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759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166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327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867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21</w:t>
            </w:r>
          </w:p>
        </w:tc>
      </w:tr>
      <w:tr>
        <w:trPr>
          <w:trHeight w:val="42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其他按实际利率法计算的金融资产产生的利息收入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150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68</w:t>
            </w:r>
          </w:p>
        </w:tc>
      </w:tr>
      <w:tr>
        <w:trPr>
          <w:trHeight w:val="42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利息支出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318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370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827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408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150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839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66</w:t>
            </w:r>
          </w:p>
        </w:tc>
      </w:tr>
      <w:tr>
        <w:trPr>
          <w:trHeight w:val="42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其中：短期借款利息支出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应付短期融资款利息支出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102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137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899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289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783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43</w:t>
            </w:r>
          </w:p>
        </w:tc>
      </w:tr>
      <w:tr>
        <w:trPr>
          <w:trHeight w:val="42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拆入资金利息支出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618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329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92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536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166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64</w:t>
            </w:r>
          </w:p>
        </w:tc>
      </w:tr>
      <w:tr>
        <w:trPr>
          <w:trHeight w:val="42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其中：转融通利息支出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932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050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252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430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53</w:t>
            </w:r>
          </w:p>
        </w:tc>
      </w:tr>
      <w:tr>
        <w:trPr>
          <w:trHeight w:val="42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卖出回购金融资产款利息支出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342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724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171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512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167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28</w:t>
            </w:r>
          </w:p>
        </w:tc>
      </w:tr>
      <w:tr>
        <w:trPr>
          <w:trHeight w:val="42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其中：报价回购利息支出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代理买卖证券款利息支出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832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324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103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559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56</w:t>
            </w:r>
          </w:p>
        </w:tc>
      </w:tr>
      <w:tr>
        <w:trPr>
          <w:trHeight w:val="42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长期借款利息支出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应付债券利息支出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293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522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810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512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29</w:t>
            </w:r>
          </w:p>
        </w:tc>
      </w:tr>
      <w:tr>
        <w:trPr>
          <w:trHeight w:val="42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其中：次级债券利息支出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其他按实际利率法计算的金融负债产生的利息支出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146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027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898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650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46</w:t>
            </w:r>
          </w:p>
        </w:tc>
      </w:tr>
      <w:tr>
        <w:trPr>
          <w:trHeight w:val="44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利息净收入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470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766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679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307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948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221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43</w:t>
            </w:r>
          </w:p>
        </w:tc>
      </w:tr>
    </w:tbl>
    <w:p>
      <w:pPr>
        <w:widowControl w:val="0"/>
        <w:spacing w:after="439" w:line="1" w:lineRule="exact"/>
      </w:pPr>
    </w:p>
    <w:p>
      <w:pPr>
        <w:pStyle w:val="Style37"/>
        <w:keepNext/>
        <w:keepLines/>
        <w:widowControl w:val="0"/>
        <w:shd w:val="clear" w:color="auto" w:fill="auto"/>
        <w:bidi w:val="0"/>
        <w:spacing w:before="0" w:after="300" w:line="240" w:lineRule="auto"/>
        <w:ind w:left="0" w:right="0" w:firstLine="460"/>
        <w:jc w:val="left"/>
      </w:pPr>
      <w:bookmarkStart w:id="1504" w:name="bookmark1504"/>
      <w:bookmarkStart w:id="1505" w:name="bookmark1505"/>
      <w:bookmarkStart w:id="1506" w:name="bookmark1506"/>
      <w:r>
        <w:rPr>
          <w:color w:val="000000"/>
          <w:spacing w:val="0"/>
          <w:w w:val="100"/>
          <w:position w:val="0"/>
        </w:rPr>
        <w:t>注释</w:t>
      </w:r>
      <w:r>
        <w:rPr>
          <w:rFonts w:ascii="Times New Roman" w:eastAsia="Times New Roman" w:hAnsi="Times New Roman" w:cs="Times New Roman"/>
          <w:color w:val="000000"/>
          <w:spacing w:val="0"/>
          <w:w w:val="100"/>
          <w:position w:val="0"/>
        </w:rPr>
        <w:t>49.</w:t>
      </w:r>
      <w:r>
        <w:rPr>
          <w:color w:val="000000"/>
          <w:spacing w:val="0"/>
          <w:w w:val="100"/>
          <w:position w:val="0"/>
        </w:rPr>
        <w:t>手续费及佣金净收入</w:t>
      </w:r>
      <w:bookmarkEnd w:id="1504"/>
      <w:bookmarkEnd w:id="1505"/>
      <w:bookmarkEnd w:id="1506"/>
    </w:p>
    <w:p>
      <w:pPr>
        <w:pStyle w:val="Style37"/>
        <w:keepNext/>
        <w:keepLines/>
        <w:widowControl w:val="0"/>
        <w:shd w:val="clear" w:color="auto" w:fill="auto"/>
        <w:bidi w:val="0"/>
        <w:spacing w:before="0" w:after="0" w:line="240" w:lineRule="auto"/>
        <w:ind w:left="0" w:right="0" w:firstLine="320"/>
        <w:jc w:val="left"/>
      </w:pPr>
      <w:bookmarkStart w:id="1507" w:name="bookmark1507"/>
      <w:bookmarkStart w:id="1508" w:name="bookmark1508"/>
      <w:bookmarkStart w:id="1509" w:name="bookmark1509"/>
      <w:r>
        <w:rPr>
          <w:rFonts w:ascii="Arial Narrow" w:eastAsia="Arial Narrow" w:hAnsi="Arial Narrow" w:cs="Arial Narrow"/>
          <w:color w:val="000000"/>
          <w:spacing w:val="0"/>
          <w:w w:val="100"/>
          <w:position w:val="0"/>
        </w:rPr>
        <w:t>1</w:t>
      </w:r>
      <w:r>
        <w:rPr>
          <w:color w:val="000000"/>
          <w:spacing w:val="0"/>
          <w:w w:val="100"/>
          <w:position w:val="0"/>
        </w:rPr>
        <w:t>.</w:t>
      </w:r>
      <w:r>
        <w:rPr>
          <w:color w:val="000000"/>
          <w:spacing w:val="0"/>
          <w:w w:val="100"/>
          <w:position w:val="0"/>
        </w:rPr>
        <w:t>手续费及佣金净收入情况</w:t>
      </w:r>
      <w:bookmarkEnd w:id="1507"/>
      <w:bookmarkEnd w:id="1508"/>
      <w:bookmarkEnd w:id="1509"/>
    </w:p>
    <w:tbl>
      <w:tblPr>
        <w:tblOverlap w:val="never"/>
        <w:jc w:val="center"/>
        <w:tblLayout w:type="fixed"/>
      </w:tblPr>
      <w:tblGrid>
        <w:gridCol w:w="4003"/>
        <w:gridCol w:w="2165"/>
        <w:gridCol w:w="2189"/>
      </w:tblGrid>
      <w:tr>
        <w:trPr>
          <w:trHeight w:val="43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40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证券经纪业务净收入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914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174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369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520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542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295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13</w:t>
            </w:r>
          </w:p>
        </w:tc>
      </w:tr>
      <w:tr>
        <w:trPr>
          <w:trHeight w:val="40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——证券经纪业务收入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143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483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265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669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454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639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66</w:t>
            </w:r>
          </w:p>
        </w:tc>
      </w:tr>
      <w:tr>
        <w:trPr>
          <w:trHeight w:val="40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其中：代理买卖证券业务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657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056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666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442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219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039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43</w:t>
            </w:r>
          </w:p>
        </w:tc>
      </w:tr>
      <w:tr>
        <w:trPr>
          <w:trHeight w:val="40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交易单元席位租赁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465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345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823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220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077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631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34</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代销金融产品业务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080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774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157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968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89</w:t>
            </w:r>
          </w:p>
        </w:tc>
      </w:tr>
      <w:tr>
        <w:trPr>
          <w:trHeight w:val="40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——证券经纪业务支出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229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308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896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148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912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344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53</w:t>
            </w:r>
          </w:p>
        </w:tc>
      </w:tr>
      <w:tr>
        <w:trPr>
          <w:trHeight w:val="40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其中：代理买卖证券业务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229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308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896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148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912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344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53</w:t>
            </w:r>
          </w:p>
        </w:tc>
      </w:tr>
      <w:tr>
        <w:trPr>
          <w:trHeight w:val="437"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交易单元席位租赁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018"/>
        <w:gridCol w:w="2165"/>
        <w:gridCol w:w="2189"/>
      </w:tblGrid>
      <w:tr>
        <w:trPr>
          <w:trHeight w:val="43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40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代销金融产品业务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期货经纪业务净收入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20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698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530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060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85</w:t>
            </w:r>
          </w:p>
        </w:tc>
      </w:tr>
      <w:tr>
        <w:trPr>
          <w:trHeight w:val="40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——期货经纪业务收入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20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698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530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060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85</w:t>
            </w:r>
          </w:p>
        </w:tc>
      </w:tr>
      <w:tr>
        <w:trPr>
          <w:trHeight w:val="40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Arial Narrow" w:eastAsia="Arial Narrow" w:hAnsi="Arial Narrow" w:cs="Arial Narrow"/>
                <w:color w:val="000000"/>
                <w:spacing w:val="0"/>
                <w:w w:val="100"/>
                <w:position w:val="0"/>
                <w:sz w:val="18"/>
                <w:szCs w:val="18"/>
              </w:rPr>
              <w:t>——</w:t>
            </w:r>
            <w:r>
              <w:rPr>
                <w:color w:val="000000"/>
                <w:spacing w:val="0"/>
                <w:w w:val="100"/>
                <w:position w:val="0"/>
                <w:sz w:val="18"/>
                <w:szCs w:val="18"/>
              </w:rPr>
              <w:t>期货经纪业务支出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投资银行业务净收入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142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815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526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156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040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928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63</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Arial Narrow" w:eastAsia="Arial Narrow" w:hAnsi="Arial Narrow" w:cs="Arial Narrow"/>
                <w:color w:val="000000"/>
                <w:spacing w:val="0"/>
                <w:w w:val="100"/>
                <w:position w:val="0"/>
                <w:sz w:val="18"/>
                <w:szCs w:val="18"/>
              </w:rPr>
              <w:t>——</w:t>
            </w:r>
            <w:r>
              <w:rPr>
                <w:color w:val="000000"/>
                <w:spacing w:val="0"/>
                <w:w w:val="100"/>
                <w:position w:val="0"/>
                <w:sz w:val="18"/>
                <w:szCs w:val="18"/>
              </w:rPr>
              <w:t>投资银行业务收入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144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560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809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160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476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683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36</w:t>
            </w:r>
          </w:p>
        </w:tc>
      </w:tr>
      <w:tr>
        <w:trPr>
          <w:trHeight w:val="40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其中：证券承销业务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97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905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454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79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098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838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15</w:t>
            </w:r>
          </w:p>
        </w:tc>
      </w:tr>
      <w:tr>
        <w:trPr>
          <w:trHeight w:val="40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证券保荐业务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875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471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69</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财务顾问业务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38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779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883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81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377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845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21</w:t>
            </w:r>
          </w:p>
        </w:tc>
      </w:tr>
      <w:tr>
        <w:trPr>
          <w:trHeight w:val="40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Arial Narrow" w:eastAsia="Arial Narrow" w:hAnsi="Arial Narrow" w:cs="Arial Narrow"/>
                <w:color w:val="000000"/>
                <w:spacing w:val="0"/>
                <w:w w:val="100"/>
                <w:position w:val="0"/>
                <w:sz w:val="18"/>
                <w:szCs w:val="18"/>
              </w:rPr>
              <w:t>——</w:t>
            </w:r>
            <w:r>
              <w:rPr>
                <w:color w:val="000000"/>
                <w:spacing w:val="0"/>
                <w:w w:val="100"/>
                <w:position w:val="0"/>
                <w:sz w:val="18"/>
                <w:szCs w:val="18"/>
              </w:rPr>
              <w:t>投资银行业务支出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745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283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435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754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73</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其中：证券承销业务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745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283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267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924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53</w:t>
            </w:r>
          </w:p>
        </w:tc>
      </w:tr>
      <w:tr>
        <w:trPr>
          <w:trHeight w:val="40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证券保荐业务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财务顾问业务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167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830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w:t>
            </w:r>
          </w:p>
        </w:tc>
      </w:tr>
      <w:tr>
        <w:trPr>
          <w:trHeight w:val="40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资产管理业务净收入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70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328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440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82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646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803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73</w:t>
            </w:r>
          </w:p>
        </w:tc>
      </w:tr>
      <w:tr>
        <w:trPr>
          <w:trHeight w:val="40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——资产管理业务收入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71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952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314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87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462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677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87</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——资产管理业务支出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623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874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815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874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14</w:t>
            </w:r>
          </w:p>
        </w:tc>
      </w:tr>
      <w:tr>
        <w:trPr>
          <w:trHeight w:val="40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投资咨询业务净收入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32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346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607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27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340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592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49</w:t>
            </w:r>
          </w:p>
        </w:tc>
      </w:tr>
      <w:tr>
        <w:trPr>
          <w:trHeight w:val="40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Arial Narrow" w:eastAsia="Arial Narrow" w:hAnsi="Arial Narrow" w:cs="Arial Narrow"/>
                <w:color w:val="000000"/>
                <w:spacing w:val="0"/>
                <w:w w:val="100"/>
                <w:position w:val="0"/>
                <w:sz w:val="18"/>
                <w:szCs w:val="18"/>
              </w:rPr>
              <w:t>——</w:t>
            </w:r>
            <w:r>
              <w:rPr>
                <w:color w:val="000000"/>
                <w:spacing w:val="0"/>
                <w:w w:val="100"/>
                <w:position w:val="0"/>
                <w:sz w:val="18"/>
                <w:szCs w:val="18"/>
              </w:rPr>
              <w:t>投资咨询业务收入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32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346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607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27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340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592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49</w:t>
            </w:r>
          </w:p>
        </w:tc>
      </w:tr>
      <w:tr>
        <w:trPr>
          <w:trHeight w:val="40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Arial Narrow" w:eastAsia="Arial Narrow" w:hAnsi="Arial Narrow" w:cs="Arial Narrow"/>
                <w:color w:val="000000"/>
                <w:spacing w:val="0"/>
                <w:w w:val="100"/>
                <w:position w:val="0"/>
                <w:sz w:val="18"/>
                <w:szCs w:val="18"/>
              </w:rPr>
              <w:t>——</w:t>
            </w:r>
            <w:r>
              <w:rPr>
                <w:color w:val="000000"/>
                <w:spacing w:val="0"/>
                <w:w w:val="100"/>
                <w:position w:val="0"/>
                <w:sz w:val="18"/>
                <w:szCs w:val="18"/>
              </w:rPr>
              <w:t>投资咨询业务支出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rPr>
                <w:sz w:val="18"/>
                <w:szCs w:val="18"/>
              </w:rPr>
            </w:pPr>
            <w:r>
              <w:rPr>
                <w:b/>
                <w:bCs/>
                <w:color w:val="000000"/>
                <w:spacing w:val="0"/>
                <w:w w:val="100"/>
                <w:position w:val="0"/>
                <w:sz w:val="18"/>
                <w:szCs w:val="18"/>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179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672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641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794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680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83</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其中：手续费及佣金收入合计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412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350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695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952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264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654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23</w:t>
            </w:r>
          </w:p>
        </w:tc>
      </w:tr>
      <w:tr>
        <w:trPr>
          <w:trHeight w:val="40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手续费及佣金支出合计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232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678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053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158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163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973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40</w:t>
            </w:r>
          </w:p>
        </w:tc>
      </w:tr>
      <w:tr>
        <w:trPr>
          <w:trHeight w:val="40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其中：财务顾问业务净收入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38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779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883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79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210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015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01</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exact"/>
              <w:ind w:left="140" w:right="0" w:firstLine="540"/>
              <w:jc w:val="left"/>
              <w:rPr>
                <w:sz w:val="18"/>
                <w:szCs w:val="18"/>
              </w:rPr>
            </w:pPr>
            <w:r>
              <w:rPr>
                <w:color w:val="000000"/>
                <w:spacing w:val="0"/>
                <w:w w:val="100"/>
                <w:position w:val="0"/>
                <w:sz w:val="22"/>
                <w:szCs w:val="22"/>
              </w:rPr>
              <w:t>一</w:t>
            </w:r>
            <w:r>
              <w:rPr>
                <w:color w:val="000000"/>
                <w:spacing w:val="0"/>
                <w:w w:val="100"/>
                <w:position w:val="0"/>
                <w:sz w:val="18"/>
                <w:szCs w:val="18"/>
              </w:rPr>
              <w:t>并购重组财务顾问业务净收入</w:t>
            </w:r>
            <w:r>
              <w:rPr>
                <w:rFonts w:ascii="Arial Narrow" w:eastAsia="Arial Narrow" w:hAnsi="Arial Narrow" w:cs="Arial Narrow"/>
                <w:color w:val="000000"/>
                <w:spacing w:val="0"/>
                <w:w w:val="100"/>
                <w:position w:val="0"/>
                <w:sz w:val="18"/>
                <w:szCs w:val="18"/>
              </w:rPr>
              <w:t>--</w:t>
            </w:r>
            <w:r>
              <w:rPr>
                <w:color w:val="000000"/>
                <w:spacing w:val="0"/>
                <w:w w:val="100"/>
                <w:position w:val="0"/>
                <w:sz w:val="18"/>
                <w:szCs w:val="18"/>
              </w:rPr>
              <w:t>境内上 市公司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22"/>
                <w:szCs w:val="22"/>
              </w:rPr>
              <w:t>一</w:t>
            </w:r>
            <w:r>
              <w:rPr>
                <w:color w:val="000000"/>
                <w:spacing w:val="0"/>
                <w:w w:val="100"/>
                <w:position w:val="0"/>
                <w:sz w:val="18"/>
                <w:szCs w:val="18"/>
              </w:rPr>
              <w:t>并购重组财务顾问业务净收入</w:t>
            </w:r>
            <w:r>
              <w:rPr>
                <w:rFonts w:ascii="Arial Narrow" w:eastAsia="Arial Narrow" w:hAnsi="Arial Narrow" w:cs="Arial Narrow"/>
                <w:color w:val="000000"/>
                <w:spacing w:val="0"/>
                <w:w w:val="100"/>
                <w:position w:val="0"/>
                <w:sz w:val="18"/>
                <w:szCs w:val="18"/>
              </w:rPr>
              <w:t>--</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7"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22"/>
                <w:szCs w:val="22"/>
              </w:rPr>
              <w:t>一</w:t>
            </w:r>
            <w:r>
              <w:rPr>
                <w:color w:val="000000"/>
                <w:spacing w:val="0"/>
                <w:w w:val="100"/>
                <w:position w:val="0"/>
                <w:sz w:val="18"/>
                <w:szCs w:val="18"/>
              </w:rPr>
              <w:t>其他财务顾问业务净收入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38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779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883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79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210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015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01</w:t>
            </w:r>
          </w:p>
        </w:tc>
      </w:tr>
    </w:tbl>
    <w:p>
      <w:pPr>
        <w:widowControl w:val="0"/>
        <w:spacing w:after="519" w:line="1" w:lineRule="exact"/>
      </w:pPr>
    </w:p>
    <w:p>
      <w:pPr>
        <w:widowControl w:val="0"/>
        <w:spacing w:line="1" w:lineRule="exact"/>
      </w:pPr>
    </w:p>
    <w:tbl>
      <w:tblPr>
        <w:tblOverlap w:val="never"/>
        <w:jc w:val="center"/>
        <w:tblLayout w:type="fixed"/>
      </w:tblPr>
      <w:tblGrid>
        <w:gridCol w:w="1728"/>
        <w:gridCol w:w="1714"/>
        <w:gridCol w:w="1622"/>
        <w:gridCol w:w="1675"/>
        <w:gridCol w:w="1618"/>
      </w:tblGrid>
      <w:tr>
        <w:trPr>
          <w:trHeight w:val="278"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bookmarkStart w:id="1510" w:name="bookmark1510"/>
            <w:r>
              <w:rPr>
                <w:rFonts w:ascii="Arial Narrow" w:eastAsia="Arial Narrow" w:hAnsi="Arial Narrow" w:cs="Arial Narrow"/>
                <w:b/>
                <w:bCs/>
                <w:color w:val="000000"/>
                <w:spacing w:val="0"/>
                <w:w w:val="100"/>
                <w:position w:val="0"/>
              </w:rPr>
              <w:t>2</w:t>
            </w:r>
            <w:r>
              <w:rPr>
                <w:b/>
                <w:bCs/>
                <w:color w:val="000000"/>
                <w:spacing w:val="0"/>
                <w:w w:val="100"/>
                <w:position w:val="0"/>
              </w:rPr>
              <w:t>.</w:t>
            </w:r>
            <w:r>
              <w:rPr>
                <w:b/>
                <w:bCs/>
                <w:color w:val="000000"/>
                <w:spacing w:val="0"/>
                <w:w w:val="100"/>
                <w:position w:val="0"/>
              </w:rPr>
              <w:t>代理销售金融</w:t>
            </w:r>
            <w:bookmarkEnd w:id="1510"/>
          </w:p>
        </w:tc>
        <w:tc>
          <w:tcPr>
            <w:gridSpan w:val="4"/>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阻产品业务</w:t>
            </w:r>
          </w:p>
        </w:tc>
      </w:tr>
      <w:tr>
        <w:trPr>
          <w:trHeight w:val="418"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437" w:hRule="exact"/>
        </w:trPr>
        <w:tc>
          <w:tcPr>
            <w:vMerge/>
            <w:tcBorders>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销售总金额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销售总收入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销售总金额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销售总收入</w:t>
            </w:r>
          </w:p>
        </w:tc>
      </w:tr>
    </w:tbl>
    <w:p>
      <w:pPr>
        <w:widowControl w:val="0"/>
        <w:spacing w:line="1" w:lineRule="exact"/>
      </w:pPr>
      <w:r>
        <w:br w:type="page"/>
      </w:r>
    </w:p>
    <w:tbl>
      <w:tblPr>
        <w:tblOverlap w:val="never"/>
        <w:jc w:val="center"/>
        <w:tblLayout w:type="fixed"/>
      </w:tblPr>
      <w:tblGrid>
        <w:gridCol w:w="1742"/>
        <w:gridCol w:w="1714"/>
        <w:gridCol w:w="1622"/>
        <w:gridCol w:w="1680"/>
        <w:gridCol w:w="1613"/>
      </w:tblGrid>
      <w:tr>
        <w:trPr>
          <w:trHeight w:val="432"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项目</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408"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销售总金额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销售总收入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销售总金额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销售总收入</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231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278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217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223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279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224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768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927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286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46</w:t>
            </w:r>
          </w:p>
        </w:tc>
      </w:tr>
      <w:tr>
        <w:trPr>
          <w:trHeight w:val="40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信托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45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992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420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87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570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765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923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06</w:t>
            </w:r>
          </w:p>
        </w:tc>
      </w:tr>
      <w:tr>
        <w:trPr>
          <w:trHeight w:val="40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银行理财产品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771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150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655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26</w:t>
            </w:r>
          </w:p>
        </w:tc>
      </w:tr>
      <w:tr>
        <w:trPr>
          <w:trHeight w:val="40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资管计划、债券等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745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822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558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130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320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890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314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104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11</w:t>
            </w:r>
          </w:p>
        </w:tc>
      </w:tr>
      <w:tr>
        <w:trPr>
          <w:trHeight w:val="437"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023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092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217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080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774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717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456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168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157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968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89</w:t>
            </w:r>
          </w:p>
        </w:tc>
      </w:tr>
    </w:tbl>
    <w:p>
      <w:pPr>
        <w:widowControl w:val="0"/>
        <w:spacing w:after="119" w:line="1" w:lineRule="exact"/>
      </w:pPr>
    </w:p>
    <w:p>
      <w:pPr>
        <w:pStyle w:val="Style37"/>
        <w:keepNext/>
        <w:keepLines/>
        <w:widowControl w:val="0"/>
        <w:numPr>
          <w:ilvl w:val="0"/>
          <w:numId w:val="93"/>
        </w:numPr>
        <w:shd w:val="clear" w:color="auto" w:fill="auto"/>
        <w:bidi w:val="0"/>
        <w:spacing w:before="0" w:after="0" w:line="240" w:lineRule="auto"/>
        <w:ind w:left="0" w:right="0" w:firstLine="300"/>
        <w:jc w:val="left"/>
      </w:pPr>
      <w:bookmarkStart w:id="1511" w:name="bookmark1511"/>
      <w:bookmarkStart w:id="1512" w:name="bookmark1512"/>
      <w:bookmarkStart w:id="1513" w:name="bookmark1513"/>
      <w:bookmarkStart w:id="1514" w:name="bookmark1514"/>
      <w:bookmarkEnd w:id="1513"/>
      <w:r>
        <w:rPr>
          <w:color w:val="000000"/>
          <w:spacing w:val="0"/>
          <w:w w:val="100"/>
          <w:position w:val="0"/>
        </w:rPr>
        <w:t>资产管理业务</w:t>
      </w:r>
      <w:bookmarkEnd w:id="1511"/>
      <w:bookmarkEnd w:id="1512"/>
      <w:bookmarkEnd w:id="1514"/>
    </w:p>
    <w:tbl>
      <w:tblPr>
        <w:tblOverlap w:val="never"/>
        <w:jc w:val="center"/>
        <w:tblLayout w:type="fixed"/>
      </w:tblPr>
      <w:tblGrid>
        <w:gridCol w:w="2688"/>
        <w:gridCol w:w="1862"/>
        <w:gridCol w:w="1867"/>
        <w:gridCol w:w="1882"/>
      </w:tblGrid>
      <w:tr>
        <w:trPr>
          <w:trHeight w:val="43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集合资产管理业务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定向资产管理业务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专项资产管理业务</w:t>
            </w:r>
          </w:p>
        </w:tc>
      </w:tr>
      <w:tr>
        <w:trPr>
          <w:trHeight w:val="40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期末产品数量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40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期末客户数量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其中：个人客户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机构客户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w:t>
            </w:r>
          </w:p>
        </w:tc>
      </w:tr>
      <w:tr>
        <w:trPr>
          <w:trHeight w:val="40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年初受托资金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774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346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715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024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676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240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315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105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750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r>
      <w:tr>
        <w:trPr>
          <w:trHeight w:val="40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其中：自有资金投入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021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071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个人客户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394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212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371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机构客户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251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113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273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024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676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240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315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105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750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r>
      <w:tr>
        <w:trPr>
          <w:trHeight w:val="40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期末受托资金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112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963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792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990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565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489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084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085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250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r>
      <w:tr>
        <w:trPr>
          <w:trHeight w:val="40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其中：自有资金投入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273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318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个人客户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480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572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766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50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349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83</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机构客户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604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117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707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940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265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139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084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085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250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期末主要受托资产初始成本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143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554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932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231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317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985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103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250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r>
      <w:tr>
        <w:trPr>
          <w:trHeight w:val="40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其中：股票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561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219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014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559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国债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319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其他债券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597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641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515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320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664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994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72</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859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015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414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027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94</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其他非标化资产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492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493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181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855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905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403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103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250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r>
      <w:tr>
        <w:trPr>
          <w:trHeight w:val="437"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当期资产管理业务净收入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595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239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52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281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981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219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34</w:t>
            </w:r>
          </w:p>
        </w:tc>
      </w:tr>
    </w:tbl>
    <w:p>
      <w:pPr>
        <w:widowControl w:val="0"/>
        <w:spacing w:after="459" w:line="1" w:lineRule="exact"/>
      </w:pPr>
    </w:p>
    <w:p>
      <w:pPr>
        <w:pStyle w:val="Style37"/>
        <w:keepNext/>
        <w:keepLines/>
        <w:widowControl w:val="0"/>
        <w:shd w:val="clear" w:color="auto" w:fill="auto"/>
        <w:bidi w:val="0"/>
        <w:spacing w:before="0" w:after="120" w:line="240" w:lineRule="auto"/>
        <w:ind w:left="0" w:right="0" w:firstLine="440"/>
        <w:jc w:val="left"/>
      </w:pPr>
      <w:bookmarkStart w:id="1515" w:name="bookmark1515"/>
      <w:bookmarkStart w:id="1516" w:name="bookmark1516"/>
      <w:bookmarkStart w:id="1517" w:name="bookmark1517"/>
      <w:r>
        <w:rPr>
          <w:color w:val="000000"/>
          <w:spacing w:val="0"/>
          <w:w w:val="100"/>
          <w:position w:val="0"/>
        </w:rPr>
        <w:t>注释</w:t>
      </w:r>
      <w:r>
        <w:rPr>
          <w:rFonts w:ascii="Times New Roman" w:eastAsia="Times New Roman" w:hAnsi="Times New Roman" w:cs="Times New Roman"/>
          <w:color w:val="000000"/>
          <w:spacing w:val="0"/>
          <w:w w:val="100"/>
          <w:position w:val="0"/>
        </w:rPr>
        <w:t>50.</w:t>
      </w:r>
      <w:r>
        <w:rPr>
          <w:color w:val="000000"/>
          <w:spacing w:val="0"/>
          <w:w w:val="100"/>
          <w:position w:val="0"/>
        </w:rPr>
        <w:t>税金及附加</w:t>
      </w:r>
      <w:bookmarkEnd w:id="1515"/>
      <w:bookmarkEnd w:id="1516"/>
      <w:bookmarkEnd w:id="1517"/>
    </w:p>
    <w:tbl>
      <w:tblPr>
        <w:tblOverlap w:val="never"/>
        <w:jc w:val="center"/>
        <w:tblLayout w:type="fixed"/>
      </w:tblPr>
      <w:tblGrid>
        <w:gridCol w:w="2760"/>
        <w:gridCol w:w="2846"/>
        <w:gridCol w:w="2722"/>
      </w:tblGrid>
      <w:tr>
        <w:trPr>
          <w:trHeight w:val="37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432"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城市建设维护税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231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620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094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906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24</w:t>
            </w:r>
          </w:p>
        </w:tc>
      </w:tr>
    </w:tbl>
    <w:p>
      <w:pPr>
        <w:widowControl w:val="0"/>
        <w:spacing w:line="1" w:lineRule="exact"/>
      </w:pPr>
      <w:r>
        <w:br w:type="page"/>
      </w:r>
    </w:p>
    <w:tbl>
      <w:tblPr>
        <w:tblOverlap w:val="never"/>
        <w:jc w:val="center"/>
        <w:tblLayout w:type="fixed"/>
      </w:tblPr>
      <w:tblGrid>
        <w:gridCol w:w="2760"/>
        <w:gridCol w:w="2846"/>
        <w:gridCol w:w="2722"/>
      </w:tblGrid>
      <w:tr>
        <w:trPr>
          <w:trHeight w:val="37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480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541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647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401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78</w:t>
            </w:r>
          </w:p>
        </w:tc>
      </w:tr>
      <w:tr>
        <w:trPr>
          <w:trHeight w:val="39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255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224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300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850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90</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土地使用税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922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922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04</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车船使用税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645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296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304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565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035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75</w:t>
            </w:r>
          </w:p>
        </w:tc>
      </w:tr>
      <w:tr>
        <w:trPr>
          <w:trHeight w:val="39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187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535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189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82</w:t>
            </w:r>
          </w:p>
        </w:tc>
      </w:tr>
      <w:tr>
        <w:trPr>
          <w:trHeight w:val="432"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794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808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122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53</w:t>
            </w:r>
          </w:p>
        </w:tc>
      </w:tr>
    </w:tbl>
    <w:p>
      <w:pPr>
        <w:widowControl w:val="0"/>
        <w:spacing w:after="439" w:line="1" w:lineRule="exact"/>
      </w:pPr>
    </w:p>
    <w:p>
      <w:pPr>
        <w:pStyle w:val="Style37"/>
        <w:keepNext/>
        <w:keepLines/>
        <w:widowControl w:val="0"/>
        <w:shd w:val="clear" w:color="auto" w:fill="auto"/>
        <w:bidi w:val="0"/>
        <w:spacing w:before="0" w:after="140" w:line="240" w:lineRule="auto"/>
        <w:ind w:left="0" w:right="0" w:firstLine="440"/>
        <w:jc w:val="left"/>
      </w:pPr>
      <w:bookmarkStart w:id="1518" w:name="bookmark1518"/>
      <w:bookmarkStart w:id="1519" w:name="bookmark1519"/>
      <w:bookmarkStart w:id="1520" w:name="bookmark1520"/>
      <w:r>
        <w:rPr>
          <w:color w:val="000000"/>
          <w:spacing w:val="0"/>
          <w:w w:val="100"/>
          <w:position w:val="0"/>
        </w:rPr>
        <w:t>注释</w:t>
      </w:r>
      <w:r>
        <w:rPr>
          <w:rFonts w:ascii="Times New Roman" w:eastAsia="Times New Roman" w:hAnsi="Times New Roman" w:cs="Times New Roman"/>
          <w:color w:val="000000"/>
          <w:spacing w:val="0"/>
          <w:w w:val="100"/>
          <w:position w:val="0"/>
        </w:rPr>
        <w:t>51.</w:t>
      </w:r>
      <w:r>
        <w:rPr>
          <w:color w:val="000000"/>
          <w:spacing w:val="0"/>
          <w:w w:val="100"/>
          <w:position w:val="0"/>
        </w:rPr>
        <w:t>管理费用</w:t>
      </w:r>
      <w:bookmarkEnd w:id="1518"/>
      <w:bookmarkEnd w:id="1519"/>
      <w:bookmarkEnd w:id="1520"/>
    </w:p>
    <w:tbl>
      <w:tblPr>
        <w:tblOverlap w:val="never"/>
        <w:jc w:val="center"/>
        <w:tblLayout w:type="fixed"/>
      </w:tblPr>
      <w:tblGrid>
        <w:gridCol w:w="3115"/>
        <w:gridCol w:w="2558"/>
        <w:gridCol w:w="2597"/>
      </w:tblGrid>
      <w:tr>
        <w:trPr>
          <w:trHeight w:val="44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员工工资及福利费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162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645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241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969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670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215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08</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场地设备租赁费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211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670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142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638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805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r>
      <w:tr>
        <w:trPr>
          <w:trHeight w:val="41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829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228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103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875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467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15</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折旧、摊销及维修费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841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997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57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048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662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95</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787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726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45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156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150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17</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交易所费用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247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566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20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495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392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99</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463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238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39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538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968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68</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审计、咨询及广告宣传费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566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307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22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082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707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28</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证券投资者保护基金、期货准备金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564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423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10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924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499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41</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佣金及劳务支出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466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487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123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41</w:t>
            </w:r>
          </w:p>
        </w:tc>
      </w:tr>
      <w:tr>
        <w:trPr>
          <w:trHeight w:val="41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264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942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23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184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282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51</w:t>
            </w:r>
          </w:p>
        </w:tc>
      </w:tr>
      <w:tr>
        <w:trPr>
          <w:trHeight w:val="451"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663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630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810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440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102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274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63</w:t>
            </w:r>
          </w:p>
        </w:tc>
      </w:tr>
    </w:tbl>
    <w:p>
      <w:pPr>
        <w:widowControl w:val="0"/>
        <w:spacing w:after="439" w:line="1" w:lineRule="exact"/>
      </w:pPr>
    </w:p>
    <w:p>
      <w:pPr>
        <w:pStyle w:val="Style37"/>
        <w:keepNext/>
        <w:keepLines/>
        <w:widowControl w:val="0"/>
        <w:shd w:val="clear" w:color="auto" w:fill="auto"/>
        <w:bidi w:val="0"/>
        <w:spacing w:before="0" w:after="140" w:line="240" w:lineRule="auto"/>
        <w:ind w:left="0" w:right="0" w:firstLine="440"/>
        <w:jc w:val="left"/>
      </w:pPr>
      <w:bookmarkStart w:id="1521" w:name="bookmark1521"/>
      <w:bookmarkStart w:id="1522" w:name="bookmark1522"/>
      <w:bookmarkStart w:id="1523" w:name="bookmark1523"/>
      <w:r>
        <w:rPr>
          <w:color w:val="000000"/>
          <w:spacing w:val="0"/>
          <w:w w:val="100"/>
          <w:position w:val="0"/>
        </w:rPr>
        <w:t>注释</w:t>
      </w:r>
      <w:r>
        <w:rPr>
          <w:rFonts w:ascii="Times New Roman" w:eastAsia="Times New Roman" w:hAnsi="Times New Roman" w:cs="Times New Roman"/>
          <w:color w:val="000000"/>
          <w:spacing w:val="0"/>
          <w:w w:val="100"/>
          <w:position w:val="0"/>
        </w:rPr>
        <w:t>52.</w:t>
      </w:r>
      <w:r>
        <w:rPr>
          <w:color w:val="000000"/>
          <w:spacing w:val="0"/>
          <w:w w:val="100"/>
          <w:position w:val="0"/>
        </w:rPr>
        <w:t>研发费用</w:t>
      </w:r>
      <w:bookmarkEnd w:id="1521"/>
      <w:bookmarkEnd w:id="1522"/>
      <w:bookmarkEnd w:id="1523"/>
    </w:p>
    <w:tbl>
      <w:tblPr>
        <w:tblOverlap w:val="never"/>
        <w:jc w:val="center"/>
        <w:tblLayout w:type="fixed"/>
      </w:tblPr>
      <w:tblGrid>
        <w:gridCol w:w="3965"/>
        <w:gridCol w:w="2141"/>
        <w:gridCol w:w="2174"/>
      </w:tblGrid>
      <w:tr>
        <w:trPr>
          <w:trHeight w:val="44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员工工资及福利费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431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326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514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316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05</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差旅费等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287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410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615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362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05</w:t>
            </w:r>
          </w:p>
        </w:tc>
      </w:tr>
      <w:tr>
        <w:trPr>
          <w:trHeight w:val="44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718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736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129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678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10</w:t>
            </w:r>
          </w:p>
        </w:tc>
      </w:tr>
    </w:tbl>
    <w:p>
      <w:pPr>
        <w:widowControl w:val="0"/>
        <w:spacing w:after="439" w:line="1" w:lineRule="exact"/>
      </w:pPr>
    </w:p>
    <w:p>
      <w:pPr>
        <w:pStyle w:val="Style37"/>
        <w:keepNext/>
        <w:keepLines/>
        <w:widowControl w:val="0"/>
        <w:shd w:val="clear" w:color="auto" w:fill="auto"/>
        <w:bidi w:val="0"/>
        <w:spacing w:before="0" w:after="440" w:line="240" w:lineRule="auto"/>
        <w:ind w:left="0" w:right="0" w:firstLine="440"/>
        <w:jc w:val="left"/>
      </w:pPr>
      <w:bookmarkStart w:id="1524" w:name="bookmark1524"/>
      <w:bookmarkStart w:id="1525" w:name="bookmark1525"/>
      <w:bookmarkStart w:id="1526" w:name="bookmark1526"/>
      <w:r>
        <w:rPr>
          <w:color w:val="000000"/>
          <w:spacing w:val="0"/>
          <w:w w:val="100"/>
          <w:position w:val="0"/>
        </w:rPr>
        <w:t>注释</w:t>
      </w:r>
      <w:r>
        <w:rPr>
          <w:rFonts w:ascii="Times New Roman" w:eastAsia="Times New Roman" w:hAnsi="Times New Roman" w:cs="Times New Roman"/>
          <w:color w:val="000000"/>
          <w:spacing w:val="0"/>
          <w:w w:val="100"/>
          <w:position w:val="0"/>
        </w:rPr>
        <w:t>53.</w:t>
      </w:r>
      <w:r>
        <w:rPr>
          <w:color w:val="000000"/>
          <w:spacing w:val="0"/>
          <w:w w:val="100"/>
          <w:position w:val="0"/>
        </w:rPr>
        <w:t>财务费用</w:t>
      </w:r>
      <w:bookmarkEnd w:id="1524"/>
      <w:bookmarkEnd w:id="1525"/>
      <w:bookmarkEnd w:id="1526"/>
      <w:r>
        <w:br w:type="page"/>
      </w:r>
    </w:p>
    <w:tbl>
      <w:tblPr>
        <w:tblOverlap w:val="never"/>
        <w:jc w:val="center"/>
        <w:tblLayout w:type="fixed"/>
      </w:tblPr>
      <w:tblGrid>
        <w:gridCol w:w="3946"/>
        <w:gridCol w:w="2117"/>
        <w:gridCol w:w="2141"/>
      </w:tblGrid>
      <w:tr>
        <w:trPr>
          <w:trHeight w:val="42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39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利息支出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637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347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264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951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992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减：利息收入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631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275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114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196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57</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汇兑损益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339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124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26</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769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735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69</w:t>
            </w:r>
          </w:p>
        </w:tc>
      </w:tr>
      <w:tr>
        <w:trPr>
          <w:trHeight w:val="432"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074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181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250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106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655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63</w:t>
            </w:r>
          </w:p>
        </w:tc>
      </w:tr>
    </w:tbl>
    <w:p>
      <w:pPr>
        <w:widowControl w:val="0"/>
        <w:spacing w:after="439" w:line="1" w:lineRule="exact"/>
      </w:pPr>
    </w:p>
    <w:p>
      <w:pPr>
        <w:pStyle w:val="Style37"/>
        <w:keepNext/>
        <w:keepLines/>
        <w:widowControl w:val="0"/>
        <w:shd w:val="clear" w:color="auto" w:fill="auto"/>
        <w:bidi w:val="0"/>
        <w:spacing w:before="0" w:after="140" w:line="240" w:lineRule="auto"/>
        <w:ind w:left="0" w:right="0" w:firstLine="420"/>
        <w:jc w:val="left"/>
      </w:pPr>
      <w:bookmarkStart w:id="1527" w:name="bookmark1527"/>
      <w:bookmarkStart w:id="1528" w:name="bookmark1528"/>
      <w:bookmarkStart w:id="1529" w:name="bookmark1529"/>
      <w:r>
        <w:rPr>
          <w:color w:val="000000"/>
          <w:spacing w:val="0"/>
          <w:w w:val="100"/>
          <w:position w:val="0"/>
        </w:rPr>
        <w:t>注释</w:t>
      </w:r>
      <w:r>
        <w:rPr>
          <w:rFonts w:ascii="Times New Roman" w:eastAsia="Times New Roman" w:hAnsi="Times New Roman" w:cs="Times New Roman"/>
          <w:color w:val="000000"/>
          <w:spacing w:val="0"/>
          <w:w w:val="100"/>
          <w:position w:val="0"/>
        </w:rPr>
        <w:t>54.</w:t>
      </w:r>
      <w:r>
        <w:rPr>
          <w:color w:val="000000"/>
          <w:spacing w:val="0"/>
          <w:w w:val="100"/>
          <w:position w:val="0"/>
        </w:rPr>
        <w:t>其他收益</w:t>
      </w:r>
      <w:bookmarkEnd w:id="1527"/>
      <w:bookmarkEnd w:id="1528"/>
      <w:bookmarkEnd w:id="1529"/>
    </w:p>
    <w:p>
      <w:pPr>
        <w:pStyle w:val="Style51"/>
        <w:keepNext/>
        <w:keepLines/>
        <w:widowControl w:val="0"/>
        <w:shd w:val="clear" w:color="auto" w:fill="auto"/>
        <w:bidi w:val="0"/>
        <w:spacing w:before="0" w:after="140" w:line="240" w:lineRule="auto"/>
        <w:ind w:left="0" w:right="0" w:firstLine="420"/>
        <w:jc w:val="left"/>
      </w:pPr>
      <w:bookmarkStart w:id="1530" w:name="bookmark1530"/>
      <w:bookmarkStart w:id="1531" w:name="bookmark1531"/>
      <w:bookmarkStart w:id="1532" w:name="bookmark1532"/>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其他收益明细情况</w:t>
      </w:r>
      <w:bookmarkEnd w:id="1530"/>
      <w:bookmarkEnd w:id="1531"/>
      <w:bookmarkEnd w:id="1532"/>
    </w:p>
    <w:tbl>
      <w:tblPr>
        <w:tblOverlap w:val="never"/>
        <w:jc w:val="center"/>
        <w:tblLayout w:type="fixed"/>
      </w:tblPr>
      <w:tblGrid>
        <w:gridCol w:w="2870"/>
        <w:gridCol w:w="2837"/>
        <w:gridCol w:w="2592"/>
      </w:tblGrid>
      <w:tr>
        <w:trPr>
          <w:trHeight w:val="37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产生其他收益的来源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085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508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130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174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69</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其他税费返还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746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610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558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655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65</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增值税减免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138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680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576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630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27</w:t>
            </w:r>
          </w:p>
        </w:tc>
      </w:tr>
      <w:tr>
        <w:trPr>
          <w:trHeight w:val="39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314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898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54</w:t>
            </w:r>
          </w:p>
        </w:tc>
      </w:tr>
      <w:tr>
        <w:trPr>
          <w:trHeight w:val="432"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698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113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440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359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15</w:t>
            </w:r>
          </w:p>
        </w:tc>
      </w:tr>
    </w:tbl>
    <w:p>
      <w:pPr>
        <w:widowControl w:val="0"/>
        <w:spacing w:after="299" w:line="1" w:lineRule="exact"/>
      </w:pPr>
    </w:p>
    <w:p>
      <w:pPr>
        <w:pStyle w:val="Style51"/>
        <w:keepNext/>
        <w:keepLines/>
        <w:widowControl w:val="0"/>
        <w:shd w:val="clear" w:color="auto" w:fill="auto"/>
        <w:bidi w:val="0"/>
        <w:spacing w:before="0" w:after="140" w:line="240" w:lineRule="auto"/>
        <w:ind w:left="0" w:right="0" w:firstLine="420"/>
        <w:jc w:val="left"/>
      </w:pPr>
      <w:bookmarkStart w:id="1533" w:name="bookmark1533"/>
      <w:bookmarkStart w:id="1534" w:name="bookmark1534"/>
      <w:bookmarkStart w:id="1535" w:name="bookmark1535"/>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计入其他收益的政府补助</w:t>
      </w:r>
      <w:bookmarkEnd w:id="1533"/>
      <w:bookmarkEnd w:id="1534"/>
      <w:bookmarkEnd w:id="1535"/>
    </w:p>
    <w:tbl>
      <w:tblPr>
        <w:tblOverlap w:val="never"/>
        <w:jc w:val="center"/>
        <w:tblLayout w:type="fixed"/>
      </w:tblPr>
      <w:tblGrid>
        <w:gridCol w:w="3974"/>
        <w:gridCol w:w="1421"/>
        <w:gridCol w:w="1421"/>
        <w:gridCol w:w="1498"/>
      </w:tblGrid>
      <w:tr>
        <w:trPr>
          <w:trHeight w:val="62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本期发生额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64" w:lineRule="exact"/>
              <w:ind w:left="0" w:right="0" w:firstLine="0"/>
              <w:jc w:val="center"/>
              <w:rPr>
                <w:sz w:val="18"/>
                <w:szCs w:val="18"/>
              </w:rPr>
            </w:pPr>
            <w:r>
              <w:rPr>
                <w:color w:val="000000"/>
                <w:spacing w:val="0"/>
                <w:w w:val="100"/>
                <w:position w:val="0"/>
                <w:sz w:val="18"/>
                <w:szCs w:val="18"/>
              </w:rPr>
              <w:t>与资产相关</w:t>
            </w:r>
            <w:r>
              <w:rPr>
                <w:rFonts w:ascii="Arial Narrow" w:eastAsia="Arial Narrow" w:hAnsi="Arial Narrow" w:cs="Arial Narrow"/>
                <w:color w:val="000000"/>
                <w:spacing w:val="0"/>
                <w:w w:val="100"/>
                <w:position w:val="0"/>
                <w:sz w:val="18"/>
                <w:szCs w:val="18"/>
              </w:rPr>
              <w:t xml:space="preserve">/ </w:t>
            </w:r>
            <w:r>
              <w:rPr>
                <w:color w:val="000000"/>
                <w:spacing w:val="0"/>
                <w:w w:val="100"/>
                <w:position w:val="0"/>
                <w:sz w:val="18"/>
                <w:szCs w:val="18"/>
              </w:rPr>
              <w:t>与收益相关</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江西省财政厅金融发展奖补专项资金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540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与收益相关</w:t>
            </w:r>
          </w:p>
        </w:tc>
      </w:tr>
      <w:tr>
        <w:trPr>
          <w:trHeight w:val="39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国盛证券总部过渡期办公场所租赁期补助资金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666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666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666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666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与收益相关</w:t>
            </w:r>
          </w:p>
        </w:tc>
      </w:tr>
      <w:tr>
        <w:trPr>
          <w:trHeight w:val="71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331" w:lineRule="exact"/>
              <w:ind w:left="140" w:right="0" w:firstLine="0"/>
              <w:jc w:val="left"/>
              <w:rPr>
                <w:sz w:val="18"/>
                <w:szCs w:val="18"/>
              </w:rPr>
            </w:pPr>
            <w:r>
              <w:rPr>
                <w:color w:val="000000"/>
                <w:spacing w:val="0"/>
                <w:w w:val="100"/>
                <w:position w:val="0"/>
                <w:sz w:val="18"/>
                <w:szCs w:val="18"/>
              </w:rPr>
              <w:t>南昌市西湖区现代服务业务发展局</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年西 湖区现代服务业发展推进大会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奖励经费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与收益相关</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山东分公司金融办奖励金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039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与收益相关</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湖南分公司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年金融发展专项资金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与收益相关</w:t>
            </w:r>
          </w:p>
        </w:tc>
      </w:tr>
      <w:tr>
        <w:trPr>
          <w:trHeight w:val="39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河南分公司郑东新区金融专项资金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与收益相关</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广西分公司新设金融机构奖励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与收益相关</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赣州分公司政府奖励开办费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与收益相关</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襄阳高新区落户奖励资金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333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与收益相关</w:t>
            </w:r>
          </w:p>
        </w:tc>
      </w:tr>
      <w:tr>
        <w:trPr>
          <w:trHeight w:val="39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烟台长江路证券营业部地方政府金融补贴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428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与收益相关</w:t>
            </w:r>
          </w:p>
        </w:tc>
      </w:tr>
      <w:tr>
        <w:trPr>
          <w:trHeight w:val="71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336" w:lineRule="exact"/>
              <w:ind w:left="140" w:right="0" w:firstLine="0"/>
              <w:jc w:val="left"/>
              <w:rPr>
                <w:sz w:val="18"/>
                <w:szCs w:val="18"/>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8"/>
                <w:szCs w:val="18"/>
              </w:rPr>
              <w:t>年第</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8"/>
                <w:szCs w:val="18"/>
              </w:rPr>
              <w:t>批金融发展专项资金（一次性落户 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333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266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666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与收益相关</w:t>
            </w:r>
          </w:p>
        </w:tc>
      </w:tr>
      <w:tr>
        <w:trPr>
          <w:trHeight w:val="432"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上海分公司财政扶持资金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900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与收益相关</w:t>
            </w:r>
          </w:p>
        </w:tc>
      </w:tr>
    </w:tbl>
    <w:p>
      <w:pPr>
        <w:widowControl w:val="0"/>
        <w:spacing w:line="1" w:lineRule="exact"/>
      </w:pPr>
      <w:r>
        <w:br w:type="page"/>
      </w:r>
    </w:p>
    <w:tbl>
      <w:tblPr>
        <w:tblOverlap w:val="never"/>
        <w:jc w:val="center"/>
        <w:tblLayout w:type="fixed"/>
      </w:tblPr>
      <w:tblGrid>
        <w:gridCol w:w="3974"/>
        <w:gridCol w:w="1421"/>
        <w:gridCol w:w="1421"/>
        <w:gridCol w:w="1498"/>
      </w:tblGrid>
      <w:tr>
        <w:trPr>
          <w:trHeight w:val="61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本期发生额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上期发生额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64" w:lineRule="exact"/>
              <w:ind w:left="0" w:right="0" w:firstLine="0"/>
              <w:jc w:val="center"/>
              <w:rPr>
                <w:sz w:val="18"/>
                <w:szCs w:val="18"/>
              </w:rPr>
            </w:pPr>
            <w:r>
              <w:rPr>
                <w:color w:val="000000"/>
                <w:spacing w:val="0"/>
                <w:w w:val="100"/>
                <w:position w:val="0"/>
                <w:sz w:val="18"/>
                <w:szCs w:val="18"/>
              </w:rPr>
              <w:t>与资产相关</w:t>
            </w:r>
            <w:r>
              <w:rPr>
                <w:rFonts w:ascii="Arial Narrow" w:eastAsia="Arial Narrow" w:hAnsi="Arial Narrow" w:cs="Arial Narrow"/>
                <w:color w:val="000000"/>
                <w:spacing w:val="0"/>
                <w:w w:val="100"/>
                <w:position w:val="0"/>
                <w:sz w:val="18"/>
                <w:szCs w:val="18"/>
              </w:rPr>
              <w:t xml:space="preserve">/ </w:t>
            </w:r>
            <w:r>
              <w:rPr>
                <w:color w:val="000000"/>
                <w:spacing w:val="0"/>
                <w:w w:val="100"/>
                <w:position w:val="0"/>
                <w:sz w:val="18"/>
                <w:szCs w:val="18"/>
              </w:rPr>
              <w:t>与收益相关</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浦东新区财政扶持金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与收益相关</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深圳市政府租房补助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502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502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与收益相关</w:t>
            </w:r>
          </w:p>
        </w:tc>
      </w:tr>
      <w:tr>
        <w:trPr>
          <w:trHeight w:val="71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322" w:lineRule="exact"/>
              <w:ind w:left="140" w:right="0" w:firstLine="0"/>
              <w:jc w:val="left"/>
              <w:rPr>
                <w:sz w:val="18"/>
                <w:szCs w:val="18"/>
              </w:rPr>
            </w:pPr>
            <w:r>
              <w:rPr>
                <w:color w:val="000000"/>
                <w:spacing w:val="0"/>
                <w:w w:val="100"/>
                <w:position w:val="0"/>
                <w:sz w:val="18"/>
                <w:szCs w:val="18"/>
              </w:rPr>
              <w:t>南昌市人民政府</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年金融机构支持地方经济 发展考核专项补贴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与收益相关</w:t>
            </w:r>
          </w:p>
        </w:tc>
      </w:tr>
      <w:tr>
        <w:trPr>
          <w:trHeight w:val="71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312" w:lineRule="exact"/>
              <w:ind w:left="140" w:right="0" w:firstLine="0"/>
              <w:jc w:val="left"/>
              <w:rPr>
                <w:sz w:val="18"/>
                <w:szCs w:val="18"/>
              </w:rPr>
            </w:pPr>
            <w:r>
              <w:rPr>
                <w:color w:val="000000"/>
                <w:spacing w:val="0"/>
                <w:w w:val="100"/>
                <w:position w:val="0"/>
                <w:sz w:val="18"/>
                <w:szCs w:val="18"/>
              </w:rPr>
              <w:t>南京市第十二批河西金融产业发展专项资金奖 励补贴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与收益相关</w:t>
            </w:r>
          </w:p>
        </w:tc>
      </w:tr>
      <w:tr>
        <w:trPr>
          <w:trHeight w:val="71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331" w:lineRule="exact"/>
              <w:ind w:left="140" w:right="0" w:firstLine="0"/>
              <w:jc w:val="left"/>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年瑶海区培育新功能促进产业转型升级推 动经济高质量发展政策补贴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712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与收益相关</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鼓励金融机构入驻郑州的补助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与收益相关</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稳岗补贴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067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540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64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577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与收益相关</w:t>
            </w:r>
          </w:p>
        </w:tc>
      </w:tr>
      <w:tr>
        <w:trPr>
          <w:trHeight w:val="39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城投拆迁补偿款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213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465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与收益相关</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济南营业部落户奖励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与收益相关</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金融机构补贴</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开办费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与收益相关</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金融机构补贴</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租房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876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与收益相关</w:t>
            </w:r>
          </w:p>
        </w:tc>
      </w:tr>
      <w:tr>
        <w:trPr>
          <w:trHeight w:val="39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开发扶持基金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与收益相关</w:t>
            </w:r>
          </w:p>
        </w:tc>
      </w:tr>
      <w:tr>
        <w:trPr>
          <w:trHeight w:val="71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326" w:lineRule="exact"/>
              <w:ind w:left="140" w:right="0" w:firstLine="0"/>
              <w:jc w:val="left"/>
              <w:rPr>
                <w:sz w:val="18"/>
                <w:szCs w:val="18"/>
              </w:rPr>
            </w:pPr>
            <w:r>
              <w:rPr>
                <w:color w:val="000000"/>
                <w:spacing w:val="0"/>
                <w:w w:val="100"/>
                <w:position w:val="0"/>
                <w:sz w:val="18"/>
                <w:szCs w:val="18"/>
              </w:rPr>
              <w:t>横琴新区</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年度高新技术企业认定第一笔区 级奖励资金拟奖励企业及奖励金额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与收益相关</w:t>
            </w:r>
          </w:p>
        </w:tc>
      </w:tr>
      <w:tr>
        <w:trPr>
          <w:trHeight w:val="71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326" w:lineRule="exact"/>
              <w:ind w:left="140" w:right="0" w:firstLine="0"/>
              <w:jc w:val="left"/>
              <w:rPr>
                <w:sz w:val="18"/>
                <w:szCs w:val="18"/>
              </w:rPr>
            </w:pPr>
            <w:r>
              <w:rPr>
                <w:color w:val="000000"/>
                <w:spacing w:val="0"/>
                <w:w w:val="100"/>
                <w:position w:val="0"/>
                <w:sz w:val="18"/>
                <w:szCs w:val="18"/>
              </w:rPr>
              <w:t>横琴新区</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年度高新技术企业认定市级补助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与收益相关</w:t>
            </w:r>
          </w:p>
        </w:tc>
      </w:tr>
      <w:tr>
        <w:trPr>
          <w:trHeight w:val="432"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085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508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130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174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69</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459" w:line="1" w:lineRule="exact"/>
      </w:pPr>
    </w:p>
    <w:p>
      <w:pPr>
        <w:pStyle w:val="Style37"/>
        <w:keepNext/>
        <w:keepLines/>
        <w:widowControl w:val="0"/>
        <w:shd w:val="clear" w:color="auto" w:fill="auto"/>
        <w:bidi w:val="0"/>
        <w:spacing w:before="0" w:after="160" w:line="240" w:lineRule="auto"/>
        <w:ind w:left="0" w:right="0" w:firstLine="440"/>
        <w:jc w:val="left"/>
      </w:pPr>
      <w:bookmarkStart w:id="1536" w:name="bookmark1536"/>
      <w:bookmarkStart w:id="1537" w:name="bookmark1537"/>
      <w:bookmarkStart w:id="1538" w:name="bookmark1538"/>
      <w:r>
        <w:rPr>
          <w:color w:val="000000"/>
          <w:spacing w:val="0"/>
          <w:w w:val="100"/>
          <w:position w:val="0"/>
        </w:rPr>
        <w:t>注释</w:t>
      </w:r>
      <w:r>
        <w:rPr>
          <w:rFonts w:ascii="Times New Roman" w:eastAsia="Times New Roman" w:hAnsi="Times New Roman" w:cs="Times New Roman"/>
          <w:color w:val="000000"/>
          <w:spacing w:val="0"/>
          <w:w w:val="100"/>
          <w:position w:val="0"/>
        </w:rPr>
        <w:t>55.</w:t>
      </w:r>
      <w:r>
        <w:rPr>
          <w:color w:val="000000"/>
          <w:spacing w:val="0"/>
          <w:w w:val="100"/>
          <w:position w:val="0"/>
        </w:rPr>
        <w:t>投资收益</w:t>
      </w:r>
      <w:bookmarkEnd w:id="1536"/>
      <w:bookmarkEnd w:id="1537"/>
      <w:bookmarkEnd w:id="1538"/>
    </w:p>
    <w:p>
      <w:pPr>
        <w:pStyle w:val="Style51"/>
        <w:keepNext/>
        <w:keepLines/>
        <w:widowControl w:val="0"/>
        <w:numPr>
          <w:ilvl w:val="0"/>
          <w:numId w:val="95"/>
        </w:numPr>
        <w:shd w:val="clear" w:color="auto" w:fill="auto"/>
        <w:bidi w:val="0"/>
        <w:spacing w:before="0" w:after="160" w:line="240" w:lineRule="auto"/>
        <w:ind w:left="0" w:right="0" w:firstLine="440"/>
        <w:jc w:val="left"/>
      </w:pPr>
      <w:bookmarkStart w:id="1539" w:name="bookmark1539"/>
      <w:bookmarkStart w:id="1540" w:name="bookmark1540"/>
      <w:bookmarkStart w:id="1541" w:name="bookmark1541"/>
      <w:bookmarkStart w:id="1542" w:name="bookmark1542"/>
      <w:bookmarkEnd w:id="1541"/>
      <w:r>
        <w:rPr>
          <w:color w:val="000000"/>
          <w:spacing w:val="0"/>
          <w:w w:val="100"/>
          <w:position w:val="0"/>
        </w:rPr>
        <w:t>投资收益明细情况</w:t>
      </w:r>
      <w:bookmarkEnd w:id="1539"/>
      <w:bookmarkEnd w:id="1540"/>
      <w:bookmarkEnd w:id="1542"/>
    </w:p>
    <w:tbl>
      <w:tblPr>
        <w:tblOverlap w:val="never"/>
        <w:jc w:val="center"/>
        <w:tblLayout w:type="fixed"/>
      </w:tblPr>
      <w:tblGrid>
        <w:gridCol w:w="4397"/>
        <w:gridCol w:w="1954"/>
        <w:gridCol w:w="1978"/>
      </w:tblGrid>
      <w:tr>
        <w:trPr>
          <w:trHeight w:val="37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本期发生额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上期发生额</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486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937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186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107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407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76</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处置长期股权投资产生的投资收益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447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846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910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211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34</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金融工具投资收益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403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263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573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432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979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880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91</w:t>
            </w:r>
          </w:p>
        </w:tc>
      </w:tr>
      <w:tr>
        <w:trPr>
          <w:trHeight w:val="39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其中：持有期间取得的收益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248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760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610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511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263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666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61</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一</w:t>
            </w:r>
            <w:r>
              <w:rPr>
                <w:color w:val="000000"/>
                <w:spacing w:val="0"/>
                <w:w w:val="100"/>
                <w:position w:val="0"/>
                <w:sz w:val="18"/>
                <w:szCs w:val="18"/>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248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760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610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421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729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484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67</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一</w:t>
            </w:r>
            <w:r>
              <w:rPr>
                <w:color w:val="000000"/>
                <w:spacing w:val="0"/>
                <w:w w:val="100"/>
                <w:position w:val="0"/>
                <w:sz w:val="18"/>
                <w:szCs w:val="18"/>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562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328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74</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一</w:t>
            </w:r>
            <w:r>
              <w:rPr>
                <w:color w:val="000000"/>
                <w:spacing w:val="0"/>
                <w:w w:val="100"/>
                <w:position w:val="0"/>
                <w:sz w:val="18"/>
                <w:szCs w:val="18"/>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146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80</w:t>
            </w:r>
          </w:p>
        </w:tc>
      </w:tr>
      <w:tr>
        <w:trPr>
          <w:trHeight w:val="432"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其中：处置金融工具取得的收益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154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502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963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487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836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96</w:t>
            </w:r>
          </w:p>
        </w:tc>
      </w:tr>
    </w:tbl>
    <w:p>
      <w:pPr>
        <w:widowControl w:val="0"/>
        <w:spacing w:line="1" w:lineRule="exact"/>
      </w:pPr>
      <w:r>
        <w:br w:type="page"/>
      </w:r>
    </w:p>
    <w:tbl>
      <w:tblPr>
        <w:tblOverlap w:val="never"/>
        <w:jc w:val="center"/>
        <w:tblLayout w:type="fixed"/>
      </w:tblPr>
      <w:tblGrid>
        <w:gridCol w:w="4397"/>
        <w:gridCol w:w="1954"/>
        <w:gridCol w:w="1978"/>
      </w:tblGrid>
      <w:tr>
        <w:trPr>
          <w:trHeight w:val="37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本期发生额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上期发生额</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一</w:t>
            </w:r>
            <w:r>
              <w:rPr>
                <w:color w:val="000000"/>
                <w:spacing w:val="0"/>
                <w:w w:val="100"/>
                <w:position w:val="0"/>
                <w:sz w:val="18"/>
                <w:szCs w:val="18"/>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195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704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475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932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096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77</w:t>
            </w:r>
          </w:p>
        </w:tc>
      </w:tr>
      <w:tr>
        <w:trPr>
          <w:trHeight w:val="39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其他债权投资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279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967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576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795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85</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一</w:t>
            </w:r>
            <w:r>
              <w:rPr>
                <w:color w:val="000000"/>
                <w:spacing w:val="0"/>
                <w:w w:val="100"/>
                <w:position w:val="0"/>
                <w:sz w:val="18"/>
                <w:szCs w:val="18"/>
              </w:rPr>
              <w:t>衍生金融工具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266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298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827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54</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160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821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91</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一</w:t>
            </w:r>
            <w:r>
              <w:rPr>
                <w:color w:val="000000"/>
                <w:spacing w:val="0"/>
                <w:w w:val="100"/>
                <w:position w:val="0"/>
                <w:sz w:val="18"/>
                <w:szCs w:val="18"/>
              </w:rPr>
              <w:t>交易性金融负债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123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722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061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29</w:t>
            </w:r>
          </w:p>
        </w:tc>
      </w:tr>
      <w:tr>
        <w:trPr>
          <w:trHeight w:val="432"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446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302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665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793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448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75</w:t>
            </w:r>
          </w:p>
        </w:tc>
      </w:tr>
    </w:tbl>
    <w:p>
      <w:pPr>
        <w:widowControl w:val="0"/>
        <w:spacing w:after="279" w:line="1" w:lineRule="exact"/>
      </w:pPr>
    </w:p>
    <w:p>
      <w:pPr>
        <w:pStyle w:val="Style16"/>
        <w:keepNext w:val="0"/>
        <w:keepLines w:val="0"/>
        <w:widowControl w:val="0"/>
        <w:shd w:val="clear" w:color="auto" w:fill="auto"/>
        <w:bidi w:val="0"/>
        <w:spacing w:before="0" w:after="160" w:line="240" w:lineRule="auto"/>
        <w:ind w:left="0" w:right="0" w:firstLine="440"/>
        <w:jc w:val="left"/>
      </w:pPr>
      <w:r>
        <w:rPr>
          <w:color w:val="000000"/>
          <w:spacing w:val="0"/>
          <w:w w:val="100"/>
          <w:position w:val="0"/>
        </w:rPr>
        <w:t>注：由于前期会计差错更正，投资收益上期发生额增加</w:t>
      </w:r>
      <w:r>
        <w:rPr>
          <w:rFonts w:ascii="Times New Roman" w:eastAsia="Times New Roman" w:hAnsi="Times New Roman" w:cs="Times New Roman"/>
          <w:color w:val="000000"/>
          <w:spacing w:val="0"/>
          <w:w w:val="100"/>
          <w:position w:val="0"/>
        </w:rPr>
        <w:t>182,689,304.74</w:t>
      </w:r>
      <w:r>
        <w:rPr>
          <w:color w:val="000000"/>
          <w:spacing w:val="0"/>
          <w:w w:val="100"/>
          <w:position w:val="0"/>
        </w:rPr>
        <w:t>元，详见附注十</w:t>
      </w:r>
    </w:p>
    <w:p>
      <w:pPr>
        <w:pStyle w:val="Style16"/>
        <w:keepNext w:val="0"/>
        <w:keepLines w:val="0"/>
        <w:widowControl w:val="0"/>
        <w:shd w:val="clear" w:color="auto" w:fill="auto"/>
        <w:bidi w:val="0"/>
        <w:spacing w:before="0" w:after="460" w:line="240" w:lineRule="auto"/>
        <w:ind w:left="0" w:right="0" w:firstLine="0"/>
        <w:jc w:val="left"/>
      </w:pPr>
      <w:r>
        <w:rPr>
          <w:color w:val="000000"/>
          <w:spacing w:val="0"/>
          <w:w w:val="100"/>
          <w:position w:val="0"/>
        </w:rPr>
        <w:t>五、（一）。</w:t>
      </w:r>
    </w:p>
    <w:p>
      <w:pPr>
        <w:pStyle w:val="Style37"/>
        <w:keepNext/>
        <w:keepLines/>
        <w:widowControl w:val="0"/>
        <w:shd w:val="clear" w:color="auto" w:fill="auto"/>
        <w:bidi w:val="0"/>
        <w:spacing w:before="0" w:after="160" w:line="240" w:lineRule="auto"/>
        <w:ind w:left="0" w:right="0" w:firstLine="440"/>
        <w:jc w:val="left"/>
      </w:pPr>
      <w:bookmarkStart w:id="1543" w:name="bookmark1543"/>
      <w:bookmarkStart w:id="1544" w:name="bookmark1544"/>
      <w:bookmarkStart w:id="1545" w:name="bookmark1545"/>
      <w:r>
        <w:rPr>
          <w:color w:val="000000"/>
          <w:spacing w:val="0"/>
          <w:w w:val="100"/>
          <w:position w:val="0"/>
        </w:rPr>
        <w:t>注释</w:t>
      </w:r>
      <w:r>
        <w:rPr>
          <w:rFonts w:ascii="Times New Roman" w:eastAsia="Times New Roman" w:hAnsi="Times New Roman" w:cs="Times New Roman"/>
          <w:color w:val="000000"/>
          <w:spacing w:val="0"/>
          <w:w w:val="100"/>
          <w:position w:val="0"/>
        </w:rPr>
        <w:t>56.</w:t>
      </w:r>
      <w:r>
        <w:rPr>
          <w:color w:val="000000"/>
          <w:spacing w:val="0"/>
          <w:w w:val="100"/>
          <w:position w:val="0"/>
        </w:rPr>
        <w:t>公允价值变动收益</w:t>
      </w:r>
      <w:bookmarkEnd w:id="1543"/>
      <w:bookmarkEnd w:id="1544"/>
      <w:bookmarkEnd w:id="1545"/>
    </w:p>
    <w:tbl>
      <w:tblPr>
        <w:tblOverlap w:val="never"/>
        <w:jc w:val="center"/>
        <w:tblLayout w:type="fixed"/>
      </w:tblPr>
      <w:tblGrid>
        <w:gridCol w:w="4546"/>
        <w:gridCol w:w="1949"/>
        <w:gridCol w:w="1790"/>
      </w:tblGrid>
      <w:tr>
        <w:trPr>
          <w:trHeight w:val="37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产生公允价值变动收益的来源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本期发生额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上期发生额</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223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879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905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274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727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148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01</w:t>
            </w:r>
          </w:p>
        </w:tc>
      </w:tr>
      <w:tr>
        <w:trPr>
          <w:trHeight w:val="39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其他非流动金融资产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916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367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345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718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69</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交易性金融负债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658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794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658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794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65</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衍生金融工具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560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215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702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128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83</w:t>
            </w:r>
          </w:p>
        </w:tc>
      </w:tr>
      <w:tr>
        <w:trPr>
          <w:trHeight w:val="432"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254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697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694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267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020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505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84</w:t>
            </w:r>
          </w:p>
        </w:tc>
      </w:tr>
    </w:tbl>
    <w:p>
      <w:pPr>
        <w:widowControl w:val="0"/>
        <w:spacing w:after="459" w:line="1" w:lineRule="exact"/>
      </w:pPr>
    </w:p>
    <w:p>
      <w:pPr>
        <w:pStyle w:val="Style37"/>
        <w:keepNext/>
        <w:keepLines/>
        <w:widowControl w:val="0"/>
        <w:shd w:val="clear" w:color="auto" w:fill="auto"/>
        <w:bidi w:val="0"/>
        <w:spacing w:before="0" w:after="160" w:line="240" w:lineRule="auto"/>
        <w:ind w:left="0" w:right="0" w:firstLine="440"/>
        <w:jc w:val="left"/>
      </w:pPr>
      <w:bookmarkStart w:id="1546" w:name="bookmark1546"/>
      <w:bookmarkStart w:id="1547" w:name="bookmark1547"/>
      <w:bookmarkStart w:id="1548" w:name="bookmark1548"/>
      <w:r>
        <w:rPr>
          <w:color w:val="000000"/>
          <w:spacing w:val="0"/>
          <w:w w:val="100"/>
          <w:position w:val="0"/>
        </w:rPr>
        <w:t>注释</w:t>
      </w:r>
      <w:r>
        <w:rPr>
          <w:rFonts w:ascii="Times New Roman" w:eastAsia="Times New Roman" w:hAnsi="Times New Roman" w:cs="Times New Roman"/>
          <w:color w:val="000000"/>
          <w:spacing w:val="0"/>
          <w:w w:val="100"/>
          <w:position w:val="0"/>
        </w:rPr>
        <w:t>57.</w:t>
      </w:r>
      <w:r>
        <w:rPr>
          <w:color w:val="000000"/>
          <w:spacing w:val="0"/>
          <w:w w:val="100"/>
          <w:position w:val="0"/>
        </w:rPr>
        <w:t>信用减值损失</w:t>
      </w:r>
      <w:bookmarkEnd w:id="1546"/>
      <w:bookmarkEnd w:id="1547"/>
      <w:bookmarkEnd w:id="1548"/>
    </w:p>
    <w:tbl>
      <w:tblPr>
        <w:tblOverlap w:val="never"/>
        <w:jc w:val="center"/>
        <w:tblLayout w:type="fixed"/>
      </w:tblPr>
      <w:tblGrid>
        <w:gridCol w:w="3974"/>
        <w:gridCol w:w="2150"/>
        <w:gridCol w:w="2160"/>
      </w:tblGrid>
      <w:tr>
        <w:trPr>
          <w:trHeight w:val="37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本期发生额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融出资金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468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923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188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32</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014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590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706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668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52</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应收利息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112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640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599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259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88</w:t>
            </w:r>
          </w:p>
        </w:tc>
      </w:tr>
      <w:tr>
        <w:trPr>
          <w:trHeight w:val="39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396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333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241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868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11</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买入返售金融资产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117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789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230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865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688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60</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单一资金信托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622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509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45</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其他债权投资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601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891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38</w:t>
            </w:r>
          </w:p>
        </w:tc>
      </w:tr>
      <w:tr>
        <w:trPr>
          <w:trHeight w:val="41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color w:val="000000"/>
                <w:spacing w:val="0"/>
                <w:w w:val="100"/>
                <w:position w:val="0"/>
                <w:sz w:val="18"/>
                <w:szCs w:val="18"/>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192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534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116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590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272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60</w:t>
            </w:r>
          </w:p>
        </w:tc>
      </w:tr>
      <w:tr>
        <w:trPr>
          <w:trHeight w:val="883" w:hRule="exact"/>
        </w:trPr>
        <w:tc>
          <w:tcPr>
            <w:gridSpan w:val="3"/>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pPr>
            <w:bookmarkStart w:id="1549" w:name="bookmark1549"/>
            <w:r>
              <w:rPr>
                <w:b/>
                <w:bCs/>
                <w:color w:val="000000"/>
                <w:spacing w:val="0"/>
                <w:w w:val="100"/>
                <w:position w:val="0"/>
              </w:rPr>
              <w:t>注释</w:t>
            </w:r>
            <w:r>
              <w:rPr>
                <w:rFonts w:ascii="Times New Roman" w:eastAsia="Times New Roman" w:hAnsi="Times New Roman" w:cs="Times New Roman"/>
                <w:b/>
                <w:bCs/>
                <w:color w:val="000000"/>
                <w:spacing w:val="0"/>
                <w:w w:val="100"/>
                <w:position w:val="0"/>
              </w:rPr>
              <w:t>58.</w:t>
            </w:r>
            <w:r>
              <w:rPr>
                <w:b/>
                <w:bCs/>
                <w:color w:val="000000"/>
                <w:spacing w:val="0"/>
                <w:w w:val="100"/>
                <w:position w:val="0"/>
              </w:rPr>
              <w:t>资产减值损失</w:t>
            </w:r>
            <w:bookmarkEnd w:id="1549"/>
          </w:p>
        </w:tc>
      </w:tr>
      <w:tr>
        <w:trPr>
          <w:trHeight w:val="437"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color w:val="000000"/>
                <w:spacing w:val="0"/>
                <w:w w:val="100"/>
                <w:position w:val="0"/>
                <w:sz w:val="18"/>
                <w:szCs w:val="18"/>
              </w:rPr>
              <w:t>项目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本期发生额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bl>
    <w:p>
      <w:pPr>
        <w:widowControl w:val="0"/>
        <w:spacing w:line="1" w:lineRule="exact"/>
      </w:pPr>
      <w:r>
        <w:br w:type="page"/>
      </w:r>
    </w:p>
    <w:tbl>
      <w:tblPr>
        <w:tblOverlap w:val="never"/>
        <w:jc w:val="center"/>
        <w:tblLayout w:type="fixed"/>
      </w:tblPr>
      <w:tblGrid>
        <w:gridCol w:w="3888"/>
        <w:gridCol w:w="2251"/>
        <w:gridCol w:w="2112"/>
      </w:tblGrid>
      <w:tr>
        <w:trPr>
          <w:trHeight w:val="44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长期股权投资减值损失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103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709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412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22</w:t>
            </w: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商誉减值损失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r>
      <w:tr>
        <w:trPr>
          <w:trHeight w:val="44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103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709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412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r>
    </w:tbl>
    <w:p>
      <w:pPr>
        <w:widowControl w:val="0"/>
        <w:spacing w:after="439" w:line="1" w:lineRule="exact"/>
      </w:pPr>
    </w:p>
    <w:p>
      <w:pPr>
        <w:pStyle w:val="Style37"/>
        <w:keepNext/>
        <w:keepLines/>
        <w:widowControl w:val="0"/>
        <w:shd w:val="clear" w:color="auto" w:fill="auto"/>
        <w:bidi w:val="0"/>
        <w:spacing w:before="0" w:after="140" w:line="240" w:lineRule="auto"/>
        <w:ind w:left="0" w:right="0" w:firstLine="420"/>
        <w:jc w:val="left"/>
      </w:pPr>
      <w:bookmarkStart w:id="1550" w:name="bookmark1550"/>
      <w:bookmarkStart w:id="1551" w:name="bookmark1551"/>
      <w:bookmarkStart w:id="1552" w:name="bookmark1552"/>
      <w:r>
        <w:rPr>
          <w:color w:val="000000"/>
          <w:spacing w:val="0"/>
          <w:w w:val="100"/>
          <w:position w:val="0"/>
        </w:rPr>
        <w:t>注释</w:t>
      </w:r>
      <w:r>
        <w:rPr>
          <w:rFonts w:ascii="Times New Roman" w:eastAsia="Times New Roman" w:hAnsi="Times New Roman" w:cs="Times New Roman"/>
          <w:color w:val="000000"/>
          <w:spacing w:val="0"/>
          <w:w w:val="100"/>
          <w:position w:val="0"/>
        </w:rPr>
        <w:t>59.</w:t>
      </w:r>
      <w:r>
        <w:rPr>
          <w:color w:val="000000"/>
          <w:spacing w:val="0"/>
          <w:w w:val="100"/>
          <w:position w:val="0"/>
        </w:rPr>
        <w:t>资产处置收益</w:t>
      </w:r>
      <w:bookmarkEnd w:id="1550"/>
      <w:bookmarkEnd w:id="1551"/>
      <w:bookmarkEnd w:id="1552"/>
    </w:p>
    <w:tbl>
      <w:tblPr>
        <w:tblOverlap w:val="never"/>
        <w:jc w:val="center"/>
        <w:tblLayout w:type="fixed"/>
      </w:tblPr>
      <w:tblGrid>
        <w:gridCol w:w="2525"/>
        <w:gridCol w:w="1531"/>
        <w:gridCol w:w="1536"/>
        <w:gridCol w:w="2678"/>
      </w:tblGrid>
      <w:tr>
        <w:trPr>
          <w:trHeight w:val="37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本期发生额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上期发生额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计入当期非经常性损益的金额</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非流动资产处置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31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971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152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31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971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39</w:t>
            </w:r>
          </w:p>
        </w:tc>
      </w:tr>
      <w:tr>
        <w:trPr>
          <w:trHeight w:val="432"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31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971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152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31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971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39</w:t>
            </w:r>
          </w:p>
        </w:tc>
      </w:tr>
    </w:tbl>
    <w:p>
      <w:pPr>
        <w:widowControl w:val="0"/>
        <w:spacing w:after="659" w:line="1" w:lineRule="exact"/>
      </w:pPr>
    </w:p>
    <w:p>
      <w:pPr>
        <w:pStyle w:val="Style37"/>
        <w:keepNext/>
        <w:keepLines/>
        <w:widowControl w:val="0"/>
        <w:shd w:val="clear" w:color="auto" w:fill="auto"/>
        <w:bidi w:val="0"/>
        <w:spacing w:before="0" w:after="140" w:line="240" w:lineRule="auto"/>
        <w:ind w:left="0" w:right="0" w:firstLine="420"/>
        <w:jc w:val="left"/>
      </w:pPr>
      <w:bookmarkStart w:id="1553" w:name="bookmark1553"/>
      <w:bookmarkStart w:id="1554" w:name="bookmark1554"/>
      <w:bookmarkStart w:id="1555" w:name="bookmark1555"/>
      <w:r>
        <w:rPr>
          <w:color w:val="000000"/>
          <w:spacing w:val="0"/>
          <w:w w:val="100"/>
          <w:position w:val="0"/>
        </w:rPr>
        <w:t>注释</w:t>
      </w:r>
      <w:r>
        <w:rPr>
          <w:rFonts w:ascii="Times New Roman" w:eastAsia="Times New Roman" w:hAnsi="Times New Roman" w:cs="Times New Roman"/>
          <w:color w:val="000000"/>
          <w:spacing w:val="0"/>
          <w:w w:val="100"/>
          <w:position w:val="0"/>
        </w:rPr>
        <w:t>60 .</w:t>
      </w:r>
      <w:r>
        <w:rPr>
          <w:color w:val="000000"/>
          <w:spacing w:val="0"/>
          <w:w w:val="100"/>
          <w:position w:val="0"/>
        </w:rPr>
        <w:t>营业外收入</w:t>
      </w:r>
      <w:bookmarkEnd w:id="1553"/>
      <w:bookmarkEnd w:id="1554"/>
      <w:bookmarkEnd w:id="1555"/>
    </w:p>
    <w:tbl>
      <w:tblPr>
        <w:tblOverlap w:val="never"/>
        <w:jc w:val="center"/>
        <w:tblLayout w:type="fixed"/>
      </w:tblPr>
      <w:tblGrid>
        <w:gridCol w:w="2357"/>
        <w:gridCol w:w="2002"/>
        <w:gridCol w:w="2011"/>
        <w:gridCol w:w="1939"/>
      </w:tblGrid>
      <w:tr>
        <w:trPr>
          <w:trHeight w:val="58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本期发生额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上期发生额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计入当期非经常性损 益的金额</w:t>
            </w:r>
          </w:p>
        </w:tc>
      </w:tr>
      <w:tr>
        <w:trPr>
          <w:trHeight w:val="39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其他（注）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162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021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943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576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162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021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09</w:t>
            </w:r>
          </w:p>
        </w:tc>
      </w:tr>
      <w:tr>
        <w:trPr>
          <w:trHeight w:val="432"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312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021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995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576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312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021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09</w:t>
            </w:r>
          </w:p>
        </w:tc>
      </w:tr>
    </w:tbl>
    <w:p>
      <w:pPr>
        <w:widowControl w:val="0"/>
        <w:spacing w:after="139" w:line="1" w:lineRule="exact"/>
      </w:pPr>
    </w:p>
    <w:p>
      <w:pPr>
        <w:pStyle w:val="Style16"/>
        <w:keepNext w:val="0"/>
        <w:keepLines w:val="0"/>
        <w:widowControl w:val="0"/>
        <w:shd w:val="clear" w:color="auto" w:fill="auto"/>
        <w:bidi w:val="0"/>
        <w:spacing w:before="0" w:after="140" w:line="240" w:lineRule="auto"/>
        <w:ind w:left="0" w:right="0" w:firstLine="420"/>
        <w:jc w:val="left"/>
      </w:pPr>
      <w:r>
        <w:rPr>
          <w:color w:val="000000"/>
          <w:spacing w:val="0"/>
          <w:w w:val="100"/>
          <w:position w:val="0"/>
        </w:rPr>
        <w:t>注：由于前期会计差错更正其他上期发生额减少</w:t>
      </w:r>
      <w:r>
        <w:rPr>
          <w:rFonts w:ascii="Times New Roman" w:eastAsia="Times New Roman" w:hAnsi="Times New Roman" w:cs="Times New Roman"/>
          <w:color w:val="000000"/>
          <w:spacing w:val="0"/>
          <w:w w:val="100"/>
          <w:position w:val="0"/>
        </w:rPr>
        <w:t>200</w:t>
      </w:r>
      <w:r>
        <w:rPr>
          <w:color w:val="000000"/>
          <w:spacing w:val="0"/>
          <w:w w:val="100"/>
          <w:position w:val="0"/>
        </w:rPr>
        <w:t>,</w:t>
      </w:r>
      <w:r>
        <w:rPr>
          <w:rFonts w:ascii="Times New Roman" w:eastAsia="Times New Roman" w:hAnsi="Times New Roman" w:cs="Times New Roman"/>
          <w:color w:val="000000"/>
          <w:spacing w:val="0"/>
          <w:w w:val="100"/>
          <w:position w:val="0"/>
        </w:rPr>
        <w:t>565</w:t>
      </w:r>
      <w:r>
        <w:rPr>
          <w:color w:val="000000"/>
          <w:spacing w:val="0"/>
          <w:w w:val="100"/>
          <w:position w:val="0"/>
        </w:rPr>
        <w:t>,</w:t>
      </w:r>
      <w:r>
        <w:rPr>
          <w:rFonts w:ascii="Times New Roman" w:eastAsia="Times New Roman" w:hAnsi="Times New Roman" w:cs="Times New Roman"/>
          <w:color w:val="000000"/>
          <w:spacing w:val="0"/>
          <w:w w:val="100"/>
          <w:position w:val="0"/>
        </w:rPr>
        <w:t>802</w:t>
      </w:r>
      <w:r>
        <w:rPr>
          <w:color w:val="000000"/>
          <w:spacing w:val="0"/>
          <w:w w:val="100"/>
          <w:position w:val="0"/>
        </w:rPr>
        <w:t>.</w:t>
      </w:r>
      <w:r>
        <w:rPr>
          <w:rFonts w:ascii="Times New Roman" w:eastAsia="Times New Roman" w:hAnsi="Times New Roman" w:cs="Times New Roman"/>
          <w:color w:val="000000"/>
          <w:spacing w:val="0"/>
          <w:w w:val="100"/>
          <w:position w:val="0"/>
        </w:rPr>
        <w:t>38</w:t>
      </w:r>
      <w:r>
        <w:rPr>
          <w:color w:val="000000"/>
          <w:spacing w:val="0"/>
          <w:w w:val="100"/>
          <w:position w:val="0"/>
        </w:rPr>
        <w:t>元，详见附注十五、</w:t>
      </w:r>
    </w:p>
    <w:p>
      <w:pPr>
        <w:pStyle w:val="Style16"/>
        <w:keepNext w:val="0"/>
        <w:keepLines w:val="0"/>
        <w:widowControl w:val="0"/>
        <w:shd w:val="clear" w:color="auto" w:fill="auto"/>
        <w:bidi w:val="0"/>
        <w:spacing w:before="0" w:after="320" w:line="240" w:lineRule="auto"/>
        <w:ind w:left="0" w:right="0" w:firstLine="0"/>
        <w:jc w:val="left"/>
      </w:pPr>
      <w:r>
        <w:rPr>
          <w:color w:val="000000"/>
          <w:spacing w:val="0"/>
          <w:w w:val="100"/>
          <w:position w:val="0"/>
        </w:rPr>
        <w:t>（一）。</w:t>
      </w:r>
    </w:p>
    <w:p>
      <w:pPr>
        <w:pStyle w:val="Style51"/>
        <w:keepNext/>
        <w:keepLines/>
        <w:widowControl w:val="0"/>
        <w:shd w:val="clear" w:color="auto" w:fill="auto"/>
        <w:bidi w:val="0"/>
        <w:spacing w:before="0" w:after="140" w:line="240" w:lineRule="auto"/>
        <w:ind w:left="0" w:right="0" w:firstLine="840"/>
        <w:jc w:val="left"/>
      </w:pPr>
      <w:bookmarkStart w:id="1556" w:name="bookmark1556"/>
      <w:bookmarkStart w:id="1557" w:name="bookmark1557"/>
      <w:bookmarkStart w:id="1558" w:name="bookmark1558"/>
      <w:r>
        <w:rPr>
          <w:color w:val="000000"/>
          <w:spacing w:val="0"/>
          <w:w w:val="100"/>
          <w:position w:val="0"/>
        </w:rPr>
        <w:t>计入当期损益的政府补助</w:t>
      </w:r>
      <w:bookmarkEnd w:id="1556"/>
      <w:bookmarkEnd w:id="1557"/>
      <w:bookmarkEnd w:id="1558"/>
    </w:p>
    <w:tbl>
      <w:tblPr>
        <w:tblOverlap w:val="never"/>
        <w:jc w:val="center"/>
        <w:tblLayout w:type="fixed"/>
      </w:tblPr>
      <w:tblGrid>
        <w:gridCol w:w="3552"/>
        <w:gridCol w:w="1781"/>
        <w:gridCol w:w="1771"/>
        <w:gridCol w:w="1224"/>
      </w:tblGrid>
      <w:tr>
        <w:trPr>
          <w:trHeight w:val="62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补助项目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center"/>
              <w:rPr>
                <w:sz w:val="18"/>
                <w:szCs w:val="18"/>
              </w:rPr>
            </w:pPr>
            <w:r>
              <w:rPr>
                <w:color w:val="000000"/>
                <w:spacing w:val="0"/>
                <w:w w:val="100"/>
                <w:position w:val="0"/>
                <w:sz w:val="18"/>
                <w:szCs w:val="18"/>
              </w:rPr>
              <w:t>与资产相关</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w:t>
            </w:r>
            <w:r>
              <w:rPr>
                <w:color w:val="000000"/>
                <w:spacing w:val="0"/>
                <w:w w:val="100"/>
                <w:position w:val="0"/>
                <w:sz w:val="18"/>
                <w:szCs w:val="18"/>
              </w:rPr>
              <w:t>与收益相关</w:t>
            </w:r>
          </w:p>
        </w:tc>
      </w:tr>
      <w:tr>
        <w:trPr>
          <w:trHeight w:val="71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和</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8"/>
                <w:szCs w:val="18"/>
              </w:rPr>
              <w:t>年度顺德区促进知识产权发</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展专项资金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150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8"/>
                <w:szCs w:val="18"/>
              </w:rPr>
            </w:pPr>
            <w:r>
              <w:rPr>
                <w:color w:val="000000"/>
                <w:spacing w:val="0"/>
                <w:w w:val="100"/>
                <w:position w:val="0"/>
                <w:sz w:val="18"/>
                <w:szCs w:val="18"/>
              </w:rPr>
              <w:t>与收益相关</w:t>
            </w:r>
          </w:p>
        </w:tc>
      </w:tr>
      <w:tr>
        <w:trPr>
          <w:trHeight w:val="71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color w:val="000000"/>
                <w:spacing w:val="0"/>
                <w:w w:val="100"/>
                <w:position w:val="0"/>
                <w:sz w:val="18"/>
                <w:szCs w:val="18"/>
              </w:rPr>
              <w:t>佛山市顺德区经济和科技促进局拨付</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8"/>
                <w:szCs w:val="18"/>
              </w:rPr>
              <w:t>年度容桂科技计划项目收入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8"/>
                <w:szCs w:val="18"/>
              </w:rPr>
            </w:pPr>
            <w:r>
              <w:rPr>
                <w:color w:val="000000"/>
                <w:spacing w:val="0"/>
                <w:w w:val="100"/>
                <w:position w:val="0"/>
                <w:sz w:val="18"/>
                <w:szCs w:val="18"/>
              </w:rPr>
              <w:t>与收益相关</w:t>
            </w:r>
          </w:p>
        </w:tc>
      </w:tr>
      <w:tr>
        <w:trPr>
          <w:trHeight w:val="432"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150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439" w:line="1" w:lineRule="exact"/>
      </w:pPr>
    </w:p>
    <w:p>
      <w:pPr>
        <w:pStyle w:val="Style37"/>
        <w:keepNext/>
        <w:keepLines/>
        <w:widowControl w:val="0"/>
        <w:shd w:val="clear" w:color="auto" w:fill="auto"/>
        <w:bidi w:val="0"/>
        <w:spacing w:before="0" w:after="140" w:line="240" w:lineRule="auto"/>
        <w:ind w:left="0" w:right="0" w:firstLine="420"/>
        <w:jc w:val="left"/>
      </w:pPr>
      <w:bookmarkStart w:id="1559" w:name="bookmark1559"/>
      <w:bookmarkStart w:id="1560" w:name="bookmark1560"/>
      <w:bookmarkStart w:id="1561" w:name="bookmark1561"/>
      <w:r>
        <w:rPr>
          <w:color w:val="000000"/>
          <w:spacing w:val="0"/>
          <w:w w:val="100"/>
          <w:position w:val="0"/>
        </w:rPr>
        <w:t>注释</w:t>
      </w:r>
      <w:r>
        <w:rPr>
          <w:rFonts w:ascii="Times New Roman" w:eastAsia="Times New Roman" w:hAnsi="Times New Roman" w:cs="Times New Roman"/>
          <w:color w:val="000000"/>
          <w:spacing w:val="0"/>
          <w:w w:val="100"/>
          <w:position w:val="0"/>
        </w:rPr>
        <w:t>61.</w:t>
      </w:r>
      <w:r>
        <w:rPr>
          <w:color w:val="000000"/>
          <w:spacing w:val="0"/>
          <w:w w:val="100"/>
          <w:position w:val="0"/>
        </w:rPr>
        <w:t>营业外支出</w:t>
      </w:r>
      <w:bookmarkEnd w:id="1559"/>
      <w:bookmarkEnd w:id="1560"/>
      <w:bookmarkEnd w:id="1561"/>
    </w:p>
    <w:tbl>
      <w:tblPr>
        <w:tblOverlap w:val="never"/>
        <w:jc w:val="center"/>
        <w:tblLayout w:type="fixed"/>
      </w:tblPr>
      <w:tblGrid>
        <w:gridCol w:w="2827"/>
        <w:gridCol w:w="1848"/>
        <w:gridCol w:w="1656"/>
        <w:gridCol w:w="1968"/>
      </w:tblGrid>
      <w:tr>
        <w:trPr>
          <w:trHeight w:val="75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上期发生额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计入本期非经常性损益</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的金额</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非流动资产毁损报废损失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802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954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325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802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954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14</w:t>
            </w:r>
          </w:p>
        </w:tc>
      </w:tr>
      <w:tr>
        <w:trPr>
          <w:trHeight w:val="427"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对外捐赠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220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936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532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860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220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936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21</w:t>
            </w:r>
          </w:p>
        </w:tc>
      </w:tr>
    </w:tbl>
    <w:p>
      <w:pPr>
        <w:widowControl w:val="0"/>
        <w:spacing w:line="1" w:lineRule="exact"/>
      </w:pPr>
      <w:r>
        <w:br w:type="page"/>
      </w:r>
    </w:p>
    <w:tbl>
      <w:tblPr>
        <w:tblOverlap w:val="never"/>
        <w:jc w:val="center"/>
        <w:tblLayout w:type="fixed"/>
      </w:tblPr>
      <w:tblGrid>
        <w:gridCol w:w="2827"/>
        <w:gridCol w:w="1848"/>
        <w:gridCol w:w="1656"/>
        <w:gridCol w:w="1968"/>
      </w:tblGrid>
      <w:tr>
        <w:trPr>
          <w:trHeight w:val="42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罚款支出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403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166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403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166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12</w:t>
            </w:r>
          </w:p>
        </w:tc>
      </w:tr>
      <w:tr>
        <w:trPr>
          <w:trHeight w:val="41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421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221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436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111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421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221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07</w:t>
            </w:r>
          </w:p>
        </w:tc>
      </w:tr>
      <w:tr>
        <w:trPr>
          <w:trHeight w:val="451"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848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277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513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296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848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277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54</w:t>
            </w:r>
          </w:p>
        </w:tc>
      </w:tr>
    </w:tbl>
    <w:p>
      <w:pPr>
        <w:widowControl w:val="0"/>
        <w:spacing w:after="439" w:line="1" w:lineRule="exact"/>
      </w:pPr>
    </w:p>
    <w:p>
      <w:pPr>
        <w:pStyle w:val="Style37"/>
        <w:keepNext/>
        <w:keepLines/>
        <w:widowControl w:val="0"/>
        <w:shd w:val="clear" w:color="auto" w:fill="auto"/>
        <w:bidi w:val="0"/>
        <w:spacing w:before="0" w:after="140" w:line="240" w:lineRule="auto"/>
        <w:ind w:left="0" w:right="0" w:firstLine="400"/>
        <w:jc w:val="left"/>
      </w:pPr>
      <w:bookmarkStart w:id="1562" w:name="bookmark1562"/>
      <w:bookmarkStart w:id="1563" w:name="bookmark1563"/>
      <w:bookmarkStart w:id="1564" w:name="bookmark1564"/>
      <w:r>
        <w:rPr>
          <w:color w:val="000000"/>
          <w:spacing w:val="0"/>
          <w:w w:val="100"/>
          <w:position w:val="0"/>
        </w:rPr>
        <w:t>注释</w:t>
      </w:r>
      <w:r>
        <w:rPr>
          <w:rFonts w:ascii="Times New Roman" w:eastAsia="Times New Roman" w:hAnsi="Times New Roman" w:cs="Times New Roman"/>
          <w:color w:val="000000"/>
          <w:spacing w:val="0"/>
          <w:w w:val="100"/>
          <w:position w:val="0"/>
        </w:rPr>
        <w:t>62.</w:t>
      </w:r>
      <w:r>
        <w:rPr>
          <w:color w:val="000000"/>
          <w:spacing w:val="0"/>
          <w:w w:val="100"/>
          <w:position w:val="0"/>
        </w:rPr>
        <w:t>所得税费用</w:t>
      </w:r>
      <w:bookmarkEnd w:id="1562"/>
      <w:bookmarkEnd w:id="1563"/>
      <w:bookmarkEnd w:id="1564"/>
    </w:p>
    <w:p>
      <w:pPr>
        <w:pStyle w:val="Style51"/>
        <w:keepNext/>
        <w:keepLines/>
        <w:widowControl w:val="0"/>
        <w:shd w:val="clear" w:color="auto" w:fill="auto"/>
        <w:bidi w:val="0"/>
        <w:spacing w:before="0" w:after="140" w:line="240" w:lineRule="auto"/>
        <w:ind w:left="0" w:right="0" w:firstLine="400"/>
        <w:jc w:val="left"/>
      </w:pPr>
      <w:bookmarkStart w:id="1565" w:name="bookmark1565"/>
      <w:bookmarkStart w:id="1566" w:name="bookmark1566"/>
      <w:bookmarkStart w:id="1567" w:name="bookmark1567"/>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所得税费用</w:t>
      </w:r>
      <w:bookmarkEnd w:id="1565"/>
      <w:bookmarkEnd w:id="1566"/>
      <w:bookmarkEnd w:id="1567"/>
    </w:p>
    <w:tbl>
      <w:tblPr>
        <w:tblOverlap w:val="never"/>
        <w:jc w:val="center"/>
        <w:tblLayout w:type="fixed"/>
      </w:tblPr>
      <w:tblGrid>
        <w:gridCol w:w="2803"/>
        <w:gridCol w:w="2774"/>
        <w:gridCol w:w="2722"/>
      </w:tblGrid>
      <w:tr>
        <w:trPr>
          <w:trHeight w:val="437"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当期所得税费用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424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608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25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031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467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68</w:t>
            </w:r>
          </w:p>
        </w:tc>
      </w:tr>
      <w:tr>
        <w:trPr>
          <w:trHeight w:val="39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递延所得税费用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270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301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82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557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054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92</w:t>
            </w:r>
          </w:p>
        </w:tc>
      </w:tr>
      <w:tr>
        <w:trPr>
          <w:trHeight w:val="432"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154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307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588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522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60</w:t>
            </w:r>
          </w:p>
        </w:tc>
      </w:tr>
    </w:tbl>
    <w:p>
      <w:pPr>
        <w:widowControl w:val="0"/>
        <w:spacing w:after="299" w:line="1" w:lineRule="exact"/>
      </w:pPr>
    </w:p>
    <w:p>
      <w:pPr>
        <w:pStyle w:val="Style51"/>
        <w:keepNext/>
        <w:keepLines/>
        <w:widowControl w:val="0"/>
        <w:shd w:val="clear" w:color="auto" w:fill="auto"/>
        <w:bidi w:val="0"/>
        <w:spacing w:before="0" w:after="140" w:line="240" w:lineRule="auto"/>
        <w:ind w:left="0" w:right="0" w:firstLine="400"/>
        <w:jc w:val="left"/>
      </w:pPr>
      <w:bookmarkStart w:id="1568" w:name="bookmark1568"/>
      <w:bookmarkStart w:id="1569" w:name="bookmark1569"/>
      <w:bookmarkStart w:id="1570" w:name="bookmark1570"/>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会计利润与所得税费用调整过程</w:t>
      </w:r>
      <w:bookmarkEnd w:id="1568"/>
      <w:bookmarkEnd w:id="1569"/>
      <w:bookmarkEnd w:id="1570"/>
    </w:p>
    <w:tbl>
      <w:tblPr>
        <w:tblOverlap w:val="never"/>
        <w:jc w:val="center"/>
        <w:tblLayout w:type="fixed"/>
      </w:tblPr>
      <w:tblGrid>
        <w:gridCol w:w="5659"/>
        <w:gridCol w:w="2592"/>
      </w:tblGrid>
      <w:tr>
        <w:trPr>
          <w:trHeight w:val="44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6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利润总额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326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284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849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76</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按法定/适用税率计算的所得税费用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571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212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44</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子公司适用不同税率的影响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492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866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88</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调整以前期间所得税的影响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113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68</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非应税收入的影响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047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153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15</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不可抵扣的成本、费用和损失影响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235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142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02</w:t>
            </w:r>
          </w:p>
        </w:tc>
      </w:tr>
      <w:tr>
        <w:trPr>
          <w:trHeight w:val="42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使用前期未确认递延所得税资产的可抵扣亏损的影响</w:t>
            </w: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本期未确认递延所得税资产的可抵扣暂时性差异或可抵扣亏损的影响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695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550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52</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税法规定的额外可扣除费用（研发加计扣除）</w:t>
            </w: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所得税费用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154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307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51</w:t>
            </w:r>
          </w:p>
        </w:tc>
      </w:tr>
    </w:tbl>
    <w:p>
      <w:pPr>
        <w:widowControl w:val="0"/>
        <w:spacing w:after="719" w:line="1" w:lineRule="exact"/>
      </w:pPr>
    </w:p>
    <w:p>
      <w:pPr>
        <w:pStyle w:val="Style37"/>
        <w:keepNext/>
        <w:keepLines/>
        <w:widowControl w:val="0"/>
        <w:shd w:val="clear" w:color="auto" w:fill="auto"/>
        <w:bidi w:val="0"/>
        <w:spacing w:before="0" w:after="140" w:line="240" w:lineRule="auto"/>
        <w:ind w:left="0" w:right="0" w:firstLine="400"/>
        <w:jc w:val="left"/>
      </w:pPr>
      <w:bookmarkStart w:id="1571" w:name="bookmark1571"/>
      <w:bookmarkStart w:id="1572" w:name="bookmark1572"/>
      <w:bookmarkStart w:id="1573" w:name="bookmark1573"/>
      <w:r>
        <w:rPr>
          <w:color w:val="000000"/>
          <w:spacing w:val="0"/>
          <w:w w:val="100"/>
          <w:position w:val="0"/>
        </w:rPr>
        <w:t>注释</w:t>
      </w:r>
      <w:r>
        <w:rPr>
          <w:rFonts w:ascii="Times New Roman" w:eastAsia="Times New Roman" w:hAnsi="Times New Roman" w:cs="Times New Roman"/>
          <w:color w:val="000000"/>
          <w:spacing w:val="0"/>
          <w:w w:val="100"/>
          <w:position w:val="0"/>
        </w:rPr>
        <w:t>63.</w:t>
      </w:r>
      <w:r>
        <w:rPr>
          <w:color w:val="000000"/>
          <w:spacing w:val="0"/>
          <w:w w:val="100"/>
          <w:position w:val="0"/>
        </w:rPr>
        <w:t>现金流量表附注</w:t>
      </w:r>
      <w:bookmarkEnd w:id="1571"/>
      <w:bookmarkEnd w:id="1572"/>
      <w:bookmarkEnd w:id="1573"/>
    </w:p>
    <w:p>
      <w:pPr>
        <w:pStyle w:val="Style51"/>
        <w:keepNext/>
        <w:keepLines/>
        <w:widowControl w:val="0"/>
        <w:shd w:val="clear" w:color="auto" w:fill="auto"/>
        <w:bidi w:val="0"/>
        <w:spacing w:before="0" w:after="140" w:line="240" w:lineRule="auto"/>
        <w:ind w:left="0" w:right="0" w:firstLine="400"/>
        <w:jc w:val="left"/>
      </w:pPr>
      <w:bookmarkStart w:id="1574" w:name="bookmark1574"/>
      <w:bookmarkStart w:id="1575" w:name="bookmark1575"/>
      <w:bookmarkStart w:id="1576" w:name="bookmark1576"/>
      <w:r>
        <w:rPr>
          <w:color w:val="000000"/>
          <w:spacing w:val="0"/>
          <w:w w:val="100"/>
          <w:position w:val="0"/>
        </w:rPr>
        <w:t>1.</w:t>
      </w:r>
      <w:r>
        <w:rPr>
          <w:color w:val="000000"/>
          <w:spacing w:val="0"/>
          <w:w w:val="100"/>
          <w:position w:val="0"/>
        </w:rPr>
        <w:t>收到其他与经营活动有关的现金</w:t>
      </w:r>
      <w:bookmarkEnd w:id="1574"/>
      <w:bookmarkEnd w:id="1575"/>
      <w:bookmarkEnd w:id="1576"/>
    </w:p>
    <w:tbl>
      <w:tblPr>
        <w:tblOverlap w:val="never"/>
        <w:jc w:val="center"/>
        <w:tblLayout w:type="fixed"/>
      </w:tblPr>
      <w:tblGrid>
        <w:gridCol w:w="2952"/>
        <w:gridCol w:w="2640"/>
        <w:gridCol w:w="2674"/>
      </w:tblGrid>
      <w:tr>
        <w:trPr>
          <w:trHeight w:val="44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清算款及其他往来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039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808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492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749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80</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政府补助、其他收益现金流入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849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870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468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424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78</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631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275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114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296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77</w:t>
            </w:r>
          </w:p>
        </w:tc>
      </w:tr>
      <w:tr>
        <w:trPr>
          <w:trHeight w:val="44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营业外收入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162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021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754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349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56</w:t>
            </w:r>
          </w:p>
        </w:tc>
      </w:tr>
    </w:tbl>
    <w:p>
      <w:pPr>
        <w:widowControl w:val="0"/>
        <w:spacing w:line="1" w:lineRule="exact"/>
      </w:pPr>
      <w:r>
        <w:br w:type="page"/>
      </w:r>
    </w:p>
    <w:tbl>
      <w:tblPr>
        <w:tblOverlap w:val="never"/>
        <w:jc w:val="center"/>
        <w:tblLayout w:type="fixed"/>
      </w:tblPr>
      <w:tblGrid>
        <w:gridCol w:w="2952"/>
        <w:gridCol w:w="2640"/>
        <w:gridCol w:w="2674"/>
      </w:tblGrid>
      <w:tr>
        <w:trPr>
          <w:trHeight w:val="44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923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426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409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10</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659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508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824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654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18</w:t>
            </w:r>
          </w:p>
        </w:tc>
      </w:tr>
      <w:tr>
        <w:trPr>
          <w:trHeight w:val="44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265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910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529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884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19</w:t>
            </w:r>
          </w:p>
        </w:tc>
      </w:tr>
    </w:tbl>
    <w:p>
      <w:pPr>
        <w:widowControl w:val="0"/>
        <w:spacing w:after="299" w:line="1" w:lineRule="exact"/>
      </w:pPr>
    </w:p>
    <w:p>
      <w:pPr>
        <w:pStyle w:val="Style51"/>
        <w:keepNext/>
        <w:keepLines/>
        <w:widowControl w:val="0"/>
        <w:shd w:val="clear" w:color="auto" w:fill="auto"/>
        <w:bidi w:val="0"/>
        <w:spacing w:before="0" w:after="160" w:line="240" w:lineRule="auto"/>
        <w:ind w:left="0" w:right="0" w:firstLine="420"/>
        <w:jc w:val="left"/>
      </w:pPr>
      <w:bookmarkStart w:id="1577" w:name="bookmark1577"/>
      <w:bookmarkStart w:id="1578" w:name="bookmark1578"/>
      <w:bookmarkStart w:id="1579" w:name="bookmark1579"/>
      <w:r>
        <w:rPr>
          <w:color w:val="000000"/>
          <w:spacing w:val="0"/>
          <w:w w:val="100"/>
          <w:position w:val="0"/>
        </w:rPr>
        <w:t>2.</w:t>
      </w:r>
      <w:r>
        <w:rPr>
          <w:color w:val="000000"/>
          <w:spacing w:val="0"/>
          <w:w w:val="100"/>
          <w:position w:val="0"/>
        </w:rPr>
        <w:t>支付其他与经营活动有关的现金</w:t>
      </w:r>
      <w:bookmarkEnd w:id="1577"/>
      <w:bookmarkEnd w:id="1578"/>
      <w:bookmarkEnd w:id="1579"/>
    </w:p>
    <w:tbl>
      <w:tblPr>
        <w:tblOverlap w:val="never"/>
        <w:jc w:val="center"/>
        <w:tblLayout w:type="fixed"/>
      </w:tblPr>
      <w:tblGrid>
        <w:gridCol w:w="2952"/>
        <w:gridCol w:w="2654"/>
        <w:gridCol w:w="2688"/>
      </w:tblGrid>
      <w:tr>
        <w:trPr>
          <w:trHeight w:val="44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存出保证金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733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495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517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747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88</w:t>
            </w:r>
          </w:p>
        </w:tc>
      </w:tr>
      <w:tr>
        <w:trPr>
          <w:trHeight w:val="41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清算款及其他往来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830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865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399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559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564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34</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045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323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398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347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30</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支付银行手续费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769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854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94</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419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724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162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415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024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771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83</w:t>
            </w:r>
          </w:p>
        </w:tc>
      </w:tr>
      <w:tr>
        <w:trPr>
          <w:trHeight w:val="44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575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363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521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318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657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286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29</w:t>
            </w:r>
          </w:p>
        </w:tc>
      </w:tr>
    </w:tbl>
    <w:p>
      <w:pPr>
        <w:widowControl w:val="0"/>
        <w:spacing w:after="299" w:line="1" w:lineRule="exact"/>
      </w:pPr>
    </w:p>
    <w:p>
      <w:pPr>
        <w:pStyle w:val="Style51"/>
        <w:keepNext/>
        <w:keepLines/>
        <w:widowControl w:val="0"/>
        <w:numPr>
          <w:ilvl w:val="0"/>
          <w:numId w:val="97"/>
        </w:numPr>
        <w:shd w:val="clear" w:color="auto" w:fill="auto"/>
        <w:bidi w:val="0"/>
        <w:spacing w:before="0" w:after="160" w:line="240" w:lineRule="auto"/>
        <w:ind w:left="0" w:right="0" w:firstLine="420"/>
        <w:jc w:val="left"/>
      </w:pPr>
      <w:bookmarkStart w:id="1580" w:name="bookmark1580"/>
      <w:bookmarkStart w:id="1581" w:name="bookmark1581"/>
      <w:bookmarkStart w:id="1582" w:name="bookmark1582"/>
      <w:bookmarkStart w:id="1583" w:name="bookmark1583"/>
      <w:bookmarkEnd w:id="1582"/>
      <w:r>
        <w:rPr>
          <w:color w:val="000000"/>
          <w:spacing w:val="0"/>
          <w:w w:val="100"/>
          <w:position w:val="0"/>
        </w:rPr>
        <w:t>收到其他与投资活动有关的现金</w:t>
      </w:r>
      <w:bookmarkEnd w:id="1580"/>
      <w:bookmarkEnd w:id="1581"/>
      <w:bookmarkEnd w:id="1583"/>
    </w:p>
    <w:tbl>
      <w:tblPr>
        <w:tblOverlap w:val="never"/>
        <w:jc w:val="center"/>
        <w:tblLayout w:type="fixed"/>
      </w:tblPr>
      <w:tblGrid>
        <w:gridCol w:w="3288"/>
        <w:gridCol w:w="2558"/>
        <w:gridCol w:w="2448"/>
      </w:tblGrid>
      <w:tr>
        <w:trPr>
          <w:trHeight w:val="37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股权投资认购款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299" w:line="1" w:lineRule="exact"/>
      </w:pPr>
    </w:p>
    <w:p>
      <w:pPr>
        <w:pStyle w:val="Style51"/>
        <w:keepNext/>
        <w:keepLines/>
        <w:widowControl w:val="0"/>
        <w:numPr>
          <w:ilvl w:val="0"/>
          <w:numId w:val="97"/>
        </w:numPr>
        <w:shd w:val="clear" w:color="auto" w:fill="auto"/>
        <w:bidi w:val="0"/>
        <w:spacing w:before="0" w:after="160" w:line="240" w:lineRule="auto"/>
        <w:ind w:left="0" w:right="0" w:firstLine="420"/>
        <w:jc w:val="left"/>
      </w:pPr>
      <w:bookmarkStart w:id="1584" w:name="bookmark1584"/>
      <w:bookmarkStart w:id="1585" w:name="bookmark1585"/>
      <w:bookmarkStart w:id="1586" w:name="bookmark1586"/>
      <w:bookmarkStart w:id="1587" w:name="bookmark1587"/>
      <w:bookmarkEnd w:id="1586"/>
      <w:r>
        <w:rPr>
          <w:color w:val="000000"/>
          <w:spacing w:val="0"/>
          <w:w w:val="100"/>
          <w:position w:val="0"/>
        </w:rPr>
        <w:t>支付其他与投资活动有关的现金</w:t>
      </w:r>
      <w:bookmarkEnd w:id="1584"/>
      <w:bookmarkEnd w:id="1585"/>
      <w:bookmarkEnd w:id="1587"/>
    </w:p>
    <w:tbl>
      <w:tblPr>
        <w:tblOverlap w:val="never"/>
        <w:jc w:val="center"/>
        <w:tblLayout w:type="fixed"/>
      </w:tblPr>
      <w:tblGrid>
        <w:gridCol w:w="3322"/>
        <w:gridCol w:w="2554"/>
        <w:gridCol w:w="2438"/>
      </w:tblGrid>
      <w:tr>
        <w:trPr>
          <w:trHeight w:val="37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股权投资认购款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699" w:line="1" w:lineRule="exact"/>
      </w:pPr>
    </w:p>
    <w:p>
      <w:pPr>
        <w:pStyle w:val="Style51"/>
        <w:keepNext/>
        <w:keepLines/>
        <w:widowControl w:val="0"/>
        <w:numPr>
          <w:ilvl w:val="0"/>
          <w:numId w:val="97"/>
        </w:numPr>
        <w:shd w:val="clear" w:color="auto" w:fill="auto"/>
        <w:bidi w:val="0"/>
        <w:spacing w:before="0" w:after="160" w:line="240" w:lineRule="auto"/>
        <w:ind w:left="0" w:right="0" w:firstLine="420"/>
        <w:jc w:val="left"/>
      </w:pPr>
      <w:bookmarkStart w:id="1588" w:name="bookmark1588"/>
      <w:bookmarkStart w:id="1589" w:name="bookmark1589"/>
      <w:bookmarkStart w:id="1590" w:name="bookmark1590"/>
      <w:bookmarkStart w:id="1591" w:name="bookmark1591"/>
      <w:bookmarkEnd w:id="1590"/>
      <w:r>
        <w:rPr>
          <w:color w:val="000000"/>
          <w:spacing w:val="0"/>
          <w:w w:val="100"/>
          <w:position w:val="0"/>
        </w:rPr>
        <w:t>收到其他与筹资活动有关的现金</w:t>
      </w:r>
      <w:bookmarkEnd w:id="1588"/>
      <w:bookmarkEnd w:id="1589"/>
      <w:bookmarkEnd w:id="1591"/>
    </w:p>
    <w:tbl>
      <w:tblPr>
        <w:tblOverlap w:val="never"/>
        <w:jc w:val="center"/>
        <w:tblLayout w:type="fixed"/>
      </w:tblPr>
      <w:tblGrid>
        <w:gridCol w:w="3288"/>
        <w:gridCol w:w="2554"/>
        <w:gridCol w:w="2453"/>
      </w:tblGrid>
      <w:tr>
        <w:trPr>
          <w:trHeight w:val="37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应付融资款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r>
      <w:tr>
        <w:trPr>
          <w:trHeight w:val="432"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r>
    </w:tbl>
    <w:p>
      <w:pPr>
        <w:widowControl w:val="0"/>
        <w:spacing w:after="459" w:line="1" w:lineRule="exact"/>
      </w:pPr>
    </w:p>
    <w:p>
      <w:pPr>
        <w:pStyle w:val="Style37"/>
        <w:keepNext/>
        <w:keepLines/>
        <w:widowControl w:val="0"/>
        <w:shd w:val="clear" w:color="auto" w:fill="auto"/>
        <w:bidi w:val="0"/>
        <w:spacing w:before="0" w:after="160" w:line="240" w:lineRule="auto"/>
        <w:ind w:left="0" w:right="0" w:firstLine="420"/>
        <w:jc w:val="left"/>
      </w:pPr>
      <w:bookmarkStart w:id="1592" w:name="bookmark1592"/>
      <w:bookmarkStart w:id="1593" w:name="bookmark1593"/>
      <w:bookmarkStart w:id="1594" w:name="bookmark1594"/>
      <w:r>
        <w:rPr>
          <w:color w:val="000000"/>
          <w:spacing w:val="0"/>
          <w:w w:val="100"/>
          <w:position w:val="0"/>
        </w:rPr>
        <w:t>注释</w:t>
      </w:r>
      <w:r>
        <w:rPr>
          <w:rFonts w:ascii="Times New Roman" w:eastAsia="Times New Roman" w:hAnsi="Times New Roman" w:cs="Times New Roman"/>
          <w:color w:val="000000"/>
          <w:spacing w:val="0"/>
          <w:w w:val="100"/>
          <w:position w:val="0"/>
        </w:rPr>
        <w:t>64.</w:t>
      </w:r>
      <w:r>
        <w:rPr>
          <w:color w:val="000000"/>
          <w:spacing w:val="0"/>
          <w:w w:val="100"/>
          <w:position w:val="0"/>
        </w:rPr>
        <w:t>现金流量表补充资料</w:t>
      </w:r>
      <w:bookmarkEnd w:id="1592"/>
      <w:bookmarkEnd w:id="1593"/>
      <w:bookmarkEnd w:id="1594"/>
    </w:p>
    <w:p>
      <w:pPr>
        <w:pStyle w:val="Style51"/>
        <w:keepNext/>
        <w:keepLines/>
        <w:widowControl w:val="0"/>
        <w:shd w:val="clear" w:color="auto" w:fill="auto"/>
        <w:bidi w:val="0"/>
        <w:spacing w:before="0" w:after="300" w:line="240" w:lineRule="auto"/>
        <w:ind w:left="0" w:right="0" w:firstLine="420"/>
        <w:jc w:val="left"/>
      </w:pPr>
      <w:bookmarkStart w:id="1595" w:name="bookmark1595"/>
      <w:bookmarkStart w:id="1596" w:name="bookmark1596"/>
      <w:bookmarkStart w:id="1597" w:name="bookmark1597"/>
      <w:r>
        <w:rPr>
          <w:color w:val="000000"/>
          <w:spacing w:val="0"/>
          <w:w w:val="100"/>
          <w:position w:val="0"/>
        </w:rPr>
        <w:t>1.</w:t>
      </w:r>
      <w:r>
        <w:rPr>
          <w:color w:val="000000"/>
          <w:spacing w:val="0"/>
          <w:w w:val="100"/>
          <w:position w:val="0"/>
        </w:rPr>
        <w:t>现金流量表补充资料</w:t>
      </w:r>
      <w:bookmarkEnd w:id="1595"/>
      <w:bookmarkEnd w:id="1596"/>
      <w:bookmarkEnd w:id="1597"/>
    </w:p>
    <w:p>
      <w:pPr>
        <w:pStyle w:val="Style100"/>
        <w:keepNext w:val="0"/>
        <w:keepLines w:val="0"/>
        <w:widowControl w:val="0"/>
        <w:shd w:val="clear" w:color="auto" w:fill="auto"/>
        <w:tabs>
          <w:tab w:pos="4794" w:val="left"/>
          <w:tab w:pos="6878" w:val="left"/>
        </w:tabs>
        <w:bidi w:val="0"/>
        <w:spacing w:before="0" w:after="300" w:line="240" w:lineRule="auto"/>
        <w:ind w:left="1900" w:right="0" w:firstLine="0"/>
        <w:jc w:val="left"/>
      </w:pPr>
      <w:r>
        <w:rPr>
          <w:color w:val="000000"/>
          <w:spacing w:val="0"/>
          <w:w w:val="100"/>
          <w:position w:val="0"/>
        </w:rPr>
        <w:t>项目</w:t>
        <w:tab/>
        <w:t>本期金额</w:t>
        <w:tab/>
        <w:t>上期金额</w:t>
      </w:r>
      <w:r>
        <w:br w:type="page"/>
      </w:r>
    </w:p>
    <w:tbl>
      <w:tblPr>
        <w:tblOverlap w:val="never"/>
        <w:jc w:val="center"/>
        <w:tblLayout w:type="fixed"/>
      </w:tblPr>
      <w:tblGrid>
        <w:gridCol w:w="4104"/>
        <w:gridCol w:w="2093"/>
        <w:gridCol w:w="2126"/>
      </w:tblGrid>
      <w:tr>
        <w:trPr>
          <w:trHeight w:val="44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上期金额</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、将净利润调节为经营活动现金流量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366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439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157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76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933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345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32</w:t>
            </w:r>
          </w:p>
        </w:tc>
      </w:tr>
      <w:tr>
        <w:trPr>
          <w:trHeight w:val="41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加：信用减值损失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534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116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88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590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272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60</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709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412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固定资产折旧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847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487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280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985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78</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生产性生物资产折旧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油气资产折耗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930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337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875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787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72</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长期待摊费用摊销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722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758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27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171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652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08</w:t>
            </w:r>
          </w:p>
        </w:tc>
      </w:tr>
      <w:tr>
        <w:trPr>
          <w:trHeight w:val="73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420"/>
              <w:jc w:val="left"/>
              <w:rPr>
                <w:sz w:val="18"/>
                <w:szCs w:val="18"/>
              </w:rPr>
            </w:pPr>
            <w:r>
              <w:rPr>
                <w:color w:val="000000"/>
                <w:spacing w:val="0"/>
                <w:w w:val="100"/>
                <w:position w:val="0"/>
                <w:sz w:val="18"/>
                <w:szCs w:val="18"/>
              </w:rPr>
              <w:t>处置固定资产、无形资产和其他长期资产的损 失（收益以“一”号填列）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971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634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67</w:t>
            </w:r>
          </w:p>
        </w:tc>
      </w:tr>
      <w:tr>
        <w:trPr>
          <w:trHeight w:val="41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固定资产报废损失（收益以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802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954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124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84</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公允价值变动损失（收益以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697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694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267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020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505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84</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068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769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849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950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131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649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269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365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783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55</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递延所得税资产减少（增加以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454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245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807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332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60</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递延所得税负债增加（减少以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816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055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668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531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01</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983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276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983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276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17</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经营性应收项目的减少（增加以“一”号填列）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060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125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509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025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993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050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26</w:t>
            </w:r>
          </w:p>
        </w:tc>
      </w:tr>
      <w:tr>
        <w:trPr>
          <w:trHeight w:val="41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经营性应付项目的增加（减少以“一”号填列）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223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578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463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173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303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027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66</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汇兑损失的减少（增加以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411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713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317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869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61</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其他（注）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290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382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487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421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798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497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37</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、不涉及现金收支的重大投资和筹资活动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、现金及现金等价物净变动情况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现金的期末余额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336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951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959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154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348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020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42</w:t>
            </w:r>
          </w:p>
        </w:tc>
      </w:tr>
      <w:tr>
        <w:trPr>
          <w:trHeight w:val="427"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减：现金的期初余额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154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348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020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218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667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719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09</w:t>
            </w:r>
          </w:p>
        </w:tc>
      </w:tr>
    </w:tbl>
    <w:p>
      <w:pPr>
        <w:widowControl w:val="0"/>
        <w:spacing w:line="1" w:lineRule="exact"/>
      </w:pPr>
      <w:r>
        <w:br w:type="page"/>
      </w:r>
    </w:p>
    <w:tbl>
      <w:tblPr>
        <w:tblOverlap w:val="never"/>
        <w:jc w:val="center"/>
        <w:tblLayout w:type="fixed"/>
      </w:tblPr>
      <w:tblGrid>
        <w:gridCol w:w="4104"/>
        <w:gridCol w:w="2093"/>
        <w:gridCol w:w="2126"/>
      </w:tblGrid>
      <w:tr>
        <w:trPr>
          <w:trHeight w:val="44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上期金额</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182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603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939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935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680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301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33</w:t>
            </w:r>
          </w:p>
        </w:tc>
      </w:tr>
    </w:tbl>
    <w:p>
      <w:pPr>
        <w:widowControl w:val="0"/>
        <w:spacing w:after="159" w:line="1" w:lineRule="exact"/>
      </w:pPr>
    </w:p>
    <w:p>
      <w:pPr>
        <w:pStyle w:val="Style51"/>
        <w:keepNext/>
        <w:keepLines/>
        <w:widowControl w:val="0"/>
        <w:shd w:val="clear" w:color="auto" w:fill="auto"/>
        <w:bidi w:val="0"/>
        <w:spacing w:before="0" w:after="160" w:line="240" w:lineRule="auto"/>
        <w:ind w:left="0" w:right="0" w:firstLine="0"/>
        <w:jc w:val="left"/>
      </w:pPr>
      <w:bookmarkStart w:id="1598" w:name="bookmark1598"/>
      <w:bookmarkStart w:id="1599" w:name="bookmark1599"/>
      <w:bookmarkStart w:id="1600" w:name="bookmark1600"/>
      <w:r>
        <w:rPr>
          <w:b w:val="0"/>
          <w:bCs w:val="0"/>
          <w:color w:val="000000"/>
          <w:spacing w:val="0"/>
          <w:w w:val="100"/>
          <w:position w:val="0"/>
        </w:rPr>
        <w:t>注：由于前期差错更正，上期发生额中净利润、投资损失和其他变动情况详见本附注十五、</w:t>
      </w:r>
      <w:bookmarkEnd w:id="1598"/>
      <w:bookmarkEnd w:id="1599"/>
      <w:bookmarkEnd w:id="1600"/>
    </w:p>
    <w:p>
      <w:pPr>
        <w:pStyle w:val="Style16"/>
        <w:keepNext w:val="0"/>
        <w:keepLines w:val="0"/>
        <w:widowControl w:val="0"/>
        <w:shd w:val="clear" w:color="auto" w:fill="auto"/>
        <w:bidi w:val="0"/>
        <w:spacing w:before="0" w:after="360" w:line="240" w:lineRule="auto"/>
        <w:ind w:left="0" w:right="0" w:firstLine="0"/>
        <w:jc w:val="left"/>
      </w:pPr>
      <w:bookmarkStart w:id="1601" w:name="bookmark1601"/>
      <w:r>
        <w:rPr>
          <w:color w:val="000000"/>
          <w:spacing w:val="0"/>
          <w:w w:val="100"/>
          <w:position w:val="0"/>
        </w:rPr>
        <w:t>（一）。</w:t>
      </w:r>
      <w:bookmarkEnd w:id="1601"/>
    </w:p>
    <w:p>
      <w:pPr>
        <w:pStyle w:val="Style51"/>
        <w:keepNext/>
        <w:keepLines/>
        <w:widowControl w:val="0"/>
        <w:shd w:val="clear" w:color="auto" w:fill="auto"/>
        <w:bidi w:val="0"/>
        <w:spacing w:before="0" w:after="160" w:line="240" w:lineRule="auto"/>
        <w:ind w:left="0" w:right="0" w:firstLine="440"/>
        <w:jc w:val="left"/>
      </w:pPr>
      <w:bookmarkStart w:id="1602" w:name="bookmark1602"/>
      <w:bookmarkStart w:id="1603" w:name="bookmark1603"/>
      <w:bookmarkStart w:id="1604" w:name="bookmark1604"/>
      <w:r>
        <w:rPr>
          <w:color w:val="000000"/>
          <w:spacing w:val="0"/>
          <w:w w:val="100"/>
          <w:position w:val="0"/>
        </w:rPr>
        <w:t>2.</w:t>
      </w:r>
      <w:r>
        <w:rPr>
          <w:color w:val="000000"/>
          <w:spacing w:val="0"/>
          <w:w w:val="100"/>
          <w:position w:val="0"/>
        </w:rPr>
        <w:t>现金和现金等价物的构成</w:t>
      </w:r>
      <w:bookmarkEnd w:id="1602"/>
      <w:bookmarkEnd w:id="1603"/>
      <w:bookmarkEnd w:id="1604"/>
    </w:p>
    <w:tbl>
      <w:tblPr>
        <w:tblOverlap w:val="never"/>
        <w:jc w:val="center"/>
        <w:tblLayout w:type="fixed"/>
      </w:tblPr>
      <w:tblGrid>
        <w:gridCol w:w="4546"/>
        <w:gridCol w:w="1944"/>
        <w:gridCol w:w="1853"/>
      </w:tblGrid>
      <w:tr>
        <w:trPr>
          <w:trHeight w:val="42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期初余额</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一、现金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336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951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959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154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348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020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42</w:t>
            </w:r>
          </w:p>
        </w:tc>
      </w:tr>
      <w:tr>
        <w:trPr>
          <w:trHeight w:val="39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其中：库存现金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504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53</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可随时用于支付的银行存款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126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439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964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329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565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905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70</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可随时用于支付的其他货币资金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444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295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894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52</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可随时用于支付的结算备付金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210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485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046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824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458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019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67</w:t>
            </w:r>
          </w:p>
        </w:tc>
      </w:tr>
      <w:tr>
        <w:trPr>
          <w:trHeight w:val="39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存放同业款项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拆放同业款项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其中：三个月内到期的债券投资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三、期末现金及现金等价物余额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336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951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959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154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348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020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42</w:t>
            </w:r>
          </w:p>
        </w:tc>
      </w:tr>
      <w:tr>
        <w:trPr>
          <w:trHeight w:val="744"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140" w:right="0" w:firstLine="0"/>
              <w:jc w:val="left"/>
              <w:rPr>
                <w:sz w:val="18"/>
                <w:szCs w:val="18"/>
              </w:rPr>
            </w:pPr>
            <w:r>
              <w:rPr>
                <w:color w:val="000000"/>
                <w:spacing w:val="0"/>
                <w:w w:val="100"/>
                <w:position w:val="0"/>
                <w:sz w:val="18"/>
                <w:szCs w:val="18"/>
              </w:rPr>
              <w:t>其中：母公司或集团内子公司使用受限制的现金和现金 等价物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439" w:line="1" w:lineRule="exact"/>
      </w:pPr>
    </w:p>
    <w:p>
      <w:pPr>
        <w:pStyle w:val="Style37"/>
        <w:keepNext/>
        <w:keepLines/>
        <w:widowControl w:val="0"/>
        <w:shd w:val="clear" w:color="auto" w:fill="auto"/>
        <w:bidi w:val="0"/>
        <w:spacing w:before="0" w:after="160" w:line="240" w:lineRule="auto"/>
        <w:ind w:left="0" w:right="0" w:firstLine="440"/>
        <w:jc w:val="left"/>
      </w:pPr>
      <w:bookmarkStart w:id="1605" w:name="bookmark1605"/>
      <w:bookmarkStart w:id="1606" w:name="bookmark1606"/>
      <w:bookmarkStart w:id="1607" w:name="bookmark1607"/>
      <w:r>
        <w:rPr>
          <w:color w:val="000000"/>
          <w:spacing w:val="0"/>
          <w:w w:val="100"/>
          <w:position w:val="0"/>
        </w:rPr>
        <w:t>注释</w:t>
      </w:r>
      <w:r>
        <w:rPr>
          <w:rFonts w:ascii="Times New Roman" w:eastAsia="Times New Roman" w:hAnsi="Times New Roman" w:cs="Times New Roman"/>
          <w:color w:val="000000"/>
          <w:spacing w:val="0"/>
          <w:w w:val="100"/>
          <w:position w:val="0"/>
        </w:rPr>
        <w:t>65.</w:t>
      </w:r>
      <w:r>
        <w:rPr>
          <w:color w:val="000000"/>
          <w:spacing w:val="0"/>
          <w:w w:val="100"/>
          <w:position w:val="0"/>
        </w:rPr>
        <w:t>所有权或使用权受到限制的资产</w:t>
      </w:r>
      <w:bookmarkEnd w:id="1605"/>
      <w:bookmarkEnd w:id="1606"/>
      <w:bookmarkEnd w:id="1607"/>
    </w:p>
    <w:tbl>
      <w:tblPr>
        <w:tblOverlap w:val="never"/>
        <w:jc w:val="center"/>
        <w:tblLayout w:type="fixed"/>
      </w:tblPr>
      <w:tblGrid>
        <w:gridCol w:w="2846"/>
        <w:gridCol w:w="2126"/>
        <w:gridCol w:w="3370"/>
      </w:tblGrid>
      <w:tr>
        <w:trPr>
          <w:trHeight w:val="42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受限原因</w:t>
            </w:r>
          </w:p>
        </w:tc>
      </w:tr>
      <w:tr>
        <w:trPr>
          <w:trHeight w:val="39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存出保证金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138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481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597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转融通借款担保</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891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652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115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正回购借款担保</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267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039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690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转融通借款担保</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537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中签新股暂未上市交易</w:t>
            </w:r>
          </w:p>
        </w:tc>
      </w:tr>
      <w:tr>
        <w:trPr>
          <w:trHeight w:val="39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其他债权投资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501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498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833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正回购</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转融通借款担保</w:t>
            </w:r>
          </w:p>
        </w:tc>
      </w:tr>
      <w:tr>
        <w:trPr>
          <w:trHeight w:val="432"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798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781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773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41</w:t>
            </w: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7"/>
        <w:keepNext/>
        <w:keepLines/>
        <w:widowControl w:val="0"/>
        <w:shd w:val="clear" w:color="auto" w:fill="auto"/>
        <w:bidi w:val="0"/>
        <w:spacing w:before="0" w:after="180" w:line="240" w:lineRule="auto"/>
        <w:ind w:left="0" w:right="0" w:firstLine="440"/>
        <w:jc w:val="left"/>
      </w:pPr>
      <w:bookmarkStart w:id="1608" w:name="bookmark1608"/>
      <w:bookmarkStart w:id="1609" w:name="bookmark1609"/>
      <w:bookmarkStart w:id="1610" w:name="bookmark1610"/>
      <w:r>
        <w:rPr>
          <w:color w:val="000000"/>
          <w:spacing w:val="0"/>
          <w:w w:val="100"/>
          <w:position w:val="0"/>
        </w:rPr>
        <w:t>注释</w:t>
      </w:r>
      <w:r>
        <w:rPr>
          <w:rFonts w:ascii="Times New Roman" w:eastAsia="Times New Roman" w:hAnsi="Times New Roman" w:cs="Times New Roman"/>
          <w:color w:val="000000"/>
          <w:spacing w:val="0"/>
          <w:w w:val="100"/>
          <w:position w:val="0"/>
        </w:rPr>
        <w:t>66.</w:t>
      </w:r>
      <w:r>
        <w:rPr>
          <w:color w:val="000000"/>
          <w:spacing w:val="0"/>
          <w:w w:val="100"/>
          <w:position w:val="0"/>
        </w:rPr>
        <w:t>外币货币性项目</w:t>
      </w:r>
      <w:bookmarkEnd w:id="1608"/>
      <w:bookmarkEnd w:id="1609"/>
      <w:bookmarkEnd w:id="1610"/>
    </w:p>
    <w:p>
      <w:pPr>
        <w:pStyle w:val="Style51"/>
        <w:keepNext/>
        <w:keepLines/>
        <w:widowControl w:val="0"/>
        <w:shd w:val="clear" w:color="auto" w:fill="auto"/>
        <w:bidi w:val="0"/>
        <w:spacing w:before="0" w:after="120" w:line="240" w:lineRule="auto"/>
        <w:ind w:left="0" w:right="0" w:firstLine="440"/>
        <w:jc w:val="left"/>
      </w:pPr>
      <w:bookmarkStart w:id="1611" w:name="bookmark1611"/>
      <w:bookmarkStart w:id="1612" w:name="bookmark1612"/>
      <w:bookmarkStart w:id="1613" w:name="bookmark1613"/>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外币货币性项目</w:t>
      </w:r>
      <w:bookmarkEnd w:id="1611"/>
      <w:bookmarkEnd w:id="1612"/>
      <w:bookmarkEnd w:id="1613"/>
    </w:p>
    <w:tbl>
      <w:tblPr>
        <w:tblOverlap w:val="never"/>
        <w:jc w:val="center"/>
        <w:tblLayout w:type="fixed"/>
      </w:tblPr>
      <w:tblGrid>
        <w:gridCol w:w="2419"/>
        <w:gridCol w:w="2126"/>
        <w:gridCol w:w="1757"/>
        <w:gridCol w:w="2011"/>
      </w:tblGrid>
      <w:tr>
        <w:trPr>
          <w:trHeight w:val="42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期末外币余额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折算汇率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期末折算人民币余额</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235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427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35</w:t>
            </w:r>
          </w:p>
        </w:tc>
      </w:tr>
      <w:tr>
        <w:trPr>
          <w:trHeight w:val="39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631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583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5249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695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719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60</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911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249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8416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539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707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75</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582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267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54</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940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254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5249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135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069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13</w:t>
            </w:r>
          </w:p>
        </w:tc>
      </w:tr>
      <w:tr>
        <w:trPr>
          <w:trHeight w:val="39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907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792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8416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447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198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41</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存出保证金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182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523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270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5249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761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723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500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8416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59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458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66</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544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5249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178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55</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661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8416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280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11</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563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494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62</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797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811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5249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255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440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19</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683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524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8416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308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054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43</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67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076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95</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644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5249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731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83</w:t>
            </w:r>
          </w:p>
        </w:tc>
      </w:tr>
      <w:tr>
        <w:trPr>
          <w:trHeight w:val="432"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港币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950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8416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56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345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12</w:t>
            </w:r>
          </w:p>
        </w:tc>
      </w:tr>
    </w:tbl>
    <w:p>
      <w:pPr>
        <w:widowControl w:val="0"/>
        <w:spacing w:after="579" w:line="1" w:lineRule="exact"/>
      </w:pPr>
    </w:p>
    <w:p>
      <w:pPr>
        <w:pStyle w:val="Style16"/>
        <w:keepNext w:val="0"/>
        <w:keepLines w:val="0"/>
        <w:widowControl w:val="0"/>
        <w:shd w:val="clear" w:color="auto" w:fill="auto"/>
        <w:bidi w:val="0"/>
        <w:spacing w:before="0" w:after="120" w:line="240" w:lineRule="auto"/>
        <w:ind w:left="0" w:right="0" w:firstLine="440"/>
        <w:jc w:val="left"/>
      </w:pPr>
      <w:bookmarkStart w:id="1614" w:name="bookmark1614"/>
      <w:r>
        <w:rPr>
          <w:rFonts w:ascii="Times New Roman" w:eastAsia="Times New Roman" w:hAnsi="Times New Roman" w:cs="Times New Roman"/>
          <w:b/>
          <w:bCs/>
          <w:color w:val="000000"/>
          <w:spacing w:val="0"/>
          <w:w w:val="100"/>
          <w:position w:val="0"/>
        </w:rPr>
        <w:t>2</w:t>
      </w:r>
      <w:r>
        <w:rPr>
          <w:b/>
          <w:bCs/>
          <w:color w:val="000000"/>
          <w:spacing w:val="0"/>
          <w:w w:val="100"/>
          <w:position w:val="0"/>
        </w:rPr>
        <w:t>.</w:t>
      </w:r>
      <w:r>
        <w:rPr>
          <w:b/>
          <w:bCs/>
          <w:color w:val="000000"/>
          <w:spacing w:val="0"/>
          <w:w w:val="100"/>
          <w:position w:val="0"/>
        </w:rPr>
        <w:t>境外经营实体说明，包括对于重要的境外经营实体，应披露其境外主要经营地、记</w:t>
      </w:r>
      <w:bookmarkEnd w:id="1614"/>
    </w:p>
    <w:tbl>
      <w:tblPr>
        <w:tblOverlap w:val="never"/>
        <w:jc w:val="center"/>
        <w:tblLayout w:type="fixed"/>
      </w:tblPr>
      <w:tblGrid>
        <w:gridCol w:w="3206"/>
        <w:gridCol w:w="1738"/>
        <w:gridCol w:w="1742"/>
        <w:gridCol w:w="1651"/>
      </w:tblGrid>
      <w:tr>
        <w:trPr>
          <w:trHeight w:val="283" w:hRule="exact"/>
        </w:trPr>
        <w:tc>
          <w:tcPr>
            <w:gridSpan w:val="2"/>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账本位币及选择依据，记账本位币发生变化的还应披露</w:t>
            </w:r>
          </w:p>
        </w:tc>
        <w:tc>
          <w:tcPr>
            <w:gridSpan w:val="2"/>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厚原因</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境外经营实体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主要经营地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记账本位币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选择依据</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国盛（香港）投资有限公司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港币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公司主要结算货币</w:t>
            </w:r>
          </w:p>
        </w:tc>
      </w:tr>
      <w:tr>
        <w:trPr>
          <w:trHeight w:val="46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国盛环球投资有限公司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香港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美元</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公司主要结算货币</w:t>
            </w:r>
          </w:p>
        </w:tc>
      </w:tr>
    </w:tbl>
    <w:p>
      <w:pPr>
        <w:widowControl w:val="0"/>
        <w:spacing w:after="459" w:line="1" w:lineRule="exact"/>
      </w:pPr>
    </w:p>
    <w:p>
      <w:pPr>
        <w:pStyle w:val="Style37"/>
        <w:keepNext/>
        <w:keepLines/>
        <w:widowControl w:val="0"/>
        <w:shd w:val="clear" w:color="auto" w:fill="auto"/>
        <w:bidi w:val="0"/>
        <w:spacing w:before="0" w:after="180" w:line="240" w:lineRule="auto"/>
        <w:ind w:left="0" w:right="0" w:firstLine="440"/>
        <w:jc w:val="left"/>
      </w:pPr>
      <w:bookmarkStart w:id="1615" w:name="bookmark1615"/>
      <w:bookmarkStart w:id="1616" w:name="bookmark1616"/>
      <w:bookmarkStart w:id="1617" w:name="bookmark1617"/>
      <w:r>
        <w:rPr>
          <w:color w:val="000000"/>
          <w:spacing w:val="0"/>
          <w:w w:val="100"/>
          <w:position w:val="0"/>
        </w:rPr>
        <w:t>注释</w:t>
      </w:r>
      <w:r>
        <w:rPr>
          <w:rFonts w:ascii="Times New Roman" w:eastAsia="Times New Roman" w:hAnsi="Times New Roman" w:cs="Times New Roman"/>
          <w:color w:val="000000"/>
          <w:spacing w:val="0"/>
          <w:w w:val="100"/>
          <w:position w:val="0"/>
        </w:rPr>
        <w:t>67.</w:t>
      </w:r>
      <w:r>
        <w:rPr>
          <w:color w:val="000000"/>
          <w:spacing w:val="0"/>
          <w:w w:val="100"/>
          <w:position w:val="0"/>
        </w:rPr>
        <w:t>政府补助</w:t>
      </w:r>
      <w:bookmarkEnd w:id="1615"/>
      <w:bookmarkEnd w:id="1616"/>
      <w:bookmarkEnd w:id="1617"/>
    </w:p>
    <w:p>
      <w:pPr>
        <w:pStyle w:val="Style51"/>
        <w:keepNext/>
        <w:keepLines/>
        <w:widowControl w:val="0"/>
        <w:numPr>
          <w:ilvl w:val="0"/>
          <w:numId w:val="99"/>
        </w:numPr>
        <w:shd w:val="clear" w:color="auto" w:fill="auto"/>
        <w:bidi w:val="0"/>
        <w:spacing w:before="0" w:after="120" w:line="240" w:lineRule="auto"/>
        <w:ind w:left="0" w:right="0" w:firstLine="440"/>
        <w:jc w:val="left"/>
      </w:pPr>
      <w:bookmarkStart w:id="1618" w:name="bookmark1618"/>
      <w:bookmarkStart w:id="1619" w:name="bookmark1619"/>
      <w:bookmarkStart w:id="1620" w:name="bookmark1620"/>
      <w:bookmarkStart w:id="1621" w:name="bookmark1621"/>
      <w:bookmarkEnd w:id="1620"/>
      <w:r>
        <w:rPr>
          <w:color w:val="000000"/>
          <w:spacing w:val="0"/>
          <w:w w:val="100"/>
          <w:position w:val="0"/>
        </w:rPr>
        <w:t>政府补助基本情况</w:t>
      </w:r>
      <w:bookmarkEnd w:id="1618"/>
      <w:bookmarkEnd w:id="1619"/>
      <w:bookmarkEnd w:id="1621"/>
    </w:p>
    <w:tbl>
      <w:tblPr>
        <w:tblOverlap w:val="never"/>
        <w:jc w:val="center"/>
        <w:tblLayout w:type="fixed"/>
      </w:tblPr>
      <w:tblGrid>
        <w:gridCol w:w="3149"/>
        <w:gridCol w:w="1738"/>
        <w:gridCol w:w="1738"/>
        <w:gridCol w:w="1670"/>
      </w:tblGrid>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政府补助种类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计入当期损益的金额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备注</w:t>
            </w:r>
          </w:p>
        </w:tc>
      </w:tr>
      <w:tr>
        <w:trPr>
          <w:trHeight w:val="442"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计入递延收益的政府补助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175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906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934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709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详见附注六注释</w:t>
            </w:r>
            <w:r>
              <w:rPr>
                <w:rFonts w:ascii="Times New Roman" w:eastAsia="Times New Roman" w:hAnsi="Times New Roman" w:cs="Times New Roman"/>
                <w:color w:val="000000"/>
                <w:spacing w:val="0"/>
                <w:w w:val="100"/>
                <w:position w:val="0"/>
                <w:sz w:val="18"/>
                <w:szCs w:val="18"/>
              </w:rPr>
              <w:t>40</w:t>
            </w:r>
          </w:p>
        </w:tc>
      </w:tr>
    </w:tbl>
    <w:p>
      <w:pPr>
        <w:widowControl w:val="0"/>
        <w:spacing w:line="1" w:lineRule="exact"/>
      </w:pPr>
      <w:r>
        <w:br w:type="page"/>
      </w:r>
    </w:p>
    <w:tbl>
      <w:tblPr>
        <w:tblOverlap w:val="never"/>
        <w:jc w:val="center"/>
        <w:tblLayout w:type="fixed"/>
      </w:tblPr>
      <w:tblGrid>
        <w:gridCol w:w="3149"/>
        <w:gridCol w:w="1738"/>
        <w:gridCol w:w="1738"/>
        <w:gridCol w:w="1670"/>
      </w:tblGrid>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政府补助种类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计入当期损益的金额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备注</w:t>
            </w:r>
          </w:p>
        </w:tc>
      </w:tr>
      <w:tr>
        <w:trPr>
          <w:trHeight w:val="43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计入其他收益的政府补助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085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508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085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508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详见附注六注释</w:t>
            </w:r>
            <w:r>
              <w:rPr>
                <w:rFonts w:ascii="Times New Roman" w:eastAsia="Times New Roman" w:hAnsi="Times New Roman" w:cs="Times New Roman"/>
                <w:color w:val="000000"/>
                <w:spacing w:val="0"/>
                <w:w w:val="100"/>
                <w:position w:val="0"/>
                <w:sz w:val="18"/>
                <w:szCs w:val="18"/>
              </w:rPr>
              <w:t>54</w:t>
            </w:r>
          </w:p>
        </w:tc>
      </w:tr>
      <w:tr>
        <w:trPr>
          <w:trHeight w:val="442"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计入营业外收入的政府补助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详见附注六注释</w:t>
            </w:r>
            <w:r>
              <w:rPr>
                <w:rFonts w:ascii="Times New Roman" w:eastAsia="Times New Roman" w:hAnsi="Times New Roman" w:cs="Times New Roman"/>
                <w:color w:val="000000"/>
                <w:spacing w:val="0"/>
                <w:w w:val="100"/>
                <w:position w:val="0"/>
                <w:sz w:val="18"/>
                <w:szCs w:val="18"/>
              </w:rPr>
              <w:t>60</w:t>
            </w:r>
          </w:p>
        </w:tc>
      </w:tr>
    </w:tbl>
    <w:p>
      <w:pPr>
        <w:widowControl w:val="0"/>
        <w:spacing w:after="179" w:line="1" w:lineRule="exact"/>
      </w:pPr>
    </w:p>
    <w:p>
      <w:pPr>
        <w:pStyle w:val="Style29"/>
        <w:keepNext/>
        <w:keepLines/>
        <w:widowControl w:val="0"/>
        <w:shd w:val="clear" w:color="auto" w:fill="auto"/>
        <w:bidi w:val="0"/>
        <w:spacing w:before="0" w:after="40" w:line="240" w:lineRule="auto"/>
        <w:ind w:left="0" w:right="0" w:firstLine="440"/>
        <w:jc w:val="left"/>
      </w:pPr>
      <w:bookmarkStart w:id="1622" w:name="bookmark1622"/>
      <w:bookmarkStart w:id="1623" w:name="bookmark1623"/>
      <w:bookmarkStart w:id="1624" w:name="bookmark1624"/>
      <w:bookmarkStart w:id="1625" w:name="bookmark1625"/>
      <w:r>
        <w:rPr>
          <w:color w:val="000000"/>
          <w:spacing w:val="0"/>
          <w:w w:val="100"/>
          <w:position w:val="0"/>
          <w:sz w:val="24"/>
          <w:szCs w:val="24"/>
        </w:rPr>
        <w:t>七</w:t>
      </w:r>
      <w:bookmarkEnd w:id="1624"/>
      <w:r>
        <w:rPr>
          <w:color w:val="000000"/>
          <w:spacing w:val="0"/>
          <w:w w:val="100"/>
          <w:position w:val="0"/>
          <w:sz w:val="24"/>
          <w:szCs w:val="24"/>
        </w:rPr>
        <w:t>、合并范围的变更</w:t>
      </w:r>
      <w:bookmarkEnd w:id="1622"/>
      <w:bookmarkEnd w:id="1623"/>
      <w:bookmarkEnd w:id="1625"/>
    </w:p>
    <w:p>
      <w:pPr>
        <w:pStyle w:val="Style37"/>
        <w:keepNext/>
        <w:keepLines/>
        <w:widowControl w:val="0"/>
        <w:shd w:val="clear" w:color="auto" w:fill="auto"/>
        <w:bidi w:val="0"/>
        <w:spacing w:before="0" w:after="180" w:line="400" w:lineRule="exact"/>
        <w:ind w:left="0" w:right="0" w:firstLine="460"/>
        <w:jc w:val="both"/>
      </w:pPr>
      <w:bookmarkStart w:id="1626" w:name="bookmark1626"/>
      <w:bookmarkStart w:id="1627" w:name="bookmark1627"/>
      <w:bookmarkStart w:id="1628" w:name="bookmark1628"/>
      <w:r>
        <w:rPr>
          <w:color w:val="000000"/>
          <w:spacing w:val="0"/>
          <w:w w:val="100"/>
          <w:position w:val="0"/>
        </w:rPr>
        <w:t>（一）非同一控制下企业合并</w:t>
      </w:r>
      <w:bookmarkEnd w:id="1626"/>
      <w:bookmarkEnd w:id="1627"/>
      <w:bookmarkEnd w:id="1628"/>
    </w:p>
    <w:p>
      <w:pPr>
        <w:pStyle w:val="Style16"/>
        <w:keepNext w:val="0"/>
        <w:keepLines w:val="0"/>
        <w:widowControl w:val="0"/>
        <w:shd w:val="clear" w:color="auto" w:fill="auto"/>
        <w:bidi w:val="0"/>
        <w:spacing w:before="0" w:after="80" w:line="400" w:lineRule="exact"/>
        <w:ind w:left="0" w:right="0" w:firstLine="46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月，母公司以</w:t>
      </w:r>
      <w:r>
        <w:rPr>
          <w:rFonts w:ascii="Times New Roman" w:eastAsia="Times New Roman" w:hAnsi="Times New Roman" w:cs="Times New Roman"/>
          <w:color w:val="000000"/>
          <w:spacing w:val="0"/>
          <w:w w:val="100"/>
          <w:position w:val="0"/>
        </w:rPr>
        <w:t>1</w:t>
      </w:r>
      <w:r>
        <w:rPr>
          <w:color w:val="000000"/>
          <w:spacing w:val="0"/>
          <w:w w:val="100"/>
          <w:position w:val="0"/>
        </w:rPr>
        <w:t>元对价购买深圳弘大智合投资合伙企业（有限合伙）（以下简 称“弘大智合”）的有限合伙人持有的有限合伙的份额。购买时，弘大智合账面无资产、负 债及所有者权益，且子公司深圳前海弘大嘉豪资产管理有限公司作为该有限合伙企业普通合 伙人。购买后，公司持有弘大智合</w:t>
      </w:r>
      <w:r>
        <w:rPr>
          <w:rFonts w:ascii="Times New Roman" w:eastAsia="Times New Roman" w:hAnsi="Times New Roman" w:cs="Times New Roman"/>
          <w:color w:val="000000"/>
          <w:spacing w:val="0"/>
          <w:w w:val="100"/>
          <w:position w:val="0"/>
        </w:rPr>
        <w:t>100</w:t>
      </w:r>
      <w:r>
        <w:rPr>
          <w:color w:val="000000"/>
          <w:spacing w:val="0"/>
          <w:w w:val="100"/>
          <w:position w:val="0"/>
        </w:rPr>
        <w:t>%份额，将其纳入合并报表范围。</w:t>
      </w:r>
    </w:p>
    <w:p>
      <w:pPr>
        <w:pStyle w:val="Style29"/>
        <w:keepNext/>
        <w:keepLines/>
        <w:widowControl w:val="0"/>
        <w:shd w:val="clear" w:color="auto" w:fill="auto"/>
        <w:bidi w:val="0"/>
        <w:spacing w:before="0" w:after="240" w:line="240" w:lineRule="auto"/>
        <w:ind w:left="0" w:right="0" w:firstLine="440"/>
        <w:jc w:val="left"/>
      </w:pPr>
      <w:bookmarkStart w:id="1629" w:name="bookmark1629"/>
      <w:bookmarkStart w:id="1630" w:name="bookmark1630"/>
      <w:bookmarkStart w:id="1631" w:name="bookmark1631"/>
      <w:bookmarkStart w:id="1632" w:name="bookmark1632"/>
      <w:r>
        <w:rPr>
          <w:color w:val="000000"/>
          <w:spacing w:val="0"/>
          <w:w w:val="100"/>
          <w:position w:val="0"/>
          <w:sz w:val="24"/>
          <w:szCs w:val="24"/>
        </w:rPr>
        <w:t>八</w:t>
      </w:r>
      <w:bookmarkEnd w:id="1631"/>
      <w:r>
        <w:rPr>
          <w:color w:val="000000"/>
          <w:spacing w:val="0"/>
          <w:w w:val="100"/>
          <w:position w:val="0"/>
          <w:sz w:val="24"/>
          <w:szCs w:val="24"/>
        </w:rPr>
        <w:t>、在其他主体中的权益</w:t>
      </w:r>
      <w:bookmarkEnd w:id="1629"/>
      <w:bookmarkEnd w:id="1630"/>
      <w:bookmarkEnd w:id="1632"/>
    </w:p>
    <w:p>
      <w:pPr>
        <w:pStyle w:val="Style37"/>
        <w:keepNext/>
        <w:keepLines/>
        <w:widowControl w:val="0"/>
        <w:shd w:val="clear" w:color="auto" w:fill="auto"/>
        <w:bidi w:val="0"/>
        <w:spacing w:before="0" w:after="40" w:line="418" w:lineRule="auto"/>
        <w:ind w:left="0" w:right="0" w:firstLine="440"/>
        <w:jc w:val="both"/>
      </w:pPr>
      <w:bookmarkStart w:id="1633" w:name="bookmark1633"/>
      <w:bookmarkStart w:id="1634" w:name="bookmark1634"/>
      <w:bookmarkStart w:id="1635" w:name="bookmark1635"/>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在子公司中的权益</w:t>
      </w:r>
      <w:bookmarkEnd w:id="1633"/>
      <w:bookmarkEnd w:id="1634"/>
      <w:bookmarkEnd w:id="1635"/>
    </w:p>
    <w:p>
      <w:pPr>
        <w:pStyle w:val="Style51"/>
        <w:keepNext/>
        <w:keepLines/>
        <w:widowControl w:val="0"/>
        <w:shd w:val="clear" w:color="auto" w:fill="auto"/>
        <w:bidi w:val="0"/>
        <w:spacing w:before="0" w:after="180" w:line="240" w:lineRule="auto"/>
        <w:ind w:left="0" w:right="0" w:firstLine="440"/>
        <w:jc w:val="both"/>
      </w:pPr>
      <w:bookmarkStart w:id="1636" w:name="bookmark1636"/>
      <w:bookmarkStart w:id="1637" w:name="bookmark1637"/>
      <w:bookmarkStart w:id="1638" w:name="bookmark1638"/>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企业集团的构成</w:t>
      </w:r>
      <w:bookmarkEnd w:id="1636"/>
      <w:bookmarkEnd w:id="1637"/>
      <w:bookmarkEnd w:id="1638"/>
    </w:p>
    <w:tbl>
      <w:tblPr>
        <w:tblOverlap w:val="never"/>
        <w:jc w:val="center"/>
        <w:tblLayout w:type="fixed"/>
      </w:tblPr>
      <w:tblGrid>
        <w:gridCol w:w="1886"/>
        <w:gridCol w:w="902"/>
        <w:gridCol w:w="854"/>
        <w:gridCol w:w="1728"/>
        <w:gridCol w:w="754"/>
        <w:gridCol w:w="667"/>
        <w:gridCol w:w="1488"/>
      </w:tblGrid>
      <w:tr>
        <w:trPr>
          <w:trHeight w:val="389"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子公司名称</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主要经 营地</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注册地</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140" w:line="240" w:lineRule="auto"/>
              <w:ind w:left="0" w:right="0" w:firstLine="0"/>
              <w:jc w:val="center"/>
              <w:rPr>
                <w:sz w:val="18"/>
                <w:szCs w:val="18"/>
              </w:rPr>
            </w:pPr>
            <w:r>
              <w:rPr>
                <w:color w:val="000000"/>
                <w:spacing w:val="0"/>
                <w:w w:val="100"/>
                <w:position w:val="0"/>
                <w:sz w:val="18"/>
                <w:szCs w:val="18"/>
              </w:rPr>
              <w:t>业务</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性质</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持股比例</w:t>
            </w:r>
            <w:r>
              <w:rPr>
                <w:rFonts w:ascii="Arial Narrow" w:eastAsia="Arial Narrow" w:hAnsi="Arial Narrow" w:cs="Arial Narrow"/>
                <w:color w:val="000000"/>
                <w:spacing w:val="0"/>
                <w:w w:val="100"/>
                <w:position w:val="0"/>
                <w:sz w:val="18"/>
                <w:szCs w:val="18"/>
              </w:rPr>
              <w:t>（</w:t>
            </w:r>
            <w:r>
              <w:rPr>
                <w:color w:val="000000"/>
                <w:spacing w:val="0"/>
                <w:w w:val="100"/>
                <w:position w:val="0"/>
                <w:sz w:val="22"/>
                <w:szCs w:val="22"/>
              </w:rPr>
              <w:t>％</w:t>
            </w:r>
            <w:r>
              <w:rPr>
                <w:rFonts w:ascii="Arial Narrow" w:eastAsia="Arial Narrow" w:hAnsi="Arial Narrow" w:cs="Arial Narrow"/>
                <w:color w:val="000000"/>
                <w:spacing w:val="0"/>
                <w:w w:val="100"/>
                <w:position w:val="0"/>
                <w:sz w:val="18"/>
                <w:szCs w:val="18"/>
              </w:rPr>
              <w:t>）</w:t>
            </w:r>
          </w:p>
        </w:tc>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取得方式</w:t>
            </w:r>
          </w:p>
        </w:tc>
      </w:tr>
      <w:tr>
        <w:trPr>
          <w:trHeight w:val="365"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直接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间接</w:t>
            </w:r>
          </w:p>
        </w:tc>
        <w:tc>
          <w:tcPr>
            <w:vMerge/>
            <w:tcBorders/>
            <w:shd w:val="clear" w:color="auto" w:fill="FFFFFF"/>
            <w:vAlign w:val="center"/>
          </w:tcPr>
          <w:p>
            <w:pPr/>
          </w:p>
        </w:tc>
      </w:tr>
      <w:tr>
        <w:trPr>
          <w:trHeight w:val="35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国盛证券有限责任公司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南昌市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南昌市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证券经纪、投资等</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100</w:t>
            </w:r>
            <w:r>
              <w:rPr>
                <w:color w:val="000000"/>
                <w:spacing w:val="0"/>
                <w:w w:val="100"/>
                <w:position w:val="0"/>
                <w:sz w:val="14"/>
                <w:szCs w:val="14"/>
              </w:rPr>
              <w:t xml:space="preserve">. </w:t>
            </w:r>
            <w:r>
              <w:rPr>
                <w:rFonts w:ascii="Times New Roman" w:eastAsia="Times New Roman" w:hAnsi="Times New Roman" w:cs="Times New Roman"/>
                <w:color w:val="000000"/>
                <w:spacing w:val="0"/>
                <w:w w:val="100"/>
                <w:position w:val="0"/>
                <w:sz w:val="15"/>
                <w:szCs w:val="15"/>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非同一控制收购</w:t>
            </w:r>
          </w:p>
        </w:tc>
      </w:tr>
      <w:tr>
        <w:trPr>
          <w:trHeight w:val="59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国盛期货有限责任公司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鞍山市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鞍山市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left"/>
              <w:rPr>
                <w:sz w:val="14"/>
                <w:szCs w:val="14"/>
              </w:rPr>
            </w:pPr>
            <w:r>
              <w:rPr>
                <w:color w:val="000000"/>
                <w:spacing w:val="0"/>
                <w:w w:val="100"/>
                <w:position w:val="0"/>
                <w:sz w:val="14"/>
                <w:szCs w:val="14"/>
              </w:rPr>
              <w:t>商品期货经纪、金融期</w:t>
            </w:r>
          </w:p>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货经纪</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98</w:t>
            </w:r>
            <w:r>
              <w:rPr>
                <w:color w:val="000000"/>
                <w:spacing w:val="0"/>
                <w:w w:val="100"/>
                <w:position w:val="0"/>
                <w:sz w:val="14"/>
                <w:szCs w:val="14"/>
              </w:rPr>
              <w:t>.</w:t>
            </w:r>
            <w:r>
              <w:rPr>
                <w:rFonts w:ascii="Times New Roman" w:eastAsia="Times New Roman" w:hAnsi="Times New Roman" w:cs="Times New Roman"/>
                <w:color w:val="000000"/>
                <w:spacing w:val="0"/>
                <w:w w:val="100"/>
                <w:position w:val="0"/>
                <w:sz w:val="15"/>
                <w:szCs w:val="15"/>
              </w:rPr>
              <w:t>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非同一控制收购</w:t>
            </w:r>
          </w:p>
        </w:tc>
      </w:tr>
      <w:tr>
        <w:trPr>
          <w:trHeight w:val="595"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140"/>
              <w:jc w:val="left"/>
              <w:rPr>
                <w:sz w:val="14"/>
                <w:szCs w:val="14"/>
              </w:rPr>
            </w:pPr>
            <w:r>
              <w:rPr>
                <w:color w:val="000000"/>
                <w:spacing w:val="0"/>
                <w:w w:val="100"/>
                <w:position w:val="0"/>
                <w:sz w:val="14"/>
                <w:szCs w:val="14"/>
              </w:rPr>
              <w:t>国盛证券资产管理有限</w:t>
            </w:r>
          </w:p>
          <w:p>
            <w:pPr>
              <w:pStyle w:val="Style2"/>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深圳市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深圳市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证券资产管理业务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100</w:t>
            </w:r>
            <w:r>
              <w:rPr>
                <w:color w:val="000000"/>
                <w:spacing w:val="0"/>
                <w:w w:val="100"/>
                <w:position w:val="0"/>
                <w:sz w:val="14"/>
                <w:szCs w:val="14"/>
              </w:rPr>
              <w:t xml:space="preserve">. </w:t>
            </w:r>
            <w:r>
              <w:rPr>
                <w:rFonts w:ascii="Times New Roman" w:eastAsia="Times New Roman" w:hAnsi="Times New Roman" w:cs="Times New Roman"/>
                <w:color w:val="000000"/>
                <w:spacing w:val="0"/>
                <w:w w:val="100"/>
                <w:position w:val="0"/>
                <w:sz w:val="15"/>
                <w:szCs w:val="15"/>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非同一控制收购</w:t>
            </w:r>
          </w:p>
        </w:tc>
      </w:tr>
      <w:tr>
        <w:trPr>
          <w:trHeight w:val="595"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140"/>
              <w:jc w:val="left"/>
              <w:rPr>
                <w:sz w:val="14"/>
                <w:szCs w:val="14"/>
              </w:rPr>
            </w:pPr>
            <w:r>
              <w:rPr>
                <w:color w:val="000000"/>
                <w:spacing w:val="0"/>
                <w:w w:val="100"/>
                <w:position w:val="0"/>
                <w:sz w:val="14"/>
                <w:szCs w:val="14"/>
              </w:rPr>
              <w:t>国盛弘远（上海）投资有</w:t>
            </w:r>
          </w:p>
          <w:p>
            <w:pPr>
              <w:pStyle w:val="Style2"/>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上海市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上海市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股权投资、财务咨询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100</w:t>
            </w:r>
            <w:r>
              <w:rPr>
                <w:color w:val="000000"/>
                <w:spacing w:val="0"/>
                <w:w w:val="100"/>
                <w:position w:val="0"/>
                <w:sz w:val="14"/>
                <w:szCs w:val="14"/>
              </w:rPr>
              <w:t xml:space="preserve">. </w:t>
            </w:r>
            <w:r>
              <w:rPr>
                <w:rFonts w:ascii="Times New Roman" w:eastAsia="Times New Roman" w:hAnsi="Times New Roman" w:cs="Times New Roman"/>
                <w:color w:val="000000"/>
                <w:spacing w:val="0"/>
                <w:w w:val="100"/>
                <w:position w:val="0"/>
                <w:sz w:val="15"/>
                <w:szCs w:val="15"/>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非同一控制收购</w:t>
            </w:r>
          </w:p>
        </w:tc>
      </w:tr>
      <w:tr>
        <w:trPr>
          <w:trHeight w:val="59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140"/>
              <w:jc w:val="left"/>
              <w:rPr>
                <w:sz w:val="14"/>
                <w:szCs w:val="14"/>
              </w:rPr>
            </w:pPr>
            <w:r>
              <w:rPr>
                <w:color w:val="000000"/>
                <w:spacing w:val="0"/>
                <w:w w:val="100"/>
                <w:position w:val="0"/>
                <w:sz w:val="14"/>
                <w:szCs w:val="14"/>
              </w:rPr>
              <w:t>深圳国盛前海投资有限</w:t>
            </w:r>
          </w:p>
          <w:p>
            <w:pPr>
              <w:pStyle w:val="Style2"/>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深圳市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深圳市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100</w:t>
            </w:r>
            <w:r>
              <w:rPr>
                <w:color w:val="000000"/>
                <w:spacing w:val="0"/>
                <w:w w:val="100"/>
                <w:position w:val="0"/>
                <w:sz w:val="14"/>
                <w:szCs w:val="14"/>
              </w:rPr>
              <w:t xml:space="preserve">. </w:t>
            </w:r>
            <w:r>
              <w:rPr>
                <w:rFonts w:ascii="Times New Roman" w:eastAsia="Times New Roman" w:hAnsi="Times New Roman" w:cs="Times New Roman"/>
                <w:color w:val="000000"/>
                <w:spacing w:val="0"/>
                <w:w w:val="100"/>
                <w:position w:val="0"/>
                <w:sz w:val="15"/>
                <w:szCs w:val="15"/>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直接设立</w:t>
            </w:r>
          </w:p>
        </w:tc>
      </w:tr>
      <w:tr>
        <w:trPr>
          <w:trHeight w:val="595"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140"/>
              <w:jc w:val="left"/>
              <w:rPr>
                <w:sz w:val="12"/>
                <w:szCs w:val="12"/>
              </w:rPr>
            </w:pPr>
            <w:r>
              <w:rPr>
                <w:rFonts w:ascii="Courier New" w:eastAsia="Courier New" w:hAnsi="Courier New" w:cs="Courier New"/>
                <w:color w:val="000000"/>
                <w:spacing w:val="0"/>
                <w:w w:val="100"/>
                <w:position w:val="0"/>
                <w:sz w:val="12"/>
                <w:szCs w:val="12"/>
              </w:rPr>
              <w:t xml:space="preserve">Guosheng </w:t>
            </w:r>
            <w:r>
              <w:rPr>
                <w:rFonts w:ascii="Courier New" w:eastAsia="Courier New" w:hAnsi="Courier New" w:cs="Courier New"/>
                <w:color w:val="000000"/>
                <w:spacing w:val="0"/>
                <w:w w:val="100"/>
                <w:position w:val="0"/>
                <w:sz w:val="12"/>
                <w:szCs w:val="12"/>
              </w:rPr>
              <w:t xml:space="preserve">( </w:t>
            </w:r>
            <w:r>
              <w:rPr>
                <w:rFonts w:ascii="Courier New" w:eastAsia="Courier New" w:hAnsi="Courier New" w:cs="Courier New"/>
                <w:color w:val="000000"/>
                <w:spacing w:val="0"/>
                <w:w w:val="100"/>
                <w:position w:val="0"/>
                <w:sz w:val="12"/>
                <w:szCs w:val="12"/>
              </w:rPr>
              <w:t>Hong Kong)</w:t>
            </w:r>
          </w:p>
          <w:p>
            <w:pPr>
              <w:pStyle w:val="Style2"/>
              <w:keepNext w:val="0"/>
              <w:keepLines w:val="0"/>
              <w:widowControl w:val="0"/>
              <w:shd w:val="clear" w:color="auto" w:fill="auto"/>
              <w:bidi w:val="0"/>
              <w:spacing w:before="0" w:after="0" w:line="240" w:lineRule="auto"/>
              <w:ind w:left="0" w:right="0" w:firstLine="140"/>
              <w:jc w:val="left"/>
              <w:rPr>
                <w:sz w:val="12"/>
                <w:szCs w:val="12"/>
              </w:rPr>
            </w:pPr>
            <w:r>
              <w:rPr>
                <w:rFonts w:ascii="Courier New" w:eastAsia="Courier New" w:hAnsi="Courier New" w:cs="Courier New"/>
                <w:color w:val="000000"/>
                <w:spacing w:val="0"/>
                <w:w w:val="100"/>
                <w:position w:val="0"/>
                <w:sz w:val="12"/>
                <w:szCs w:val="12"/>
              </w:rPr>
              <w:t>Investment 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100</w:t>
            </w:r>
            <w:r>
              <w:rPr>
                <w:color w:val="000000"/>
                <w:spacing w:val="0"/>
                <w:w w:val="100"/>
                <w:position w:val="0"/>
                <w:sz w:val="14"/>
                <w:szCs w:val="14"/>
              </w:rPr>
              <w:t xml:space="preserve">. </w:t>
            </w:r>
            <w:r>
              <w:rPr>
                <w:rFonts w:ascii="Times New Roman" w:eastAsia="Times New Roman" w:hAnsi="Times New Roman" w:cs="Times New Roman"/>
                <w:color w:val="000000"/>
                <w:spacing w:val="0"/>
                <w:w w:val="100"/>
                <w:position w:val="0"/>
                <w:sz w:val="15"/>
                <w:szCs w:val="15"/>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直接设立</w:t>
            </w:r>
          </w:p>
        </w:tc>
      </w:tr>
      <w:tr>
        <w:trPr>
          <w:trHeight w:val="595"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140"/>
              <w:jc w:val="left"/>
              <w:rPr>
                <w:sz w:val="12"/>
                <w:szCs w:val="12"/>
              </w:rPr>
            </w:pPr>
            <w:r>
              <w:rPr>
                <w:rFonts w:ascii="Courier New" w:eastAsia="Courier New" w:hAnsi="Courier New" w:cs="Courier New"/>
                <w:color w:val="000000"/>
                <w:spacing w:val="0"/>
                <w:w w:val="100"/>
                <w:position w:val="0"/>
                <w:sz w:val="12"/>
                <w:szCs w:val="12"/>
              </w:rPr>
              <w:t>Guosheng International</w:t>
            </w:r>
          </w:p>
          <w:p>
            <w:pPr>
              <w:pStyle w:val="Style2"/>
              <w:keepNext w:val="0"/>
              <w:keepLines w:val="0"/>
              <w:widowControl w:val="0"/>
              <w:shd w:val="clear" w:color="auto" w:fill="auto"/>
              <w:bidi w:val="0"/>
              <w:spacing w:before="0" w:after="0" w:line="240" w:lineRule="auto"/>
              <w:ind w:left="0" w:right="0" w:firstLine="140"/>
              <w:jc w:val="left"/>
              <w:rPr>
                <w:sz w:val="12"/>
                <w:szCs w:val="12"/>
              </w:rPr>
            </w:pPr>
            <w:r>
              <w:rPr>
                <w:rFonts w:ascii="Courier New" w:eastAsia="Courier New" w:hAnsi="Courier New" w:cs="Courier New"/>
                <w:color w:val="000000"/>
                <w:spacing w:val="0"/>
                <w:w w:val="100"/>
                <w:position w:val="0"/>
                <w:sz w:val="12"/>
                <w:szCs w:val="12"/>
              </w:rPr>
              <w:t>Investment Limited</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left"/>
              <w:rPr>
                <w:sz w:val="12"/>
                <w:szCs w:val="12"/>
              </w:rPr>
            </w:pPr>
            <w:r>
              <w:rPr>
                <w:rFonts w:ascii="Courier New" w:eastAsia="Courier New" w:hAnsi="Courier New" w:cs="Courier New"/>
                <w:color w:val="000000"/>
                <w:spacing w:val="0"/>
                <w:w w:val="100"/>
                <w:position w:val="0"/>
                <w:sz w:val="12"/>
                <w:szCs w:val="12"/>
              </w:rPr>
              <w:t>BVI</w:t>
            </w:r>
          </w:p>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Courier New" w:eastAsia="Courier New" w:hAnsi="Courier New" w:cs="Courier New"/>
                <w:color w:val="000000"/>
                <w:spacing w:val="0"/>
                <w:w w:val="100"/>
                <w:position w:val="0"/>
                <w:sz w:val="12"/>
                <w:szCs w:val="12"/>
              </w:rPr>
              <w:t>Islands</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left"/>
              <w:rPr>
                <w:sz w:val="12"/>
                <w:szCs w:val="12"/>
              </w:rPr>
            </w:pPr>
            <w:r>
              <w:rPr>
                <w:rFonts w:ascii="Courier New" w:eastAsia="Courier New" w:hAnsi="Courier New" w:cs="Courier New"/>
                <w:color w:val="000000"/>
                <w:spacing w:val="0"/>
                <w:w w:val="100"/>
                <w:position w:val="0"/>
                <w:sz w:val="12"/>
                <w:szCs w:val="12"/>
              </w:rPr>
              <w:t>BVI</w:t>
            </w:r>
          </w:p>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Courier New" w:eastAsia="Courier New" w:hAnsi="Courier New" w:cs="Courier New"/>
                <w:color w:val="000000"/>
                <w:spacing w:val="0"/>
                <w:w w:val="100"/>
                <w:position w:val="0"/>
                <w:sz w:val="12"/>
                <w:szCs w:val="12"/>
              </w:rPr>
              <w:t>Islands</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100</w:t>
            </w:r>
            <w:r>
              <w:rPr>
                <w:color w:val="000000"/>
                <w:spacing w:val="0"/>
                <w:w w:val="100"/>
                <w:position w:val="0"/>
                <w:sz w:val="14"/>
                <w:szCs w:val="14"/>
              </w:rPr>
              <w:t xml:space="preserve">. </w:t>
            </w:r>
            <w:r>
              <w:rPr>
                <w:rFonts w:ascii="Times New Roman" w:eastAsia="Times New Roman" w:hAnsi="Times New Roman" w:cs="Times New Roman"/>
                <w:color w:val="000000"/>
                <w:spacing w:val="0"/>
                <w:w w:val="100"/>
                <w:position w:val="0"/>
                <w:sz w:val="15"/>
                <w:szCs w:val="15"/>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直接设立</w:t>
            </w:r>
          </w:p>
        </w:tc>
      </w:tr>
      <w:tr>
        <w:trPr>
          <w:trHeight w:val="883" w:hRule="exact"/>
        </w:trPr>
        <w:tc>
          <w:tcPr>
            <w:tcBorders>
              <w:top w:val="single" w:sz="4"/>
            </w:tcBorders>
            <w:shd w:val="clear" w:color="auto" w:fill="FFFFFF"/>
            <w:vAlign w:val="top"/>
          </w:tcPr>
          <w:p>
            <w:pPr>
              <w:pStyle w:val="Style2"/>
              <w:keepNext w:val="0"/>
              <w:keepLines w:val="0"/>
              <w:widowControl w:val="0"/>
              <w:shd w:val="clear" w:color="auto" w:fill="auto"/>
              <w:tabs>
                <w:tab w:pos="1177" w:val="left"/>
              </w:tabs>
              <w:bidi w:val="0"/>
              <w:spacing w:before="0" w:after="120" w:line="240" w:lineRule="auto"/>
              <w:ind w:left="0" w:right="0" w:firstLine="140"/>
              <w:jc w:val="left"/>
              <w:rPr>
                <w:sz w:val="12"/>
                <w:szCs w:val="12"/>
              </w:rPr>
            </w:pPr>
            <w:r>
              <w:rPr>
                <w:rFonts w:ascii="Courier New" w:eastAsia="Courier New" w:hAnsi="Courier New" w:cs="Courier New"/>
                <w:color w:val="000000"/>
                <w:spacing w:val="0"/>
                <w:w w:val="100"/>
                <w:position w:val="0"/>
                <w:sz w:val="12"/>
                <w:szCs w:val="12"/>
              </w:rPr>
              <w:t>Guosheng</w:t>
              <w:tab/>
              <w:t>Internet</w:t>
            </w:r>
          </w:p>
          <w:p>
            <w:pPr>
              <w:pStyle w:val="Style2"/>
              <w:keepNext w:val="0"/>
              <w:keepLines w:val="0"/>
              <w:widowControl w:val="0"/>
              <w:shd w:val="clear" w:color="auto" w:fill="auto"/>
              <w:tabs>
                <w:tab w:pos="994" w:val="left"/>
              </w:tabs>
              <w:bidi w:val="0"/>
              <w:spacing w:before="0" w:after="120" w:line="240" w:lineRule="auto"/>
              <w:ind w:left="0" w:right="0" w:firstLine="140"/>
              <w:jc w:val="left"/>
              <w:rPr>
                <w:sz w:val="12"/>
                <w:szCs w:val="12"/>
              </w:rPr>
            </w:pPr>
            <w:r>
              <w:rPr>
                <w:rFonts w:ascii="Courier New" w:eastAsia="Courier New" w:hAnsi="Courier New" w:cs="Courier New"/>
                <w:color w:val="000000"/>
                <w:spacing w:val="0"/>
                <w:w w:val="100"/>
                <w:position w:val="0"/>
                <w:sz w:val="12"/>
                <w:szCs w:val="12"/>
              </w:rPr>
              <w:t>Investment</w:t>
              <w:tab/>
              <w:t>Management</w:t>
            </w:r>
          </w:p>
          <w:p>
            <w:pPr>
              <w:pStyle w:val="Style2"/>
              <w:keepNext w:val="0"/>
              <w:keepLines w:val="0"/>
              <w:widowControl w:val="0"/>
              <w:shd w:val="clear" w:color="auto" w:fill="auto"/>
              <w:bidi w:val="0"/>
              <w:spacing w:before="0" w:after="120" w:line="240" w:lineRule="auto"/>
              <w:ind w:left="0" w:right="0" w:firstLine="140"/>
              <w:jc w:val="left"/>
              <w:rPr>
                <w:sz w:val="12"/>
                <w:szCs w:val="12"/>
              </w:rPr>
            </w:pPr>
            <w:r>
              <w:rPr>
                <w:rFonts w:ascii="Courier New" w:eastAsia="Courier New" w:hAnsi="Courier New" w:cs="Courier New"/>
                <w:color w:val="000000"/>
                <w:spacing w:val="0"/>
                <w:w w:val="100"/>
                <w:position w:val="0"/>
                <w:sz w:val="12"/>
                <w:szCs w:val="12"/>
              </w:rPr>
              <w:t>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2"/>
                <w:szCs w:val="12"/>
              </w:rPr>
            </w:pPr>
            <w:r>
              <w:rPr>
                <w:rFonts w:ascii="Courier New" w:eastAsia="Courier New" w:hAnsi="Courier New" w:cs="Courier New"/>
                <w:color w:val="000000"/>
                <w:spacing w:val="0"/>
                <w:w w:val="100"/>
                <w:position w:val="0"/>
                <w:sz w:val="12"/>
                <w:szCs w:val="12"/>
              </w:rPr>
              <w:t>Cayman</w:t>
            </w:r>
          </w:p>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Courier New" w:eastAsia="Courier New" w:hAnsi="Courier New" w:cs="Courier New"/>
                <w:color w:val="000000"/>
                <w:spacing w:val="0"/>
                <w:w w:val="100"/>
                <w:position w:val="0"/>
                <w:sz w:val="12"/>
                <w:szCs w:val="12"/>
              </w:rPr>
              <w:t>Islands</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2"/>
                <w:szCs w:val="12"/>
              </w:rPr>
            </w:pPr>
            <w:r>
              <w:rPr>
                <w:rFonts w:ascii="Courier New" w:eastAsia="Courier New" w:hAnsi="Courier New" w:cs="Courier New"/>
                <w:color w:val="000000"/>
                <w:spacing w:val="0"/>
                <w:w w:val="100"/>
                <w:position w:val="0"/>
                <w:sz w:val="12"/>
                <w:szCs w:val="12"/>
              </w:rPr>
              <w:t>Cayman</w:t>
            </w:r>
          </w:p>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Courier New" w:eastAsia="Courier New" w:hAnsi="Courier New" w:cs="Courier New"/>
                <w:color w:val="000000"/>
                <w:spacing w:val="0"/>
                <w:w w:val="100"/>
                <w:position w:val="0"/>
                <w:sz w:val="12"/>
                <w:szCs w:val="12"/>
              </w:rPr>
              <w:t>Islands</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100</w:t>
            </w:r>
            <w:r>
              <w:rPr>
                <w:color w:val="000000"/>
                <w:spacing w:val="0"/>
                <w:w w:val="100"/>
                <w:position w:val="0"/>
                <w:sz w:val="14"/>
                <w:szCs w:val="14"/>
              </w:rPr>
              <w:t xml:space="preserve">. </w:t>
            </w:r>
            <w:r>
              <w:rPr>
                <w:rFonts w:ascii="Times New Roman" w:eastAsia="Times New Roman" w:hAnsi="Times New Roman" w:cs="Times New Roman"/>
                <w:color w:val="000000"/>
                <w:spacing w:val="0"/>
                <w:w w:val="100"/>
                <w:position w:val="0"/>
                <w:sz w:val="15"/>
                <w:szCs w:val="15"/>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直接设立</w:t>
            </w:r>
          </w:p>
        </w:tc>
      </w:tr>
      <w:tr>
        <w:trPr>
          <w:trHeight w:val="888"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140"/>
              <w:jc w:val="left"/>
              <w:rPr>
                <w:sz w:val="12"/>
                <w:szCs w:val="12"/>
              </w:rPr>
            </w:pPr>
            <w:r>
              <w:rPr>
                <w:rFonts w:ascii="Courier New" w:eastAsia="Courier New" w:hAnsi="Courier New" w:cs="Courier New"/>
                <w:color w:val="000000"/>
                <w:spacing w:val="0"/>
                <w:w w:val="100"/>
                <w:position w:val="0"/>
                <w:sz w:val="12"/>
                <w:szCs w:val="12"/>
              </w:rPr>
              <w:t>Kingley Ying Fat Paper</w:t>
            </w:r>
          </w:p>
          <w:p>
            <w:pPr>
              <w:pStyle w:val="Style2"/>
              <w:keepNext w:val="0"/>
              <w:keepLines w:val="0"/>
              <w:widowControl w:val="0"/>
              <w:shd w:val="clear" w:color="auto" w:fill="auto"/>
              <w:tabs>
                <w:tab w:pos="1167" w:val="left"/>
              </w:tabs>
              <w:bidi w:val="0"/>
              <w:spacing w:before="0" w:after="120" w:line="240" w:lineRule="auto"/>
              <w:ind w:left="0" w:right="0" w:firstLine="140"/>
              <w:jc w:val="left"/>
              <w:rPr>
                <w:sz w:val="12"/>
                <w:szCs w:val="12"/>
              </w:rPr>
            </w:pPr>
            <w:r>
              <w:rPr>
                <w:rFonts w:ascii="Courier New" w:eastAsia="Courier New" w:hAnsi="Courier New" w:cs="Courier New"/>
                <w:color w:val="000000"/>
                <w:spacing w:val="0"/>
                <w:w w:val="100"/>
                <w:position w:val="0"/>
                <w:sz w:val="12"/>
                <w:szCs w:val="12"/>
              </w:rPr>
              <w:t xml:space="preserve">Products </w:t>
            </w:r>
            <w:r>
              <w:rPr>
                <w:rFonts w:ascii="Courier New" w:eastAsia="Courier New" w:hAnsi="Courier New" w:cs="Courier New"/>
                <w:color w:val="000000"/>
                <w:spacing w:val="0"/>
                <w:w w:val="100"/>
                <w:position w:val="0"/>
                <w:sz w:val="12"/>
                <w:szCs w:val="12"/>
              </w:rPr>
              <w:t>&amp;</w:t>
              <w:tab/>
            </w:r>
            <w:r>
              <w:rPr>
                <w:rFonts w:ascii="Courier New" w:eastAsia="Courier New" w:hAnsi="Courier New" w:cs="Courier New"/>
                <w:color w:val="000000"/>
                <w:spacing w:val="0"/>
                <w:w w:val="100"/>
                <w:position w:val="0"/>
                <w:sz w:val="12"/>
                <w:szCs w:val="12"/>
              </w:rPr>
              <w:t>Printing</w:t>
            </w:r>
          </w:p>
          <w:p>
            <w:pPr>
              <w:pStyle w:val="Style2"/>
              <w:keepNext w:val="0"/>
              <w:keepLines w:val="0"/>
              <w:widowControl w:val="0"/>
              <w:shd w:val="clear" w:color="auto" w:fill="auto"/>
              <w:bidi w:val="0"/>
              <w:spacing w:before="0" w:after="120" w:line="240" w:lineRule="auto"/>
              <w:ind w:left="0" w:right="0" w:firstLine="140"/>
              <w:jc w:val="left"/>
              <w:rPr>
                <w:sz w:val="12"/>
                <w:szCs w:val="12"/>
              </w:rPr>
            </w:pPr>
            <w:r>
              <w:rPr>
                <w:rFonts w:ascii="Courier New" w:eastAsia="Courier New" w:hAnsi="Courier New" w:cs="Courier New"/>
                <w:color w:val="000000"/>
                <w:spacing w:val="0"/>
                <w:w w:val="100"/>
                <w:position w:val="0"/>
                <w:sz w:val="12"/>
                <w:szCs w:val="12"/>
              </w:rPr>
              <w:t>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纸品制造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100</w:t>
            </w:r>
            <w:r>
              <w:rPr>
                <w:color w:val="000000"/>
                <w:spacing w:val="0"/>
                <w:w w:val="100"/>
                <w:position w:val="0"/>
                <w:sz w:val="14"/>
                <w:szCs w:val="14"/>
              </w:rPr>
              <w:t xml:space="preserve">. </w:t>
            </w:r>
            <w:r>
              <w:rPr>
                <w:rFonts w:ascii="Times New Roman" w:eastAsia="Times New Roman" w:hAnsi="Times New Roman" w:cs="Times New Roman"/>
                <w:color w:val="000000"/>
                <w:spacing w:val="0"/>
                <w:w w:val="100"/>
                <w:position w:val="0"/>
                <w:sz w:val="15"/>
                <w:szCs w:val="15"/>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非同一控制收购</w:t>
            </w:r>
          </w:p>
        </w:tc>
      </w:tr>
      <w:tr>
        <w:trPr>
          <w:trHeight w:val="590" w:hRule="exact"/>
        </w:trPr>
        <w:tc>
          <w:tcPr>
            <w:tcBorders>
              <w:top w:val="single" w:sz="4"/>
            </w:tcBorders>
            <w:shd w:val="clear" w:color="auto" w:fill="FFFFFF"/>
            <w:vAlign w:val="top"/>
          </w:tcPr>
          <w:p>
            <w:pPr>
              <w:pStyle w:val="Style2"/>
              <w:keepNext w:val="0"/>
              <w:keepLines w:val="0"/>
              <w:widowControl w:val="0"/>
              <w:shd w:val="clear" w:color="auto" w:fill="auto"/>
              <w:tabs>
                <w:tab w:pos="1316" w:val="left"/>
              </w:tabs>
              <w:bidi w:val="0"/>
              <w:spacing w:before="0" w:after="120" w:line="240" w:lineRule="auto"/>
              <w:ind w:left="0" w:right="0" w:firstLine="140"/>
              <w:jc w:val="left"/>
              <w:rPr>
                <w:sz w:val="12"/>
                <w:szCs w:val="12"/>
              </w:rPr>
            </w:pPr>
            <w:r>
              <w:rPr>
                <w:rFonts w:ascii="Courier New" w:eastAsia="Courier New" w:hAnsi="Courier New" w:cs="Courier New"/>
                <w:color w:val="000000"/>
                <w:spacing w:val="0"/>
                <w:w w:val="100"/>
                <w:position w:val="0"/>
                <w:sz w:val="12"/>
                <w:szCs w:val="12"/>
              </w:rPr>
              <w:t>Guosheng</w:t>
              <w:tab/>
              <w:t>Global</w:t>
            </w:r>
          </w:p>
          <w:p>
            <w:pPr>
              <w:pStyle w:val="Style2"/>
              <w:keepNext w:val="0"/>
              <w:keepLines w:val="0"/>
              <w:widowControl w:val="0"/>
              <w:shd w:val="clear" w:color="auto" w:fill="auto"/>
              <w:bidi w:val="0"/>
              <w:spacing w:before="0" w:after="0" w:line="240" w:lineRule="auto"/>
              <w:ind w:left="0" w:right="0" w:firstLine="140"/>
              <w:jc w:val="left"/>
              <w:rPr>
                <w:sz w:val="12"/>
                <w:szCs w:val="12"/>
              </w:rPr>
            </w:pPr>
            <w:r>
              <w:rPr>
                <w:rFonts w:ascii="Courier New" w:eastAsia="Courier New" w:hAnsi="Courier New" w:cs="Courier New"/>
                <w:color w:val="000000"/>
                <w:spacing w:val="0"/>
                <w:w w:val="100"/>
                <w:position w:val="0"/>
                <w:sz w:val="12"/>
                <w:szCs w:val="12"/>
              </w:rPr>
              <w:t>Investment Limited</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left"/>
              <w:rPr>
                <w:sz w:val="12"/>
                <w:szCs w:val="12"/>
              </w:rPr>
            </w:pPr>
            <w:r>
              <w:rPr>
                <w:rFonts w:ascii="Courier New" w:eastAsia="Courier New" w:hAnsi="Courier New" w:cs="Courier New"/>
                <w:color w:val="000000"/>
                <w:spacing w:val="0"/>
                <w:w w:val="100"/>
                <w:position w:val="0"/>
                <w:sz w:val="12"/>
                <w:szCs w:val="12"/>
              </w:rPr>
              <w:t>BVI</w:t>
            </w:r>
          </w:p>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Courier New" w:eastAsia="Courier New" w:hAnsi="Courier New" w:cs="Courier New"/>
                <w:color w:val="000000"/>
                <w:spacing w:val="0"/>
                <w:w w:val="100"/>
                <w:position w:val="0"/>
                <w:sz w:val="12"/>
                <w:szCs w:val="12"/>
              </w:rPr>
              <w:t>Islands</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left"/>
              <w:rPr>
                <w:sz w:val="12"/>
                <w:szCs w:val="12"/>
              </w:rPr>
            </w:pPr>
            <w:r>
              <w:rPr>
                <w:rFonts w:ascii="Courier New" w:eastAsia="Courier New" w:hAnsi="Courier New" w:cs="Courier New"/>
                <w:color w:val="000000"/>
                <w:spacing w:val="0"/>
                <w:w w:val="100"/>
                <w:position w:val="0"/>
                <w:sz w:val="12"/>
                <w:szCs w:val="12"/>
              </w:rPr>
              <w:t>BVI</w:t>
            </w:r>
          </w:p>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Courier New" w:eastAsia="Courier New" w:hAnsi="Courier New" w:cs="Courier New"/>
                <w:color w:val="000000"/>
                <w:spacing w:val="0"/>
                <w:w w:val="100"/>
                <w:position w:val="0"/>
                <w:sz w:val="12"/>
                <w:szCs w:val="12"/>
              </w:rPr>
              <w:t>Islands</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100</w:t>
            </w:r>
            <w:r>
              <w:rPr>
                <w:color w:val="000000"/>
                <w:spacing w:val="0"/>
                <w:w w:val="100"/>
                <w:position w:val="0"/>
                <w:sz w:val="14"/>
                <w:szCs w:val="14"/>
              </w:rPr>
              <w:t xml:space="preserve">. </w:t>
            </w:r>
            <w:r>
              <w:rPr>
                <w:rFonts w:ascii="Times New Roman" w:eastAsia="Times New Roman" w:hAnsi="Times New Roman" w:cs="Times New Roman"/>
                <w:color w:val="000000"/>
                <w:spacing w:val="0"/>
                <w:w w:val="100"/>
                <w:position w:val="0"/>
                <w:sz w:val="15"/>
                <w:szCs w:val="15"/>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直接设立</w:t>
            </w:r>
          </w:p>
        </w:tc>
      </w:tr>
      <w:tr>
        <w:trPr>
          <w:trHeight w:val="624" w:hRule="exact"/>
        </w:trPr>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0" w:after="140" w:line="240" w:lineRule="auto"/>
              <w:ind w:left="0" w:right="0" w:firstLine="140"/>
              <w:jc w:val="left"/>
              <w:rPr>
                <w:sz w:val="14"/>
                <w:szCs w:val="14"/>
              </w:rPr>
            </w:pPr>
            <w:r>
              <w:rPr>
                <w:color w:val="000000"/>
                <w:spacing w:val="0"/>
                <w:w w:val="100"/>
                <w:position w:val="0"/>
                <w:sz w:val="14"/>
                <w:szCs w:val="14"/>
              </w:rPr>
              <w:t>珠海横琴极盛科技有限</w:t>
            </w:r>
          </w:p>
          <w:p>
            <w:pPr>
              <w:pStyle w:val="Style2"/>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上海市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珠海市</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left"/>
              <w:rPr>
                <w:sz w:val="14"/>
                <w:szCs w:val="14"/>
              </w:rPr>
            </w:pPr>
            <w:r>
              <w:rPr>
                <w:color w:val="000000"/>
                <w:spacing w:val="0"/>
                <w:w w:val="100"/>
                <w:position w:val="0"/>
                <w:sz w:val="14"/>
                <w:szCs w:val="14"/>
              </w:rPr>
              <w:t>计算机软硬件，计算机</w:t>
            </w:r>
          </w:p>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系统集成技术开发，技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100</w:t>
            </w:r>
            <w:r>
              <w:rPr>
                <w:color w:val="000000"/>
                <w:spacing w:val="0"/>
                <w:w w:val="100"/>
                <w:position w:val="0"/>
                <w:sz w:val="14"/>
                <w:szCs w:val="14"/>
              </w:rPr>
              <w:t xml:space="preserve">. </w:t>
            </w:r>
            <w:r>
              <w:rPr>
                <w:rFonts w:ascii="Times New Roman" w:eastAsia="Times New Roman" w:hAnsi="Times New Roman" w:cs="Times New Roman"/>
                <w:color w:val="000000"/>
                <w:spacing w:val="0"/>
                <w:w w:val="100"/>
                <w:position w:val="0"/>
                <w:sz w:val="15"/>
                <w:szCs w:val="15"/>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直接设立</w:t>
            </w:r>
          </w:p>
        </w:tc>
      </w:tr>
    </w:tbl>
    <w:p>
      <w:pPr>
        <w:widowControl w:val="0"/>
        <w:spacing w:line="1" w:lineRule="exact"/>
      </w:pPr>
      <w:r>
        <w:br w:type="page"/>
      </w:r>
    </w:p>
    <w:tbl>
      <w:tblPr>
        <w:tblOverlap w:val="never"/>
        <w:jc w:val="center"/>
        <w:tblLayout w:type="fixed"/>
      </w:tblPr>
      <w:tblGrid>
        <w:gridCol w:w="1886"/>
        <w:gridCol w:w="902"/>
        <w:gridCol w:w="854"/>
        <w:gridCol w:w="1728"/>
        <w:gridCol w:w="754"/>
        <w:gridCol w:w="672"/>
        <w:gridCol w:w="1483"/>
      </w:tblGrid>
      <w:tr>
        <w:trPr>
          <w:trHeight w:val="389"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子公司名称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主要经</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注册地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业务</w:t>
            </w:r>
          </w:p>
        </w:tc>
        <w:tc>
          <w:tcPr>
            <w:gridSpan w:val="2"/>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持股比例</w:t>
            </w:r>
            <w:r>
              <w:rPr>
                <w:rFonts w:ascii="Arial Narrow" w:eastAsia="Arial Narrow" w:hAnsi="Arial Narrow" w:cs="Arial Narrow"/>
                <w:color w:val="000000"/>
                <w:spacing w:val="0"/>
                <w:w w:val="100"/>
                <w:position w:val="0"/>
                <w:sz w:val="18"/>
                <w:szCs w:val="18"/>
              </w:rPr>
              <w:t>(</w:t>
            </w:r>
            <w:r>
              <w:rPr>
                <w:color w:val="000000"/>
                <w:spacing w:val="0"/>
                <w:w w:val="100"/>
                <w:position w:val="0"/>
                <w:sz w:val="22"/>
                <w:szCs w:val="22"/>
              </w:rPr>
              <w:t>％</w:t>
            </w:r>
            <w:r>
              <w:rPr>
                <w:rFonts w:ascii="Arial Narrow" w:eastAsia="Arial Narrow" w:hAnsi="Arial Narrow" w:cs="Arial Narrow"/>
                <w:color w:val="000000"/>
                <w:spacing w:val="0"/>
                <w:w w:val="100"/>
                <w:position w:val="0"/>
                <w:sz w:val="18"/>
                <w:szCs w:val="18"/>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取得方式</w:t>
            </w:r>
          </w:p>
        </w:tc>
      </w:tr>
      <w:tr>
        <w:trPr>
          <w:trHeight w:val="35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术服务等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88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140"/>
              <w:jc w:val="left"/>
              <w:rPr>
                <w:sz w:val="14"/>
                <w:szCs w:val="14"/>
              </w:rPr>
            </w:pPr>
            <w:r>
              <w:rPr>
                <w:color w:val="000000"/>
                <w:spacing w:val="0"/>
                <w:w w:val="100"/>
                <w:position w:val="0"/>
                <w:sz w:val="14"/>
                <w:szCs w:val="14"/>
              </w:rPr>
              <w:t>深圳前海国盛科技有限</w:t>
            </w:r>
          </w:p>
          <w:p>
            <w:pPr>
              <w:pStyle w:val="Style2"/>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深圳市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深圳市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both"/>
              <w:rPr>
                <w:sz w:val="14"/>
                <w:szCs w:val="14"/>
              </w:rPr>
            </w:pPr>
            <w:r>
              <w:rPr>
                <w:color w:val="000000"/>
                <w:spacing w:val="0"/>
                <w:w w:val="100"/>
                <w:position w:val="0"/>
                <w:sz w:val="14"/>
                <w:szCs w:val="14"/>
              </w:rPr>
              <w:t>计算机软硬件，计算机</w:t>
            </w:r>
          </w:p>
          <w:p>
            <w:pPr>
              <w:pStyle w:val="Style2"/>
              <w:keepNext w:val="0"/>
              <w:keepLines w:val="0"/>
              <w:widowControl w:val="0"/>
              <w:shd w:val="clear" w:color="auto" w:fill="auto"/>
              <w:bidi w:val="0"/>
              <w:spacing w:before="0" w:after="120" w:line="240" w:lineRule="auto"/>
              <w:ind w:left="0" w:right="0" w:firstLine="0"/>
              <w:jc w:val="both"/>
              <w:rPr>
                <w:sz w:val="14"/>
                <w:szCs w:val="14"/>
              </w:rPr>
            </w:pPr>
            <w:r>
              <w:rPr>
                <w:color w:val="000000"/>
                <w:spacing w:val="0"/>
                <w:w w:val="100"/>
                <w:position w:val="0"/>
                <w:sz w:val="14"/>
                <w:szCs w:val="14"/>
              </w:rPr>
              <w:t>系统集成技术开发，技</w:t>
            </w:r>
          </w:p>
          <w:p>
            <w:pPr>
              <w:pStyle w:val="Style2"/>
              <w:keepNext w:val="0"/>
              <w:keepLines w:val="0"/>
              <w:widowControl w:val="0"/>
              <w:shd w:val="clear" w:color="auto" w:fill="auto"/>
              <w:bidi w:val="0"/>
              <w:spacing w:before="0" w:after="120" w:line="240" w:lineRule="auto"/>
              <w:ind w:left="0" w:right="0" w:firstLine="0"/>
              <w:jc w:val="both"/>
              <w:rPr>
                <w:sz w:val="14"/>
                <w:szCs w:val="14"/>
              </w:rPr>
            </w:pPr>
            <w:r>
              <w:rPr>
                <w:color w:val="000000"/>
                <w:spacing w:val="0"/>
                <w:w w:val="100"/>
                <w:position w:val="0"/>
                <w:sz w:val="14"/>
                <w:szCs w:val="14"/>
              </w:rPr>
              <w:t>术服务等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100</w:t>
            </w:r>
            <w:r>
              <w:rPr>
                <w:color w:val="000000"/>
                <w:spacing w:val="0"/>
                <w:w w:val="100"/>
                <w:position w:val="0"/>
                <w:sz w:val="14"/>
                <w:szCs w:val="14"/>
              </w:rPr>
              <w:t xml:space="preserve">. </w:t>
            </w:r>
            <w:r>
              <w:rPr>
                <w:rFonts w:ascii="Times New Roman" w:eastAsia="Times New Roman" w:hAnsi="Times New Roman" w:cs="Times New Roman"/>
                <w:color w:val="000000"/>
                <w:spacing w:val="0"/>
                <w:w w:val="100"/>
                <w:position w:val="0"/>
                <w:sz w:val="15"/>
                <w:szCs w:val="15"/>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直接设立</w:t>
            </w:r>
          </w:p>
        </w:tc>
      </w:tr>
      <w:tr>
        <w:trPr>
          <w:trHeight w:val="595"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140"/>
              <w:jc w:val="left"/>
              <w:rPr>
                <w:sz w:val="14"/>
                <w:szCs w:val="14"/>
              </w:rPr>
            </w:pPr>
            <w:r>
              <w:rPr>
                <w:color w:val="000000"/>
                <w:spacing w:val="0"/>
                <w:w w:val="100"/>
                <w:position w:val="0"/>
                <w:sz w:val="14"/>
                <w:szCs w:val="14"/>
              </w:rPr>
              <w:t>北京国盛互联信息咨询</w:t>
            </w:r>
          </w:p>
          <w:p>
            <w:pPr>
              <w:pStyle w:val="Style2"/>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北京市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both"/>
              <w:rPr>
                <w:sz w:val="14"/>
                <w:szCs w:val="14"/>
              </w:rPr>
            </w:pPr>
            <w:r>
              <w:rPr>
                <w:color w:val="000000"/>
                <w:spacing w:val="0"/>
                <w:w w:val="100"/>
                <w:position w:val="0"/>
                <w:sz w:val="14"/>
                <w:szCs w:val="14"/>
              </w:rPr>
              <w:t>经济贸易咨询；企业管</w:t>
            </w:r>
          </w:p>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理咨询等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100</w:t>
            </w:r>
            <w:r>
              <w:rPr>
                <w:color w:val="000000"/>
                <w:spacing w:val="0"/>
                <w:w w:val="100"/>
                <w:position w:val="0"/>
                <w:sz w:val="14"/>
                <w:szCs w:val="14"/>
              </w:rPr>
              <w:t xml:space="preserve">. </w:t>
            </w:r>
            <w:r>
              <w:rPr>
                <w:rFonts w:ascii="Times New Roman" w:eastAsia="Times New Roman" w:hAnsi="Times New Roman" w:cs="Times New Roman"/>
                <w:color w:val="000000"/>
                <w:spacing w:val="0"/>
                <w:w w:val="100"/>
                <w:position w:val="0"/>
                <w:sz w:val="15"/>
                <w:szCs w:val="15"/>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直接设立</w:t>
            </w:r>
          </w:p>
        </w:tc>
      </w:tr>
      <w:tr>
        <w:trPr>
          <w:trHeight w:val="88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40"/>
              <w:jc w:val="left"/>
              <w:rPr>
                <w:sz w:val="14"/>
                <w:szCs w:val="14"/>
              </w:rPr>
            </w:pPr>
            <w:r>
              <w:rPr>
                <w:color w:val="000000"/>
                <w:spacing w:val="0"/>
                <w:w w:val="100"/>
                <w:position w:val="0"/>
                <w:sz w:val="14"/>
                <w:szCs w:val="14"/>
              </w:rPr>
              <w:t>天津国盛信安科技有限</w:t>
            </w:r>
          </w:p>
          <w:p>
            <w:pPr>
              <w:pStyle w:val="Style2"/>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天津市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天津市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95" w:lineRule="exact"/>
              <w:ind w:left="0" w:right="0" w:firstLine="0"/>
              <w:jc w:val="both"/>
              <w:rPr>
                <w:sz w:val="14"/>
                <w:szCs w:val="14"/>
              </w:rPr>
            </w:pPr>
            <w:r>
              <w:rPr>
                <w:color w:val="000000"/>
                <w:spacing w:val="0"/>
                <w:w w:val="100"/>
                <w:position w:val="0"/>
                <w:sz w:val="14"/>
                <w:szCs w:val="14"/>
              </w:rPr>
              <w:t>计算机网络技术、电子 信息技术、数据处理技 术开发等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100</w:t>
            </w:r>
            <w:r>
              <w:rPr>
                <w:color w:val="000000"/>
                <w:spacing w:val="0"/>
                <w:w w:val="100"/>
                <w:position w:val="0"/>
                <w:sz w:val="14"/>
                <w:szCs w:val="14"/>
              </w:rPr>
              <w:t xml:space="preserve">. </w:t>
            </w:r>
            <w:r>
              <w:rPr>
                <w:rFonts w:ascii="Times New Roman" w:eastAsia="Times New Roman" w:hAnsi="Times New Roman" w:cs="Times New Roman"/>
                <w:color w:val="000000"/>
                <w:spacing w:val="0"/>
                <w:w w:val="100"/>
                <w:position w:val="0"/>
                <w:sz w:val="15"/>
                <w:szCs w:val="15"/>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非同一控制收购</w:t>
            </w:r>
          </w:p>
        </w:tc>
      </w:tr>
      <w:tr>
        <w:trPr>
          <w:trHeight w:val="17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40"/>
              <w:jc w:val="left"/>
              <w:rPr>
                <w:sz w:val="14"/>
                <w:szCs w:val="14"/>
              </w:rPr>
            </w:pPr>
            <w:r>
              <w:rPr>
                <w:color w:val="000000"/>
                <w:spacing w:val="0"/>
                <w:w w:val="100"/>
                <w:position w:val="0"/>
                <w:sz w:val="14"/>
                <w:szCs w:val="14"/>
              </w:rPr>
              <w:t>深圳前海弘大嘉豪资本</w:t>
            </w:r>
          </w:p>
          <w:p>
            <w:pPr>
              <w:pStyle w:val="Style2"/>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深圳市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深圳市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93" w:lineRule="exact"/>
              <w:ind w:left="0" w:right="0" w:firstLine="0"/>
              <w:jc w:val="both"/>
              <w:rPr>
                <w:sz w:val="14"/>
                <w:szCs w:val="14"/>
              </w:rPr>
            </w:pPr>
            <w:r>
              <w:rPr>
                <w:color w:val="000000"/>
                <w:spacing w:val="0"/>
                <w:w w:val="100"/>
                <w:position w:val="0"/>
                <w:sz w:val="14"/>
                <w:szCs w:val="14"/>
              </w:rPr>
              <w:t>受托资产管理、投资管 理(不得从事信托、金 融资产管理、证券资产 管理及其他限制项目)； 股权投资；创业投资业 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100</w:t>
            </w:r>
            <w:r>
              <w:rPr>
                <w:color w:val="000000"/>
                <w:spacing w:val="0"/>
                <w:w w:val="100"/>
                <w:position w:val="0"/>
                <w:sz w:val="14"/>
                <w:szCs w:val="14"/>
              </w:rPr>
              <w:t xml:space="preserve">. </w:t>
            </w:r>
            <w:r>
              <w:rPr>
                <w:rFonts w:ascii="Times New Roman" w:eastAsia="Times New Roman" w:hAnsi="Times New Roman" w:cs="Times New Roman"/>
                <w:color w:val="000000"/>
                <w:spacing w:val="0"/>
                <w:w w:val="100"/>
                <w:position w:val="0"/>
                <w:sz w:val="15"/>
                <w:szCs w:val="15"/>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非同一控制收购</w:t>
            </w:r>
          </w:p>
        </w:tc>
      </w:tr>
      <w:tr>
        <w:trPr>
          <w:trHeight w:val="205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40"/>
              <w:jc w:val="left"/>
              <w:rPr>
                <w:sz w:val="14"/>
                <w:szCs w:val="14"/>
              </w:rPr>
            </w:pPr>
            <w:r>
              <w:rPr>
                <w:color w:val="000000"/>
                <w:spacing w:val="0"/>
                <w:w w:val="100"/>
                <w:position w:val="0"/>
                <w:sz w:val="14"/>
                <w:szCs w:val="14"/>
              </w:rPr>
              <w:t>广州极盛融资租赁有限</w:t>
            </w:r>
          </w:p>
          <w:p>
            <w:pPr>
              <w:pStyle w:val="Style2"/>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广州市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广州市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93" w:lineRule="exact"/>
              <w:ind w:left="0" w:right="0" w:firstLine="0"/>
              <w:jc w:val="both"/>
              <w:rPr>
                <w:sz w:val="14"/>
                <w:szCs w:val="14"/>
              </w:rPr>
            </w:pPr>
            <w:r>
              <w:rPr>
                <w:color w:val="000000"/>
                <w:spacing w:val="0"/>
                <w:w w:val="100"/>
                <w:position w:val="0"/>
                <w:sz w:val="14"/>
                <w:szCs w:val="14"/>
              </w:rPr>
              <w:t>融资租赁服务；汽车租 赁；机械设备租赁；建 筑工程机械与设备租 赁；计算机及通讯设备 租赁；自有设备租赁；汽 车销售；二手车租赁，房 屋租赁等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100</w:t>
            </w:r>
            <w:r>
              <w:rPr>
                <w:color w:val="000000"/>
                <w:spacing w:val="0"/>
                <w:w w:val="100"/>
                <w:position w:val="0"/>
                <w:sz w:val="14"/>
                <w:szCs w:val="14"/>
              </w:rPr>
              <w:t xml:space="preserve">. </w:t>
            </w:r>
            <w:r>
              <w:rPr>
                <w:rFonts w:ascii="Times New Roman" w:eastAsia="Times New Roman" w:hAnsi="Times New Roman" w:cs="Times New Roman"/>
                <w:color w:val="000000"/>
                <w:spacing w:val="0"/>
                <w:w w:val="100"/>
                <w:position w:val="0"/>
                <w:sz w:val="15"/>
                <w:szCs w:val="15"/>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直接设立</w:t>
            </w:r>
          </w:p>
        </w:tc>
      </w:tr>
      <w:tr>
        <w:trPr>
          <w:trHeight w:val="88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40"/>
              <w:jc w:val="left"/>
              <w:rPr>
                <w:sz w:val="14"/>
                <w:szCs w:val="14"/>
              </w:rPr>
            </w:pPr>
            <w:r>
              <w:rPr>
                <w:color w:val="000000"/>
                <w:spacing w:val="0"/>
                <w:w w:val="100"/>
                <w:position w:val="0"/>
                <w:sz w:val="14"/>
                <w:szCs w:val="14"/>
              </w:rPr>
              <w:t>上海钰信金融信息服务</w:t>
            </w:r>
          </w:p>
          <w:p>
            <w:pPr>
              <w:pStyle w:val="Style2"/>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上海市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上海市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both"/>
              <w:rPr>
                <w:sz w:val="14"/>
                <w:szCs w:val="14"/>
              </w:rPr>
            </w:pPr>
            <w:r>
              <w:rPr>
                <w:color w:val="000000"/>
                <w:spacing w:val="0"/>
                <w:w w:val="100"/>
                <w:position w:val="0"/>
                <w:sz w:val="14"/>
                <w:szCs w:val="14"/>
              </w:rPr>
              <w:t>金融信息服务，金融产</w:t>
            </w:r>
          </w:p>
          <w:p>
            <w:pPr>
              <w:pStyle w:val="Style2"/>
              <w:keepNext w:val="0"/>
              <w:keepLines w:val="0"/>
              <w:widowControl w:val="0"/>
              <w:shd w:val="clear" w:color="auto" w:fill="auto"/>
              <w:bidi w:val="0"/>
              <w:spacing w:before="0" w:after="120" w:line="240" w:lineRule="auto"/>
              <w:ind w:left="0" w:right="0" w:firstLine="0"/>
              <w:jc w:val="both"/>
              <w:rPr>
                <w:sz w:val="14"/>
                <w:szCs w:val="14"/>
              </w:rPr>
            </w:pPr>
            <w:r>
              <w:rPr>
                <w:color w:val="000000"/>
                <w:spacing w:val="0"/>
                <w:w w:val="100"/>
                <w:position w:val="0"/>
                <w:sz w:val="14"/>
                <w:szCs w:val="14"/>
              </w:rPr>
              <w:t>品的研究开发、设计、</w:t>
            </w:r>
          </w:p>
          <w:p>
            <w:pPr>
              <w:pStyle w:val="Style2"/>
              <w:keepNext w:val="0"/>
              <w:keepLines w:val="0"/>
              <w:widowControl w:val="0"/>
              <w:shd w:val="clear" w:color="auto" w:fill="auto"/>
              <w:bidi w:val="0"/>
              <w:spacing w:before="0" w:after="120" w:line="240" w:lineRule="auto"/>
              <w:ind w:left="0" w:right="0" w:firstLine="0"/>
              <w:jc w:val="left"/>
              <w:rPr>
                <w:sz w:val="14"/>
                <w:szCs w:val="14"/>
              </w:rPr>
            </w:pPr>
            <w:r>
              <w:rPr>
                <w:color w:val="000000"/>
                <w:spacing w:val="0"/>
                <w:w w:val="100"/>
                <w:position w:val="0"/>
                <w:sz w:val="14"/>
                <w:szCs w:val="14"/>
              </w:rPr>
              <w:t>咨询服务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100</w:t>
            </w:r>
            <w:r>
              <w:rPr>
                <w:color w:val="000000"/>
                <w:spacing w:val="0"/>
                <w:w w:val="100"/>
                <w:position w:val="0"/>
                <w:sz w:val="14"/>
                <w:szCs w:val="14"/>
              </w:rPr>
              <w:t xml:space="preserve">. </w:t>
            </w:r>
            <w:r>
              <w:rPr>
                <w:rFonts w:ascii="Times New Roman" w:eastAsia="Times New Roman" w:hAnsi="Times New Roman" w:cs="Times New Roman"/>
                <w:color w:val="000000"/>
                <w:spacing w:val="0"/>
                <w:w w:val="100"/>
                <w:position w:val="0"/>
                <w:sz w:val="15"/>
                <w:szCs w:val="15"/>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直接设立</w:t>
            </w:r>
          </w:p>
        </w:tc>
      </w:tr>
      <w:tr>
        <w:trPr>
          <w:trHeight w:val="205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上海多专科技有限公司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上海市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上海市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92" w:lineRule="exact"/>
              <w:ind w:left="0" w:right="0" w:firstLine="0"/>
              <w:jc w:val="both"/>
              <w:rPr>
                <w:sz w:val="14"/>
                <w:szCs w:val="14"/>
              </w:rPr>
            </w:pPr>
            <w:r>
              <w:rPr>
                <w:color w:val="000000"/>
                <w:spacing w:val="0"/>
                <w:w w:val="100"/>
                <w:position w:val="0"/>
                <w:sz w:val="14"/>
                <w:szCs w:val="14"/>
              </w:rPr>
              <w:t>网络科技、信息科技、 软件科技领域内的技术 开发、技术咨询、技术 服务、技术转让，计算 机软件开发、计算机硬 件安装、维修，商务信 息咨询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100</w:t>
            </w:r>
            <w:r>
              <w:rPr>
                <w:color w:val="000000"/>
                <w:spacing w:val="0"/>
                <w:w w:val="100"/>
                <w:position w:val="0"/>
                <w:sz w:val="14"/>
                <w:szCs w:val="14"/>
              </w:rPr>
              <w:t xml:space="preserve">. </w:t>
            </w:r>
            <w:r>
              <w:rPr>
                <w:rFonts w:ascii="Times New Roman" w:eastAsia="Times New Roman" w:hAnsi="Times New Roman" w:cs="Times New Roman"/>
                <w:color w:val="000000"/>
                <w:spacing w:val="0"/>
                <w:w w:val="100"/>
                <w:position w:val="0"/>
                <w:sz w:val="15"/>
                <w:szCs w:val="15"/>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非同一控制收购</w:t>
            </w:r>
          </w:p>
        </w:tc>
      </w:tr>
      <w:tr>
        <w:trPr>
          <w:trHeight w:val="624" w:hRule="exact"/>
        </w:trPr>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140"/>
              <w:jc w:val="left"/>
              <w:rPr>
                <w:sz w:val="14"/>
                <w:szCs w:val="14"/>
              </w:rPr>
            </w:pPr>
            <w:r>
              <w:rPr>
                <w:color w:val="000000"/>
                <w:spacing w:val="0"/>
                <w:w w:val="100"/>
                <w:position w:val="0"/>
                <w:sz w:val="14"/>
                <w:szCs w:val="14"/>
              </w:rPr>
              <w:t>深圳弘大智合投资合伙</w:t>
            </w:r>
          </w:p>
          <w:p>
            <w:pPr>
              <w:pStyle w:val="Style2"/>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企业(有限合伙)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深圳市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深圳市</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both"/>
              <w:rPr>
                <w:sz w:val="14"/>
                <w:szCs w:val="14"/>
              </w:rPr>
            </w:pPr>
            <w:r>
              <w:rPr>
                <w:color w:val="000000"/>
                <w:spacing w:val="0"/>
                <w:w w:val="100"/>
                <w:position w:val="0"/>
                <w:sz w:val="14"/>
                <w:szCs w:val="14"/>
              </w:rPr>
              <w:t>投资咨询；创业投资业</w:t>
            </w:r>
          </w:p>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100</w:t>
            </w:r>
            <w:r>
              <w:rPr>
                <w:color w:val="000000"/>
                <w:spacing w:val="0"/>
                <w:w w:val="100"/>
                <w:position w:val="0"/>
                <w:sz w:val="14"/>
                <w:szCs w:val="14"/>
              </w:rPr>
              <w:t xml:space="preserve">. </w:t>
            </w:r>
            <w:r>
              <w:rPr>
                <w:rFonts w:ascii="Times New Roman" w:eastAsia="Times New Roman" w:hAnsi="Times New Roman" w:cs="Times New Roman"/>
                <w:color w:val="000000"/>
                <w:spacing w:val="0"/>
                <w:w w:val="100"/>
                <w:position w:val="0"/>
                <w:sz w:val="15"/>
                <w:szCs w:val="15"/>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非同一控制收购</w:t>
            </w:r>
          </w:p>
        </w:tc>
      </w:tr>
    </w:tbl>
    <w:p>
      <w:pPr>
        <w:widowControl w:val="0"/>
        <w:spacing w:after="219" w:line="1" w:lineRule="exact"/>
      </w:pPr>
    </w:p>
    <w:p>
      <w:pPr>
        <w:pStyle w:val="Style16"/>
        <w:keepNext w:val="0"/>
        <w:keepLines w:val="0"/>
        <w:widowControl w:val="0"/>
        <w:shd w:val="clear" w:color="auto" w:fill="auto"/>
        <w:bidi w:val="0"/>
        <w:spacing w:before="0" w:after="0" w:line="403" w:lineRule="exact"/>
        <w:ind w:left="0" w:right="0" w:firstLine="440"/>
        <w:jc w:val="both"/>
      </w:pPr>
      <w:r>
        <w:rPr>
          <w:color w:val="000000"/>
          <w:spacing w:val="0"/>
          <w:w w:val="100"/>
          <w:position w:val="0"/>
        </w:rPr>
        <w:t xml:space="preserve">注: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日中国证监会发布[</w:t>
      </w:r>
      <w:r>
        <w:rPr>
          <w:rFonts w:ascii="Times New Roman" w:eastAsia="Times New Roman" w:hAnsi="Times New Roman" w:cs="Times New Roman"/>
          <w:color w:val="000000"/>
          <w:spacing w:val="0"/>
          <w:w w:val="100"/>
          <w:position w:val="0"/>
        </w:rPr>
        <w:t>2020</w:t>
      </w:r>
      <w:r>
        <w:rPr>
          <w:color w:val="000000"/>
          <w:spacing w:val="0"/>
          <w:w w:val="100"/>
          <w:position w:val="0"/>
        </w:rPr>
        <w:t>]</w:t>
      </w:r>
      <w:r>
        <w:rPr>
          <w:rFonts w:ascii="Times New Roman" w:eastAsia="Times New Roman" w:hAnsi="Times New Roman" w:cs="Times New Roman"/>
          <w:color w:val="000000"/>
          <w:spacing w:val="0"/>
          <w:w w:val="100"/>
          <w:position w:val="0"/>
        </w:rPr>
        <w:t>45</w:t>
      </w:r>
      <w:r>
        <w:rPr>
          <w:color w:val="000000"/>
          <w:spacing w:val="0"/>
          <w:w w:val="100"/>
          <w:position w:val="0"/>
        </w:rPr>
        <w:t>号公告，中国证监会决定自当日起对国 盛证券、国盛期货实行接管。被接管后，国盛证券经营保持稳定，各项业务资质均未受影响。</w:t>
      </w:r>
    </w:p>
    <w:p>
      <w:pPr>
        <w:pStyle w:val="Style51"/>
        <w:keepNext/>
        <w:keepLines/>
        <w:widowControl w:val="0"/>
        <w:shd w:val="clear" w:color="auto" w:fill="auto"/>
        <w:bidi w:val="0"/>
        <w:spacing w:before="0" w:after="140" w:line="403" w:lineRule="exact"/>
        <w:ind w:left="0" w:right="0" w:firstLine="440"/>
        <w:jc w:val="both"/>
      </w:pPr>
      <w:bookmarkStart w:id="1639" w:name="bookmark1639"/>
      <w:bookmarkStart w:id="1640" w:name="bookmark1640"/>
      <w:bookmarkStart w:id="1641" w:name="bookmark1641"/>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重要的非全资子公司</w:t>
      </w:r>
      <w:bookmarkEnd w:id="1639"/>
      <w:bookmarkEnd w:id="1640"/>
      <w:bookmarkEnd w:id="1641"/>
    </w:p>
    <w:tbl>
      <w:tblPr>
        <w:tblOverlap w:val="never"/>
        <w:jc w:val="center"/>
        <w:tblLayout w:type="fixed"/>
      </w:tblPr>
      <w:tblGrid>
        <w:gridCol w:w="2342"/>
        <w:gridCol w:w="1080"/>
        <w:gridCol w:w="1397"/>
        <w:gridCol w:w="1406"/>
        <w:gridCol w:w="1982"/>
      </w:tblGrid>
      <w:tr>
        <w:trPr>
          <w:trHeight w:val="58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子公司名称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少数股东持</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股比例</w:t>
            </w:r>
            <w:r>
              <w:rPr>
                <w:rFonts w:ascii="Arial Narrow" w:eastAsia="Arial Narrow" w:hAnsi="Arial Narrow" w:cs="Arial Narrow"/>
                <w:color w:val="000000"/>
                <w:spacing w:val="0"/>
                <w:w w:val="100"/>
                <w:position w:val="0"/>
                <w:sz w:val="18"/>
                <w:szCs w:val="18"/>
              </w:rPr>
              <w:t>(</w:t>
            </w:r>
            <w:r>
              <w:rPr>
                <w:color w:val="000000"/>
                <w:spacing w:val="0"/>
                <w:w w:val="100"/>
                <w:position w:val="0"/>
                <w:sz w:val="22"/>
                <w:szCs w:val="22"/>
              </w:rPr>
              <w:t>％</w:t>
            </w:r>
            <w:r>
              <w:rPr>
                <w:rFonts w:ascii="Arial Narrow" w:eastAsia="Arial Narrow" w:hAnsi="Arial Narrow" w:cs="Arial Narrow"/>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本期归属于少数 股东损益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本期向少数股东 宣告分派的股利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期末少数股东权益余额</w:t>
            </w:r>
          </w:p>
        </w:tc>
      </w:tr>
      <w:tr>
        <w:trPr>
          <w:trHeight w:val="384"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国盛期货有限责任公司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35</w:t>
            </w:r>
            <w:r>
              <w:rPr>
                <w:rFonts w:ascii="Arial Narrow" w:eastAsia="Arial Narrow" w:hAnsi="Arial Narrow" w:cs="Arial Narrow"/>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563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289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376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418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58</w:t>
            </w:r>
          </w:p>
        </w:tc>
      </w:tr>
    </w:tbl>
    <w:p>
      <w:pPr>
        <w:spacing w:lineRule="exact" w:line="1"/>
        <w:rPr>
          <w:sz w:val="2"/>
          <w:szCs w:val="2"/>
        </w:rPr>
      </w:pPr>
      <w:r>
        <w:br w:type="page"/>
      </w:r>
    </w:p>
    <w:p>
      <w:pPr>
        <w:pStyle w:val="Style51"/>
        <w:keepNext/>
        <w:keepLines/>
        <w:widowControl w:val="0"/>
        <w:numPr>
          <w:ilvl w:val="0"/>
          <w:numId w:val="101"/>
        </w:numPr>
        <w:shd w:val="clear" w:color="auto" w:fill="auto"/>
        <w:bidi w:val="0"/>
        <w:spacing w:before="0" w:after="140" w:line="240" w:lineRule="auto"/>
        <w:ind w:left="0" w:right="0" w:firstLine="440"/>
        <w:jc w:val="left"/>
      </w:pPr>
      <w:bookmarkStart w:id="1642" w:name="bookmark1642"/>
      <w:bookmarkStart w:id="1643" w:name="bookmark1643"/>
      <w:bookmarkStart w:id="1644" w:name="bookmark1644"/>
      <w:bookmarkStart w:id="1645" w:name="bookmark1645"/>
      <w:bookmarkEnd w:id="1644"/>
      <w:r>
        <w:rPr>
          <w:color w:val="000000"/>
          <w:spacing w:val="0"/>
          <w:w w:val="100"/>
          <w:position w:val="0"/>
        </w:rPr>
        <w:t>重要非全资子公司的主要财务信息</w:t>
      </w:r>
      <w:bookmarkEnd w:id="1642"/>
      <w:bookmarkEnd w:id="1643"/>
      <w:bookmarkEnd w:id="1645"/>
    </w:p>
    <w:tbl>
      <w:tblPr>
        <w:tblOverlap w:val="never"/>
        <w:jc w:val="center"/>
        <w:tblLayout w:type="fixed"/>
      </w:tblPr>
      <w:tblGrid>
        <w:gridCol w:w="3350"/>
        <w:gridCol w:w="2534"/>
        <w:gridCol w:w="2366"/>
      </w:tblGrid>
      <w:tr>
        <w:trPr>
          <w:trHeight w:val="374"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国盛期货有限责任公司</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584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837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836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326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561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324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86</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15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620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484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509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420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12</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458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320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342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070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744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98</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424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427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315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240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436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046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95</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424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427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315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240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436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046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95</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32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196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743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716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15</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603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692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173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562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37</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603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692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173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562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37</w:t>
            </w:r>
          </w:p>
        </w:tc>
      </w:tr>
      <w:tr>
        <w:trPr>
          <w:trHeight w:val="379"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经营活动现金流量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61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130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148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83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483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986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49</w:t>
            </w:r>
          </w:p>
        </w:tc>
      </w:tr>
    </w:tbl>
    <w:p>
      <w:pPr>
        <w:widowControl w:val="0"/>
        <w:spacing w:after="459" w:line="1" w:lineRule="exact"/>
      </w:pPr>
    </w:p>
    <w:p>
      <w:pPr>
        <w:pStyle w:val="Style37"/>
        <w:keepNext/>
        <w:keepLines/>
        <w:widowControl w:val="0"/>
        <w:numPr>
          <w:ilvl w:val="0"/>
          <w:numId w:val="103"/>
        </w:numPr>
        <w:shd w:val="clear" w:color="auto" w:fill="auto"/>
        <w:bidi w:val="0"/>
        <w:spacing w:before="0" w:after="140" w:line="240" w:lineRule="auto"/>
        <w:ind w:left="0" w:right="0" w:firstLine="440"/>
        <w:jc w:val="left"/>
      </w:pPr>
      <w:bookmarkStart w:id="1646" w:name="bookmark1646"/>
      <w:bookmarkStart w:id="1647" w:name="bookmark1647"/>
      <w:bookmarkStart w:id="1648" w:name="bookmark1648"/>
      <w:bookmarkStart w:id="1649" w:name="bookmark1649"/>
      <w:bookmarkEnd w:id="1648"/>
      <w:r>
        <w:rPr>
          <w:color w:val="000000"/>
          <w:spacing w:val="0"/>
          <w:w w:val="100"/>
          <w:position w:val="0"/>
        </w:rPr>
        <w:t>在合营安排或联营企业中的权益</w:t>
      </w:r>
      <w:bookmarkEnd w:id="1646"/>
      <w:bookmarkEnd w:id="1647"/>
      <w:bookmarkEnd w:id="1649"/>
    </w:p>
    <w:p>
      <w:pPr>
        <w:pStyle w:val="Style51"/>
        <w:keepNext/>
        <w:keepLines/>
        <w:widowControl w:val="0"/>
        <w:numPr>
          <w:ilvl w:val="0"/>
          <w:numId w:val="105"/>
        </w:numPr>
        <w:shd w:val="clear" w:color="auto" w:fill="auto"/>
        <w:bidi w:val="0"/>
        <w:spacing w:before="0" w:after="140" w:line="240" w:lineRule="auto"/>
        <w:ind w:left="0" w:right="0" w:firstLine="440"/>
        <w:jc w:val="left"/>
      </w:pPr>
      <w:bookmarkStart w:id="1650" w:name="bookmark1650"/>
      <w:bookmarkStart w:id="1651" w:name="bookmark1651"/>
      <w:bookmarkStart w:id="1652" w:name="bookmark1652"/>
      <w:bookmarkStart w:id="1653" w:name="bookmark1653"/>
      <w:bookmarkEnd w:id="1652"/>
      <w:r>
        <w:rPr>
          <w:color w:val="000000"/>
          <w:spacing w:val="0"/>
          <w:w w:val="100"/>
          <w:position w:val="0"/>
        </w:rPr>
        <w:t>重要的合营企业或联营企业</w:t>
      </w:r>
      <w:bookmarkEnd w:id="1650"/>
      <w:bookmarkEnd w:id="1651"/>
      <w:bookmarkEnd w:id="1653"/>
    </w:p>
    <w:tbl>
      <w:tblPr>
        <w:tblOverlap w:val="never"/>
        <w:jc w:val="center"/>
        <w:tblLayout w:type="fixed"/>
      </w:tblPr>
      <w:tblGrid>
        <w:gridCol w:w="1584"/>
        <w:gridCol w:w="1018"/>
        <w:gridCol w:w="1718"/>
        <w:gridCol w:w="1046"/>
        <w:gridCol w:w="854"/>
        <w:gridCol w:w="816"/>
        <w:gridCol w:w="1277"/>
      </w:tblGrid>
      <w:tr>
        <w:trPr>
          <w:trHeight w:val="485"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合营企业或联营 企业名称</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16" w:lineRule="exact"/>
              <w:ind w:left="0" w:right="0" w:firstLine="0"/>
              <w:jc w:val="center"/>
              <w:rPr>
                <w:sz w:val="18"/>
                <w:szCs w:val="18"/>
              </w:rPr>
            </w:pPr>
            <w:r>
              <w:rPr>
                <w:color w:val="000000"/>
                <w:spacing w:val="0"/>
                <w:w w:val="100"/>
                <w:position w:val="0"/>
                <w:sz w:val="18"/>
                <w:szCs w:val="18"/>
              </w:rPr>
              <w:t>主要经营 地</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注册地</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center"/>
              <w:rPr>
                <w:sz w:val="18"/>
                <w:szCs w:val="18"/>
              </w:rPr>
            </w:pPr>
            <w:r>
              <w:rPr>
                <w:color w:val="000000"/>
                <w:spacing w:val="0"/>
                <w:w w:val="100"/>
                <w:position w:val="0"/>
                <w:sz w:val="18"/>
                <w:szCs w:val="18"/>
              </w:rPr>
              <w:t>业务</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性质</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持股比例</w:t>
            </w:r>
            <w:r>
              <w:rPr>
                <w:rFonts w:ascii="Arial Narrow" w:eastAsia="Arial Narrow" w:hAnsi="Arial Narrow" w:cs="Arial Narrow"/>
                <w:color w:val="000000"/>
                <w:spacing w:val="0"/>
                <w:w w:val="100"/>
                <w:position w:val="0"/>
                <w:sz w:val="18"/>
                <w:szCs w:val="18"/>
              </w:rPr>
              <w:t>(</w:t>
            </w:r>
            <w:r>
              <w:rPr>
                <w:color w:val="000000"/>
                <w:spacing w:val="0"/>
                <w:w w:val="100"/>
                <w:position w:val="0"/>
                <w:sz w:val="22"/>
                <w:szCs w:val="22"/>
              </w:rPr>
              <w:t>％</w:t>
            </w:r>
            <w:r>
              <w:rPr>
                <w:rFonts w:ascii="Arial Narrow" w:eastAsia="Arial Narrow" w:hAnsi="Arial Narrow" w:cs="Arial Narrow"/>
                <w:color w:val="000000"/>
                <w:spacing w:val="0"/>
                <w:w w:val="100"/>
                <w:position w:val="0"/>
                <w:sz w:val="18"/>
                <w:szCs w:val="18"/>
              </w:rPr>
              <w:t>)</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会计处理方 法</w:t>
            </w:r>
          </w:p>
        </w:tc>
      </w:tr>
      <w:tr>
        <w:trPr>
          <w:trHeight w:val="360"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直接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间接</w:t>
            </w:r>
          </w:p>
        </w:tc>
        <w:tc>
          <w:tcPr>
            <w:vMerge/>
            <w:tcBorders>
              <w:left w:val="single" w:sz="4"/>
            </w:tcBorders>
            <w:shd w:val="clear" w:color="auto" w:fill="FFFFFF"/>
            <w:vAlign w:val="center"/>
          </w:tcPr>
          <w:p>
            <w:pPr/>
          </w:p>
        </w:tc>
      </w:tr>
      <w:tr>
        <w:trPr>
          <w:trHeight w:val="71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140" w:line="240" w:lineRule="auto"/>
              <w:ind w:left="0" w:right="0" w:firstLine="140"/>
              <w:jc w:val="left"/>
              <w:rPr>
                <w:sz w:val="18"/>
                <w:szCs w:val="18"/>
              </w:rPr>
            </w:pPr>
            <w:r>
              <w:rPr>
                <w:color w:val="000000"/>
                <w:spacing w:val="0"/>
                <w:w w:val="100"/>
                <w:position w:val="0"/>
                <w:sz w:val="18"/>
                <w:szCs w:val="18"/>
              </w:rPr>
              <w:t>江信基金管理有</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北京市海淀区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8"/>
                <w:szCs w:val="18"/>
              </w:rPr>
              <w:t>资本市场</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权益法</w:t>
            </w:r>
          </w:p>
        </w:tc>
      </w:tr>
      <w:tr>
        <w:trPr>
          <w:trHeight w:val="1061"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140" w:line="240" w:lineRule="auto"/>
              <w:ind w:left="0" w:right="0" w:firstLine="140"/>
              <w:jc w:val="left"/>
              <w:rPr>
                <w:sz w:val="18"/>
                <w:szCs w:val="18"/>
              </w:rPr>
            </w:pPr>
            <w:r>
              <w:rPr>
                <w:color w:val="000000"/>
                <w:spacing w:val="0"/>
                <w:w w:val="100"/>
                <w:position w:val="0"/>
                <w:sz w:val="18"/>
                <w:szCs w:val="18"/>
              </w:rPr>
              <w:t>广州仁诺互联网</w:t>
            </w:r>
          </w:p>
          <w:p>
            <w:pPr>
              <w:pStyle w:val="Style2"/>
              <w:keepNext w:val="0"/>
              <w:keepLines w:val="0"/>
              <w:widowControl w:val="0"/>
              <w:shd w:val="clear" w:color="auto" w:fill="auto"/>
              <w:bidi w:val="0"/>
              <w:spacing w:before="0" w:after="140" w:line="240" w:lineRule="auto"/>
              <w:ind w:left="0" w:right="0" w:firstLine="140"/>
              <w:jc w:val="left"/>
              <w:rPr>
                <w:sz w:val="18"/>
                <w:szCs w:val="18"/>
              </w:rPr>
            </w:pPr>
            <w:r>
              <w:rPr>
                <w:color w:val="000000"/>
                <w:spacing w:val="0"/>
                <w:w w:val="100"/>
                <w:position w:val="0"/>
                <w:sz w:val="18"/>
                <w:szCs w:val="18"/>
              </w:rPr>
              <w:t>小额贷款有限公</w:t>
            </w:r>
          </w:p>
          <w:p>
            <w:pPr>
              <w:pStyle w:val="Style2"/>
              <w:keepNext w:val="0"/>
              <w:keepLines w:val="0"/>
              <w:widowControl w:val="0"/>
              <w:shd w:val="clear" w:color="auto" w:fill="auto"/>
              <w:bidi w:val="0"/>
              <w:spacing w:before="0" w:after="140" w:line="240" w:lineRule="auto"/>
              <w:ind w:left="0" w:right="0" w:firstLine="140"/>
              <w:jc w:val="left"/>
              <w:rPr>
                <w:sz w:val="18"/>
                <w:szCs w:val="18"/>
              </w:rPr>
            </w:pPr>
            <w:r>
              <w:rPr>
                <w:color w:val="000000"/>
                <w:spacing w:val="0"/>
                <w:w w:val="100"/>
                <w:position w:val="0"/>
                <w:sz w:val="18"/>
                <w:szCs w:val="18"/>
              </w:rPr>
              <w:t>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广州市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8"/>
                <w:szCs w:val="18"/>
              </w:rPr>
              <w:t>广州市越秀区长堤</w:t>
            </w:r>
          </w:p>
          <w:p>
            <w:pPr>
              <w:pStyle w:val="Style2"/>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8"/>
                <w:szCs w:val="18"/>
              </w:rPr>
              <w:t>大马路</w:t>
            </w:r>
            <w:r>
              <w:rPr>
                <w:rFonts w:ascii="Times New Roman" w:eastAsia="Times New Roman" w:hAnsi="Times New Roman" w:cs="Times New Roman"/>
                <w:color w:val="000000"/>
                <w:spacing w:val="0"/>
                <w:w w:val="100"/>
                <w:position w:val="0"/>
                <w:sz w:val="18"/>
                <w:szCs w:val="18"/>
              </w:rPr>
              <w:t>354</w:t>
            </w:r>
            <w:r>
              <w:rPr>
                <w:color w:val="000000"/>
                <w:spacing w:val="0"/>
                <w:w w:val="100"/>
                <w:position w:val="0"/>
                <w:sz w:val="18"/>
                <w:szCs w:val="18"/>
              </w:rPr>
              <w:t>号第三</w:t>
            </w:r>
          </w:p>
          <w:p>
            <w:pPr>
              <w:pStyle w:val="Style2"/>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8"/>
                <w:szCs w:val="18"/>
              </w:rPr>
              <w:t>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8"/>
                <w:szCs w:val="18"/>
              </w:rPr>
              <w:t>货币金融</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权益法</w:t>
            </w:r>
          </w:p>
        </w:tc>
      </w:tr>
      <w:tr>
        <w:trPr>
          <w:trHeight w:val="137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140"/>
              <w:jc w:val="left"/>
              <w:rPr>
                <w:sz w:val="18"/>
                <w:szCs w:val="18"/>
              </w:rPr>
            </w:pPr>
            <w:r>
              <w:rPr>
                <w:color w:val="000000"/>
                <w:spacing w:val="0"/>
                <w:w w:val="100"/>
                <w:position w:val="0"/>
                <w:sz w:val="18"/>
                <w:szCs w:val="18"/>
              </w:rPr>
              <w:t>宁波梅花天使投</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宁波市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20" w:line="348" w:lineRule="exact"/>
              <w:ind w:left="0" w:right="0" w:firstLine="0"/>
              <w:jc w:val="left"/>
              <w:rPr>
                <w:sz w:val="18"/>
                <w:szCs w:val="18"/>
              </w:rPr>
            </w:pPr>
            <w:r>
              <w:rPr>
                <w:color w:val="000000"/>
                <w:spacing w:val="0"/>
                <w:w w:val="100"/>
                <w:position w:val="0"/>
                <w:sz w:val="18"/>
                <w:szCs w:val="18"/>
              </w:rPr>
              <w:t>浙江省宁波市北仑 区梅山七星路</w:t>
            </w:r>
            <w:r>
              <w:rPr>
                <w:rFonts w:ascii="Times New Roman" w:eastAsia="Times New Roman" w:hAnsi="Times New Roman" w:cs="Times New Roman"/>
                <w:color w:val="000000"/>
                <w:spacing w:val="0"/>
                <w:w w:val="100"/>
                <w:position w:val="0"/>
                <w:sz w:val="18"/>
                <w:szCs w:val="18"/>
              </w:rPr>
              <w:t>88</w:t>
            </w:r>
            <w:r>
              <w:rPr>
                <w:color w:val="000000"/>
                <w:spacing w:val="0"/>
                <w:w w:val="100"/>
                <w:position w:val="0"/>
                <w:sz w:val="18"/>
                <w:szCs w:val="18"/>
              </w:rPr>
              <w:t xml:space="preserve">号 </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幢</w:t>
            </w:r>
            <w:r>
              <w:rPr>
                <w:rFonts w:ascii="Times New Roman" w:eastAsia="Times New Roman" w:hAnsi="Times New Roman" w:cs="Times New Roman"/>
                <w:color w:val="000000"/>
                <w:spacing w:val="0"/>
                <w:w w:val="100"/>
                <w:position w:val="0"/>
                <w:sz w:val="18"/>
                <w:szCs w:val="18"/>
              </w:rPr>
              <w:t>401</w:t>
            </w:r>
            <w:r>
              <w:rPr>
                <w:color w:val="000000"/>
                <w:spacing w:val="0"/>
                <w:w w:val="100"/>
                <w:position w:val="0"/>
                <w:sz w:val="18"/>
                <w:szCs w:val="18"/>
              </w:rPr>
              <w:t>室</w:t>
            </w:r>
            <w:r>
              <w:rPr>
                <w:rFonts w:ascii="Times New Roman" w:eastAsia="Times New Roman" w:hAnsi="Times New Roman" w:cs="Times New Roman"/>
                <w:color w:val="000000"/>
                <w:spacing w:val="0"/>
                <w:w w:val="100"/>
                <w:position w:val="0"/>
                <w:sz w:val="18"/>
                <w:szCs w:val="18"/>
              </w:rPr>
              <w:t>A</w:t>
            </w:r>
            <w:r>
              <w:rPr>
                <w:color w:val="000000"/>
                <w:spacing w:val="0"/>
                <w:w w:val="100"/>
                <w:position w:val="0"/>
                <w:sz w:val="18"/>
                <w:szCs w:val="18"/>
              </w:rPr>
              <w:t>区</w:t>
            </w:r>
          </w:p>
          <w:p>
            <w:pPr>
              <w:pStyle w:val="Style2"/>
              <w:keepNext w:val="0"/>
              <w:keepLines w:val="0"/>
              <w:widowControl w:val="0"/>
              <w:shd w:val="clear" w:color="auto" w:fill="auto"/>
              <w:bidi w:val="0"/>
              <w:spacing w:before="0" w:after="0" w:line="403"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E0403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8"/>
                <w:szCs w:val="18"/>
              </w:rPr>
              <w:t>投资管理</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权益法</w:t>
            </w:r>
          </w:p>
        </w:tc>
      </w:tr>
      <w:tr>
        <w:trPr>
          <w:trHeight w:val="739"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Qudian Inc.</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厦门市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Cayman IsLands</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8"/>
                <w:szCs w:val="18"/>
              </w:rPr>
              <w:t>消费金融</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服务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权益法</w:t>
            </w:r>
          </w:p>
        </w:tc>
      </w:tr>
    </w:tbl>
    <w:p>
      <w:pPr>
        <w:widowControl w:val="0"/>
        <w:spacing w:after="279" w:line="1" w:lineRule="exact"/>
      </w:pPr>
    </w:p>
    <w:p>
      <w:pPr>
        <w:pStyle w:val="Style126"/>
        <w:keepNext/>
        <w:keepLines/>
        <w:widowControl w:val="0"/>
        <w:shd w:val="clear" w:color="auto" w:fill="auto"/>
        <w:bidi w:val="0"/>
        <w:spacing w:before="0" w:after="60" w:line="240" w:lineRule="auto"/>
        <w:ind w:left="0" w:right="0" w:firstLine="560"/>
        <w:jc w:val="left"/>
      </w:pPr>
      <w:bookmarkStart w:id="1654" w:name="bookmark1654"/>
      <w:bookmarkStart w:id="1655" w:name="bookmark1655"/>
      <w:bookmarkStart w:id="1656" w:name="bookmark1656"/>
      <w:r>
        <w:rPr>
          <w:rFonts w:ascii="Times New Roman" w:eastAsia="Times New Roman" w:hAnsi="Times New Roman" w:cs="Times New Roman"/>
          <w:b w:val="0"/>
          <w:bCs w:val="0"/>
          <w:color w:val="000000"/>
          <w:spacing w:val="0"/>
          <w:w w:val="100"/>
          <w:position w:val="0"/>
        </w:rPr>
        <w:t>(1</w:t>
      </w:r>
      <w:r>
        <w:rPr>
          <w:b w:val="0"/>
          <w:bCs w:val="0"/>
          <w:color w:val="000000"/>
          <w:spacing w:val="0"/>
          <w:w w:val="100"/>
          <w:position w:val="0"/>
        </w:rPr>
        <w:t>)在合营企业或联营企业的持股比例不同于表决权比例的说明</w:t>
      </w:r>
      <w:bookmarkEnd w:id="1654"/>
      <w:bookmarkEnd w:id="1655"/>
      <w:bookmarkEnd w:id="1656"/>
    </w:p>
    <w:p>
      <w:pPr>
        <w:pStyle w:val="Style16"/>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公司在</w:t>
      </w:r>
      <w:r>
        <w:rPr>
          <w:rFonts w:ascii="Times New Roman" w:eastAsia="Times New Roman" w:hAnsi="Times New Roman" w:cs="Times New Roman"/>
          <w:color w:val="000000"/>
          <w:spacing w:val="0"/>
          <w:w w:val="100"/>
          <w:position w:val="0"/>
        </w:rPr>
        <w:t>QD</w:t>
      </w:r>
      <w:r>
        <w:rPr>
          <w:color w:val="000000"/>
          <w:spacing w:val="0"/>
          <w:w w:val="100"/>
          <w:position w:val="0"/>
        </w:rPr>
        <w:t>的持股比例不同于表决权比例。根据</w:t>
      </w:r>
      <w:r>
        <w:rPr>
          <w:rFonts w:ascii="Times New Roman" w:eastAsia="Times New Roman" w:hAnsi="Times New Roman" w:cs="Times New Roman"/>
          <w:color w:val="000000"/>
          <w:spacing w:val="0"/>
          <w:w w:val="100"/>
          <w:position w:val="0"/>
        </w:rPr>
        <w:t>QD</w:t>
      </w:r>
      <w:r>
        <w:rPr>
          <w:color w:val="000000"/>
          <w:spacing w:val="0"/>
          <w:w w:val="100"/>
          <w:position w:val="0"/>
        </w:rPr>
        <w:t>现行有效《公司章程》(</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 xml:space="preserve">5 </w:t>
      </w:r>
      <w:r>
        <w:rPr>
          <w:color w:val="000000"/>
          <w:spacing w:val="0"/>
          <w:w w:val="100"/>
          <w:position w:val="0"/>
        </w:rPr>
        <w:t>月审议通过)，</w:t>
      </w:r>
      <w:r>
        <w:rPr>
          <w:rFonts w:ascii="Times New Roman" w:eastAsia="Times New Roman" w:hAnsi="Times New Roman" w:cs="Times New Roman"/>
          <w:color w:val="000000"/>
          <w:spacing w:val="0"/>
          <w:w w:val="100"/>
          <w:position w:val="0"/>
        </w:rPr>
        <w:t>QD</w:t>
      </w:r>
      <w:r>
        <w:rPr>
          <w:color w:val="000000"/>
          <w:spacing w:val="0"/>
          <w:w w:val="100"/>
          <w:position w:val="0"/>
        </w:rPr>
        <w:t>已发行股本包括</w:t>
      </w:r>
      <w:r>
        <w:rPr>
          <w:rFonts w:ascii="Times New Roman" w:eastAsia="Times New Roman" w:hAnsi="Times New Roman" w:cs="Times New Roman"/>
          <w:color w:val="000000"/>
          <w:spacing w:val="0"/>
          <w:w w:val="100"/>
          <w:position w:val="0"/>
        </w:rPr>
        <w:t>A</w:t>
      </w:r>
      <w:r>
        <w:rPr>
          <w:color w:val="000000"/>
          <w:spacing w:val="0"/>
          <w:w w:val="100"/>
          <w:position w:val="0"/>
        </w:rPr>
        <w:t>类和</w:t>
      </w:r>
      <w:r>
        <w:rPr>
          <w:rFonts w:ascii="Times New Roman" w:eastAsia="Times New Roman" w:hAnsi="Times New Roman" w:cs="Times New Roman"/>
          <w:color w:val="000000"/>
          <w:spacing w:val="0"/>
          <w:w w:val="100"/>
          <w:position w:val="0"/>
        </w:rPr>
        <w:t>B</w:t>
      </w:r>
      <w:r>
        <w:rPr>
          <w:color w:val="000000"/>
          <w:spacing w:val="0"/>
          <w:w w:val="100"/>
          <w:position w:val="0"/>
        </w:rPr>
        <w:t>类普通股，</w:t>
      </w:r>
      <w:r>
        <w:rPr>
          <w:rFonts w:ascii="Times New Roman" w:eastAsia="Times New Roman" w:hAnsi="Times New Roman" w:cs="Times New Roman"/>
          <w:color w:val="000000"/>
          <w:spacing w:val="0"/>
          <w:w w:val="100"/>
          <w:position w:val="0"/>
        </w:rPr>
        <w:t>B</w:t>
      </w:r>
      <w:r>
        <w:rPr>
          <w:color w:val="000000"/>
          <w:spacing w:val="0"/>
          <w:w w:val="100"/>
          <w:position w:val="0"/>
        </w:rPr>
        <w:t>类普通股有权按每股十票进行 表决,</w:t>
      </w:r>
      <w:r>
        <w:rPr>
          <w:rFonts w:ascii="Times New Roman" w:eastAsia="Times New Roman" w:hAnsi="Times New Roman" w:cs="Times New Roman"/>
          <w:color w:val="000000"/>
          <w:spacing w:val="0"/>
          <w:w w:val="100"/>
          <w:position w:val="0"/>
        </w:rPr>
        <w:t>A</w:t>
      </w:r>
      <w:r>
        <w:rPr>
          <w:color w:val="000000"/>
          <w:spacing w:val="0"/>
          <w:w w:val="100"/>
          <w:position w:val="0"/>
        </w:rPr>
        <w:t>类普通股按每股一票进行表决。报告期末，公司间接持有</w:t>
      </w:r>
      <w:r>
        <w:rPr>
          <w:rFonts w:ascii="Times New Roman" w:eastAsia="Times New Roman" w:hAnsi="Times New Roman" w:cs="Times New Roman"/>
          <w:color w:val="000000"/>
          <w:spacing w:val="0"/>
          <w:w w:val="100"/>
          <w:position w:val="0"/>
        </w:rPr>
        <w:t>QD A</w:t>
      </w:r>
      <w:r>
        <w:rPr>
          <w:color w:val="000000"/>
          <w:spacing w:val="0"/>
          <w:w w:val="100"/>
          <w:position w:val="0"/>
        </w:rPr>
        <w:t>类普通股</w:t>
      </w:r>
      <w:r>
        <w:rPr>
          <w:rFonts w:ascii="Times New Roman" w:eastAsia="Times New Roman" w:hAnsi="Times New Roman" w:cs="Times New Roman"/>
          <w:color w:val="000000"/>
          <w:spacing w:val="0"/>
          <w:w w:val="100"/>
          <w:position w:val="0"/>
        </w:rPr>
        <w:t xml:space="preserve">12,670,000 </w:t>
      </w:r>
      <w:r>
        <w:rPr>
          <w:color w:val="000000"/>
          <w:spacing w:val="0"/>
          <w:w w:val="100"/>
          <w:position w:val="0"/>
        </w:rPr>
        <w:t>股，占总股本的比例为</w:t>
      </w:r>
      <w:r>
        <w:rPr>
          <w:rFonts w:ascii="Times New Roman" w:eastAsia="Times New Roman" w:hAnsi="Times New Roman" w:cs="Times New Roman"/>
          <w:color w:val="000000"/>
          <w:spacing w:val="0"/>
          <w:w w:val="100"/>
          <w:position w:val="0"/>
        </w:rPr>
        <w:t>4.99%</w:t>
      </w:r>
      <w:r>
        <w:rPr>
          <w:color w:val="000000"/>
          <w:spacing w:val="0"/>
          <w:w w:val="100"/>
          <w:position w:val="0"/>
        </w:rPr>
        <w:t>；公司持有</w:t>
      </w:r>
      <w:r>
        <w:rPr>
          <w:rFonts w:ascii="Times New Roman" w:eastAsia="Times New Roman" w:hAnsi="Times New Roman" w:cs="Times New Roman"/>
          <w:color w:val="000000"/>
          <w:spacing w:val="0"/>
          <w:w w:val="100"/>
          <w:position w:val="0"/>
        </w:rPr>
        <w:t>12,670,000</w:t>
      </w:r>
      <w:r>
        <w:rPr>
          <w:color w:val="000000"/>
          <w:spacing w:val="0"/>
          <w:w w:val="100"/>
          <w:position w:val="0"/>
        </w:rPr>
        <w:t>股</w:t>
      </w:r>
      <w:r>
        <w:rPr>
          <w:rFonts w:ascii="Times New Roman" w:eastAsia="Times New Roman" w:hAnsi="Times New Roman" w:cs="Times New Roman"/>
          <w:color w:val="000000"/>
          <w:spacing w:val="0"/>
          <w:w w:val="100"/>
          <w:position w:val="0"/>
        </w:rPr>
        <w:t>A</w:t>
      </w:r>
      <w:r>
        <w:rPr>
          <w:color w:val="000000"/>
          <w:spacing w:val="0"/>
          <w:w w:val="100"/>
          <w:position w:val="0"/>
        </w:rPr>
        <w:t>类普通股的表决权,并持有</w:t>
      </w:r>
      <w:r>
        <w:rPr>
          <w:rFonts w:ascii="Times New Roman" w:eastAsia="Times New Roman" w:hAnsi="Times New Roman" w:cs="Times New Roman"/>
          <w:color w:val="000000"/>
          <w:spacing w:val="0"/>
          <w:w w:val="100"/>
          <w:position w:val="0"/>
        </w:rPr>
        <w:t xml:space="preserve">4,125,698 </w:t>
      </w:r>
      <w:r>
        <w:rPr>
          <w:color w:val="000000"/>
          <w:spacing w:val="0"/>
          <w:w w:val="100"/>
          <w:position w:val="0"/>
        </w:rPr>
        <w:t>股</w:t>
      </w:r>
      <w:r>
        <w:rPr>
          <w:rFonts w:ascii="Times New Roman" w:eastAsia="Times New Roman" w:hAnsi="Times New Roman" w:cs="Times New Roman"/>
          <w:color w:val="000000"/>
          <w:spacing w:val="0"/>
          <w:w w:val="100"/>
          <w:position w:val="0"/>
        </w:rPr>
        <w:t>B</w:t>
      </w:r>
      <w:r>
        <w:rPr>
          <w:color w:val="000000"/>
          <w:spacing w:val="0"/>
          <w:w w:val="100"/>
          <w:position w:val="0"/>
        </w:rPr>
        <w:t>类普通股的表决权代理，可以行使其股东大会</w:t>
      </w:r>
      <w:r>
        <w:rPr>
          <w:rFonts w:ascii="Times New Roman" w:eastAsia="Times New Roman" w:hAnsi="Times New Roman" w:cs="Times New Roman"/>
          <w:color w:val="000000"/>
          <w:spacing w:val="0"/>
          <w:w w:val="100"/>
          <w:position w:val="0"/>
        </w:rPr>
        <w:t>6.6%</w:t>
      </w:r>
      <w:r>
        <w:rPr>
          <w:color w:val="000000"/>
          <w:spacing w:val="0"/>
          <w:w w:val="100"/>
          <w:position w:val="0"/>
        </w:rPr>
        <w:t>的表决权。</w:t>
      </w:r>
    </w:p>
    <w:p>
      <w:pPr>
        <w:pStyle w:val="Style126"/>
        <w:keepNext/>
        <w:keepLines/>
        <w:widowControl w:val="0"/>
        <w:shd w:val="clear" w:color="auto" w:fill="auto"/>
        <w:tabs>
          <w:tab w:pos="968" w:val="left"/>
        </w:tabs>
        <w:bidi w:val="0"/>
        <w:spacing w:before="0" w:after="0" w:line="418" w:lineRule="exact"/>
        <w:ind w:left="0" w:right="0"/>
        <w:jc w:val="left"/>
      </w:pPr>
      <w:bookmarkStart w:id="1657" w:name="bookmark1657"/>
      <w:bookmarkStart w:id="1658" w:name="bookmark1658"/>
      <w:bookmarkStart w:id="1659" w:name="bookmark1659"/>
      <w:bookmarkStart w:id="1660" w:name="bookmark1660"/>
      <w:r>
        <w:rPr>
          <w:b w:val="0"/>
          <w:bCs w:val="0"/>
          <w:color w:val="000000"/>
          <w:spacing w:val="0"/>
          <w:w w:val="100"/>
          <w:position w:val="0"/>
        </w:rPr>
        <w:t>（</w:t>
      </w:r>
      <w:bookmarkEnd w:id="1659"/>
      <w:r>
        <w:rPr>
          <w:rFonts w:ascii="Times New Roman" w:eastAsia="Times New Roman" w:hAnsi="Times New Roman" w:cs="Times New Roman"/>
          <w:b w:val="0"/>
          <w:bCs w:val="0"/>
          <w:color w:val="000000"/>
          <w:spacing w:val="0"/>
          <w:w w:val="100"/>
          <w:position w:val="0"/>
        </w:rPr>
        <w:t>2</w:t>
      </w:r>
      <w:r>
        <w:rPr>
          <w:b w:val="0"/>
          <w:bCs w:val="0"/>
          <w:color w:val="000000"/>
          <w:spacing w:val="0"/>
          <w:w w:val="100"/>
          <w:position w:val="0"/>
        </w:rPr>
        <w:t>）</w:t>
        <w:tab/>
        <w:t>持有</w:t>
      </w:r>
      <w:r>
        <w:rPr>
          <w:rFonts w:ascii="Times New Roman" w:eastAsia="Times New Roman" w:hAnsi="Times New Roman" w:cs="Times New Roman"/>
          <w:b w:val="0"/>
          <w:bCs w:val="0"/>
          <w:color w:val="000000"/>
          <w:spacing w:val="0"/>
          <w:w w:val="100"/>
          <w:position w:val="0"/>
        </w:rPr>
        <w:t>20%</w:t>
      </w:r>
      <w:r>
        <w:rPr>
          <w:b w:val="0"/>
          <w:bCs w:val="0"/>
          <w:color w:val="000000"/>
          <w:spacing w:val="0"/>
          <w:w w:val="100"/>
          <w:position w:val="0"/>
        </w:rPr>
        <w:t>以下表决权但具有重大影响的判断依据</w:t>
      </w:r>
      <w:bookmarkEnd w:id="1657"/>
      <w:bookmarkEnd w:id="1658"/>
      <w:bookmarkEnd w:id="1660"/>
    </w:p>
    <w:p>
      <w:pPr>
        <w:pStyle w:val="Style16"/>
        <w:keepNext w:val="0"/>
        <w:keepLines w:val="0"/>
        <w:widowControl w:val="0"/>
        <w:shd w:val="clear" w:color="auto" w:fill="auto"/>
        <w:bidi w:val="0"/>
        <w:spacing w:before="0" w:after="0" w:line="422" w:lineRule="exact"/>
        <w:ind w:left="0" w:right="0" w:firstLine="480"/>
        <w:jc w:val="both"/>
      </w:pPr>
      <w:r>
        <w:rPr>
          <w:color w:val="000000"/>
          <w:spacing w:val="0"/>
          <w:w w:val="100"/>
          <w:position w:val="0"/>
        </w:rPr>
        <w:t>深圳投资对珠海凡泰极客科技有限责任公司持股比例</w:t>
      </w:r>
      <w:r>
        <w:rPr>
          <w:rFonts w:ascii="Times New Roman" w:eastAsia="Times New Roman" w:hAnsi="Times New Roman" w:cs="Times New Roman"/>
          <w:color w:val="000000"/>
          <w:spacing w:val="0"/>
          <w:w w:val="100"/>
          <w:position w:val="0"/>
        </w:rPr>
        <w:t>8%</w:t>
      </w:r>
      <w:r>
        <w:rPr>
          <w:color w:val="000000"/>
          <w:spacing w:val="0"/>
          <w:w w:val="100"/>
          <w:position w:val="0"/>
        </w:rPr>
        <w:t>,该公司董事会</w:t>
      </w:r>
      <w:r>
        <w:rPr>
          <w:rFonts w:ascii="Times New Roman" w:eastAsia="Times New Roman" w:hAnsi="Times New Roman" w:cs="Times New Roman"/>
          <w:color w:val="000000"/>
          <w:spacing w:val="0"/>
          <w:w w:val="100"/>
          <w:position w:val="0"/>
        </w:rPr>
        <w:t>5</w:t>
      </w:r>
      <w:r>
        <w:rPr>
          <w:color w:val="000000"/>
          <w:spacing w:val="0"/>
          <w:w w:val="100"/>
          <w:position w:val="0"/>
        </w:rPr>
        <w:t>人，深圳投 资向其委派</w:t>
      </w:r>
      <w:r>
        <w:rPr>
          <w:rFonts w:ascii="Times New Roman" w:eastAsia="Times New Roman" w:hAnsi="Times New Roman" w:cs="Times New Roman"/>
          <w:color w:val="000000"/>
          <w:spacing w:val="0"/>
          <w:w w:val="100"/>
          <w:position w:val="0"/>
        </w:rPr>
        <w:t>1</w:t>
      </w:r>
      <w:r>
        <w:rPr>
          <w:color w:val="000000"/>
          <w:spacing w:val="0"/>
          <w:w w:val="100"/>
          <w:position w:val="0"/>
        </w:rPr>
        <w:t>名董事，具有重大影响；</w:t>
      </w:r>
    </w:p>
    <w:p>
      <w:pPr>
        <w:pStyle w:val="Style16"/>
        <w:keepNext w:val="0"/>
        <w:keepLines w:val="0"/>
        <w:widowControl w:val="0"/>
        <w:shd w:val="clear" w:color="auto" w:fill="auto"/>
        <w:bidi w:val="0"/>
        <w:spacing w:before="0" w:after="0" w:line="413" w:lineRule="exact"/>
        <w:ind w:left="0" w:right="0" w:firstLine="480"/>
        <w:jc w:val="both"/>
      </w:pPr>
      <w:r>
        <w:rPr>
          <w:color w:val="000000"/>
          <w:spacing w:val="0"/>
          <w:w w:val="100"/>
          <w:position w:val="0"/>
        </w:rPr>
        <w:t>深圳投资对宁波梅花天使投资管理有限公司持股比例</w:t>
      </w:r>
      <w:r>
        <w:rPr>
          <w:rFonts w:ascii="Times New Roman" w:eastAsia="Times New Roman" w:hAnsi="Times New Roman" w:cs="Times New Roman"/>
          <w:color w:val="000000"/>
          <w:spacing w:val="0"/>
          <w:w w:val="100"/>
          <w:position w:val="0"/>
        </w:rPr>
        <w:t>12.5%</w:t>
      </w:r>
      <w:r>
        <w:rPr>
          <w:color w:val="000000"/>
          <w:spacing w:val="0"/>
          <w:w w:val="100"/>
          <w:position w:val="0"/>
        </w:rPr>
        <w:t>，该公司董事会</w:t>
      </w:r>
      <w:r>
        <w:rPr>
          <w:rFonts w:ascii="Times New Roman" w:eastAsia="Times New Roman" w:hAnsi="Times New Roman" w:cs="Times New Roman"/>
          <w:color w:val="000000"/>
          <w:spacing w:val="0"/>
          <w:w w:val="100"/>
          <w:position w:val="0"/>
        </w:rPr>
        <w:t>3</w:t>
      </w:r>
      <w:r>
        <w:rPr>
          <w:color w:val="000000"/>
          <w:spacing w:val="0"/>
          <w:w w:val="100"/>
          <w:position w:val="0"/>
        </w:rPr>
        <w:t>人，深圳 投资向其委派</w:t>
      </w:r>
      <w:r>
        <w:rPr>
          <w:rFonts w:ascii="Times New Roman" w:eastAsia="Times New Roman" w:hAnsi="Times New Roman" w:cs="Times New Roman"/>
          <w:color w:val="000000"/>
          <w:spacing w:val="0"/>
          <w:w w:val="100"/>
          <w:position w:val="0"/>
        </w:rPr>
        <w:t>1</w:t>
      </w:r>
      <w:r>
        <w:rPr>
          <w:color w:val="000000"/>
          <w:spacing w:val="0"/>
          <w:w w:val="100"/>
          <w:position w:val="0"/>
        </w:rPr>
        <w:t>名董事，具有重大影响；</w:t>
      </w:r>
    </w:p>
    <w:p>
      <w:pPr>
        <w:pStyle w:val="Style16"/>
        <w:keepNext w:val="0"/>
        <w:keepLines w:val="0"/>
        <w:widowControl w:val="0"/>
        <w:shd w:val="clear" w:color="auto" w:fill="auto"/>
        <w:bidi w:val="0"/>
        <w:spacing w:before="0" w:after="0" w:line="418" w:lineRule="exact"/>
        <w:ind w:left="0" w:right="0" w:firstLine="480"/>
        <w:jc w:val="both"/>
      </w:pPr>
      <w:r>
        <w:rPr>
          <w:color w:val="000000"/>
          <w:spacing w:val="0"/>
          <w:w w:val="100"/>
          <w:position w:val="0"/>
        </w:rPr>
        <w:t>深圳投资对沿海惠融科技（北京）有限公司持股比例</w:t>
      </w:r>
      <w:r>
        <w:rPr>
          <w:rFonts w:ascii="Times New Roman" w:eastAsia="Times New Roman" w:hAnsi="Times New Roman" w:cs="Times New Roman"/>
          <w:color w:val="000000"/>
          <w:spacing w:val="0"/>
          <w:w w:val="100"/>
          <w:position w:val="0"/>
        </w:rPr>
        <w:t>9.84%</w:t>
      </w:r>
      <w:r>
        <w:rPr>
          <w:color w:val="000000"/>
          <w:spacing w:val="0"/>
          <w:w w:val="100"/>
          <w:position w:val="0"/>
        </w:rPr>
        <w:t>，该公司董事会</w:t>
      </w:r>
      <w:r>
        <w:rPr>
          <w:rFonts w:ascii="Times New Roman" w:eastAsia="Times New Roman" w:hAnsi="Times New Roman" w:cs="Times New Roman"/>
          <w:color w:val="000000"/>
          <w:spacing w:val="0"/>
          <w:w w:val="100"/>
          <w:position w:val="0"/>
        </w:rPr>
        <w:t>3</w:t>
      </w:r>
      <w:r>
        <w:rPr>
          <w:color w:val="000000"/>
          <w:spacing w:val="0"/>
          <w:w w:val="100"/>
          <w:position w:val="0"/>
        </w:rPr>
        <w:t>人，深圳 投资向其委派</w:t>
      </w:r>
      <w:r>
        <w:rPr>
          <w:rFonts w:ascii="Times New Roman" w:eastAsia="Times New Roman" w:hAnsi="Times New Roman" w:cs="Times New Roman"/>
          <w:color w:val="000000"/>
          <w:spacing w:val="0"/>
          <w:w w:val="100"/>
          <w:position w:val="0"/>
        </w:rPr>
        <w:t>1</w:t>
      </w:r>
      <w:r>
        <w:rPr>
          <w:color w:val="000000"/>
          <w:spacing w:val="0"/>
          <w:w w:val="100"/>
          <w:position w:val="0"/>
        </w:rPr>
        <w:t>名董事，具有重大影响；</w:t>
      </w:r>
    </w:p>
    <w:p>
      <w:pPr>
        <w:pStyle w:val="Style16"/>
        <w:keepNext w:val="0"/>
        <w:keepLines w:val="0"/>
        <w:widowControl w:val="0"/>
        <w:shd w:val="clear" w:color="auto" w:fill="auto"/>
        <w:bidi w:val="0"/>
        <w:spacing w:before="0" w:after="0" w:line="418" w:lineRule="exact"/>
        <w:ind w:left="0" w:right="0" w:firstLine="480"/>
        <w:jc w:val="both"/>
      </w:pPr>
      <w:r>
        <w:rPr>
          <w:color w:val="000000"/>
          <w:spacing w:val="0"/>
          <w:w w:val="100"/>
          <w:position w:val="0"/>
        </w:rPr>
        <w:t>香港投资对</w:t>
      </w:r>
      <w:r>
        <w:rPr>
          <w:rFonts w:ascii="Times New Roman" w:eastAsia="Times New Roman" w:hAnsi="Times New Roman" w:cs="Times New Roman"/>
          <w:color w:val="000000"/>
          <w:spacing w:val="0"/>
          <w:w w:val="100"/>
          <w:position w:val="0"/>
        </w:rPr>
        <w:t>QD</w:t>
      </w:r>
      <w:r>
        <w:rPr>
          <w:color w:val="000000"/>
          <w:spacing w:val="0"/>
          <w:w w:val="100"/>
          <w:position w:val="0"/>
        </w:rPr>
        <w:t>持股比例</w:t>
      </w:r>
      <w:r>
        <w:rPr>
          <w:rFonts w:ascii="Times New Roman" w:eastAsia="Times New Roman" w:hAnsi="Times New Roman" w:cs="Times New Roman"/>
          <w:color w:val="000000"/>
          <w:spacing w:val="0"/>
          <w:w w:val="100"/>
          <w:position w:val="0"/>
        </w:rPr>
        <w:t>4.99%</w:t>
      </w:r>
      <w:r>
        <w:rPr>
          <w:color w:val="000000"/>
          <w:spacing w:val="0"/>
          <w:w w:val="100"/>
          <w:position w:val="0"/>
        </w:rPr>
        <w:t>，可以行使其股东大会</w:t>
      </w:r>
      <w:r>
        <w:rPr>
          <w:rFonts w:ascii="Times New Roman" w:eastAsia="Times New Roman" w:hAnsi="Times New Roman" w:cs="Times New Roman"/>
          <w:color w:val="000000"/>
          <w:spacing w:val="0"/>
          <w:w w:val="100"/>
          <w:position w:val="0"/>
        </w:rPr>
        <w:t>6.6%</w:t>
      </w:r>
      <w:r>
        <w:rPr>
          <w:color w:val="000000"/>
          <w:spacing w:val="0"/>
          <w:w w:val="100"/>
          <w:position w:val="0"/>
        </w:rPr>
        <w:t>的表决权，该公司董事会</w:t>
      </w:r>
      <w:r>
        <w:rPr>
          <w:rFonts w:ascii="Times New Roman" w:eastAsia="Times New Roman" w:hAnsi="Times New Roman" w:cs="Times New Roman"/>
          <w:color w:val="000000"/>
          <w:spacing w:val="0"/>
          <w:w w:val="100"/>
          <w:position w:val="0"/>
        </w:rPr>
        <w:t xml:space="preserve">5 </w:t>
      </w:r>
      <w:r>
        <w:rPr>
          <w:color w:val="000000"/>
          <w:spacing w:val="0"/>
          <w:w w:val="100"/>
          <w:position w:val="0"/>
        </w:rPr>
        <w:t>人，香港投资向其委派</w:t>
      </w:r>
      <w:r>
        <w:rPr>
          <w:rFonts w:ascii="Times New Roman" w:eastAsia="Times New Roman" w:hAnsi="Times New Roman" w:cs="Times New Roman"/>
          <w:color w:val="000000"/>
          <w:spacing w:val="0"/>
          <w:w w:val="100"/>
          <w:position w:val="0"/>
        </w:rPr>
        <w:t>1</w:t>
      </w:r>
      <w:r>
        <w:rPr>
          <w:color w:val="000000"/>
          <w:spacing w:val="0"/>
          <w:w w:val="100"/>
          <w:position w:val="0"/>
        </w:rPr>
        <w:t>名董事，具有重大影响。</w:t>
      </w:r>
    </w:p>
    <w:p>
      <w:pPr>
        <w:pStyle w:val="Style126"/>
        <w:keepNext/>
        <w:keepLines/>
        <w:widowControl w:val="0"/>
        <w:shd w:val="clear" w:color="auto" w:fill="auto"/>
        <w:tabs>
          <w:tab w:pos="968" w:val="left"/>
        </w:tabs>
        <w:bidi w:val="0"/>
        <w:spacing w:before="0" w:after="0" w:line="418" w:lineRule="exact"/>
        <w:ind w:left="0" w:right="0"/>
        <w:jc w:val="left"/>
      </w:pPr>
      <w:bookmarkStart w:id="1661" w:name="bookmark1661"/>
      <w:bookmarkStart w:id="1662" w:name="bookmark1662"/>
      <w:bookmarkStart w:id="1663" w:name="bookmark1663"/>
      <w:bookmarkStart w:id="1664" w:name="bookmark1664"/>
      <w:r>
        <w:rPr>
          <w:b w:val="0"/>
          <w:bCs w:val="0"/>
          <w:color w:val="000000"/>
          <w:spacing w:val="0"/>
          <w:w w:val="100"/>
          <w:position w:val="0"/>
        </w:rPr>
        <w:t>（</w:t>
      </w:r>
      <w:bookmarkEnd w:id="1663"/>
      <w:r>
        <w:rPr>
          <w:rFonts w:ascii="Times New Roman" w:eastAsia="Times New Roman" w:hAnsi="Times New Roman" w:cs="Times New Roman"/>
          <w:b w:val="0"/>
          <w:bCs w:val="0"/>
          <w:color w:val="000000"/>
          <w:spacing w:val="0"/>
          <w:w w:val="100"/>
          <w:position w:val="0"/>
        </w:rPr>
        <w:t>3</w:t>
      </w:r>
      <w:r>
        <w:rPr>
          <w:b w:val="0"/>
          <w:bCs w:val="0"/>
          <w:color w:val="000000"/>
          <w:spacing w:val="0"/>
          <w:w w:val="100"/>
          <w:position w:val="0"/>
        </w:rPr>
        <w:t>）</w:t>
        <w:tab/>
        <w:t>持有</w:t>
      </w:r>
      <w:r>
        <w:rPr>
          <w:rFonts w:ascii="Times New Roman" w:eastAsia="Times New Roman" w:hAnsi="Times New Roman" w:cs="Times New Roman"/>
          <w:b w:val="0"/>
          <w:bCs w:val="0"/>
          <w:color w:val="000000"/>
          <w:spacing w:val="0"/>
          <w:w w:val="100"/>
          <w:position w:val="0"/>
        </w:rPr>
        <w:t>20%</w:t>
      </w:r>
      <w:r>
        <w:rPr>
          <w:b w:val="0"/>
          <w:bCs w:val="0"/>
          <w:color w:val="000000"/>
          <w:spacing w:val="0"/>
          <w:w w:val="100"/>
          <w:position w:val="0"/>
        </w:rPr>
        <w:t>或以上表决权但不具有重大影响的依据。</w:t>
      </w:r>
      <w:bookmarkEnd w:id="1661"/>
      <w:bookmarkEnd w:id="1662"/>
      <w:bookmarkEnd w:id="1664"/>
    </w:p>
    <w:p>
      <w:pPr>
        <w:pStyle w:val="Style16"/>
        <w:keepNext w:val="0"/>
        <w:keepLines w:val="0"/>
        <w:widowControl w:val="0"/>
        <w:shd w:val="clear" w:color="auto" w:fill="auto"/>
        <w:bidi w:val="0"/>
        <w:spacing w:before="0" w:after="600" w:line="418" w:lineRule="exact"/>
        <w:ind w:left="0" w:right="0" w:firstLine="480"/>
        <w:jc w:val="left"/>
      </w:pPr>
      <w:r>
        <w:rPr>
          <w:color w:val="000000"/>
          <w:spacing w:val="0"/>
          <w:w w:val="100"/>
          <w:position w:val="0"/>
        </w:rPr>
        <w:t>本期无此事项。</w:t>
      </w:r>
    </w:p>
    <w:p>
      <w:pPr>
        <w:pStyle w:val="Style51"/>
        <w:keepNext/>
        <w:keepLines/>
        <w:widowControl w:val="0"/>
        <w:numPr>
          <w:ilvl w:val="0"/>
          <w:numId w:val="105"/>
        </w:numPr>
        <w:shd w:val="clear" w:color="auto" w:fill="auto"/>
        <w:bidi w:val="0"/>
        <w:spacing w:before="0" w:after="180" w:line="240" w:lineRule="auto"/>
        <w:ind w:left="0" w:right="0" w:firstLine="480"/>
        <w:jc w:val="left"/>
      </w:pPr>
      <w:bookmarkStart w:id="1665" w:name="bookmark1665"/>
      <w:bookmarkStart w:id="1666" w:name="bookmark1666"/>
      <w:bookmarkStart w:id="1667" w:name="bookmark1667"/>
      <w:bookmarkStart w:id="1668" w:name="bookmark1668"/>
      <w:bookmarkEnd w:id="1667"/>
      <w:r>
        <w:rPr>
          <w:color w:val="000000"/>
          <w:spacing w:val="0"/>
          <w:w w:val="100"/>
          <w:position w:val="0"/>
        </w:rPr>
        <w:t>重要联营企业的主要财务信息</w:t>
      </w:r>
      <w:bookmarkEnd w:id="1665"/>
      <w:bookmarkEnd w:id="1666"/>
      <w:bookmarkEnd w:id="1668"/>
    </w:p>
    <w:tbl>
      <w:tblPr>
        <w:tblOverlap w:val="never"/>
        <w:jc w:val="center"/>
        <w:tblLayout w:type="fixed"/>
      </w:tblPr>
      <w:tblGrid>
        <w:gridCol w:w="2184"/>
        <w:gridCol w:w="1349"/>
        <w:gridCol w:w="1680"/>
        <w:gridCol w:w="1512"/>
        <w:gridCol w:w="1651"/>
      </w:tblGrid>
      <w:tr>
        <w:trPr>
          <w:trHeight w:val="442"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r>
              <w:rPr>
                <w:rFonts w:ascii="Arial Narrow" w:eastAsia="Arial Narrow" w:hAnsi="Arial Narrow" w:cs="Arial Narrow"/>
                <w:color w:val="000000"/>
                <w:spacing w:val="0"/>
                <w:w w:val="100"/>
                <w:position w:val="0"/>
                <w:sz w:val="18"/>
                <w:szCs w:val="18"/>
              </w:rPr>
              <w:t>/</w:t>
            </w:r>
            <w:r>
              <w:rPr>
                <w:color w:val="000000"/>
                <w:spacing w:val="0"/>
                <w:w w:val="100"/>
                <w:position w:val="0"/>
                <w:sz w:val="18"/>
                <w:szCs w:val="18"/>
              </w:rPr>
              <w:t>本期发生额</w:t>
            </w:r>
          </w:p>
        </w:tc>
      </w:tr>
      <w:tr>
        <w:trPr>
          <w:trHeight w:val="73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江信基金管理有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广州仁诺互联网小额</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贷款有限公司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宁波梅花天使投资</w:t>
            </w:r>
          </w:p>
          <w:p>
            <w:pPr>
              <w:pStyle w:val="Style2"/>
              <w:keepNext w:val="0"/>
              <w:keepLines w:val="0"/>
              <w:widowControl w:val="0"/>
              <w:shd w:val="clear" w:color="auto" w:fill="auto"/>
              <w:bidi w:val="0"/>
              <w:spacing w:before="0" w:after="0" w:line="240" w:lineRule="auto"/>
              <w:ind w:left="0" w:right="200" w:firstLine="0"/>
              <w:jc w:val="right"/>
              <w:rPr>
                <w:sz w:val="18"/>
                <w:szCs w:val="18"/>
              </w:rPr>
            </w:pPr>
            <w:r>
              <w:rPr>
                <w:color w:val="000000"/>
                <w:spacing w:val="0"/>
                <w:w w:val="100"/>
                <w:position w:val="0"/>
                <w:sz w:val="18"/>
                <w:szCs w:val="18"/>
              </w:rPr>
              <w:t>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Qudian Inc.</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753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671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106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759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370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461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257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690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476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r>
      <w:tr>
        <w:trPr>
          <w:trHeight w:val="41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806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976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870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129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798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586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707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556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560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647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106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761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241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177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259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844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398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032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486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801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561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357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804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472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609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015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579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486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801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561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357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804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488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188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归属于母公司股东权益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197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074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247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104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959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679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153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902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039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909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844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r>
      <w:tr>
        <w:trPr>
          <w:trHeight w:val="73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按持股比例计算的净资产 份额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122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274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231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855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237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754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594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873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878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60</w:t>
            </w:r>
          </w:p>
        </w:tc>
      </w:tr>
      <w:tr>
        <w:trPr>
          <w:trHeight w:val="41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调整事项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82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309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501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126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121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40</w:t>
            </w:r>
          </w:p>
        </w:tc>
      </w:tr>
      <w:tr>
        <w:trPr>
          <w:trHeight w:val="427"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—内部交易未实现利润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184"/>
        <w:gridCol w:w="1349"/>
        <w:gridCol w:w="1680"/>
        <w:gridCol w:w="1512"/>
        <w:gridCol w:w="1651"/>
      </w:tblGrid>
      <w:tr>
        <w:trPr>
          <w:trHeight w:val="442"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项目</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r>
              <w:rPr>
                <w:rFonts w:ascii="Arial Narrow" w:eastAsia="Arial Narrow" w:hAnsi="Arial Narrow" w:cs="Arial Narrow"/>
                <w:color w:val="000000"/>
                <w:spacing w:val="0"/>
                <w:w w:val="100"/>
                <w:position w:val="0"/>
                <w:sz w:val="18"/>
                <w:szCs w:val="18"/>
              </w:rPr>
              <w:t>/</w:t>
            </w:r>
            <w:r>
              <w:rPr>
                <w:color w:val="000000"/>
                <w:spacing w:val="0"/>
                <w:w w:val="100"/>
                <w:position w:val="0"/>
                <w:sz w:val="18"/>
                <w:szCs w:val="18"/>
              </w:rPr>
              <w:t>本期发生额</w:t>
            </w:r>
          </w:p>
        </w:tc>
      </w:tr>
      <w:tr>
        <w:trPr>
          <w:trHeight w:val="73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江信基金管理有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广州仁诺互联网小额</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贷款有限公司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宁波梅花天使投资</w:t>
            </w:r>
          </w:p>
          <w:p>
            <w:pPr>
              <w:pStyle w:val="Style2"/>
              <w:keepNext w:val="0"/>
              <w:keepLines w:val="0"/>
              <w:widowControl w:val="0"/>
              <w:shd w:val="clear" w:color="auto" w:fill="auto"/>
              <w:bidi w:val="0"/>
              <w:spacing w:before="0" w:after="0" w:line="240" w:lineRule="auto"/>
              <w:ind w:left="0" w:right="200" w:firstLine="0"/>
              <w:jc w:val="right"/>
              <w:rPr>
                <w:sz w:val="18"/>
                <w:szCs w:val="18"/>
              </w:rPr>
            </w:pPr>
            <w:r>
              <w:rPr>
                <w:color w:val="000000"/>
                <w:spacing w:val="0"/>
                <w:w w:val="100"/>
                <w:position w:val="0"/>
                <w:sz w:val="18"/>
                <w:szCs w:val="18"/>
              </w:rPr>
              <w:t>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Qudian Inc.</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2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对联营企业权益投资的账 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122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274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231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855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547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256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639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r>
      <w:tr>
        <w:trPr>
          <w:trHeight w:val="73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存在公开报价的权益投资 的公允价值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114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085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266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54</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432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527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556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616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937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687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974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347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213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347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718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636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958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819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455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347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213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347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718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636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920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364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r>
      <w:tr>
        <w:trPr>
          <w:trHeight w:val="758"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企业本期收到的来自联营 企业的股利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pStyle w:val="Style40"/>
        <w:keepNext w:val="0"/>
        <w:keepLines w:val="0"/>
        <w:widowControl w:val="0"/>
        <w:shd w:val="clear" w:color="auto" w:fill="auto"/>
        <w:bidi w:val="0"/>
        <w:spacing w:before="0" w:after="0" w:line="240" w:lineRule="auto"/>
        <w:ind w:left="398" w:right="0" w:firstLine="0"/>
        <w:jc w:val="left"/>
        <w:rPr>
          <w:sz w:val="18"/>
          <w:szCs w:val="18"/>
        </w:rPr>
      </w:pPr>
      <w:r>
        <w:rPr>
          <w:color w:val="000000"/>
          <w:spacing w:val="0"/>
          <w:w w:val="100"/>
          <w:position w:val="0"/>
          <w:sz w:val="18"/>
          <w:szCs w:val="18"/>
        </w:rPr>
        <w:t>续:</w:t>
      </w:r>
    </w:p>
    <w:p>
      <w:pPr>
        <w:widowControl w:val="0"/>
        <w:spacing w:after="139" w:line="1" w:lineRule="exact"/>
      </w:pPr>
    </w:p>
    <w:p>
      <w:pPr>
        <w:widowControl w:val="0"/>
        <w:spacing w:line="1" w:lineRule="exact"/>
      </w:pPr>
    </w:p>
    <w:tbl>
      <w:tblPr>
        <w:tblOverlap w:val="never"/>
        <w:jc w:val="center"/>
        <w:tblLayout w:type="fixed"/>
      </w:tblPr>
      <w:tblGrid>
        <w:gridCol w:w="2184"/>
        <w:gridCol w:w="1421"/>
        <w:gridCol w:w="1613"/>
        <w:gridCol w:w="1507"/>
        <w:gridCol w:w="1651"/>
      </w:tblGrid>
      <w:tr>
        <w:trPr>
          <w:trHeight w:val="442"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项目</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r>
              <w:rPr>
                <w:rFonts w:ascii="Arial Narrow" w:eastAsia="Arial Narrow" w:hAnsi="Arial Narrow" w:cs="Arial Narrow"/>
                <w:color w:val="000000"/>
                <w:spacing w:val="0"/>
                <w:w w:val="100"/>
                <w:position w:val="0"/>
                <w:sz w:val="18"/>
                <w:szCs w:val="18"/>
              </w:rPr>
              <w:t>/</w:t>
            </w:r>
            <w:r>
              <w:rPr>
                <w:color w:val="000000"/>
                <w:spacing w:val="0"/>
                <w:w w:val="100"/>
                <w:position w:val="0"/>
                <w:sz w:val="18"/>
                <w:szCs w:val="18"/>
              </w:rPr>
              <w:t>上期发生额</w:t>
            </w:r>
          </w:p>
        </w:tc>
      </w:tr>
      <w:tr>
        <w:trPr>
          <w:trHeight w:val="725"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江信基金管理有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广州仁诺互联网小</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额贷款有限公司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宁波梅花天使投资</w:t>
            </w:r>
          </w:p>
          <w:p>
            <w:pPr>
              <w:pStyle w:val="Style2"/>
              <w:keepNext w:val="0"/>
              <w:keepLines w:val="0"/>
              <w:widowControl w:val="0"/>
              <w:shd w:val="clear" w:color="auto" w:fill="auto"/>
              <w:bidi w:val="0"/>
              <w:spacing w:before="0" w:after="0" w:line="240" w:lineRule="auto"/>
              <w:ind w:left="0" w:right="200" w:firstLine="0"/>
              <w:jc w:val="right"/>
              <w:rPr>
                <w:sz w:val="18"/>
                <w:szCs w:val="18"/>
              </w:rPr>
            </w:pPr>
            <w:r>
              <w:rPr>
                <w:color w:val="000000"/>
                <w:spacing w:val="0"/>
                <w:w w:val="100"/>
                <w:position w:val="0"/>
                <w:sz w:val="18"/>
                <w:szCs w:val="18"/>
              </w:rPr>
              <w:t>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Qudian Inc.</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119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067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333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125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158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230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996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023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490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766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108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149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687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726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116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281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897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338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112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804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227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217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020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137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885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161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512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894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361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603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570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388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445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210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329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490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897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321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228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407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114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540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230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713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795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559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210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329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490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437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551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941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归属于母公司股东权益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207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421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461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612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674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145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183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403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924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051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629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r>
      <w:tr>
        <w:trPr>
          <w:trHeight w:val="73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按持股比例计算的净资产 份额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226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438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275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703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147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925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598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190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067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33</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调整事项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82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309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501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147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835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533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62</w:t>
            </w:r>
          </w:p>
        </w:tc>
      </w:tr>
      <w:tr>
        <w:trPr>
          <w:trHeight w:val="427"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—内部交易未实现利润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184"/>
        <w:gridCol w:w="1421"/>
        <w:gridCol w:w="1613"/>
        <w:gridCol w:w="1507"/>
        <w:gridCol w:w="1651"/>
      </w:tblGrid>
      <w:tr>
        <w:trPr>
          <w:trHeight w:val="442"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r>
              <w:rPr>
                <w:rFonts w:ascii="Arial Narrow" w:eastAsia="Arial Narrow" w:hAnsi="Arial Narrow" w:cs="Arial Narrow"/>
                <w:color w:val="000000"/>
                <w:spacing w:val="0"/>
                <w:w w:val="100"/>
                <w:position w:val="0"/>
                <w:sz w:val="18"/>
                <w:szCs w:val="18"/>
              </w:rPr>
              <w:t>/</w:t>
            </w:r>
            <w:r>
              <w:rPr>
                <w:color w:val="000000"/>
                <w:spacing w:val="0"/>
                <w:w w:val="100"/>
                <w:position w:val="0"/>
                <w:sz w:val="18"/>
                <w:szCs w:val="18"/>
              </w:rPr>
              <w:t>上期发生额</w:t>
            </w:r>
          </w:p>
        </w:tc>
      </w:tr>
      <w:tr>
        <w:trPr>
          <w:trHeight w:val="73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江信基金管理有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广州仁诺互联网小</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额贷款有限公司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宁波梅花天使投资</w:t>
            </w:r>
          </w:p>
          <w:p>
            <w:pPr>
              <w:pStyle w:val="Style2"/>
              <w:keepNext w:val="0"/>
              <w:keepLines w:val="0"/>
              <w:widowControl w:val="0"/>
              <w:shd w:val="clear" w:color="auto" w:fill="auto"/>
              <w:bidi w:val="0"/>
              <w:spacing w:before="0" w:after="0" w:line="240" w:lineRule="auto"/>
              <w:ind w:left="0" w:right="200" w:firstLine="0"/>
              <w:jc w:val="right"/>
              <w:rPr>
                <w:sz w:val="18"/>
                <w:szCs w:val="18"/>
              </w:rPr>
            </w:pPr>
            <w:r>
              <w:rPr>
                <w:color w:val="000000"/>
                <w:spacing w:val="0"/>
                <w:w w:val="100"/>
                <w:position w:val="0"/>
                <w:sz w:val="18"/>
                <w:szCs w:val="18"/>
              </w:rPr>
              <w:t>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Qudian Inc.</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2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对联营企业权益投资的账 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226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438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275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703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457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427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746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025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600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95</w:t>
            </w:r>
          </w:p>
        </w:tc>
      </w:tr>
      <w:tr>
        <w:trPr>
          <w:trHeight w:val="73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存在公开报价的权益投资 的公允价值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419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595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408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54</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199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432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023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737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840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043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542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425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099</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714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843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273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234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264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287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925</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557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523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893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073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982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622</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714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843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7</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273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234</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296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180</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998</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w:t>
            </w:r>
          </w:p>
        </w:tc>
      </w:tr>
      <w:tr>
        <w:trPr>
          <w:trHeight w:val="758"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企业本期收到的来自联营 企业的股利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279" w:line="1" w:lineRule="exact"/>
      </w:pPr>
    </w:p>
    <w:p>
      <w:pPr>
        <w:pStyle w:val="Style51"/>
        <w:keepNext/>
        <w:keepLines/>
        <w:widowControl w:val="0"/>
        <w:numPr>
          <w:ilvl w:val="0"/>
          <w:numId w:val="107"/>
        </w:numPr>
        <w:shd w:val="clear" w:color="auto" w:fill="auto"/>
        <w:bidi w:val="0"/>
        <w:spacing w:before="0" w:after="120" w:line="240" w:lineRule="auto"/>
        <w:ind w:left="0" w:right="0" w:firstLine="480"/>
        <w:jc w:val="left"/>
      </w:pPr>
      <w:bookmarkStart w:id="1669" w:name="bookmark1669"/>
      <w:bookmarkStart w:id="1670" w:name="bookmark1670"/>
      <w:bookmarkStart w:id="1671" w:name="bookmark1671"/>
      <w:bookmarkStart w:id="1672" w:name="bookmark1672"/>
      <w:bookmarkEnd w:id="1671"/>
      <w:r>
        <w:rPr>
          <w:color w:val="000000"/>
          <w:spacing w:val="0"/>
          <w:w w:val="100"/>
          <w:position w:val="0"/>
        </w:rPr>
        <w:t>不重要的合营企业和联营企业的汇总财务信息</w:t>
      </w:r>
      <w:bookmarkEnd w:id="1669"/>
      <w:bookmarkEnd w:id="1670"/>
      <w:bookmarkEnd w:id="1672"/>
    </w:p>
    <w:tbl>
      <w:tblPr>
        <w:tblOverlap w:val="never"/>
        <w:jc w:val="center"/>
        <w:tblLayout w:type="fixed"/>
      </w:tblPr>
      <w:tblGrid>
        <w:gridCol w:w="3283"/>
        <w:gridCol w:w="1925"/>
        <w:gridCol w:w="3149"/>
      </w:tblGrid>
      <w:tr>
        <w:trPr>
          <w:trHeight w:val="42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期末余额</w:t>
            </w:r>
            <w:r>
              <w:rPr>
                <w:rFonts w:ascii="Arial Narrow" w:eastAsia="Arial Narrow" w:hAnsi="Arial Narrow" w:cs="Arial Narrow"/>
                <w:color w:val="000000"/>
                <w:spacing w:val="0"/>
                <w:w w:val="100"/>
                <w:position w:val="0"/>
                <w:sz w:val="18"/>
                <w:szCs w:val="18"/>
              </w:rPr>
              <w:t>/</w:t>
            </w:r>
            <w:r>
              <w:rPr>
                <w:color w:val="000000"/>
                <w:spacing w:val="0"/>
                <w:w w:val="100"/>
                <w:position w:val="0"/>
                <w:sz w:val="18"/>
                <w:szCs w:val="18"/>
              </w:rPr>
              <w:t>本期发生额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r>
              <w:rPr>
                <w:rFonts w:ascii="Arial Narrow" w:eastAsia="Arial Narrow" w:hAnsi="Arial Narrow" w:cs="Arial Narrow"/>
                <w:color w:val="000000"/>
                <w:spacing w:val="0"/>
                <w:w w:val="100"/>
                <w:position w:val="0"/>
                <w:sz w:val="18"/>
                <w:szCs w:val="18"/>
              </w:rPr>
              <w:t>/</w:t>
            </w:r>
            <w:r>
              <w:rPr>
                <w:color w:val="000000"/>
                <w:spacing w:val="0"/>
                <w:w w:val="100"/>
                <w:position w:val="0"/>
                <w:sz w:val="18"/>
                <w:szCs w:val="18"/>
              </w:rPr>
              <w:t>上期发生额</w:t>
            </w:r>
          </w:p>
        </w:tc>
      </w:tr>
      <w:tr>
        <w:trPr>
          <w:trHeight w:val="39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联营企业：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联营企业投资账面价值合计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44,505,464.45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50,383,554.09</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下列各项按持股比例计算的合计数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-5,969,517.84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-4,808,768.84</w:t>
            </w:r>
          </w:p>
        </w:tc>
      </w:tr>
      <w:tr>
        <w:trPr>
          <w:trHeight w:val="39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综合收益总额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-5,969,517.84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-4,808,768.84</w:t>
            </w:r>
          </w:p>
        </w:tc>
      </w:tr>
    </w:tbl>
    <w:p>
      <w:pPr>
        <w:widowControl w:val="0"/>
        <w:spacing w:after="39" w:line="1" w:lineRule="exact"/>
      </w:pPr>
    </w:p>
    <w:p>
      <w:pPr>
        <w:pStyle w:val="Style37"/>
        <w:keepNext/>
        <w:keepLines/>
        <w:widowControl w:val="0"/>
        <w:shd w:val="clear" w:color="auto" w:fill="auto"/>
        <w:bidi w:val="0"/>
        <w:spacing w:before="0" w:after="40" w:line="438" w:lineRule="exact"/>
        <w:ind w:left="0" w:right="0" w:firstLine="480"/>
        <w:jc w:val="left"/>
      </w:pPr>
      <w:bookmarkStart w:id="1673" w:name="bookmark1673"/>
      <w:bookmarkStart w:id="1674" w:name="bookmark1674"/>
      <w:bookmarkStart w:id="1675" w:name="bookmark1675"/>
      <w:bookmarkStart w:id="1676" w:name="bookmark1676"/>
      <w:r>
        <w:rPr>
          <w:rFonts w:ascii="Times New Roman" w:eastAsia="Times New Roman" w:hAnsi="Times New Roman" w:cs="Times New Roman"/>
          <w:color w:val="000000"/>
          <w:spacing w:val="0"/>
          <w:w w:val="100"/>
          <w:position w:val="0"/>
        </w:rPr>
        <w:t>（</w:t>
      </w:r>
      <w:bookmarkEnd w:id="1675"/>
      <w:r>
        <w:rPr>
          <w:color w:val="000000"/>
          <w:spacing w:val="0"/>
          <w:w w:val="100"/>
          <w:position w:val="0"/>
        </w:rPr>
        <w:t>三</w:t>
      </w:r>
      <w:r>
        <w:rPr>
          <w:color w:val="000000"/>
          <w:spacing w:val="0"/>
          <w:w w:val="100"/>
          <w:position w:val="0"/>
        </w:rPr>
        <w:t>）</w:t>
      </w:r>
      <w:r>
        <w:rPr>
          <w:color w:val="000000"/>
          <w:spacing w:val="0"/>
          <w:w w:val="100"/>
          <w:position w:val="0"/>
        </w:rPr>
        <w:t>在未纳入合并财务报表范围的结构化主体中的权益</w:t>
      </w:r>
      <w:bookmarkEnd w:id="1673"/>
      <w:bookmarkEnd w:id="1674"/>
      <w:bookmarkEnd w:id="1676"/>
    </w:p>
    <w:p>
      <w:pPr>
        <w:pStyle w:val="Style16"/>
        <w:keepNext w:val="0"/>
        <w:keepLines w:val="0"/>
        <w:widowControl w:val="0"/>
        <w:shd w:val="clear" w:color="auto" w:fill="auto"/>
        <w:bidi w:val="0"/>
        <w:spacing w:before="0" w:after="120" w:line="408" w:lineRule="exact"/>
        <w:ind w:left="0" w:right="0" w:firstLine="480"/>
        <w:jc w:val="left"/>
      </w:pPr>
      <w:r>
        <w:rPr>
          <w:color w:val="000000"/>
          <w:spacing w:val="0"/>
          <w:w w:val="100"/>
          <w:position w:val="0"/>
        </w:rPr>
        <w:t>本公司主要在金融投资等业务中涉及结构化主体，这些结构化主体通常以募集资金的方 式购买资产。本公司会分析判断是否对这些结构化主体存在控制，以确定是否会将其纳入合 并财务报表范围，本公司在未纳入合并财务报表范围的结构化主体中的权益的相关信息如下:</w:t>
      </w:r>
    </w:p>
    <w:p>
      <w:pPr>
        <w:pStyle w:val="Style16"/>
        <w:keepNext w:val="0"/>
        <w:keepLines w:val="0"/>
        <w:widowControl w:val="0"/>
        <w:shd w:val="clear" w:color="auto" w:fill="auto"/>
        <w:bidi w:val="0"/>
        <w:spacing w:before="0" w:after="40" w:line="438" w:lineRule="exact"/>
        <w:ind w:left="0" w:right="0" w:firstLine="340"/>
        <w:jc w:val="left"/>
      </w:pPr>
      <w:r>
        <w:rPr>
          <w:b/>
          <w:bCs/>
          <w:color w:val="000000"/>
          <w:spacing w:val="0"/>
          <w:w w:val="100"/>
          <w:position w:val="0"/>
        </w:rPr>
        <w:t>1.</w:t>
      </w:r>
      <w:r>
        <w:rPr>
          <w:b/>
          <w:bCs/>
          <w:color w:val="000000"/>
          <w:spacing w:val="0"/>
          <w:w w:val="100"/>
          <w:position w:val="0"/>
        </w:rPr>
        <w:t>本公司发起设立的结构化主体</w:t>
      </w:r>
    </w:p>
    <w:p>
      <w:pPr>
        <w:pStyle w:val="Style16"/>
        <w:keepNext w:val="0"/>
        <w:keepLines w:val="0"/>
        <w:widowControl w:val="0"/>
        <w:shd w:val="clear" w:color="auto" w:fill="auto"/>
        <w:bidi w:val="0"/>
        <w:spacing w:before="0" w:after="0" w:line="468" w:lineRule="exact"/>
        <w:ind w:left="0" w:right="0" w:firstLine="480"/>
        <w:jc w:val="left"/>
      </w:pPr>
      <w:r>
        <w:rPr>
          <w:color w:val="000000"/>
          <w:spacing w:val="0"/>
          <w:w w:val="100"/>
          <w:position w:val="0"/>
        </w:rPr>
        <w:t xml:space="preserve">本公司发起设立的未纳入合并财务报表范围的结构化主体，主要包括本公司发起设立 的资产管理计划。这些结构化主体的性质和目的主要是管理投资者的资产并收取管理费， 其募资方式是向投资者发行投资产品。本公司在这些未纳入合并财务报表范围的结构化主 </w:t>
      </w:r>
      <w:r>
        <w:rPr>
          <w:color w:val="000000"/>
          <w:spacing w:val="0"/>
          <w:w w:val="100"/>
          <w:position w:val="0"/>
        </w:rPr>
        <w:t>体中享有的权益主要包括直接持有投资或通过管理这些结构化主体收取管理费收入及业绩 报酬。</w:t>
      </w:r>
    </w:p>
    <w:p>
      <w:pPr>
        <w:pStyle w:val="Style16"/>
        <w:keepNext w:val="0"/>
        <w:keepLines w:val="0"/>
        <w:widowControl w:val="0"/>
        <w:shd w:val="clear" w:color="auto" w:fill="auto"/>
        <w:bidi w:val="0"/>
        <w:spacing w:before="0" w:after="540" w:line="475" w:lineRule="exact"/>
        <w:ind w:left="0" w:right="0" w:firstLine="440"/>
        <w:jc w:val="both"/>
      </w:pPr>
      <w:r>
        <w:rPr>
          <w:color w:val="000000"/>
          <w:spacing w:val="0"/>
          <w:w w:val="100"/>
          <w:position w:val="0"/>
        </w:rPr>
        <w:t>截止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日，本公司通过直接持有本公司发起设立的未纳入合并财务报表 范围的结构化主体中享有的权益在本公司资产负债表中的相关资产负债项目账面价值及最 大损失风险敞口列示如下：</w:t>
      </w:r>
    </w:p>
    <w:p>
      <w:pPr>
        <w:pStyle w:val="Style40"/>
        <w:keepNext w:val="0"/>
        <w:keepLines w:val="0"/>
        <w:widowControl w:val="0"/>
        <w:shd w:val="clear" w:color="auto" w:fill="auto"/>
        <w:bidi w:val="0"/>
        <w:spacing w:before="0" w:after="0" w:line="240" w:lineRule="auto"/>
        <w:ind w:left="7397" w:right="0" w:firstLine="0"/>
        <w:jc w:val="left"/>
        <w:rPr>
          <w:sz w:val="18"/>
          <w:szCs w:val="18"/>
        </w:rPr>
      </w:pPr>
      <w:r>
        <w:rPr>
          <w:color w:val="000000"/>
          <w:spacing w:val="0"/>
          <w:w w:val="100"/>
          <w:position w:val="0"/>
          <w:sz w:val="18"/>
          <w:szCs w:val="18"/>
        </w:rPr>
        <w:t>单位：万元</w:t>
      </w:r>
    </w:p>
    <w:tbl>
      <w:tblPr>
        <w:tblOverlap w:val="never"/>
        <w:jc w:val="center"/>
        <w:tblLayout w:type="fixed"/>
      </w:tblPr>
      <w:tblGrid>
        <w:gridCol w:w="3130"/>
        <w:gridCol w:w="2611"/>
        <w:gridCol w:w="2630"/>
      </w:tblGrid>
      <w:tr>
        <w:trPr>
          <w:trHeight w:val="514"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期末账面价值</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期末最大损失敞口</w:t>
            </w:r>
          </w:p>
        </w:tc>
      </w:tr>
      <w:tr>
        <w:trPr>
          <w:trHeight w:val="518" w:hRule="exact"/>
        </w:trPr>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交易性金融资产</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3,083.60</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3,083.60</w:t>
            </w:r>
          </w:p>
        </w:tc>
      </w:tr>
    </w:tbl>
    <w:p>
      <w:pPr>
        <w:widowControl w:val="0"/>
        <w:spacing w:after="179" w:line="1" w:lineRule="exact"/>
      </w:pPr>
    </w:p>
    <w:p>
      <w:pPr>
        <w:pStyle w:val="Style16"/>
        <w:keepNext w:val="0"/>
        <w:keepLines w:val="0"/>
        <w:widowControl w:val="0"/>
        <w:shd w:val="clear" w:color="auto" w:fill="auto"/>
        <w:bidi w:val="0"/>
        <w:spacing w:before="0" w:after="380" w:line="319" w:lineRule="exact"/>
        <w:ind w:left="0" w:right="0" w:firstLine="440"/>
        <w:jc w:val="both"/>
      </w:pPr>
      <w:r>
        <w:rPr>
          <w:color w:val="000000"/>
          <w:spacing w:val="0"/>
          <w:w w:val="100"/>
          <w:position w:val="0"/>
        </w:rPr>
        <w:t>截止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日，本公司从本公司发起设立但未纳入合并财务报表范围的、且 资产负债表日在该结构化主体中没有权益的资产管理计划中获取的管理费收入资产管理计 划中获取的管理费收入、手续费收入及业绩报酬为人民币</w:t>
      </w:r>
      <w:r>
        <w:rPr>
          <w:rFonts w:ascii="Times New Roman" w:eastAsia="Times New Roman" w:hAnsi="Times New Roman" w:cs="Times New Roman"/>
          <w:color w:val="000000"/>
          <w:spacing w:val="0"/>
          <w:w w:val="100"/>
          <w:position w:val="0"/>
        </w:rPr>
        <w:t>6,355.04</w:t>
      </w:r>
      <w:r>
        <w:rPr>
          <w:color w:val="000000"/>
          <w:spacing w:val="0"/>
          <w:w w:val="100"/>
          <w:position w:val="0"/>
        </w:rPr>
        <w:t>万元。</w:t>
      </w:r>
    </w:p>
    <w:p>
      <w:pPr>
        <w:pStyle w:val="Style16"/>
        <w:keepNext w:val="0"/>
        <w:keepLines w:val="0"/>
        <w:widowControl w:val="0"/>
        <w:shd w:val="clear" w:color="auto" w:fill="auto"/>
        <w:bidi w:val="0"/>
        <w:spacing w:before="0" w:after="0" w:line="314" w:lineRule="exact"/>
        <w:ind w:left="0" w:right="0" w:firstLine="300"/>
        <w:jc w:val="both"/>
      </w:pPr>
      <w:r>
        <w:rPr>
          <w:rFonts w:ascii="Times New Roman" w:eastAsia="Times New Roman" w:hAnsi="Times New Roman" w:cs="Times New Roman"/>
          <w:b/>
          <w:bCs/>
          <w:color w:val="000000"/>
          <w:spacing w:val="0"/>
          <w:w w:val="100"/>
          <w:position w:val="0"/>
        </w:rPr>
        <w:t>2</w:t>
      </w:r>
      <w:r>
        <w:rPr>
          <w:b/>
          <w:bCs/>
          <w:color w:val="000000"/>
          <w:spacing w:val="0"/>
          <w:w w:val="100"/>
          <w:position w:val="0"/>
        </w:rPr>
        <w:t>.</w:t>
      </w:r>
      <w:r>
        <w:rPr>
          <w:b/>
          <w:bCs/>
          <w:color w:val="000000"/>
          <w:spacing w:val="0"/>
          <w:w w:val="100"/>
          <w:position w:val="0"/>
        </w:rPr>
        <w:t>第三方金融机构发起的结构化主体</w:t>
      </w:r>
    </w:p>
    <w:p>
      <w:pPr>
        <w:pStyle w:val="Style16"/>
        <w:keepNext w:val="0"/>
        <w:keepLines w:val="0"/>
        <w:widowControl w:val="0"/>
        <w:shd w:val="clear" w:color="auto" w:fill="auto"/>
        <w:bidi w:val="0"/>
        <w:spacing w:before="0" w:after="140" w:line="314" w:lineRule="exact"/>
        <w:ind w:left="0" w:right="0" w:firstLine="440"/>
        <w:jc w:val="both"/>
      </w:pPr>
      <w:r>
        <w:rPr>
          <w:color w:val="000000"/>
          <w:spacing w:val="0"/>
          <w:w w:val="100"/>
          <w:position w:val="0"/>
        </w:rPr>
        <w:t>截止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日，本公司通过直接投资在第三方金融机构发起的结构化主体中 享有的权益在本公司资产负债表的相关资产负债项目账面价值及最大损失风险敞口列示如 下：</w:t>
      </w:r>
    </w:p>
    <w:p>
      <w:pPr>
        <w:pStyle w:val="Style40"/>
        <w:keepNext w:val="0"/>
        <w:keepLines w:val="0"/>
        <w:widowControl w:val="0"/>
        <w:shd w:val="clear" w:color="auto" w:fill="auto"/>
        <w:bidi w:val="0"/>
        <w:spacing w:before="0" w:after="0" w:line="240" w:lineRule="auto"/>
        <w:ind w:left="7142" w:right="0" w:firstLine="0"/>
        <w:jc w:val="left"/>
      </w:pPr>
      <w:r>
        <w:rPr>
          <w:color w:val="000000"/>
          <w:spacing w:val="0"/>
          <w:w w:val="100"/>
          <w:position w:val="0"/>
        </w:rPr>
        <w:t>单位：万元</w:t>
      </w:r>
    </w:p>
    <w:tbl>
      <w:tblPr>
        <w:tblOverlap w:val="never"/>
        <w:jc w:val="center"/>
        <w:tblLayout w:type="fixed"/>
      </w:tblPr>
      <w:tblGrid>
        <w:gridCol w:w="3144"/>
        <w:gridCol w:w="2290"/>
        <w:gridCol w:w="2894"/>
      </w:tblGrid>
      <w:tr>
        <w:trPr>
          <w:trHeight w:val="514"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期末账面价值</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期末最大损失敞口</w:t>
            </w:r>
          </w:p>
        </w:tc>
      </w:tr>
      <w:tr>
        <w:trPr>
          <w:trHeight w:val="490"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交易性金融资产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70,148.44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70,148.44</w:t>
            </w:r>
          </w:p>
        </w:tc>
      </w:tr>
      <w:tr>
        <w:trPr>
          <w:trHeight w:val="523" w:hRule="exact"/>
        </w:trPr>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其他非流动金融资产</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201.12</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201.12</w:t>
            </w:r>
          </w:p>
        </w:tc>
      </w:tr>
    </w:tbl>
    <w:p>
      <w:pPr>
        <w:widowControl w:val="0"/>
        <w:spacing w:after="139" w:line="1" w:lineRule="exact"/>
      </w:pPr>
    </w:p>
    <w:p>
      <w:pPr>
        <w:pStyle w:val="Style16"/>
        <w:keepNext w:val="0"/>
        <w:keepLines w:val="0"/>
        <w:widowControl w:val="0"/>
        <w:numPr>
          <w:ilvl w:val="0"/>
          <w:numId w:val="109"/>
        </w:numPr>
        <w:shd w:val="clear" w:color="auto" w:fill="auto"/>
        <w:bidi w:val="0"/>
        <w:spacing w:before="0" w:after="0" w:line="355" w:lineRule="exact"/>
        <w:ind w:left="0" w:right="0" w:firstLine="300"/>
        <w:jc w:val="both"/>
      </w:pPr>
      <w:bookmarkStart w:id="1677" w:name="bookmark1677"/>
      <w:bookmarkEnd w:id="1677"/>
      <w:r>
        <w:rPr>
          <w:b/>
          <w:bCs/>
          <w:color w:val="000000"/>
          <w:spacing w:val="0"/>
          <w:w w:val="100"/>
          <w:position w:val="0"/>
        </w:rPr>
        <w:t>未纳入合并范围的相关说明</w:t>
      </w:r>
    </w:p>
    <w:p>
      <w:pPr>
        <w:pStyle w:val="Style16"/>
        <w:keepNext w:val="0"/>
        <w:keepLines w:val="0"/>
        <w:widowControl w:val="0"/>
        <w:shd w:val="clear" w:color="auto" w:fill="auto"/>
        <w:bidi w:val="0"/>
        <w:spacing w:before="0" w:after="340" w:line="307" w:lineRule="exact"/>
        <w:ind w:left="0" w:right="0" w:firstLine="440"/>
        <w:jc w:val="both"/>
      </w:pPr>
      <w:r>
        <w:rPr>
          <w:color w:val="000000"/>
          <w:spacing w:val="0"/>
          <w:w w:val="100"/>
          <w:position w:val="0"/>
        </w:rPr>
        <w:t>以上结构化主体因不满足“拥有对被投资方的权力因素”或虽满足拥有对被投资方的 权力但不满足“有能力运用对被投资方的权力影响其回报金额”的条件，因此未纳入合并 范围。</w:t>
      </w:r>
    </w:p>
    <w:p>
      <w:pPr>
        <w:pStyle w:val="Style29"/>
        <w:keepNext/>
        <w:keepLines/>
        <w:widowControl w:val="0"/>
        <w:shd w:val="clear" w:color="auto" w:fill="auto"/>
        <w:bidi w:val="0"/>
        <w:spacing w:before="0" w:after="180" w:line="355" w:lineRule="exact"/>
        <w:ind w:left="0" w:right="0" w:firstLine="440"/>
        <w:jc w:val="both"/>
        <w:rPr>
          <w:sz w:val="20"/>
          <w:szCs w:val="20"/>
        </w:rPr>
      </w:pPr>
      <w:bookmarkStart w:id="1678" w:name="bookmark1678"/>
      <w:bookmarkStart w:id="1679" w:name="bookmark1679"/>
      <w:bookmarkStart w:id="1680" w:name="bookmark1680"/>
      <w:r>
        <w:rPr>
          <w:color w:val="000000"/>
          <w:spacing w:val="0"/>
          <w:w w:val="100"/>
          <w:position w:val="0"/>
          <w:sz w:val="20"/>
          <w:szCs w:val="20"/>
        </w:rPr>
        <w:t>九、与金融工具相关的风险披露</w:t>
      </w:r>
      <w:bookmarkEnd w:id="1678"/>
      <w:bookmarkEnd w:id="1679"/>
      <w:bookmarkEnd w:id="1680"/>
    </w:p>
    <w:p>
      <w:pPr>
        <w:pStyle w:val="Style29"/>
        <w:keepNext/>
        <w:keepLines/>
        <w:widowControl w:val="0"/>
        <w:shd w:val="clear" w:color="auto" w:fill="auto"/>
        <w:bidi w:val="0"/>
        <w:spacing w:before="0" w:after="60" w:line="355" w:lineRule="exact"/>
        <w:ind w:left="0" w:right="0" w:firstLine="440"/>
        <w:jc w:val="both"/>
        <w:rPr>
          <w:sz w:val="20"/>
          <w:szCs w:val="20"/>
        </w:rPr>
      </w:pPr>
      <w:bookmarkStart w:id="1681" w:name="bookmark1681"/>
      <w:bookmarkStart w:id="1682" w:name="bookmark1682"/>
      <w:bookmarkStart w:id="1683" w:name="bookmark1683"/>
      <w:r>
        <w:rPr>
          <w:color w:val="000000"/>
          <w:spacing w:val="0"/>
          <w:w w:val="100"/>
          <w:position w:val="0"/>
          <w:sz w:val="20"/>
          <w:szCs w:val="20"/>
        </w:rPr>
        <w:t>（一）风险管理政策及组织架构</w:t>
      </w:r>
      <w:bookmarkEnd w:id="1681"/>
      <w:bookmarkEnd w:id="1682"/>
      <w:bookmarkEnd w:id="1683"/>
    </w:p>
    <w:p>
      <w:pPr>
        <w:pStyle w:val="Style37"/>
        <w:keepNext/>
        <w:keepLines/>
        <w:widowControl w:val="0"/>
        <w:shd w:val="clear" w:color="auto" w:fill="auto"/>
        <w:bidi w:val="0"/>
        <w:spacing w:before="0" w:after="0" w:line="355" w:lineRule="exact"/>
        <w:ind w:left="0" w:right="0" w:firstLine="440"/>
        <w:jc w:val="both"/>
      </w:pPr>
      <w:bookmarkStart w:id="1684" w:name="bookmark1684"/>
      <w:bookmarkStart w:id="1685" w:name="bookmark1685"/>
      <w:bookmarkStart w:id="1686" w:name="bookmark1686"/>
      <w:r>
        <w:rPr>
          <w:rFonts w:ascii="Calibri" w:eastAsia="Calibri" w:hAnsi="Calibri" w:cs="Calibri"/>
          <w:color w:val="000000"/>
          <w:spacing w:val="0"/>
          <w:w w:val="100"/>
          <w:position w:val="0"/>
          <w:sz w:val="20"/>
          <w:szCs w:val="20"/>
        </w:rPr>
        <w:t>1</w:t>
      </w:r>
      <w:r>
        <w:rPr>
          <w:color w:val="000000"/>
          <w:spacing w:val="0"/>
          <w:w w:val="100"/>
          <w:position w:val="0"/>
        </w:rPr>
        <w:t>.</w:t>
      </w:r>
      <w:r>
        <w:rPr>
          <w:color w:val="000000"/>
          <w:spacing w:val="0"/>
          <w:w w:val="100"/>
          <w:position w:val="0"/>
        </w:rPr>
        <w:t>风险管理政策</w:t>
      </w:r>
      <w:bookmarkEnd w:id="1684"/>
      <w:bookmarkEnd w:id="1685"/>
      <w:bookmarkEnd w:id="1686"/>
    </w:p>
    <w:p>
      <w:pPr>
        <w:pStyle w:val="Style16"/>
        <w:keepNext w:val="0"/>
        <w:keepLines w:val="0"/>
        <w:widowControl w:val="0"/>
        <w:shd w:val="clear" w:color="auto" w:fill="auto"/>
        <w:bidi w:val="0"/>
        <w:spacing w:before="0" w:after="0" w:line="403" w:lineRule="exact"/>
        <w:ind w:left="0" w:right="0" w:firstLine="440"/>
        <w:jc w:val="both"/>
      </w:pPr>
      <w:r>
        <w:rPr>
          <w:color w:val="000000"/>
          <w:spacing w:val="0"/>
          <w:w w:val="100"/>
          <w:position w:val="0"/>
        </w:rPr>
        <w:t xml:space="preserve">公司风险管理的目标是建立健全与公司发展战略相适应的全面风险管理体系，打造专业 的风险管理团队，树立合法合规、稳健经营的风险管理文化，确保公司承担的风险水平在风 </w:t>
      </w:r>
      <w:r>
        <w:rPr>
          <w:color w:val="000000"/>
          <w:spacing w:val="0"/>
          <w:w w:val="100"/>
          <w:position w:val="0"/>
        </w:rPr>
        <w:t>险偏好范围之内。</w:t>
      </w:r>
    </w:p>
    <w:p>
      <w:pPr>
        <w:pStyle w:val="Style16"/>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公司施行全面风险管理遵循以下基本原则：（</w:t>
      </w:r>
      <w:r>
        <w:rPr>
          <w:rFonts w:ascii="Times New Roman" w:eastAsia="Times New Roman" w:hAnsi="Times New Roman" w:cs="Times New Roman"/>
          <w:color w:val="000000"/>
          <w:spacing w:val="0"/>
          <w:w w:val="100"/>
          <w:position w:val="0"/>
        </w:rPr>
        <w:t>1</w:t>
      </w:r>
      <w:r>
        <w:rPr>
          <w:color w:val="000000"/>
          <w:spacing w:val="0"/>
          <w:w w:val="100"/>
          <w:position w:val="0"/>
        </w:rPr>
        <w:t>）全覆盖原则：公司全面风险管理覆盖各 部门、分支机构和所有子公司，建立公司集中统一的风险管理体系；（</w:t>
      </w:r>
      <w:r>
        <w:rPr>
          <w:rFonts w:ascii="Times New Roman" w:eastAsia="Times New Roman" w:hAnsi="Times New Roman" w:cs="Times New Roman"/>
          <w:color w:val="000000"/>
          <w:spacing w:val="0"/>
          <w:w w:val="100"/>
          <w:position w:val="0"/>
        </w:rPr>
        <w:t>2</w:t>
      </w:r>
      <w:r>
        <w:rPr>
          <w:color w:val="000000"/>
          <w:spacing w:val="0"/>
          <w:w w:val="100"/>
          <w:position w:val="0"/>
        </w:rPr>
        <w:t>）健全性原则：全面 风险管理应当做到事前、事中、事后管控相统一，覆盖公司所有业务、部门和人员，渗透到 决策、执行、监督、反馈等各个环节，确保不存在风险管理的空白或者漏洞；（</w:t>
      </w:r>
      <w:r>
        <w:rPr>
          <w:rFonts w:ascii="Times New Roman" w:eastAsia="Times New Roman" w:hAnsi="Times New Roman" w:cs="Times New Roman"/>
          <w:color w:val="000000"/>
          <w:spacing w:val="0"/>
          <w:w w:val="100"/>
          <w:position w:val="0"/>
        </w:rPr>
        <w:t>3</w:t>
      </w:r>
      <w:r>
        <w:rPr>
          <w:color w:val="000000"/>
          <w:spacing w:val="0"/>
          <w:w w:val="100"/>
          <w:position w:val="0"/>
        </w:rPr>
        <w:t>）指标化原 则：建立健全公司全面风险管理指标化体系，实行各类风险指标的分级管理、限额控制机制；</w:t>
      </w:r>
    </w:p>
    <w:p>
      <w:pPr>
        <w:pStyle w:val="Style16"/>
        <w:keepNext w:val="0"/>
        <w:keepLines w:val="0"/>
        <w:widowControl w:val="0"/>
        <w:shd w:val="clear" w:color="auto" w:fill="auto"/>
        <w:bidi w:val="0"/>
        <w:spacing w:before="0" w:after="220" w:line="410" w:lineRule="exact"/>
        <w:ind w:left="0" w:right="0" w:firstLine="0"/>
        <w:jc w:val="both"/>
      </w:pPr>
      <w:bookmarkStart w:id="1687" w:name="bookmark1687"/>
      <w:r>
        <w:rPr>
          <w:color w:val="000000"/>
          <w:spacing w:val="0"/>
          <w:w w:val="100"/>
          <w:position w:val="0"/>
        </w:rPr>
        <w:t>（</w:t>
      </w:r>
      <w:bookmarkEnd w:id="1687"/>
      <w:r>
        <w:rPr>
          <w:rFonts w:ascii="Times New Roman" w:eastAsia="Times New Roman" w:hAnsi="Times New Roman" w:cs="Times New Roman"/>
          <w:color w:val="000000"/>
          <w:spacing w:val="0"/>
          <w:w w:val="100"/>
          <w:position w:val="0"/>
        </w:rPr>
        <w:t>4</w:t>
      </w:r>
      <w:r>
        <w:rPr>
          <w:color w:val="000000"/>
          <w:spacing w:val="0"/>
          <w:w w:val="100"/>
          <w:position w:val="0"/>
        </w:rPr>
        <w:t>）独立性原则：公司保障首席风险官、风险管理职能部门和风险管理人员履职的独立性。</w:t>
      </w:r>
    </w:p>
    <w:p>
      <w:pPr>
        <w:pStyle w:val="Style37"/>
        <w:keepNext/>
        <w:keepLines/>
        <w:widowControl w:val="0"/>
        <w:shd w:val="clear" w:color="auto" w:fill="auto"/>
        <w:bidi w:val="0"/>
        <w:spacing w:before="0" w:after="0" w:line="398" w:lineRule="auto"/>
        <w:ind w:left="0" w:right="0" w:firstLine="440"/>
        <w:jc w:val="left"/>
      </w:pPr>
      <w:bookmarkStart w:id="1688" w:name="bookmark1688"/>
      <w:bookmarkStart w:id="1689" w:name="bookmark1689"/>
      <w:bookmarkStart w:id="1690" w:name="bookmark1690"/>
      <w:r>
        <w:rPr>
          <w:rFonts w:ascii="Calibri" w:eastAsia="Calibri" w:hAnsi="Calibri" w:cs="Calibri"/>
          <w:color w:val="000000"/>
          <w:spacing w:val="0"/>
          <w:w w:val="100"/>
          <w:position w:val="0"/>
          <w:sz w:val="20"/>
          <w:szCs w:val="20"/>
        </w:rPr>
        <w:t>2</w:t>
      </w:r>
      <w:r>
        <w:rPr>
          <w:color w:val="000000"/>
          <w:spacing w:val="0"/>
          <w:w w:val="100"/>
          <w:position w:val="0"/>
        </w:rPr>
        <w:t>.</w:t>
      </w:r>
      <w:r>
        <w:rPr>
          <w:color w:val="000000"/>
          <w:spacing w:val="0"/>
          <w:w w:val="100"/>
          <w:position w:val="0"/>
        </w:rPr>
        <w:t>风险管理组织架构</w:t>
      </w:r>
      <w:bookmarkEnd w:id="1688"/>
      <w:bookmarkEnd w:id="1689"/>
      <w:bookmarkEnd w:id="1690"/>
    </w:p>
    <w:p>
      <w:pPr>
        <w:pStyle w:val="Style16"/>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公司全面风险管理的组织架构分为五个层级：第一层级为董事会（下设有风险控制委员 会）和监事会；第二层级为经理层（下设有风险管理委员会）和首席风险官；第三层级为风 险管理部及各类专业风险管理部门；第四层级为各业务部门、分支机构和子公司；第五层级 为公司的全体员工。</w:t>
      </w:r>
    </w:p>
    <w:p>
      <w:pPr>
        <w:pStyle w:val="Style16"/>
        <w:keepNext w:val="0"/>
        <w:keepLines w:val="0"/>
        <w:widowControl w:val="0"/>
        <w:shd w:val="clear" w:color="auto" w:fill="auto"/>
        <w:bidi w:val="0"/>
        <w:spacing w:before="0" w:after="0" w:line="410" w:lineRule="exact"/>
        <w:ind w:left="0" w:right="0" w:firstLine="440"/>
        <w:jc w:val="both"/>
      </w:pPr>
      <w:r>
        <w:rPr>
          <w:color w:val="000000"/>
          <w:spacing w:val="0"/>
          <w:w w:val="100"/>
          <w:position w:val="0"/>
        </w:rPr>
        <w:t>董事会是全面风险管理工作的领导机构，对公司整体的风险管理体系建设和有效运行负 最终责任。董事会下设风险控制委员会。风险控制委员会的主要职责是推进风险文化建设； 审议公司的风险偏好、风险容忍度以及重大风险限额；审批公司风险控制指标半年度、年度 情况报告；审批公司风险管理体系评估报告；监督、检查公司风险管理制度执行和风险管理 履职情况；建立与首席风险官的直接沟通机制及董事会授权的其他职责。监事会承担全面风 险管理的监督责任，负责监督检查董事会和经理层在风险管理方面的履职尽责情况并督促整 改。</w:t>
      </w:r>
    </w:p>
    <w:p>
      <w:pPr>
        <w:pStyle w:val="Style16"/>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公司经理层具体负责公司的全面风险管理工作，并向公司董事会负责，主要职责包括审 批除风险管理基本制度之外的公司风险管理办法，并适时调整；审批公司风险限额指标体系 的分解及相关事宜；审批公司压力测试相关事宜；审议公司风险管理信息技术系统建设预案， 提交董事会审批；审批风险管理部门提交的风险管理报告及董事会授权的其他风险管理职责。 风险管理委员会由公司分管副总裁、首席风险官、办公室、财务管理总部、合规法律部、风 险管理部以及公司各业务部门主要负责人组成，分管副总裁任主任。在经理层授权范围内履 行全面风险管理相关职责。首席风险官为公司负责全面风险管理的高级管理人员，由董事会 聘任和解聘，向董事会及其风险控制委员会、经理层及风险管理委员会负责并报告工作。</w:t>
      </w:r>
    </w:p>
    <w:p>
      <w:pPr>
        <w:pStyle w:val="Style16"/>
        <w:keepNext w:val="0"/>
        <w:keepLines w:val="0"/>
        <w:widowControl w:val="0"/>
        <w:shd w:val="clear" w:color="auto" w:fill="auto"/>
        <w:bidi w:val="0"/>
        <w:spacing w:before="0" w:after="0" w:line="409" w:lineRule="exact"/>
        <w:ind w:left="0" w:right="0" w:firstLine="440"/>
        <w:jc w:val="both"/>
      </w:pPr>
      <w:r>
        <w:rPr>
          <w:color w:val="000000"/>
          <w:spacing w:val="0"/>
          <w:w w:val="100"/>
          <w:position w:val="0"/>
        </w:rPr>
        <w:t xml:space="preserve">风险管理部是公司风险管理的核心部门，履行公司全面风险管理职能；资金运营部负责 流动性风险管理；办公室负责声誉风险管理；合规法律部负责合规风险管理；信息技术总部 负责防范和控制公司各种信息系统引发的操作风险；运营管理总部负责防范和控制清算和结 算风险；人力资源总部负责监督各项人力资源管理制度的实施，防范和控制人力资源风险； 行政管理部负责控制和防范经营场所安全风险；财务管理总部负责财务安全风险管理；内核 </w:t>
      </w:r>
      <w:r>
        <w:rPr>
          <w:color w:val="000000"/>
          <w:spacing w:val="0"/>
          <w:w w:val="100"/>
          <w:position w:val="0"/>
        </w:rPr>
        <w:t>总部负责对公司投资银行业务进行内核审核；稽核监察部负责对公司全面风险管理的充分性 和有效性进行评估和审计。</w:t>
      </w:r>
    </w:p>
    <w:p>
      <w:pPr>
        <w:pStyle w:val="Style16"/>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公司各业务部门、分支机构和子公司负责人为风险管理的第一责任人，履行本部门风险 管理职能，并主动接受风险管理职能部门的组织、协调、指导和监督。各业务部门、分支机 构和子公司的合规风控专员具体组织落实本单位的风险管理事宜，对业务部门、分支机构和 子公司负责人负责，并接受风险管理部门的工作指导。</w:t>
      </w:r>
    </w:p>
    <w:p>
      <w:pPr>
        <w:pStyle w:val="Style16"/>
        <w:keepNext w:val="0"/>
        <w:keepLines w:val="0"/>
        <w:widowControl w:val="0"/>
        <w:shd w:val="clear" w:color="auto" w:fill="auto"/>
        <w:bidi w:val="0"/>
        <w:spacing w:before="0" w:after="0" w:line="408" w:lineRule="exact"/>
        <w:ind w:left="0" w:right="0" w:firstLine="440"/>
        <w:jc w:val="both"/>
      </w:pPr>
      <w:r>
        <w:rPr>
          <w:color w:val="000000"/>
          <w:spacing w:val="0"/>
          <w:w w:val="100"/>
          <w:position w:val="0"/>
        </w:rPr>
        <w:t>风险管理是公司所有员工的共同责任。公司各单位负责人应当在决策中全面考虑与业务 相关的各类风险，并承担风险管理的直接责任。公司员工必须恪守职业道德底线，必须从内 心敬畏法律与规章，保护公司和个人声誉不受损害。</w:t>
      </w:r>
    </w:p>
    <w:p>
      <w:pPr>
        <w:pStyle w:val="Style16"/>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公司在日常经营活动中涉及的风险主要包括信用风险、市场风险、流动性风险、操作风 险和合规风险等。本公司制定了相应的政策和程序来识别和分析这些风险，并设定适当的风 险指标、风险限额、风险政策及内部控制流程，通过风控系统实时监控管理上述各类风险。</w:t>
      </w:r>
    </w:p>
    <w:p>
      <w:pPr>
        <w:pStyle w:val="Style29"/>
        <w:keepNext/>
        <w:keepLines/>
        <w:widowControl w:val="0"/>
        <w:shd w:val="clear" w:color="auto" w:fill="auto"/>
        <w:bidi w:val="0"/>
        <w:spacing w:before="0" w:after="0" w:line="409" w:lineRule="exact"/>
        <w:ind w:left="0" w:right="0" w:firstLine="440"/>
        <w:jc w:val="both"/>
        <w:rPr>
          <w:sz w:val="20"/>
          <w:szCs w:val="20"/>
        </w:rPr>
      </w:pPr>
      <w:bookmarkStart w:id="1691" w:name="bookmark1691"/>
      <w:bookmarkStart w:id="1692" w:name="bookmark1692"/>
      <w:bookmarkStart w:id="1693" w:name="bookmark1693"/>
      <w:r>
        <w:rPr>
          <w:color w:val="000000"/>
          <w:spacing w:val="0"/>
          <w:w w:val="100"/>
          <w:position w:val="0"/>
          <w:sz w:val="20"/>
          <w:szCs w:val="20"/>
        </w:rPr>
        <w:t>（一）信用风险</w:t>
      </w:r>
      <w:bookmarkEnd w:id="1691"/>
      <w:bookmarkEnd w:id="1692"/>
      <w:bookmarkEnd w:id="1693"/>
    </w:p>
    <w:p>
      <w:pPr>
        <w:pStyle w:val="Style16"/>
        <w:keepNext w:val="0"/>
        <w:keepLines w:val="0"/>
        <w:widowControl w:val="0"/>
        <w:shd w:val="clear" w:color="auto" w:fill="auto"/>
        <w:bidi w:val="0"/>
        <w:spacing w:before="0" w:after="0" w:line="408" w:lineRule="exact"/>
        <w:ind w:left="0" w:right="0" w:firstLine="440"/>
        <w:jc w:val="both"/>
      </w:pPr>
      <w:r>
        <w:rPr>
          <w:color w:val="000000"/>
          <w:spacing w:val="0"/>
          <w:w w:val="100"/>
          <w:position w:val="0"/>
        </w:rPr>
        <w:t>信用风险一般是指因客户、交易对手未履行合约责任或信用资质恶化而带来损失的风险。 本公司的货币资金主要存放在国有商业银行或大型股份制商业银行，结算备付金存放在中国 证券登记结算有限责任公司，现金及现金等价物面临的信用风险相对较低。</w:t>
      </w:r>
    </w:p>
    <w:p>
      <w:pPr>
        <w:pStyle w:val="Style16"/>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本公司的信用风险主要来自四个方面：一是本公司代理客户买卖证券交易，若本公司没 有提前要求客户依法缴足交易保证金,在结算当日客户的资金不足以支付交易所需的情况下, 或客户资金由于其他原因出现缺口，本公司有责任代客户进行结算而造成信用损失的风险。 二是融资融券、股票质押式回购等证券融资类业务的信用风险，指客户未能履行合同约定而 带来损失的风险。三是信用类产品投资的违约风险，本公司投资的信用类产品的融资人或者 发行人出现违约、拒绝支付到期本息、资质恶化导致公司承受资产损失和收益变化的风险。 四是利率互换、股票收益互换、场外期权、远期交易等场外衍生品交易的对手方违约风险， 即交易对手方到期未能按照合同约定履行相应支付义务的风险。</w:t>
      </w:r>
    </w:p>
    <w:p>
      <w:pPr>
        <w:pStyle w:val="Style16"/>
        <w:keepNext w:val="0"/>
        <w:keepLines w:val="0"/>
        <w:widowControl w:val="0"/>
        <w:shd w:val="clear" w:color="auto" w:fill="auto"/>
        <w:bidi w:val="0"/>
        <w:spacing w:before="0" w:after="0" w:line="418" w:lineRule="exact"/>
        <w:ind w:left="0" w:right="0" w:firstLine="440"/>
        <w:jc w:val="both"/>
      </w:pPr>
      <w:r>
        <w:rPr>
          <w:color w:val="000000"/>
          <w:spacing w:val="0"/>
          <w:w w:val="100"/>
          <w:position w:val="0"/>
        </w:rPr>
        <w:t>对于经纪业务产生的信用风险，本公司代理客户进行的证券及期货交易均以全额保证金 结算，很大程度上控制了与本公司交易业务量相关的结算风险。</w:t>
      </w:r>
    </w:p>
    <w:p>
      <w:pPr>
        <w:pStyle w:val="Style16"/>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对于证券融资类业务信用风险，本公司对重点客户的维保比例及其主要持仓证券集中度、 市值规模进行监控，同时会对重点客户和质押股票的市场负面舆情进行监控，并对一批持仓 退市、暂停上市证券的客户提前预警，对于低于平仓线的客户，本公司在必要提示之后会采 取强制平仓、司法追索的方式，控制此类业务的信用风险。</w:t>
      </w:r>
    </w:p>
    <w:p>
      <w:pPr>
        <w:pStyle w:val="Style16"/>
        <w:keepNext w:val="0"/>
        <w:keepLines w:val="0"/>
        <w:widowControl w:val="0"/>
        <w:shd w:val="clear" w:color="auto" w:fill="auto"/>
        <w:bidi w:val="0"/>
        <w:spacing w:before="0" w:after="0" w:line="409" w:lineRule="exact"/>
        <w:ind w:left="0" w:right="0" w:firstLine="440"/>
        <w:jc w:val="both"/>
      </w:pPr>
      <w:r>
        <w:rPr>
          <w:color w:val="000000"/>
          <w:spacing w:val="0"/>
          <w:w w:val="100"/>
          <w:position w:val="0"/>
        </w:rPr>
        <w:t xml:space="preserve">对于信用类产品投资产生的信用风险，本公司建立了信用风险管理流程，通过对投资品 </w:t>
      </w:r>
      <w:r>
        <w:rPr>
          <w:color w:val="000000"/>
          <w:spacing w:val="0"/>
          <w:w w:val="100"/>
          <w:position w:val="0"/>
        </w:rPr>
        <w:t>种信用等级评估来控制证券发行人的信用风险,采用压力测试、敏感性分析等手段进行计量, 并通过分散化投资以分散信用风险。本公司债券投资的信用评级情况按《中国人民银行信用 评级管理指导意见》设定的标准统计及汇总，并建立了相应的信用评级系统，通过专业的模 型对债券评级进行划分。</w:t>
      </w:r>
    </w:p>
    <w:p>
      <w:pPr>
        <w:pStyle w:val="Style16"/>
        <w:keepNext w:val="0"/>
        <w:keepLines w:val="0"/>
        <w:widowControl w:val="0"/>
        <w:shd w:val="clear" w:color="auto" w:fill="auto"/>
        <w:bidi w:val="0"/>
        <w:spacing w:before="0" w:after="620" w:line="408" w:lineRule="exact"/>
        <w:ind w:left="0" w:right="0" w:firstLine="480"/>
        <w:jc w:val="both"/>
      </w:pPr>
      <w:r>
        <w:rPr>
          <w:color w:val="000000"/>
          <w:spacing w:val="0"/>
          <w:w w:val="100"/>
          <w:position w:val="0"/>
        </w:rPr>
        <w:t>对于衍生品交易的信用风险，场外衍生品交易的交易对手主要为金融机构或其他专业机 构，主要涉及交易对手未能按时付款、在投资发生亏损时未能及时补足保证金等风险。公司 对交易对手设定保证金比例和交易规模限制，通过每日盯市、追保、强制平仓等手段来控制 交易对手的信用风险敞口。</w:t>
      </w:r>
    </w:p>
    <w:p>
      <w:pPr>
        <w:pStyle w:val="Style37"/>
        <w:keepNext/>
        <w:keepLines/>
        <w:widowControl w:val="0"/>
        <w:shd w:val="clear" w:color="auto" w:fill="auto"/>
        <w:bidi w:val="0"/>
        <w:spacing w:before="0" w:after="0" w:line="396" w:lineRule="auto"/>
        <w:ind w:left="0" w:right="0" w:firstLine="340"/>
        <w:jc w:val="both"/>
      </w:pPr>
      <w:bookmarkStart w:id="1694" w:name="bookmark1694"/>
      <w:bookmarkStart w:id="1695" w:name="bookmark1695"/>
      <w:bookmarkStart w:id="1696" w:name="bookmark1696"/>
      <w:r>
        <w:rPr>
          <w:rFonts w:ascii="Calibri" w:eastAsia="Calibri" w:hAnsi="Calibri" w:cs="Calibri"/>
          <w:color w:val="000000"/>
          <w:spacing w:val="0"/>
          <w:w w:val="100"/>
          <w:position w:val="0"/>
          <w:sz w:val="20"/>
          <w:szCs w:val="20"/>
        </w:rPr>
        <w:t>1</w:t>
      </w:r>
      <w:r>
        <w:rPr>
          <w:color w:val="000000"/>
          <w:spacing w:val="0"/>
          <w:w w:val="100"/>
          <w:position w:val="0"/>
        </w:rPr>
        <w:t>.</w:t>
      </w:r>
      <w:r>
        <w:rPr>
          <w:color w:val="000000"/>
          <w:spacing w:val="0"/>
          <w:w w:val="100"/>
          <w:position w:val="0"/>
        </w:rPr>
        <w:t>担保物及其他信用增级措施</w:t>
      </w:r>
      <w:bookmarkEnd w:id="1694"/>
      <w:bookmarkEnd w:id="1695"/>
      <w:bookmarkEnd w:id="1696"/>
    </w:p>
    <w:p>
      <w:pPr>
        <w:pStyle w:val="Style16"/>
        <w:keepNext w:val="0"/>
        <w:keepLines w:val="0"/>
        <w:widowControl w:val="0"/>
        <w:shd w:val="clear" w:color="auto" w:fill="auto"/>
        <w:bidi w:val="0"/>
        <w:spacing w:before="0" w:after="220" w:line="408" w:lineRule="exact"/>
        <w:ind w:left="0" w:right="0" w:firstLine="480"/>
        <w:jc w:val="both"/>
      </w:pPr>
      <w:r>
        <w:rPr>
          <w:color w:val="000000"/>
          <w:spacing w:val="0"/>
          <w:w w:val="100"/>
          <w:position w:val="0"/>
        </w:rPr>
        <w:t>本公司采用一系列政策和信用增级措施来降低信用风险敞口至可接受水平。其中，最为 普遍的方法是提供抵押物或担保。本公司根据交易对手的信用风险评估决定所需的担保物金 额及类型。对于融出资金和买入返售协议下的担保物主要为股票、债券和基金等。本公司管 理层会定期检查担保物的市场价值，根据相关协议要求追加担保物，并在进行损失准备的充 足性审查时监视担保物的市场价值变化。</w:t>
      </w:r>
    </w:p>
    <w:p>
      <w:pPr>
        <w:pStyle w:val="Style16"/>
        <w:keepNext w:val="0"/>
        <w:keepLines w:val="0"/>
        <w:widowControl w:val="0"/>
        <w:shd w:val="clear" w:color="auto" w:fill="auto"/>
        <w:bidi w:val="0"/>
        <w:spacing w:before="0" w:after="180" w:line="240" w:lineRule="auto"/>
        <w:ind w:left="0" w:right="0" w:firstLine="480"/>
        <w:jc w:val="both"/>
      </w:pPr>
      <w:r>
        <w:rPr>
          <w:color w:val="000000"/>
          <w:spacing w:val="0"/>
          <w:w w:val="100"/>
          <w:position w:val="0"/>
        </w:rPr>
        <w:t>在不考虑担保物或其他信用增级措施的情况下，资产负债表日最大信用风险敞口是指金</w:t>
      </w:r>
    </w:p>
    <w:p>
      <w:pPr>
        <w:pStyle w:val="Style16"/>
        <w:keepNext w:val="0"/>
        <w:keepLines w:val="0"/>
        <w:widowControl w:val="0"/>
        <w:shd w:val="clear" w:color="auto" w:fill="auto"/>
        <w:bidi w:val="0"/>
        <w:spacing w:before="0" w:after="180" w:line="240" w:lineRule="auto"/>
        <w:ind w:left="0" w:right="0" w:firstLine="0"/>
        <w:jc w:val="both"/>
      </w:pPr>
      <w:r>
        <w:rPr>
          <w:color w:val="000000"/>
          <w:spacing w:val="0"/>
          <w:w w:val="100"/>
          <w:position w:val="0"/>
        </w:rPr>
        <w:t>融资产扣除减值准备后的账面价值。本公司最大信用风险敞口金额列示如下：</w:t>
      </w:r>
    </w:p>
    <w:tbl>
      <w:tblPr>
        <w:tblOverlap w:val="never"/>
        <w:jc w:val="center"/>
        <w:tblLayout w:type="fixed"/>
      </w:tblPr>
      <w:tblGrid>
        <w:gridCol w:w="4171"/>
        <w:gridCol w:w="4205"/>
      </w:tblGrid>
      <w:tr>
        <w:trPr>
          <w:trHeight w:val="44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50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货币资金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10,126,762,188.50</w:t>
            </w:r>
          </w:p>
        </w:tc>
      </w:tr>
      <w:tr>
        <w:trPr>
          <w:trHeight w:val="50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结算备付金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900" w:right="0" w:firstLine="0"/>
              <w:jc w:val="both"/>
              <w:rPr>
                <w:sz w:val="18"/>
                <w:szCs w:val="18"/>
              </w:rPr>
            </w:pPr>
            <w:r>
              <w:rPr>
                <w:rFonts w:ascii="Times New Roman" w:eastAsia="Times New Roman" w:hAnsi="Times New Roman" w:cs="Times New Roman"/>
                <w:color w:val="000000"/>
                <w:spacing w:val="0"/>
                <w:w w:val="100"/>
                <w:position w:val="0"/>
                <w:sz w:val="18"/>
                <w:szCs w:val="18"/>
              </w:rPr>
              <w:t>1,210,485,046.27</w:t>
            </w:r>
          </w:p>
        </w:tc>
      </w:tr>
      <w:tr>
        <w:trPr>
          <w:trHeight w:val="50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融出资金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900" w:right="0" w:firstLine="0"/>
              <w:jc w:val="both"/>
              <w:rPr>
                <w:sz w:val="18"/>
                <w:szCs w:val="18"/>
              </w:rPr>
            </w:pPr>
            <w:r>
              <w:rPr>
                <w:rFonts w:ascii="Times New Roman" w:eastAsia="Times New Roman" w:hAnsi="Times New Roman" w:cs="Times New Roman"/>
                <w:color w:val="000000"/>
                <w:spacing w:val="0"/>
                <w:w w:val="100"/>
                <w:position w:val="0"/>
                <w:sz w:val="18"/>
                <w:szCs w:val="18"/>
              </w:rPr>
              <w:t>5,142,775,852.89</w:t>
            </w:r>
          </w:p>
        </w:tc>
      </w:tr>
      <w:tr>
        <w:trPr>
          <w:trHeight w:val="50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交易性金融资产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900" w:right="0" w:firstLine="0"/>
              <w:jc w:val="both"/>
              <w:rPr>
                <w:sz w:val="18"/>
                <w:szCs w:val="18"/>
              </w:rPr>
            </w:pPr>
            <w:r>
              <w:rPr>
                <w:rFonts w:ascii="Times New Roman" w:eastAsia="Times New Roman" w:hAnsi="Times New Roman" w:cs="Times New Roman"/>
                <w:color w:val="000000"/>
                <w:spacing w:val="0"/>
                <w:w w:val="100"/>
                <w:position w:val="0"/>
                <w:sz w:val="18"/>
                <w:szCs w:val="18"/>
              </w:rPr>
              <w:t>4,311,815,118.03</w:t>
            </w:r>
          </w:p>
        </w:tc>
      </w:tr>
      <w:tr>
        <w:trPr>
          <w:trHeight w:val="50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衍生金融资产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9,440.00</w:t>
            </w:r>
          </w:p>
        </w:tc>
      </w:tr>
      <w:tr>
        <w:trPr>
          <w:trHeight w:val="50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268,793,631.61</w:t>
            </w:r>
          </w:p>
        </w:tc>
      </w:tr>
      <w:tr>
        <w:trPr>
          <w:trHeight w:val="50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存出保证金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900" w:right="0" w:firstLine="0"/>
              <w:jc w:val="both"/>
              <w:rPr>
                <w:sz w:val="18"/>
                <w:szCs w:val="18"/>
              </w:rPr>
            </w:pPr>
            <w:r>
              <w:rPr>
                <w:rFonts w:ascii="Times New Roman" w:eastAsia="Times New Roman" w:hAnsi="Times New Roman" w:cs="Times New Roman"/>
                <w:color w:val="000000"/>
                <w:spacing w:val="0"/>
                <w:w w:val="100"/>
                <w:position w:val="0"/>
                <w:sz w:val="18"/>
                <w:szCs w:val="18"/>
              </w:rPr>
              <w:t>1,404,970,638.22</w:t>
            </w:r>
          </w:p>
        </w:tc>
      </w:tr>
      <w:tr>
        <w:trPr>
          <w:trHeight w:val="50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应收利息</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12,001,760.12</w:t>
            </w:r>
          </w:p>
        </w:tc>
      </w:tr>
      <w:tr>
        <w:trPr>
          <w:trHeight w:val="50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49,999,039.95</w:t>
            </w:r>
          </w:p>
        </w:tc>
      </w:tr>
      <w:tr>
        <w:trPr>
          <w:trHeight w:val="50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买入返售金融资产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900" w:right="0" w:firstLine="0"/>
              <w:jc w:val="both"/>
              <w:rPr>
                <w:sz w:val="18"/>
                <w:szCs w:val="18"/>
              </w:rPr>
            </w:pPr>
            <w:r>
              <w:rPr>
                <w:rFonts w:ascii="Times New Roman" w:eastAsia="Times New Roman" w:hAnsi="Times New Roman" w:cs="Times New Roman"/>
                <w:color w:val="000000"/>
                <w:spacing w:val="0"/>
                <w:w w:val="100"/>
                <w:position w:val="0"/>
                <w:sz w:val="18"/>
                <w:szCs w:val="18"/>
              </w:rPr>
              <w:t>1,684,946,375.42</w:t>
            </w:r>
          </w:p>
        </w:tc>
      </w:tr>
      <w:tr>
        <w:trPr>
          <w:trHeight w:val="514"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其他债权投资</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884,288,400.00</w:t>
            </w:r>
          </w:p>
        </w:tc>
      </w:tr>
    </w:tbl>
    <w:p>
      <w:pPr>
        <w:widowControl w:val="0"/>
        <w:spacing w:line="1" w:lineRule="exact"/>
      </w:pPr>
      <w:r>
        <w:br w:type="page"/>
      </w:r>
    </w:p>
    <w:tbl>
      <w:tblPr>
        <w:tblOverlap w:val="never"/>
        <w:jc w:val="center"/>
        <w:tblLayout w:type="fixed"/>
      </w:tblPr>
      <w:tblGrid>
        <w:gridCol w:w="4171"/>
        <w:gridCol w:w="4205"/>
      </w:tblGrid>
      <w:tr>
        <w:trPr>
          <w:trHeight w:val="50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其他权益工具投资</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100,000,000.00</w:t>
            </w:r>
          </w:p>
        </w:tc>
      </w:tr>
      <w:tr>
        <w:trPr>
          <w:trHeight w:val="50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其他非流动金融资产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1,011,224.35</w:t>
            </w:r>
          </w:p>
        </w:tc>
      </w:tr>
      <w:tr>
        <w:trPr>
          <w:trHeight w:val="5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合计信用风险敞口</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25,197,858,715.36</w:t>
            </w:r>
          </w:p>
        </w:tc>
      </w:tr>
      <w:tr>
        <w:trPr>
          <w:trHeight w:val="518" w:hRule="exact"/>
        </w:trPr>
        <w:tc>
          <w:tcPr>
            <w:gridSpan w:val="2"/>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pPr>
            <w:bookmarkStart w:id="1697" w:name="bookmark1697"/>
            <w:r>
              <w:rPr>
                <w:b/>
                <w:bCs/>
                <w:color w:val="000000"/>
                <w:spacing w:val="0"/>
                <w:w w:val="100"/>
                <w:position w:val="0"/>
              </w:rPr>
              <w:t>（二）流动性风险</w:t>
            </w:r>
            <w:bookmarkEnd w:id="1697"/>
          </w:p>
        </w:tc>
      </w:tr>
    </w:tbl>
    <w:p>
      <w:pPr>
        <w:pStyle w:val="Style16"/>
        <w:keepNext w:val="0"/>
        <w:keepLines w:val="0"/>
        <w:widowControl w:val="0"/>
        <w:shd w:val="clear" w:color="auto" w:fill="auto"/>
        <w:bidi w:val="0"/>
        <w:spacing w:before="0" w:after="0" w:line="413" w:lineRule="exact"/>
        <w:ind w:left="0" w:right="0" w:firstLine="480"/>
        <w:jc w:val="both"/>
      </w:pPr>
      <w:r>
        <w:rPr>
          <w:color w:val="000000"/>
          <w:spacing w:val="0"/>
          <w:w w:val="100"/>
          <w:position w:val="0"/>
        </w:rPr>
        <w:t>流动性风险是指公司无法以合理成本及时获得充足资金，以偿付到期债务、履行其他支 付义务和满足正常业务开展的资金需求的风险。</w:t>
      </w:r>
    </w:p>
    <w:p>
      <w:pPr>
        <w:pStyle w:val="Style16"/>
        <w:keepNext w:val="0"/>
        <w:keepLines w:val="0"/>
        <w:widowControl w:val="0"/>
        <w:shd w:val="clear" w:color="auto" w:fill="auto"/>
        <w:bidi w:val="0"/>
        <w:spacing w:before="0" w:after="200" w:line="408" w:lineRule="exact"/>
        <w:ind w:left="0" w:right="0" w:firstLine="480"/>
        <w:jc w:val="both"/>
      </w:pPr>
      <w:r>
        <w:rPr>
          <w:color w:val="000000"/>
          <w:spacing w:val="0"/>
          <w:w w:val="100"/>
          <w:position w:val="0"/>
        </w:rPr>
        <w:t>由于公司自营业务规模及融资类业务规模较大，公司经营过程中易受宏观政策、市场变 化、经营状况、客户信用等因素影响，并可能因资产负债结构不匹配而引发流动性风险。公 司核心流动性风险指标均满足监管所设定的预警要求，各期限结构内流动性风险敞口始终保 持在合理的范围内，可保证在压力情景下持续稳健运营，整体流动性风险可控。公司建立了 流动性风险管理办法及配套制度，明确了流动性风险限额、融资渠道、流动性风险应急计划、 流动性风险报告机制等，有效控制和防范流动性风险。公司持续充足的资金储备降低了流动 性风险发生的可能，并保证了公司在复杂市场环境下的平稳运营能力。面对未来不确定的市 场环境，公司将继续积极开展资产负债管理，在保障安全性、流动性的基础上，提升资金使 用效率，保障公司稳健运营。另一方面，公司通过进行流动性应急演练，测试公司压力情况 下的融资渠道和优质流动资产变现能力，不断提升公司流动性风险应对能力。</w:t>
      </w:r>
    </w:p>
    <w:p>
      <w:pPr>
        <w:pStyle w:val="Style16"/>
        <w:keepNext w:val="0"/>
        <w:keepLines w:val="0"/>
        <w:widowControl w:val="0"/>
        <w:shd w:val="clear" w:color="auto" w:fill="auto"/>
        <w:bidi w:val="0"/>
        <w:spacing w:before="0" w:after="200" w:line="240" w:lineRule="auto"/>
        <w:ind w:left="0" w:right="0" w:firstLine="480"/>
        <w:jc w:val="left"/>
      </w:pPr>
      <w:r>
        <w:rPr>
          <w:color w:val="000000"/>
          <w:spacing w:val="0"/>
          <w:w w:val="100"/>
          <w:position w:val="0"/>
        </w:rPr>
        <w:t>本公司各项金融负债的合同现金流量按到期日列示如下:</w:t>
      </w:r>
    </w:p>
    <w:tbl>
      <w:tblPr>
        <w:tblOverlap w:val="never"/>
        <w:jc w:val="center"/>
        <w:tblLayout w:type="fixed"/>
      </w:tblPr>
      <w:tblGrid>
        <w:gridCol w:w="1747"/>
        <w:gridCol w:w="1205"/>
        <w:gridCol w:w="1200"/>
        <w:gridCol w:w="1205"/>
        <w:gridCol w:w="1200"/>
        <w:gridCol w:w="614"/>
        <w:gridCol w:w="1243"/>
      </w:tblGrid>
      <w:tr>
        <w:trPr>
          <w:trHeight w:val="442"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4"/>
                <w:szCs w:val="14"/>
              </w:rPr>
            </w:pPr>
            <w:r>
              <w:rPr>
                <w:color w:val="000000"/>
                <w:spacing w:val="0"/>
                <w:w w:val="100"/>
                <w:position w:val="0"/>
                <w:sz w:val="14"/>
                <w:szCs w:val="14"/>
              </w:rPr>
              <w:t>项目</w:t>
            </w:r>
          </w:p>
        </w:tc>
        <w:tc>
          <w:tcPr>
            <w:gridSpan w:val="6"/>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期末余额</w:t>
            </w:r>
          </w:p>
        </w:tc>
      </w:tr>
      <w:tr>
        <w:trPr>
          <w:trHeight w:val="418"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4"/>
                <w:szCs w:val="14"/>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4"/>
                <w:szCs w:val="14"/>
              </w:rPr>
              <w:t>个月以内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5"/>
                <w:szCs w:val="15"/>
              </w:rPr>
              <w:t>1-3</w:t>
            </w:r>
            <w:r>
              <w:rPr>
                <w:color w:val="000000"/>
                <w:spacing w:val="0"/>
                <w:w w:val="100"/>
                <w:position w:val="0"/>
                <w:sz w:val="14"/>
                <w:szCs w:val="14"/>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240" w:firstLine="0"/>
              <w:jc w:val="right"/>
              <w:rPr>
                <w:sz w:val="14"/>
                <w:szCs w:val="14"/>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4"/>
                <w:szCs w:val="14"/>
              </w:rPr>
              <w:t>个月</w:t>
            </w: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4"/>
                <w:szCs w:val="14"/>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4"/>
                <w:szCs w:val="14"/>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5"/>
                <w:szCs w:val="15"/>
              </w:rPr>
              <w:t>-5</w:t>
            </w:r>
            <w:r>
              <w:rPr>
                <w:color w:val="000000"/>
                <w:spacing w:val="0"/>
                <w:w w:val="100"/>
                <w:position w:val="0"/>
                <w:sz w:val="14"/>
                <w:szCs w:val="14"/>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5</w:t>
            </w:r>
            <w:r>
              <w:rPr>
                <w:color w:val="000000"/>
                <w:spacing w:val="0"/>
                <w:w w:val="100"/>
                <w:position w:val="0"/>
                <w:sz w:val="14"/>
                <w:szCs w:val="14"/>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440" w:firstLine="0"/>
              <w:jc w:val="right"/>
              <w:rPr>
                <w:sz w:val="14"/>
                <w:szCs w:val="14"/>
              </w:rPr>
            </w:pPr>
            <w:r>
              <w:rPr>
                <w:color w:val="000000"/>
                <w:spacing w:val="0"/>
                <w:w w:val="100"/>
                <w:position w:val="0"/>
                <w:sz w:val="14"/>
                <w:szCs w:val="14"/>
              </w:rPr>
              <w:t>合计</w:t>
            </w:r>
          </w:p>
        </w:tc>
      </w:tr>
      <w:tr>
        <w:trPr>
          <w:trHeight w:val="41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应付短期融资款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456,100,931.50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210,872,010.96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744,650,306.83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1,411,623,249.29</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拆入资金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1,158,228,888.90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1,208,586,666.67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2,366,815,555.57</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168,119,842.33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168,119,842.33</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209,728,797.53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17,440,053.04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227,168,850.57</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卖出回购金融资产款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2,610,564,731.49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2,610,564,731.49</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代理买卖证券款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9,403,805,298.87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9,403,805,298.87</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166,305,744.39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76,500,000.00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242,805,744.39</w:t>
            </w:r>
          </w:p>
        </w:tc>
      </w:tr>
      <w:tr>
        <w:trPr>
          <w:trHeight w:val="41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3,347,767,762.96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3,347,767,762.96</w:t>
            </w:r>
          </w:p>
        </w:tc>
      </w:tr>
      <w:tr>
        <w:trPr>
          <w:trHeight w:val="451"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4"/>
                <w:szCs w:val="14"/>
              </w:rPr>
            </w:pPr>
            <w:r>
              <w:rPr>
                <w:color w:val="000000"/>
                <w:spacing w:val="0"/>
                <w:w w:val="100"/>
                <w:position w:val="0"/>
                <w:sz w:val="14"/>
                <w:szCs w:val="14"/>
              </w:rPr>
              <w:t>金融负债合计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13,838,428,648.29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1,419,458,677.63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4,444,283,709.55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76,500,000.00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19,778,671,035.47</w:t>
            </w:r>
          </w:p>
        </w:tc>
      </w:tr>
    </w:tbl>
    <w:p>
      <w:pPr>
        <w:widowControl w:val="0"/>
        <w:spacing w:after="239" w:line="1" w:lineRule="exact"/>
      </w:pPr>
    </w:p>
    <w:p>
      <w:pPr>
        <w:pStyle w:val="Style29"/>
        <w:keepNext/>
        <w:keepLines/>
        <w:widowControl w:val="0"/>
        <w:shd w:val="clear" w:color="auto" w:fill="auto"/>
        <w:bidi w:val="0"/>
        <w:spacing w:before="0" w:after="200" w:line="240" w:lineRule="auto"/>
        <w:ind w:left="0" w:right="0" w:firstLine="600"/>
        <w:jc w:val="left"/>
        <w:rPr>
          <w:sz w:val="20"/>
          <w:szCs w:val="20"/>
        </w:rPr>
      </w:pPr>
      <w:bookmarkStart w:id="1698" w:name="bookmark1698"/>
      <w:bookmarkStart w:id="1699" w:name="bookmark1699"/>
      <w:bookmarkStart w:id="1700" w:name="bookmark1700"/>
      <w:bookmarkStart w:id="1701" w:name="bookmark1701"/>
      <w:r>
        <w:rPr>
          <w:color w:val="000000"/>
          <w:spacing w:val="0"/>
          <w:w w:val="100"/>
          <w:position w:val="0"/>
          <w:sz w:val="20"/>
          <w:szCs w:val="20"/>
        </w:rPr>
        <w:t>（</w:t>
      </w:r>
      <w:bookmarkEnd w:id="1700"/>
      <w:r>
        <w:rPr>
          <w:color w:val="000000"/>
          <w:spacing w:val="0"/>
          <w:w w:val="100"/>
          <w:position w:val="0"/>
          <w:sz w:val="20"/>
          <w:szCs w:val="20"/>
        </w:rPr>
        <w:t>三）市场风险</w:t>
      </w:r>
      <w:bookmarkEnd w:id="1698"/>
      <w:bookmarkEnd w:id="1699"/>
      <w:bookmarkEnd w:id="1701"/>
      <w:r>
        <w:br w:type="page"/>
      </w:r>
    </w:p>
    <w:p>
      <w:pPr>
        <w:pStyle w:val="Style16"/>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市场风险是由于市场的一般或特定变化对货币、利率和衍生金融工具交易敞口头寸造成 影响而产生。市场风险的类别主要包括汇率风险、利率风险和价格风险。其中，汇率风险由 非本国货币汇率波动引起，利率风险主要由固定收益投资收益率曲线结构、利率波动性和信 用利差等变动引起。价格风险是由于股票、股票组合、股指期货、各类商品价格或波动率的 变化而导致的。本公司主要涉及的市场风险是指在以自有资金进行各类投资时因证券市场价 格变动、利率变动或汇率变动而产生亏损的风险。本公司亦从事股票及债券承销业务，并 需要对部分新股发行及债券承销作出余额认购承诺。该等情况下，任何未完成承销的部分由 于市场环境变化造成的市场价低于承销价所产生的价格变动风险将由本公司承担。</w:t>
      </w:r>
    </w:p>
    <w:p>
      <w:pPr>
        <w:pStyle w:val="Style16"/>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本公司管理层确定了本公司所能承担的风险容忍度，该风险容忍度根据本公司风险偏好、 资本状况、风险承受能力、业务规模情况综合制定。本公司根据风险容忍度制定相关的投资 规模限额和风险限额并分解到各投资部门，通过投资交易控制、风险价值、敏感性分析、压 力测试、风险绩效评估以及盈亏、集中度、流动性的监控的综合使用来管理市场风险。</w:t>
      </w:r>
    </w:p>
    <w:p>
      <w:pPr>
        <w:pStyle w:val="Style16"/>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本公司由独立于业务部门的风险管理部门对本公司整体的市场风险进行全面的评估、监 测和管理，并将评估、监测结果向各业务部门、公司管理层进行汇报。在具体实施市场风险 管理的过程中，前台业务部门作为市场风险的直接承担者和一线管理人员，动态管理其持仓 部分所暴露出的市场风险，并在风险暴露较高时主动采取降低风险敞口或风险对冲等操作； 而风险管理部门的相关监控人员则会持续地直接与业务部门的团队沟通风险信息，讨论风险 状态和极端损失情景等。同时，通过定期风险报告及时向公司管理层汇报公司整体及各业务 部门的市场风险状况以及变化情况。</w:t>
      </w:r>
    </w:p>
    <w:p>
      <w:pPr>
        <w:pStyle w:val="Style16"/>
        <w:keepNext w:val="0"/>
        <w:keepLines w:val="0"/>
        <w:widowControl w:val="0"/>
        <w:shd w:val="clear" w:color="auto" w:fill="auto"/>
        <w:bidi w:val="0"/>
        <w:spacing w:before="0" w:after="0" w:line="410" w:lineRule="exact"/>
        <w:ind w:left="0" w:right="0" w:firstLine="440"/>
        <w:jc w:val="both"/>
      </w:pPr>
      <w:r>
        <w:rPr>
          <w:color w:val="000000"/>
          <w:spacing w:val="0"/>
          <w:w w:val="100"/>
          <w:position w:val="0"/>
        </w:rPr>
        <w:t>风险管理部门使用一系列量化方法来估计可能的市场风险损失，既包括在市场正常波动 状况下的可能损失，也包括市场极端变动状况下的可能损失。风险管理部门主要通过</w:t>
      </w:r>
      <w:r>
        <w:rPr>
          <w:rFonts w:ascii="Times New Roman" w:eastAsia="Times New Roman" w:hAnsi="Times New Roman" w:cs="Times New Roman"/>
          <w:color w:val="000000"/>
          <w:spacing w:val="0"/>
          <w:w w:val="100"/>
          <w:position w:val="0"/>
        </w:rPr>
        <w:t>VaR</w:t>
      </w:r>
      <w:r>
        <w:rPr>
          <w:color w:val="000000"/>
          <w:spacing w:val="0"/>
          <w:w w:val="100"/>
          <w:position w:val="0"/>
        </w:rPr>
        <w:t>和 敏感性分析的方式对正常波动情况下的短期可能损失进行衡量，同时，对于极端情况下的可 能损失，则采用压力测试的方法进行评估。</w:t>
      </w:r>
    </w:p>
    <w:p>
      <w:pPr>
        <w:pStyle w:val="Style37"/>
        <w:keepNext/>
        <w:keepLines/>
        <w:widowControl w:val="0"/>
        <w:shd w:val="clear" w:color="auto" w:fill="auto"/>
        <w:bidi w:val="0"/>
        <w:spacing w:before="0" w:after="0" w:line="410" w:lineRule="exact"/>
        <w:ind w:left="0" w:right="0" w:firstLine="220"/>
        <w:jc w:val="left"/>
      </w:pPr>
      <w:bookmarkStart w:id="1702" w:name="bookmark1702"/>
      <w:bookmarkStart w:id="1703" w:name="bookmark1703"/>
      <w:bookmarkStart w:id="1704" w:name="bookmark1704"/>
      <w:r>
        <w:rPr>
          <w:color w:val="000000"/>
          <w:spacing w:val="0"/>
          <w:w w:val="100"/>
          <w:position w:val="0"/>
        </w:rPr>
        <w:t>1.</w:t>
      </w:r>
      <w:r>
        <w:rPr>
          <w:color w:val="000000"/>
          <w:spacing w:val="0"/>
          <w:w w:val="100"/>
          <w:position w:val="0"/>
        </w:rPr>
        <w:t>汇率风险</w:t>
      </w:r>
      <w:bookmarkEnd w:id="1702"/>
      <w:bookmarkEnd w:id="1703"/>
      <w:bookmarkEnd w:id="1704"/>
    </w:p>
    <w:p>
      <w:pPr>
        <w:pStyle w:val="Style16"/>
        <w:keepNext w:val="0"/>
        <w:keepLines w:val="0"/>
        <w:widowControl w:val="0"/>
        <w:shd w:val="clear" w:color="auto" w:fill="auto"/>
        <w:bidi w:val="0"/>
        <w:spacing w:before="0" w:after="180" w:line="408" w:lineRule="exact"/>
        <w:ind w:left="0" w:right="0" w:firstLine="440"/>
        <w:jc w:val="both"/>
      </w:pPr>
      <w:r>
        <w:rPr>
          <w:color w:val="000000"/>
          <w:spacing w:val="0"/>
          <w:w w:val="100"/>
          <w:position w:val="0"/>
        </w:rPr>
        <w:t>汇率风险是指公司进行的外币业务因外汇汇率变动所产生的风险。公司除境外子公司持 有以港币或美元为记账本位币的资产及负债外，其他外币资产及负债主要为</w:t>
      </w:r>
      <w:r>
        <w:rPr>
          <w:rFonts w:ascii="Arial" w:eastAsia="Arial" w:hAnsi="Arial" w:cs="Arial"/>
          <w:color w:val="000000"/>
          <w:spacing w:val="0"/>
          <w:w w:val="100"/>
          <w:position w:val="0"/>
          <w:sz w:val="17"/>
          <w:szCs w:val="17"/>
        </w:rPr>
        <w:t>B</w:t>
      </w:r>
      <w:r>
        <w:rPr>
          <w:color w:val="000000"/>
          <w:spacing w:val="0"/>
          <w:w w:val="100"/>
          <w:position w:val="0"/>
        </w:rPr>
        <w:t>股业务交易手 续费等佣金费用。公司于</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月取得证券类外汇经营许可资格，故存在因汇率波动而 导致公司实现的外币利润在结汇时受到影响的风险敞口，但因子公司实际发生的</w:t>
      </w:r>
      <w:r>
        <w:rPr>
          <w:rFonts w:ascii="Arial" w:eastAsia="Arial" w:hAnsi="Arial" w:cs="Arial"/>
          <w:color w:val="000000"/>
          <w:spacing w:val="0"/>
          <w:w w:val="100"/>
          <w:position w:val="0"/>
          <w:sz w:val="17"/>
          <w:szCs w:val="17"/>
        </w:rPr>
        <w:t>B</w:t>
      </w:r>
      <w:r>
        <w:rPr>
          <w:color w:val="000000"/>
          <w:spacing w:val="0"/>
          <w:w w:val="100"/>
          <w:position w:val="0"/>
        </w:rPr>
        <w:t>股业务及 佣金收入占比较小，因此无重大外汇波动风险。资产负债表日公司的汇率风险敞口折算成人</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民币的金额列示如下:</w:t>
      </w:r>
    </w:p>
    <w:p>
      <w:pPr>
        <w:widowControl w:val="0"/>
        <w:spacing w:line="1" w:lineRule="exact"/>
      </w:pPr>
      <w:r>
        <mc:AlternateContent>
          <mc:Choice Requires="wps">
            <w:drawing>
              <wp:anchor distT="130175" distB="0" distL="0" distR="0" simplePos="0" relativeHeight="125829456" behindDoc="0" locked="0" layoutInCell="1" allowOverlap="1">
                <wp:simplePos x="0" y="0"/>
                <wp:positionH relativeFrom="page">
                  <wp:posOffset>1841500</wp:posOffset>
                </wp:positionH>
                <wp:positionV relativeFrom="paragraph">
                  <wp:posOffset>130175</wp:posOffset>
                </wp:positionV>
                <wp:extent cx="255905" cy="146050"/>
                <wp:wrapTopAndBottom/>
                <wp:docPr id="208" name="Shape 208"/>
                <a:graphic xmlns:a="http://schemas.openxmlformats.org/drawingml/2006/main">
                  <a:graphicData uri="http://schemas.microsoft.com/office/word/2010/wordprocessingShape">
                    <wps:wsp>
                      <wps:cNvSpPr txBox="1"/>
                      <wps:spPr>
                        <a:xfrm>
                          <a:ext cx="255905" cy="146050"/>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xbxContent>
                      </wps:txbx>
                      <wps:bodyPr wrap="none" lIns="0" tIns="0" rIns="0" bIns="0">
                        <a:noAutoFit/>
                      </wps:bodyPr>
                    </wps:wsp>
                  </a:graphicData>
                </a:graphic>
              </wp:anchor>
            </w:drawing>
          </mc:Choice>
          <mc:Fallback>
            <w:pict>
              <v:shape id="_x0000_s1234" type="#_x0000_t202" style="position:absolute;margin-left:145.pt;margin-top:10.25pt;width:20.150000000000002pt;height:11.5pt;z-index:-125829297;mso-wrap-distance-left:0;mso-wrap-distance-top:10.25pt;mso-wrap-distance-right:0;mso-position-horizontal-relative:page" filled="f" stroked="f">
                <v:textbox inset="0,0,0,0">
                  <w:txbxContent>
                    <w:p>
                      <w:pPr>
                        <w:pStyle w:val="Style100"/>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xbxContent>
                </v:textbox>
                <w10:wrap type="topAndBottom" anchorx="page"/>
              </v:shape>
            </w:pict>
          </mc:Fallback>
        </mc:AlternateContent>
      </w:r>
      <w:r>
        <mc:AlternateContent>
          <mc:Choice Requires="wps">
            <w:drawing>
              <wp:anchor distT="127000" distB="0" distL="0" distR="0" simplePos="0" relativeHeight="125829458" behindDoc="0" locked="0" layoutInCell="1" allowOverlap="1">
                <wp:simplePos x="0" y="0"/>
                <wp:positionH relativeFrom="page">
                  <wp:posOffset>3783330</wp:posOffset>
                </wp:positionH>
                <wp:positionV relativeFrom="paragraph">
                  <wp:posOffset>127000</wp:posOffset>
                </wp:positionV>
                <wp:extent cx="487680" cy="149225"/>
                <wp:wrapTopAndBottom/>
                <wp:docPr id="210" name="Shape 210"/>
                <a:graphic xmlns:a="http://schemas.openxmlformats.org/drawingml/2006/main">
                  <a:graphicData uri="http://schemas.microsoft.com/office/word/2010/wordprocessingShape">
                    <wps:wsp>
                      <wps:cNvSpPr txBox="1"/>
                      <wps:spPr>
                        <a:xfrm>
                          <a:ext cx="487680" cy="149225"/>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xbxContent>
                      </wps:txbx>
                      <wps:bodyPr wrap="none" lIns="0" tIns="0" rIns="0" bIns="0">
                        <a:noAutoFit/>
                      </wps:bodyPr>
                    </wps:wsp>
                  </a:graphicData>
                </a:graphic>
              </wp:anchor>
            </w:drawing>
          </mc:Choice>
          <mc:Fallback>
            <w:pict>
              <v:shape id="_x0000_s1236" type="#_x0000_t202" style="position:absolute;margin-left:297.90000000000003pt;margin-top:10.pt;width:38.399999999999999pt;height:11.75pt;z-index:-125829295;mso-wrap-distance-left:0;mso-wrap-distance-top:10.pt;mso-wrap-distance-right:0;mso-position-horizontal-relative:page" filled="f" stroked="f">
                <v:textbox inset="0,0,0,0">
                  <w:txbxContent>
                    <w:p>
                      <w:pPr>
                        <w:pStyle w:val="Style10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xbxContent>
                </v:textbox>
                <w10:wrap type="topAndBottom" anchorx="page"/>
              </v:shape>
            </w:pict>
          </mc:Fallback>
        </mc:AlternateContent>
      </w:r>
      <w:r>
        <mc:AlternateContent>
          <mc:Choice Requires="wps">
            <w:drawing>
              <wp:anchor distT="127000" distB="0" distL="0" distR="0" simplePos="0" relativeHeight="125829460" behindDoc="0" locked="0" layoutInCell="1" allowOverlap="1">
                <wp:simplePos x="0" y="0"/>
                <wp:positionH relativeFrom="page">
                  <wp:posOffset>5636260</wp:posOffset>
                </wp:positionH>
                <wp:positionV relativeFrom="paragraph">
                  <wp:posOffset>127000</wp:posOffset>
                </wp:positionV>
                <wp:extent cx="255905" cy="149225"/>
                <wp:wrapTopAndBottom/>
                <wp:docPr id="212" name="Shape 212"/>
                <a:graphic xmlns:a="http://schemas.openxmlformats.org/drawingml/2006/main">
                  <a:graphicData uri="http://schemas.microsoft.com/office/word/2010/wordprocessingShape">
                    <wps:wsp>
                      <wps:cNvSpPr txBox="1"/>
                      <wps:spPr>
                        <a:xfrm>
                          <a:ext cx="255905" cy="149225"/>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xbxContent>
                      </wps:txbx>
                      <wps:bodyPr wrap="none" lIns="0" tIns="0" rIns="0" bIns="0">
                        <a:noAutoFit/>
                      </wps:bodyPr>
                    </wps:wsp>
                  </a:graphicData>
                </a:graphic>
              </wp:anchor>
            </w:drawing>
          </mc:Choice>
          <mc:Fallback>
            <w:pict>
              <v:shape id="_x0000_s1238" type="#_x0000_t202" style="position:absolute;margin-left:443.80000000000001pt;margin-top:10.pt;width:20.150000000000002pt;height:11.75pt;z-index:-125829293;mso-wrap-distance-left:0;mso-wrap-distance-top:10.pt;mso-wrap-distance-right:0;mso-position-horizontal-relative:page" filled="f" stroked="f">
                <v:textbox inset="0,0,0,0">
                  <w:txbxContent>
                    <w:p>
                      <w:pPr>
                        <w:pStyle w:val="Style10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xbxContent>
                </v:textbox>
                <w10:wrap type="topAndBottom" anchorx="page"/>
              </v:shape>
            </w:pict>
          </mc:Fallback>
        </mc:AlternateContent>
      </w:r>
      <w:r>
        <w:br w:type="page"/>
      </w:r>
    </w:p>
    <w:tbl>
      <w:tblPr>
        <w:tblOverlap w:val="never"/>
        <w:jc w:val="center"/>
        <w:tblLayout w:type="fixed"/>
      </w:tblPr>
      <w:tblGrid>
        <w:gridCol w:w="2861"/>
        <w:gridCol w:w="1824"/>
        <w:gridCol w:w="1829"/>
        <w:gridCol w:w="1853"/>
      </w:tblGrid>
      <w:tr>
        <w:trPr>
          <w:trHeight w:val="422"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美元折合人民币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260" w:firstLine="0"/>
              <w:jc w:val="right"/>
              <w:rPr>
                <w:sz w:val="18"/>
                <w:szCs w:val="18"/>
              </w:rPr>
            </w:pPr>
            <w:r>
              <w:rPr>
                <w:color w:val="000000"/>
                <w:spacing w:val="0"/>
                <w:w w:val="100"/>
                <w:position w:val="0"/>
                <w:sz w:val="18"/>
                <w:szCs w:val="18"/>
              </w:rPr>
              <w:t>港币折合人民币</w:t>
            </w:r>
          </w:p>
        </w:tc>
        <w:tc>
          <w:tcPr>
            <w:tcBorders>
              <w:left w:val="single" w:sz="4"/>
            </w:tcBorders>
            <w:shd w:val="clear" w:color="auto" w:fill="FFFFFF"/>
            <w:vAlign w:val="top"/>
          </w:tcPr>
          <w:p>
            <w:pPr>
              <w:widowControl w:val="0"/>
              <w:rPr>
                <w:sz w:val="10"/>
                <w:szCs w:val="10"/>
              </w:rPr>
            </w:pPr>
          </w:p>
        </w:tc>
      </w:tr>
      <w:tr>
        <w:trPr>
          <w:trHeight w:val="41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23,695,719.60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28,539,707.75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52,235,427.35</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结算备付金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6,135,069.13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2,447,198.40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8,582,267.53</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存出保证金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1,761,723.00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2,182,523.00</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其他非流动金融资产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56,766,630.00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136,760,000.00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193,526,630.00</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36,178.55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23,280.11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59,458.66</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代理买卖证券款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18,255,440.19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7,308,054.43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25,563,494.62</w:t>
            </w:r>
          </w:p>
        </w:tc>
      </w:tr>
      <w:tr>
        <w:trPr>
          <w:trHeight w:val="44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其他应付款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10,731.83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56,345.12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67,076.95</w:t>
            </w:r>
          </w:p>
        </w:tc>
      </w:tr>
    </w:tbl>
    <w:p>
      <w:pPr>
        <w:widowControl w:val="0"/>
        <w:spacing w:after="99" w:line="1" w:lineRule="exact"/>
      </w:pPr>
    </w:p>
    <w:p>
      <w:pPr>
        <w:pStyle w:val="Style37"/>
        <w:keepNext/>
        <w:keepLines/>
        <w:widowControl w:val="0"/>
        <w:shd w:val="clear" w:color="auto" w:fill="auto"/>
        <w:bidi w:val="0"/>
        <w:spacing w:before="0" w:after="40" w:line="409" w:lineRule="exact"/>
        <w:ind w:left="0" w:right="0" w:firstLine="480"/>
        <w:jc w:val="left"/>
      </w:pPr>
      <w:bookmarkStart w:id="1705" w:name="bookmark1705"/>
      <w:bookmarkStart w:id="1706" w:name="bookmark1706"/>
      <w:bookmarkStart w:id="1707" w:name="bookmark1707"/>
      <w:r>
        <w:rPr>
          <w:color w:val="000000"/>
          <w:spacing w:val="0"/>
          <w:w w:val="100"/>
          <w:position w:val="0"/>
        </w:rPr>
        <w:t>2.</w:t>
      </w:r>
      <w:r>
        <w:rPr>
          <w:color w:val="000000"/>
          <w:spacing w:val="0"/>
          <w:w w:val="100"/>
          <w:position w:val="0"/>
        </w:rPr>
        <w:t>利率风险</w:t>
      </w:r>
      <w:bookmarkEnd w:id="1705"/>
      <w:bookmarkEnd w:id="1706"/>
      <w:bookmarkEnd w:id="1707"/>
    </w:p>
    <w:p>
      <w:pPr>
        <w:pStyle w:val="Style16"/>
        <w:keepNext w:val="0"/>
        <w:keepLines w:val="0"/>
        <w:widowControl w:val="0"/>
        <w:shd w:val="clear" w:color="auto" w:fill="auto"/>
        <w:bidi w:val="0"/>
        <w:spacing w:before="0" w:after="40" w:line="409" w:lineRule="exact"/>
        <w:ind w:left="0" w:right="0" w:firstLine="480"/>
        <w:jc w:val="left"/>
      </w:pPr>
      <w:r>
        <w:rPr>
          <w:color w:val="000000"/>
          <w:spacing w:val="0"/>
          <w:w w:val="100"/>
          <w:position w:val="0"/>
        </w:rPr>
        <w:t>利率风险，是指金融工具的公允价值或未来现金流量因市场利率变动而发生波动的风险。</w:t>
      </w:r>
    </w:p>
    <w:p>
      <w:pPr>
        <w:pStyle w:val="Style16"/>
        <w:keepNext w:val="0"/>
        <w:keepLines w:val="0"/>
        <w:widowControl w:val="0"/>
        <w:shd w:val="clear" w:color="auto" w:fill="auto"/>
        <w:bidi w:val="0"/>
        <w:spacing w:before="0" w:after="620" w:line="409" w:lineRule="exact"/>
        <w:ind w:left="0" w:right="0" w:firstLine="480"/>
        <w:jc w:val="left"/>
      </w:pPr>
      <w:r>
        <w:rPr>
          <w:color w:val="000000"/>
          <w:spacing w:val="0"/>
          <w:w w:val="100"/>
          <w:position w:val="0"/>
        </w:rPr>
        <w:t>公司投资的主要生息金融资产为活期存款、定期存款、结算备付金、融出资金、买入返 售金融资产、存出保证金及债券投资；生息负债主要为短期借款、应付短期融资款、拆入资 金、卖出回购金融资产、代理买卖证券款、应付债券等。公司定期监测市场利率的变化，并 根据债券市场的走势及判断，以及流动性管理的需要，灵活调整非权益类证券的配置和融入 资金规模。公司资产负债表日的利率风险敞口如下：</w:t>
      </w:r>
    </w:p>
    <w:tbl>
      <w:tblPr>
        <w:tblOverlap w:val="never"/>
        <w:jc w:val="center"/>
        <w:tblLayout w:type="fixed"/>
      </w:tblPr>
      <w:tblGrid>
        <w:gridCol w:w="1752"/>
        <w:gridCol w:w="1248"/>
        <w:gridCol w:w="1176"/>
        <w:gridCol w:w="1171"/>
        <w:gridCol w:w="1258"/>
        <w:gridCol w:w="518"/>
        <w:gridCol w:w="1282"/>
      </w:tblGrid>
      <w:tr>
        <w:trPr>
          <w:trHeight w:val="442"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4"/>
                <w:szCs w:val="14"/>
              </w:rPr>
            </w:pPr>
            <w:r>
              <w:rPr>
                <w:color w:val="000000"/>
                <w:spacing w:val="0"/>
                <w:w w:val="100"/>
                <w:position w:val="0"/>
                <w:sz w:val="14"/>
                <w:szCs w:val="14"/>
              </w:rPr>
              <w:t>项目</w:t>
            </w:r>
          </w:p>
        </w:tc>
        <w:tc>
          <w:tcPr>
            <w:gridSpan w:val="6"/>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期末金额</w:t>
            </w:r>
          </w:p>
        </w:tc>
      </w:tr>
      <w:tr>
        <w:trPr>
          <w:trHeight w:val="73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4"/>
                <w:szCs w:val="14"/>
              </w:rPr>
              <w:t>个月以内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5"/>
                <w:szCs w:val="15"/>
              </w:rPr>
              <w:t>1-3</w:t>
            </w:r>
            <w:r>
              <w:rPr>
                <w:color w:val="000000"/>
                <w:spacing w:val="0"/>
                <w:w w:val="100"/>
                <w:position w:val="0"/>
                <w:sz w:val="14"/>
                <w:szCs w:val="14"/>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220" w:firstLine="0"/>
              <w:jc w:val="right"/>
              <w:rPr>
                <w:sz w:val="14"/>
                <w:szCs w:val="14"/>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4"/>
                <w:szCs w:val="14"/>
              </w:rPr>
              <w:t>个月</w:t>
            </w: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4"/>
                <w:szCs w:val="14"/>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5"/>
                <w:szCs w:val="15"/>
              </w:rPr>
              <w:t>-5</w:t>
            </w:r>
            <w:r>
              <w:rPr>
                <w:color w:val="000000"/>
                <w:spacing w:val="0"/>
                <w:w w:val="100"/>
                <w:position w:val="0"/>
                <w:sz w:val="14"/>
                <w:szCs w:val="14"/>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5"/>
                <w:szCs w:val="15"/>
              </w:rPr>
              <w:t>5</w:t>
            </w:r>
            <w:r>
              <w:rPr>
                <w:color w:val="000000"/>
                <w:spacing w:val="0"/>
                <w:w w:val="100"/>
                <w:position w:val="0"/>
                <w:sz w:val="14"/>
                <w:szCs w:val="14"/>
              </w:rPr>
              <w:t>年以</w:t>
            </w:r>
          </w:p>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合计</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10,126,762,188.50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10,126,762,188.50</w:t>
            </w:r>
          </w:p>
        </w:tc>
      </w:tr>
      <w:tr>
        <w:trPr>
          <w:trHeight w:val="41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结算备付金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1,210,485,046.27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1,210,485,046.27</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融出资金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368,888,593.82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1,168,836,837.36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3,606,477,332.17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5,144,202,763.35</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4,203,679,900.03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108,135,218.00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4,311,815,118.03</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存出保证金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1,404,970,638.22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1,404,970,638.22</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买入返售金融资产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890,189,462.85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540,901,994.44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426,120,972.22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1,857,212,429.51</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884,288,400.00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884,288,400.00</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1,011,224.35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1,011,224.35</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4"/>
                <w:szCs w:val="14"/>
              </w:rPr>
            </w:pPr>
            <w:r>
              <w:rPr>
                <w:color w:val="000000"/>
                <w:spacing w:val="0"/>
                <w:w w:val="100"/>
                <w:position w:val="0"/>
                <w:sz w:val="14"/>
                <w:szCs w:val="14"/>
              </w:rPr>
              <w:t>金融资产合计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18,204,975,829.69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1,709,738,831.80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4,140,733,522.39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885,299,624.35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24,940,747,808.23</w:t>
            </w:r>
          </w:p>
        </w:tc>
      </w:tr>
      <w:tr>
        <w:trPr>
          <w:trHeight w:val="422"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金融负债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752"/>
        <w:gridCol w:w="1248"/>
        <w:gridCol w:w="1176"/>
        <w:gridCol w:w="1171"/>
        <w:gridCol w:w="1258"/>
        <w:gridCol w:w="518"/>
        <w:gridCol w:w="1282"/>
      </w:tblGrid>
      <w:tr>
        <w:trPr>
          <w:trHeight w:val="442"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4"/>
                <w:szCs w:val="14"/>
              </w:rPr>
            </w:pPr>
            <w:r>
              <w:rPr>
                <w:color w:val="000000"/>
                <w:spacing w:val="0"/>
                <w:w w:val="100"/>
                <w:position w:val="0"/>
                <w:sz w:val="14"/>
                <w:szCs w:val="14"/>
              </w:rPr>
              <w:t>项目</w:t>
            </w:r>
          </w:p>
        </w:tc>
        <w:tc>
          <w:tcPr>
            <w:gridSpan w:val="6"/>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期末金额</w:t>
            </w:r>
          </w:p>
        </w:tc>
      </w:tr>
      <w:tr>
        <w:trPr>
          <w:trHeight w:val="73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4"/>
                <w:szCs w:val="14"/>
              </w:rPr>
              <w:t>个月以内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5"/>
                <w:szCs w:val="15"/>
              </w:rPr>
              <w:t>1-3</w:t>
            </w:r>
            <w:r>
              <w:rPr>
                <w:color w:val="000000"/>
                <w:spacing w:val="0"/>
                <w:w w:val="100"/>
                <w:position w:val="0"/>
                <w:sz w:val="14"/>
                <w:szCs w:val="14"/>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220" w:firstLine="0"/>
              <w:jc w:val="right"/>
              <w:rPr>
                <w:sz w:val="14"/>
                <w:szCs w:val="14"/>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4"/>
                <w:szCs w:val="14"/>
              </w:rPr>
              <w:t>个月</w:t>
            </w: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4"/>
                <w:szCs w:val="14"/>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5"/>
                <w:szCs w:val="15"/>
              </w:rPr>
              <w:t>-5</w:t>
            </w:r>
            <w:r>
              <w:rPr>
                <w:color w:val="000000"/>
                <w:spacing w:val="0"/>
                <w:w w:val="100"/>
                <w:position w:val="0"/>
                <w:sz w:val="14"/>
                <w:szCs w:val="14"/>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5"/>
                <w:szCs w:val="15"/>
              </w:rPr>
              <w:t>5</w:t>
            </w:r>
            <w:r>
              <w:rPr>
                <w:color w:val="000000"/>
                <w:spacing w:val="0"/>
                <w:w w:val="100"/>
                <w:position w:val="0"/>
                <w:sz w:val="14"/>
                <w:szCs w:val="14"/>
              </w:rPr>
              <w:t>年以</w:t>
            </w:r>
          </w:p>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合计</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应付短期融资款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5"/>
                <w:szCs w:val="15"/>
              </w:rPr>
            </w:pPr>
            <w:r>
              <w:rPr>
                <w:rFonts w:ascii="Times New Roman" w:eastAsia="Times New Roman" w:hAnsi="Times New Roman" w:cs="Times New Roman"/>
                <w:color w:val="000000"/>
                <w:spacing w:val="0"/>
                <w:w w:val="100"/>
                <w:position w:val="0"/>
                <w:sz w:val="15"/>
                <w:szCs w:val="15"/>
              </w:rPr>
              <w:t>455,093,424.66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209,296,306.85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734,035,161.61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1,398,424,893.12</w:t>
            </w:r>
          </w:p>
        </w:tc>
      </w:tr>
      <w:tr>
        <w:trPr>
          <w:trHeight w:val="41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拆入资金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1,156,786,111.11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1,201,967,777.78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2,358,753,888.89</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卖出回购金融资产款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2,609,954,650.18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2,609,954,650.18</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代理买卖证券款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9,403,805,298.87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9,403,805,298.87</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66,337,808.21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66,337,808.21</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3,178,995,915.10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3,178,995,915.10</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4"/>
                <w:szCs w:val="14"/>
              </w:rPr>
            </w:pPr>
            <w:r>
              <w:rPr>
                <w:color w:val="000000"/>
                <w:spacing w:val="0"/>
                <w:w w:val="100"/>
                <w:position w:val="0"/>
                <w:sz w:val="14"/>
                <w:szCs w:val="14"/>
              </w:rPr>
              <w:t>金融负债合计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13,625,639,484.82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1,411,264,084.63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3,913,031,076.71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66,337,808.21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19,016,272,454.37</w:t>
            </w:r>
          </w:p>
        </w:tc>
      </w:tr>
      <w:tr>
        <w:trPr>
          <w:trHeight w:val="44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净敞口</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4,579,336,344.87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298,474,747.17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227,702,445.68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818,961,816.14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5,924,475,353.87</w:t>
            </w:r>
          </w:p>
        </w:tc>
      </w:tr>
    </w:tbl>
    <w:p>
      <w:pPr>
        <w:widowControl w:val="0"/>
        <w:spacing w:after="59" w:line="1" w:lineRule="exact"/>
      </w:pPr>
    </w:p>
    <w:p>
      <w:pPr>
        <w:pStyle w:val="Style37"/>
        <w:keepNext/>
        <w:keepLines/>
        <w:widowControl w:val="0"/>
        <w:numPr>
          <w:ilvl w:val="0"/>
          <w:numId w:val="111"/>
        </w:numPr>
        <w:shd w:val="clear" w:color="auto" w:fill="auto"/>
        <w:bidi w:val="0"/>
        <w:spacing w:before="0" w:after="60" w:line="468" w:lineRule="exact"/>
        <w:ind w:left="0" w:right="0" w:firstLine="480"/>
        <w:jc w:val="left"/>
      </w:pPr>
      <w:bookmarkStart w:id="1708" w:name="bookmark1708"/>
      <w:bookmarkStart w:id="1709" w:name="bookmark1709"/>
      <w:bookmarkStart w:id="1710" w:name="bookmark1710"/>
      <w:bookmarkStart w:id="1711" w:name="bookmark1711"/>
      <w:bookmarkEnd w:id="1710"/>
      <w:r>
        <w:rPr>
          <w:color w:val="000000"/>
          <w:spacing w:val="0"/>
          <w:w w:val="100"/>
          <w:position w:val="0"/>
        </w:rPr>
        <w:t>价格风险</w:t>
      </w:r>
      <w:bookmarkEnd w:id="1708"/>
      <w:bookmarkEnd w:id="1709"/>
      <w:bookmarkEnd w:id="1711"/>
    </w:p>
    <w:p>
      <w:pPr>
        <w:pStyle w:val="Style16"/>
        <w:keepNext w:val="0"/>
        <w:keepLines w:val="0"/>
        <w:widowControl w:val="0"/>
        <w:shd w:val="clear" w:color="auto" w:fill="auto"/>
        <w:bidi w:val="0"/>
        <w:spacing w:before="0" w:after="60" w:line="408" w:lineRule="exact"/>
        <w:ind w:left="0" w:right="0" w:firstLine="480"/>
        <w:jc w:val="both"/>
      </w:pPr>
      <w:r>
        <w:rPr>
          <w:color w:val="000000"/>
          <w:spacing w:val="0"/>
          <w:w w:val="100"/>
          <w:position w:val="0"/>
        </w:rPr>
        <w:t>价格风险是指本公司所持金融工具的公允价值或未来现金流量因除市场利率和外汇汇 率以外的市场价格因素变动而发生波动的风险。本公司主要投资于证券交易所上市或银行间 同业市场交易的股票和债券，所面临的其他价格风险来源于单个证券发行主体自身经营情况 或特殊事项的影响，也可能来源于证券市场整体波动的影响。</w:t>
      </w:r>
    </w:p>
    <w:p>
      <w:pPr>
        <w:pStyle w:val="Style16"/>
        <w:keepNext w:val="0"/>
        <w:keepLines w:val="0"/>
        <w:widowControl w:val="0"/>
        <w:shd w:val="clear" w:color="auto" w:fill="auto"/>
        <w:bidi w:val="0"/>
        <w:spacing w:before="0" w:after="140" w:line="468" w:lineRule="exact"/>
        <w:ind w:left="0" w:right="0" w:firstLine="480"/>
        <w:jc w:val="both"/>
      </w:pPr>
      <w:r>
        <w:rPr>
          <w:color w:val="000000"/>
          <w:spacing w:val="0"/>
          <w:w w:val="100"/>
          <w:position w:val="0"/>
        </w:rPr>
        <w:t>本公司的管理层在构建和管理投资组合的过程中，采用</w:t>
      </w:r>
      <w:r>
        <w:rPr>
          <w:rFonts w:ascii="Times New Roman" w:eastAsia="Times New Roman" w:hAnsi="Times New Roman" w:cs="Times New Roman"/>
          <w:color w:val="000000"/>
          <w:spacing w:val="0"/>
          <w:w w:val="100"/>
          <w:position w:val="0"/>
        </w:rPr>
        <w:t>“</w:t>
      </w:r>
      <w:r>
        <w:rPr>
          <w:color w:val="000000"/>
          <w:spacing w:val="0"/>
          <w:w w:val="100"/>
          <w:position w:val="0"/>
        </w:rPr>
        <w:t>自上而下''的策略，通过对宏观 经济情况及政策的分析，结合证券市场运行情况，做出资产配置及组合构建的决定；通过 对单个证券的定性分析及定量分析，选择适当的投资品种进行投资。本公司的管理层定期 结合宏观及微观环境的变化，对投资策略、资产配置、投资组合进行修正，来主动应对可 能发生的市场价格风险。资产负债表日公司的价格风险敞口如下：</w:t>
      </w:r>
    </w:p>
    <w:tbl>
      <w:tblPr>
        <w:tblOverlap w:val="never"/>
        <w:jc w:val="center"/>
        <w:tblLayout w:type="fixed"/>
      </w:tblPr>
      <w:tblGrid>
        <w:gridCol w:w="4766"/>
        <w:gridCol w:w="3542"/>
      </w:tblGrid>
      <w:tr>
        <w:trPr>
          <w:trHeight w:val="504"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48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5,606,262,095.72</w:t>
            </w:r>
          </w:p>
        </w:tc>
      </w:tr>
      <w:tr>
        <w:trPr>
          <w:trHeight w:val="48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其中：债券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4,203,679,900.03</w:t>
            </w:r>
          </w:p>
        </w:tc>
      </w:tr>
      <w:tr>
        <w:trPr>
          <w:trHeight w:val="48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股票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left"/>
              <w:rPr>
                <w:sz w:val="18"/>
                <w:szCs w:val="18"/>
              </w:rPr>
            </w:pPr>
            <w:r>
              <w:rPr>
                <w:rFonts w:ascii="Times New Roman" w:eastAsia="Times New Roman" w:hAnsi="Times New Roman" w:cs="Times New Roman"/>
                <w:color w:val="000000"/>
                <w:spacing w:val="0"/>
                <w:w w:val="100"/>
                <w:position w:val="0"/>
                <w:sz w:val="18"/>
                <w:szCs w:val="18"/>
              </w:rPr>
              <w:t>110,803,545.98</w:t>
            </w:r>
          </w:p>
        </w:tc>
      </w:tr>
      <w:tr>
        <w:trPr>
          <w:trHeight w:val="48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left"/>
              <w:rPr>
                <w:sz w:val="18"/>
                <w:szCs w:val="18"/>
              </w:rPr>
            </w:pPr>
            <w:r>
              <w:rPr>
                <w:rFonts w:ascii="Times New Roman" w:eastAsia="Times New Roman" w:hAnsi="Times New Roman" w:cs="Times New Roman"/>
                <w:color w:val="000000"/>
                <w:spacing w:val="0"/>
                <w:w w:val="100"/>
                <w:position w:val="0"/>
                <w:sz w:val="18"/>
                <w:szCs w:val="18"/>
              </w:rPr>
              <w:t>614,666,170.97</w:t>
            </w:r>
          </w:p>
        </w:tc>
      </w:tr>
      <w:tr>
        <w:trPr>
          <w:trHeight w:val="48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理财产品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90,610,505.79</w:t>
            </w:r>
          </w:p>
        </w:tc>
      </w:tr>
      <w:tr>
        <w:trPr>
          <w:trHeight w:val="48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资管计划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left"/>
              <w:rPr>
                <w:sz w:val="18"/>
                <w:szCs w:val="18"/>
              </w:rPr>
            </w:pPr>
            <w:r>
              <w:rPr>
                <w:rFonts w:ascii="Times New Roman" w:eastAsia="Times New Roman" w:hAnsi="Times New Roman" w:cs="Times New Roman"/>
                <w:color w:val="000000"/>
                <w:spacing w:val="0"/>
                <w:w w:val="100"/>
                <w:position w:val="0"/>
                <w:sz w:val="18"/>
                <w:szCs w:val="18"/>
              </w:rPr>
              <w:t>374,884,698.91</w:t>
            </w:r>
          </w:p>
        </w:tc>
      </w:tr>
      <w:tr>
        <w:trPr>
          <w:trHeight w:val="509"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信托计划</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left"/>
              <w:rPr>
                <w:sz w:val="18"/>
                <w:szCs w:val="18"/>
              </w:rPr>
            </w:pPr>
            <w:r>
              <w:rPr>
                <w:rFonts w:ascii="Times New Roman" w:eastAsia="Times New Roman" w:hAnsi="Times New Roman" w:cs="Times New Roman"/>
                <w:color w:val="000000"/>
                <w:spacing w:val="0"/>
                <w:w w:val="100"/>
                <w:position w:val="0"/>
                <w:sz w:val="18"/>
                <w:szCs w:val="18"/>
              </w:rPr>
              <w:t>208,212,274.04</w:t>
            </w:r>
          </w:p>
        </w:tc>
      </w:tr>
    </w:tbl>
    <w:p>
      <w:pPr>
        <w:widowControl w:val="0"/>
        <w:spacing w:line="1" w:lineRule="exact"/>
      </w:pPr>
      <w:r>
        <w:br w:type="page"/>
      </w:r>
    </w:p>
    <w:tbl>
      <w:tblPr>
        <w:tblOverlap w:val="never"/>
        <w:jc w:val="center"/>
        <w:tblLayout w:type="fixed"/>
      </w:tblPr>
      <w:tblGrid>
        <w:gridCol w:w="4766"/>
        <w:gridCol w:w="3542"/>
      </w:tblGrid>
      <w:tr>
        <w:trPr>
          <w:trHeight w:val="504"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48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left"/>
              <w:rPr>
                <w:sz w:val="18"/>
                <w:szCs w:val="18"/>
              </w:rPr>
            </w:pPr>
            <w:r>
              <w:rPr>
                <w:rFonts w:ascii="Times New Roman" w:eastAsia="Times New Roman" w:hAnsi="Times New Roman" w:cs="Times New Roman"/>
                <w:color w:val="000000"/>
                <w:spacing w:val="0"/>
                <w:w w:val="100"/>
                <w:position w:val="0"/>
                <w:sz w:val="18"/>
                <w:szCs w:val="18"/>
              </w:rPr>
              <w:t>3,405,000.00</w:t>
            </w:r>
          </w:p>
        </w:tc>
      </w:tr>
      <w:tr>
        <w:trPr>
          <w:trHeight w:val="48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其他债权投资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left"/>
              <w:rPr>
                <w:sz w:val="18"/>
                <w:szCs w:val="18"/>
              </w:rPr>
            </w:pPr>
            <w:r>
              <w:rPr>
                <w:rFonts w:ascii="Times New Roman" w:eastAsia="Times New Roman" w:hAnsi="Times New Roman" w:cs="Times New Roman"/>
                <w:color w:val="000000"/>
                <w:spacing w:val="0"/>
                <w:w w:val="100"/>
                <w:position w:val="0"/>
                <w:sz w:val="18"/>
                <w:szCs w:val="18"/>
              </w:rPr>
              <w:t>884,288,400.00</w:t>
            </w:r>
          </w:p>
        </w:tc>
      </w:tr>
      <w:tr>
        <w:trPr>
          <w:trHeight w:val="53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其他权益工具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left"/>
              <w:rPr>
                <w:sz w:val="18"/>
                <w:szCs w:val="18"/>
              </w:rPr>
            </w:pPr>
            <w:r>
              <w:rPr>
                <w:rFonts w:ascii="Times New Roman" w:eastAsia="Times New Roman" w:hAnsi="Times New Roman" w:cs="Times New Roman"/>
                <w:color w:val="000000"/>
                <w:spacing w:val="0"/>
                <w:w w:val="100"/>
                <w:position w:val="0"/>
                <w:sz w:val="18"/>
                <w:szCs w:val="18"/>
              </w:rPr>
              <w:t>100,000,000.00</w:t>
            </w:r>
          </w:p>
        </w:tc>
      </w:tr>
      <w:tr>
        <w:trPr>
          <w:trHeight w:val="48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其他非流动金融资产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left"/>
              <w:rPr>
                <w:sz w:val="18"/>
                <w:szCs w:val="18"/>
              </w:rPr>
            </w:pPr>
            <w:r>
              <w:rPr>
                <w:rFonts w:ascii="Times New Roman" w:eastAsia="Times New Roman" w:hAnsi="Times New Roman" w:cs="Times New Roman"/>
                <w:color w:val="000000"/>
                <w:spacing w:val="0"/>
                <w:w w:val="100"/>
                <w:position w:val="0"/>
                <w:sz w:val="18"/>
                <w:szCs w:val="18"/>
              </w:rPr>
              <w:t>247,627,854.35</w:t>
            </w:r>
          </w:p>
        </w:tc>
      </w:tr>
      <w:tr>
        <w:trPr>
          <w:trHeight w:val="48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left"/>
              <w:rPr>
                <w:sz w:val="18"/>
                <w:szCs w:val="18"/>
              </w:rPr>
            </w:pPr>
            <w:r>
              <w:rPr>
                <w:rFonts w:ascii="Times New Roman" w:eastAsia="Times New Roman" w:hAnsi="Times New Roman" w:cs="Times New Roman"/>
                <w:color w:val="000000"/>
                <w:spacing w:val="0"/>
                <w:w w:val="100"/>
                <w:position w:val="0"/>
                <w:sz w:val="18"/>
                <w:szCs w:val="18"/>
              </w:rPr>
              <w:t>246,616,630.00</w:t>
            </w:r>
          </w:p>
        </w:tc>
      </w:tr>
      <w:tr>
        <w:trPr>
          <w:trHeight w:val="514"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资管计划</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left"/>
              <w:rPr>
                <w:sz w:val="18"/>
                <w:szCs w:val="18"/>
              </w:rPr>
            </w:pPr>
            <w:r>
              <w:rPr>
                <w:rFonts w:ascii="Times New Roman" w:eastAsia="Times New Roman" w:hAnsi="Times New Roman" w:cs="Times New Roman"/>
                <w:color w:val="000000"/>
                <w:spacing w:val="0"/>
                <w:w w:val="100"/>
                <w:position w:val="0"/>
                <w:sz w:val="18"/>
                <w:szCs w:val="18"/>
              </w:rPr>
              <w:t>1,011,224.35</w:t>
            </w:r>
          </w:p>
        </w:tc>
      </w:tr>
    </w:tbl>
    <w:p>
      <w:pPr>
        <w:widowControl w:val="0"/>
        <w:spacing w:after="79" w:line="1" w:lineRule="exact"/>
      </w:pPr>
    </w:p>
    <w:p>
      <w:pPr>
        <w:pStyle w:val="Style29"/>
        <w:keepNext/>
        <w:keepLines/>
        <w:widowControl w:val="0"/>
        <w:shd w:val="clear" w:color="auto" w:fill="auto"/>
        <w:bidi w:val="0"/>
        <w:spacing w:before="0" w:after="0" w:line="451" w:lineRule="exact"/>
        <w:ind w:left="0" w:right="0" w:firstLine="480"/>
        <w:jc w:val="left"/>
      </w:pPr>
      <w:bookmarkStart w:id="1712" w:name="bookmark1712"/>
      <w:bookmarkStart w:id="1713" w:name="bookmark1713"/>
      <w:bookmarkStart w:id="1714" w:name="bookmark1714"/>
      <w:r>
        <w:rPr>
          <w:color w:val="000000"/>
          <w:spacing w:val="0"/>
          <w:w w:val="100"/>
          <w:position w:val="0"/>
          <w:sz w:val="24"/>
          <w:szCs w:val="24"/>
        </w:rPr>
        <w:t>十、公允价值</w:t>
      </w:r>
      <w:bookmarkEnd w:id="1712"/>
      <w:bookmarkEnd w:id="1713"/>
      <w:bookmarkEnd w:id="1714"/>
    </w:p>
    <w:p>
      <w:pPr>
        <w:pStyle w:val="Style29"/>
        <w:keepNext/>
        <w:keepLines/>
        <w:widowControl w:val="0"/>
        <w:shd w:val="clear" w:color="auto" w:fill="auto"/>
        <w:bidi w:val="0"/>
        <w:spacing w:before="0" w:after="0" w:line="451" w:lineRule="exact"/>
        <w:ind w:left="0" w:right="0" w:firstLine="480"/>
        <w:jc w:val="left"/>
        <w:rPr>
          <w:sz w:val="20"/>
          <w:szCs w:val="20"/>
        </w:rPr>
      </w:pPr>
      <w:bookmarkStart w:id="1715" w:name="bookmark1715"/>
      <w:bookmarkStart w:id="1716" w:name="bookmark1716"/>
      <w:bookmarkStart w:id="1717" w:name="bookmark1717"/>
      <w:r>
        <w:rPr>
          <w:b w:val="0"/>
          <w:bCs w:val="0"/>
          <w:color w:val="000000"/>
          <w:spacing w:val="0"/>
          <w:w w:val="100"/>
          <w:position w:val="0"/>
          <w:sz w:val="20"/>
          <w:szCs w:val="20"/>
        </w:rPr>
        <w:t>公允价值计量所使用的输入值划分为三个层次：</w:t>
      </w:r>
      <w:bookmarkEnd w:id="1715"/>
      <w:bookmarkEnd w:id="1716"/>
      <w:bookmarkEnd w:id="1717"/>
    </w:p>
    <w:p>
      <w:pPr>
        <w:pStyle w:val="Style29"/>
        <w:keepNext/>
        <w:keepLines/>
        <w:widowControl w:val="0"/>
        <w:shd w:val="clear" w:color="auto" w:fill="auto"/>
        <w:bidi w:val="0"/>
        <w:spacing w:before="0" w:after="0" w:line="451" w:lineRule="exact"/>
        <w:ind w:left="480" w:right="0" w:firstLine="0"/>
        <w:jc w:val="left"/>
        <w:rPr>
          <w:sz w:val="20"/>
          <w:szCs w:val="20"/>
        </w:rPr>
      </w:pPr>
      <w:bookmarkStart w:id="1715" w:name="bookmark1715"/>
      <w:bookmarkStart w:id="1716" w:name="bookmark1716"/>
      <w:bookmarkStart w:id="1718" w:name="bookmark1718"/>
      <w:bookmarkStart w:id="1719" w:name="bookmark1719"/>
      <w:r>
        <w:rPr>
          <w:b w:val="0"/>
          <w:bCs w:val="0"/>
          <w:color w:val="000000"/>
          <w:spacing w:val="0"/>
          <w:w w:val="100"/>
          <w:position w:val="0"/>
          <w:sz w:val="20"/>
          <w:szCs w:val="20"/>
        </w:rPr>
        <w:t>第一层次输入值是在计量日能够取得的相同资产或负债在活跃市场上未经调整的报价。 第二层次输入值是除第一层次输入值外相关资产或负债直接或间接可观察的输入值。 第三层次输入值是相关资产或负债的不可观察输入值。</w:t>
      </w:r>
      <w:bookmarkEnd w:id="1715"/>
      <w:bookmarkEnd w:id="1716"/>
      <w:bookmarkEnd w:id="1718"/>
      <w:bookmarkEnd w:id="1719"/>
    </w:p>
    <w:p>
      <w:pPr>
        <w:pStyle w:val="Style29"/>
        <w:keepNext/>
        <w:keepLines/>
        <w:widowControl w:val="0"/>
        <w:shd w:val="clear" w:color="auto" w:fill="auto"/>
        <w:bidi w:val="0"/>
        <w:spacing w:before="0" w:after="0" w:line="403" w:lineRule="exact"/>
        <w:ind w:left="0" w:right="0" w:firstLine="480"/>
        <w:jc w:val="left"/>
        <w:rPr>
          <w:sz w:val="20"/>
          <w:szCs w:val="20"/>
        </w:rPr>
      </w:pPr>
      <w:bookmarkStart w:id="1715" w:name="bookmark1715"/>
      <w:bookmarkStart w:id="1716" w:name="bookmark1716"/>
      <w:bookmarkStart w:id="1720" w:name="bookmark1720"/>
      <w:bookmarkStart w:id="1721" w:name="bookmark1721"/>
      <w:r>
        <w:rPr>
          <w:b w:val="0"/>
          <w:bCs w:val="0"/>
          <w:color w:val="000000"/>
          <w:spacing w:val="0"/>
          <w:w w:val="100"/>
          <w:position w:val="0"/>
          <w:sz w:val="20"/>
          <w:szCs w:val="20"/>
        </w:rPr>
        <w:t>公允价值计量结果所属的层次，由对公允价值计量整体而言具有重要意义的输入值所属 的最低层次决定。</w:t>
      </w:r>
      <w:bookmarkEnd w:id="1715"/>
      <w:bookmarkEnd w:id="1716"/>
      <w:bookmarkEnd w:id="1720"/>
      <w:bookmarkEnd w:id="1721"/>
    </w:p>
    <w:p>
      <w:pPr>
        <w:pStyle w:val="Style37"/>
        <w:keepNext/>
        <w:keepLines/>
        <w:widowControl w:val="0"/>
        <w:shd w:val="clear" w:color="auto" w:fill="auto"/>
        <w:bidi w:val="0"/>
        <w:spacing w:before="0" w:after="280" w:line="451" w:lineRule="exact"/>
        <w:ind w:left="0" w:right="0" w:firstLine="480"/>
        <w:jc w:val="left"/>
      </w:pPr>
      <w:bookmarkStart w:id="1722" w:name="bookmark1722"/>
      <w:bookmarkStart w:id="1723" w:name="bookmark1723"/>
      <w:bookmarkStart w:id="1724" w:name="bookmark1724"/>
      <w:r>
        <w:rPr>
          <w:color w:val="000000"/>
          <w:spacing w:val="0"/>
          <w:w w:val="100"/>
          <w:position w:val="0"/>
        </w:rPr>
        <w:t>（一）以公允价值计量的金融工具</w:t>
      </w:r>
      <w:bookmarkEnd w:id="1722"/>
      <w:bookmarkEnd w:id="1723"/>
      <w:bookmarkEnd w:id="1724"/>
    </w:p>
    <w:p>
      <w:pPr>
        <w:pStyle w:val="Style40"/>
        <w:keepNext w:val="0"/>
        <w:keepLines w:val="0"/>
        <w:widowControl w:val="0"/>
        <w:shd w:val="clear" w:color="auto" w:fill="auto"/>
        <w:bidi w:val="0"/>
        <w:spacing w:before="0" w:after="0" w:line="240" w:lineRule="auto"/>
        <w:ind w:left="4906" w:right="0" w:firstLine="0"/>
        <w:jc w:val="left"/>
        <w:rPr>
          <w:sz w:val="18"/>
          <w:szCs w:val="18"/>
        </w:rPr>
      </w:pPr>
      <w:r>
        <w:rPr>
          <w:color w:val="000000"/>
          <w:spacing w:val="0"/>
          <w:w w:val="100"/>
          <w:position w:val="0"/>
          <w:sz w:val="18"/>
          <w:szCs w:val="18"/>
        </w:rPr>
        <w:t>期末公允价值</w:t>
      </w:r>
    </w:p>
    <w:tbl>
      <w:tblPr>
        <w:tblOverlap w:val="never"/>
        <w:jc w:val="center"/>
        <w:tblLayout w:type="fixed"/>
      </w:tblPr>
      <w:tblGrid>
        <w:gridCol w:w="2597"/>
        <w:gridCol w:w="1430"/>
        <w:gridCol w:w="1421"/>
        <w:gridCol w:w="1272"/>
        <w:gridCol w:w="1642"/>
      </w:tblGrid>
      <w:tr>
        <w:trPr>
          <w:trHeight w:val="422" w:hRule="exact"/>
        </w:trPr>
        <w:tc>
          <w:tcPr>
            <w:vMerge w:val="restart"/>
            <w:tcBorders/>
            <w:shd w:val="clear" w:color="auto" w:fill="FFFFFF"/>
            <w:vAlign w:val="top"/>
          </w:tcPr>
          <w:p>
            <w:pPr>
              <w:pStyle w:val="Style2"/>
              <w:keepNext w:val="0"/>
              <w:keepLines w:val="0"/>
              <w:widowControl w:val="0"/>
              <w:shd w:val="clear" w:color="auto" w:fill="auto"/>
              <w:bidi w:val="0"/>
              <w:spacing w:before="120" w:after="0" w:line="240" w:lineRule="auto"/>
              <w:ind w:left="11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第一层次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第二层次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第三层次</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合计</w:t>
            </w:r>
          </w:p>
        </w:tc>
      </w:tr>
      <w:tr>
        <w:trPr>
          <w:trHeight w:val="418" w:hRule="exact"/>
        </w:trPr>
        <w:tc>
          <w:tcPr>
            <w:vMerge/>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公允价值计量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公允价值计量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公允价值计量</w:t>
            </w:r>
          </w:p>
        </w:tc>
        <w:tc>
          <w:tcPr>
            <w:vMerge/>
            <w:tcBorders>
              <w:left w:val="single" w:sz="4"/>
            </w:tcBorders>
            <w:shd w:val="clear" w:color="auto" w:fill="FFFFFF"/>
            <w:vAlign w:val="center"/>
          </w:tcPr>
          <w:p>
            <w:pPr/>
          </w:p>
        </w:tc>
      </w:tr>
      <w:tr>
        <w:trPr>
          <w:trHeight w:val="41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持续的公允价值计量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720,790,192.89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4,543,305,612.10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342,166,290.73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5,606,262,095.72</w:t>
            </w:r>
          </w:p>
        </w:tc>
      </w:tr>
      <w:tr>
        <w:trPr>
          <w:trHeight w:val="73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color w:val="000000"/>
                <w:spacing w:val="0"/>
                <w:w w:val="100"/>
                <w:position w:val="0"/>
                <w:sz w:val="18"/>
                <w:szCs w:val="18"/>
              </w:rPr>
              <w:t>以公允价值计量且其变动计入 当期损益的金融资产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720,790,192.89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4,543,305,612.10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342,166,290.73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5,606,262,095.72</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4,058,313,795.19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145,366,104.84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4,203,679,900.03</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108,095,921.92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2,707,624.06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110,803,545.98</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612,694,270.97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1,971,900.00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614,666,170.97</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）理财产品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90,610,505.79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90,610,505.79</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）资管计划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374,884,698.91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374,884,698.91</w:t>
            </w:r>
          </w:p>
        </w:tc>
      </w:tr>
      <w:tr>
        <w:trPr>
          <w:trHeight w:val="41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）信托计划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108,135,218.00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100,077,056.04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208,212,274.04</w:t>
            </w:r>
          </w:p>
        </w:tc>
      </w:tr>
      <w:tr>
        <w:trPr>
          <w:trHeight w:val="427"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3,405,000.00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3,405,000.00</w:t>
            </w:r>
          </w:p>
        </w:tc>
      </w:tr>
    </w:tbl>
    <w:p>
      <w:pPr>
        <w:widowControl w:val="0"/>
        <w:spacing w:line="1" w:lineRule="exact"/>
      </w:pPr>
      <w:r>
        <w:br w:type="page"/>
      </w:r>
    </w:p>
    <w:tbl>
      <w:tblPr>
        <w:tblOverlap w:val="never"/>
        <w:jc w:val="center"/>
        <w:tblLayout w:type="fixed"/>
      </w:tblPr>
      <w:tblGrid>
        <w:gridCol w:w="2597"/>
        <w:gridCol w:w="1430"/>
        <w:gridCol w:w="1421"/>
        <w:gridCol w:w="1272"/>
        <w:gridCol w:w="1642"/>
      </w:tblGrid>
      <w:tr>
        <w:trPr>
          <w:trHeight w:val="442"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期末公允价值</w:t>
            </w:r>
          </w:p>
        </w:tc>
      </w:tr>
      <w:tr>
        <w:trPr>
          <w:trHeight w:val="418"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第一层次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第二层次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第三层次</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合计</w:t>
            </w:r>
          </w:p>
        </w:tc>
      </w:tr>
      <w:tr>
        <w:trPr>
          <w:trHeight w:val="418"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公允价值计量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公允价值计量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公允价值计量</w:t>
            </w:r>
          </w:p>
        </w:tc>
        <w:tc>
          <w:tcPr>
            <w:vMerge/>
            <w:tcBorders>
              <w:left w:val="single" w:sz="4"/>
            </w:tcBorders>
            <w:shd w:val="clear" w:color="auto" w:fill="FFFFFF"/>
            <w:vAlign w:val="center"/>
          </w:tcPr>
          <w:p>
            <w:pPr/>
          </w:p>
        </w:tc>
      </w:tr>
      <w:tr>
        <w:trPr>
          <w:trHeight w:val="72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、指定以公允价值计量且其变动 计入当期损益的金融资产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9,440.00</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884,288,400.00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884,288,400.00</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100,000,000.00</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1,011,224.35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246,616,630.00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247,627,854.35</w:t>
            </w:r>
          </w:p>
        </w:tc>
      </w:tr>
      <w:tr>
        <w:trPr>
          <w:trHeight w:val="73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b/>
                <w:bCs/>
                <w:color w:val="000000"/>
                <w:spacing w:val="0"/>
                <w:w w:val="100"/>
                <w:position w:val="0"/>
                <w:sz w:val="18"/>
                <w:szCs w:val="18"/>
              </w:rPr>
              <w:t>持续以公允价值计量的资产总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720,790,192.89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5,428,614,676.45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688,782,920.73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6,838,187,790.07</w:t>
            </w:r>
          </w:p>
        </w:tc>
      </w:tr>
      <w:tr>
        <w:trPr>
          <w:trHeight w:val="41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168,119,842.33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168,119,842.33</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其中：发行的交易性债券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168,119,842.33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168,119,842.33</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3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（二）指定为以公允价值计量且 变动计入当期损益的金融负债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58"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b/>
                <w:bCs/>
                <w:color w:val="000000"/>
                <w:spacing w:val="0"/>
                <w:w w:val="100"/>
                <w:position w:val="0"/>
                <w:sz w:val="18"/>
                <w:szCs w:val="18"/>
              </w:rPr>
              <w:t>持续以公允价值计量的负债总 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168,119,842.33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168,119,842.33</w:t>
            </w:r>
          </w:p>
        </w:tc>
      </w:tr>
    </w:tbl>
    <w:p>
      <w:pPr>
        <w:widowControl w:val="0"/>
        <w:spacing w:after="99" w:line="1" w:lineRule="exact"/>
      </w:pPr>
    </w:p>
    <w:p>
      <w:pPr>
        <w:pStyle w:val="Style37"/>
        <w:keepNext/>
        <w:keepLines/>
        <w:widowControl w:val="0"/>
        <w:shd w:val="clear" w:color="auto" w:fill="auto"/>
        <w:bidi w:val="0"/>
        <w:spacing w:before="0" w:after="0" w:line="408" w:lineRule="exact"/>
        <w:ind w:left="0" w:right="0" w:firstLine="480"/>
        <w:jc w:val="both"/>
      </w:pPr>
      <w:bookmarkStart w:id="1725" w:name="bookmark1725"/>
      <w:bookmarkStart w:id="1726" w:name="bookmark1726"/>
      <w:bookmarkStart w:id="1727" w:name="bookmark1727"/>
      <w:r>
        <w:rPr>
          <w:color w:val="000000"/>
          <w:spacing w:val="0"/>
          <w:w w:val="100"/>
          <w:position w:val="0"/>
        </w:rPr>
        <w:t>（二）持续和非持续第一层次公允价值计量项目市价的确定依据</w:t>
      </w:r>
      <w:bookmarkEnd w:id="1725"/>
      <w:bookmarkEnd w:id="1726"/>
      <w:bookmarkEnd w:id="1727"/>
    </w:p>
    <w:p>
      <w:pPr>
        <w:pStyle w:val="Style16"/>
        <w:keepNext w:val="0"/>
        <w:keepLines w:val="0"/>
        <w:widowControl w:val="0"/>
        <w:shd w:val="clear" w:color="auto" w:fill="auto"/>
        <w:bidi w:val="0"/>
        <w:spacing w:before="0" w:after="340" w:line="408" w:lineRule="exact"/>
        <w:ind w:left="0" w:right="0" w:firstLine="480"/>
        <w:jc w:val="both"/>
      </w:pPr>
      <w:r>
        <w:rPr>
          <w:color w:val="000000"/>
          <w:spacing w:val="0"/>
          <w:w w:val="100"/>
          <w:position w:val="0"/>
        </w:rPr>
        <w:t>对于存在活跃市场的交易性金融资产、衍生金融工具，其公允价值按资产负债表日的 市场价格确定。</w:t>
      </w:r>
    </w:p>
    <w:p>
      <w:pPr>
        <w:pStyle w:val="Style37"/>
        <w:keepNext/>
        <w:keepLines/>
        <w:widowControl w:val="0"/>
        <w:shd w:val="clear" w:color="auto" w:fill="auto"/>
        <w:tabs>
          <w:tab w:pos="1136" w:val="left"/>
        </w:tabs>
        <w:bidi w:val="0"/>
        <w:spacing w:before="0" w:after="0" w:line="413" w:lineRule="exact"/>
        <w:ind w:left="0" w:right="0" w:firstLine="480"/>
        <w:jc w:val="both"/>
      </w:pPr>
      <w:bookmarkStart w:id="1728" w:name="bookmark1728"/>
      <w:bookmarkStart w:id="1729" w:name="bookmark1729"/>
      <w:bookmarkStart w:id="1730" w:name="bookmark1730"/>
      <w:bookmarkStart w:id="1731" w:name="bookmark1731"/>
      <w:r>
        <w:rPr>
          <w:color w:val="000000"/>
          <w:spacing w:val="0"/>
          <w:w w:val="100"/>
          <w:position w:val="0"/>
        </w:rPr>
        <w:t>（</w:t>
      </w:r>
      <w:bookmarkEnd w:id="1730"/>
      <w:r>
        <w:rPr>
          <w:color w:val="000000"/>
          <w:spacing w:val="0"/>
          <w:w w:val="100"/>
          <w:position w:val="0"/>
        </w:rPr>
        <w:t>三）</w:t>
        <w:tab/>
        <w:t>持续和非持续第二层次公允价值计量项目，采用的估值技术和重要参数的定性 及定量信息</w:t>
      </w:r>
      <w:bookmarkEnd w:id="1728"/>
      <w:bookmarkEnd w:id="1729"/>
      <w:bookmarkEnd w:id="1731"/>
    </w:p>
    <w:p>
      <w:pPr>
        <w:pStyle w:val="Style16"/>
        <w:keepNext w:val="0"/>
        <w:keepLines w:val="0"/>
        <w:widowControl w:val="0"/>
        <w:shd w:val="clear" w:color="auto" w:fill="auto"/>
        <w:bidi w:val="0"/>
        <w:spacing w:before="0" w:after="340" w:line="413" w:lineRule="exact"/>
        <w:ind w:left="0" w:right="0" w:firstLine="480"/>
        <w:jc w:val="both"/>
      </w:pPr>
      <w:r>
        <w:rPr>
          <w:color w:val="000000"/>
          <w:spacing w:val="0"/>
          <w:w w:val="100"/>
          <w:position w:val="0"/>
        </w:rPr>
        <w:t>对于交易性金融资产、其他债权投资中的债券投资的公允价值是采用相关债券登记结 算机构估值系统的报价。相关报价机构在形成报价过程中采用了反映市场状况的可观察输 入值。</w:t>
      </w:r>
    </w:p>
    <w:p>
      <w:pPr>
        <w:pStyle w:val="Style37"/>
        <w:keepNext/>
        <w:keepLines/>
        <w:widowControl w:val="0"/>
        <w:shd w:val="clear" w:color="auto" w:fill="auto"/>
        <w:tabs>
          <w:tab w:pos="1078" w:val="left"/>
        </w:tabs>
        <w:bidi w:val="0"/>
        <w:spacing w:before="0" w:after="220" w:line="413" w:lineRule="exact"/>
        <w:ind w:left="0" w:right="0" w:firstLine="480"/>
        <w:jc w:val="both"/>
      </w:pPr>
      <w:bookmarkStart w:id="1732" w:name="bookmark1732"/>
      <w:bookmarkStart w:id="1733" w:name="bookmark1733"/>
      <w:bookmarkStart w:id="1734" w:name="bookmark1734"/>
      <w:bookmarkStart w:id="1735" w:name="bookmark1735"/>
      <w:r>
        <w:rPr>
          <w:color w:val="000000"/>
          <w:spacing w:val="0"/>
          <w:w w:val="100"/>
          <w:position w:val="0"/>
        </w:rPr>
        <w:t>（</w:t>
      </w:r>
      <w:bookmarkEnd w:id="1734"/>
      <w:r>
        <w:rPr>
          <w:color w:val="000000"/>
          <w:spacing w:val="0"/>
          <w:w w:val="100"/>
          <w:position w:val="0"/>
        </w:rPr>
        <w:t>四）</w:t>
        <w:tab/>
        <w:t>持续和非持续第三层次公允价值计量项目，采用的估值技术和重要参数的定性</w:t>
      </w:r>
      <w:bookmarkEnd w:id="1732"/>
      <w:bookmarkEnd w:id="1733"/>
      <w:bookmarkEnd w:id="1735"/>
    </w:p>
    <w:p>
      <w:pPr>
        <w:pStyle w:val="Style16"/>
        <w:keepNext w:val="0"/>
        <w:keepLines w:val="0"/>
        <w:widowControl w:val="0"/>
        <w:shd w:val="clear" w:color="auto" w:fill="auto"/>
        <w:bidi w:val="0"/>
        <w:spacing w:before="0" w:after="0" w:line="411" w:lineRule="exact"/>
        <w:ind w:left="0" w:right="0" w:firstLine="0"/>
        <w:jc w:val="left"/>
      </w:pPr>
      <w:r>
        <w:rPr>
          <w:b/>
          <w:bCs/>
          <w:color w:val="000000"/>
          <w:spacing w:val="0"/>
          <w:w w:val="100"/>
          <w:position w:val="0"/>
        </w:rPr>
        <w:t>及定量信息</w:t>
      </w:r>
    </w:p>
    <w:p>
      <w:pPr>
        <w:pStyle w:val="Style16"/>
        <w:keepNext w:val="0"/>
        <w:keepLines w:val="0"/>
        <w:widowControl w:val="0"/>
        <w:shd w:val="clear" w:color="auto" w:fill="auto"/>
        <w:bidi w:val="0"/>
        <w:spacing w:before="0" w:after="0" w:line="411" w:lineRule="exact"/>
        <w:ind w:left="0" w:right="0" w:firstLine="440"/>
        <w:jc w:val="both"/>
        <w:sectPr>
          <w:headerReference w:type="default" r:id="rId55"/>
          <w:footerReference w:type="default" r:id="rId56"/>
          <w:footnotePr>
            <w:pos w:val="pageBottom"/>
            <w:numFmt w:val="decimal"/>
            <w:numRestart w:val="continuous"/>
          </w:footnotePr>
          <w:pgSz w:w="11900" w:h="16840"/>
          <w:pgMar w:top="1934" w:right="1629" w:bottom="1491" w:left="1669" w:header="0" w:footer="3" w:gutter="0"/>
          <w:cols w:space="720"/>
          <w:noEndnote/>
          <w:rtlGutter w:val="0"/>
          <w:docGrid w:linePitch="360"/>
        </w:sectPr>
      </w:pPr>
      <w:r>
        <w:rPr>
          <w:color w:val="000000"/>
          <w:spacing w:val="0"/>
          <w:w w:val="100"/>
          <w:position w:val="0"/>
        </w:rPr>
        <w:t>对于非上市股权投资、债券投资、信托计划、理财产品、资管计划，本公司从交易对手 处询价或者采用估值技术来确定其公允价值，估值技术包括现金流量折现法、市场法等。这 些金融工具公允价值的计量采用了重要的不可观察输入值，因此公司将其分为第三层次。不 可观察输入值包括最近交易价格、加权平均资本成本、流动性折扣、市净率等。</w:t>
      </w:r>
    </w:p>
    <w:p>
      <w:pPr>
        <w:pStyle w:val="Style37"/>
        <w:keepNext/>
        <w:keepLines/>
        <w:widowControl w:val="0"/>
        <w:shd w:val="clear" w:color="auto" w:fill="auto"/>
        <w:bidi w:val="0"/>
        <w:spacing w:before="0" w:after="140" w:line="240" w:lineRule="auto"/>
        <w:ind w:left="0" w:right="0" w:firstLine="580"/>
        <w:jc w:val="left"/>
      </w:pPr>
      <w:bookmarkStart w:id="1736" w:name="bookmark1736"/>
      <w:bookmarkStart w:id="1737" w:name="bookmark1737"/>
      <w:bookmarkStart w:id="1738" w:name="bookmark1738"/>
      <w:bookmarkStart w:id="1739" w:name="bookmark1739"/>
      <w:r>
        <w:rPr>
          <w:color w:val="000000"/>
          <w:spacing w:val="0"/>
          <w:w w:val="100"/>
          <w:position w:val="0"/>
        </w:rPr>
        <w:t>（</w:t>
      </w:r>
      <w:bookmarkEnd w:id="1738"/>
      <w:r>
        <w:rPr>
          <w:color w:val="000000"/>
          <w:spacing w:val="0"/>
          <w:w w:val="100"/>
          <w:position w:val="0"/>
        </w:rPr>
        <w:t>五）持续的第三层次公允价值计量项目，年初与期末账面价值间的调节信息及不可观察参数敏感性分析</w:t>
      </w:r>
      <w:bookmarkEnd w:id="1736"/>
      <w:bookmarkEnd w:id="1737"/>
      <w:bookmarkEnd w:id="1739"/>
    </w:p>
    <w:tbl>
      <w:tblPr>
        <w:tblOverlap w:val="never"/>
        <w:jc w:val="center"/>
        <w:tblLayout w:type="fixed"/>
      </w:tblPr>
      <w:tblGrid>
        <w:gridCol w:w="1608"/>
        <w:gridCol w:w="1277"/>
        <w:gridCol w:w="994"/>
        <w:gridCol w:w="845"/>
        <w:gridCol w:w="1277"/>
        <w:gridCol w:w="854"/>
        <w:gridCol w:w="1421"/>
        <w:gridCol w:w="710"/>
        <w:gridCol w:w="1416"/>
        <w:gridCol w:w="1416"/>
        <w:gridCol w:w="1517"/>
      </w:tblGrid>
      <w:tr>
        <w:trPr>
          <w:trHeight w:val="442"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项目</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center"/>
              <w:rPr>
                <w:sz w:val="18"/>
                <w:szCs w:val="18"/>
              </w:rPr>
            </w:pPr>
            <w:r>
              <w:rPr>
                <w:color w:val="000000"/>
                <w:spacing w:val="0"/>
                <w:w w:val="100"/>
                <w:position w:val="0"/>
                <w:sz w:val="18"/>
                <w:szCs w:val="18"/>
              </w:rPr>
              <w:t>转入第三层 次</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转出第三 层次</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当期利得或损失总额</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购买、发行、出售和结算</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期末余额</w:t>
            </w:r>
          </w:p>
        </w:tc>
      </w:tr>
      <w:tr>
        <w:trPr>
          <w:trHeight w:val="730"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计入损益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计入其他</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购买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发行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出售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tcBorders>
              <w:left w:val="single" w:sz="4"/>
            </w:tcBorders>
            <w:shd w:val="clear" w:color="auto" w:fill="FFFFFF"/>
            <w:vAlign w:val="center"/>
          </w:tcPr>
          <w:p>
            <w:pPr/>
          </w:p>
        </w:tc>
      </w:tr>
      <w:tr>
        <w:trPr>
          <w:trHeight w:val="72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（一）交易性金融资 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393,442,037.70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991,507.50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-13,059,366.55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530,341,227.37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569,549,115.29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342,166,290.73</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-4,755,616.09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200,544,406.39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50,422,685.46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145,366,104.84</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7,581,605.86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991,507.50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-275,208.44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5,590,280.86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2,707,624.06</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理财产品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90,023,095.88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-89,411.07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316,176,820.98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315,500,000.00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90,610,505.79</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资管计划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信托计划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295,837,335.96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2,275,869.05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198,036,148.97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100,077,056.04</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-10,215,000.00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3,405,000.00</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（二）其他债权投资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30,792,986.30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-792,986.30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债券投资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30,792,986.30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-792,986.30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3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（三）其他权益工具</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100,000,000.00</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中证金报价系统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100,000,000.00</w:t>
            </w:r>
          </w:p>
        </w:tc>
      </w:tr>
      <w:tr>
        <w:trPr>
          <w:trHeight w:val="73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（四）其他非流动金</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281,386,608.00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-11,767,592.00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11,160,000.00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-12,842,386.00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246,616,630.00</w:t>
            </w:r>
          </w:p>
        </w:tc>
      </w:tr>
      <w:tr>
        <w:trPr>
          <w:trHeight w:val="427"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信托计划</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ectPr>
          <w:headerReference w:type="default" r:id="rId57"/>
          <w:footerReference w:type="default" r:id="rId58"/>
          <w:footnotePr>
            <w:pos w:val="pageBottom"/>
            <w:numFmt w:val="decimal"/>
            <w:numRestart w:val="continuous"/>
          </w:footnotePr>
          <w:pgSz w:w="16840" w:h="11900" w:orient="landscape"/>
          <w:pgMar w:top="1914" w:right="2113" w:bottom="1914" w:left="1393" w:header="0" w:footer="3" w:gutter="0"/>
          <w:cols w:space="720"/>
          <w:noEndnote/>
          <w:rtlGutter w:val="0"/>
          <w:docGrid w:linePitch="360"/>
        </w:sectPr>
      </w:pPr>
    </w:p>
    <w:tbl>
      <w:tblPr>
        <w:tblOverlap w:val="never"/>
        <w:jc w:val="center"/>
        <w:tblLayout w:type="fixed"/>
      </w:tblPr>
      <w:tblGrid>
        <w:gridCol w:w="1618"/>
        <w:gridCol w:w="1277"/>
        <w:gridCol w:w="994"/>
        <w:gridCol w:w="845"/>
        <w:gridCol w:w="1277"/>
        <w:gridCol w:w="854"/>
        <w:gridCol w:w="173"/>
      </w:tblGrid>
      <w:tr>
        <w:trPr>
          <w:trHeight w:val="42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281,386,608.00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-11,767,592.00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805,621,632.00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991,507.50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-25,619,944.85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ectPr>
          <w:headerReference w:type="default" r:id="rId59"/>
          <w:footerReference w:type="default" r:id="rId60"/>
          <w:footnotePr>
            <w:pos w:val="pageBottom"/>
            <w:numFmt w:val="decimal"/>
            <w:numRestart w:val="continuous"/>
          </w:footnotePr>
          <w:pgSz w:w="8400" w:h="11900"/>
          <w:pgMar w:top="1795" w:right="0" w:bottom="1795" w:left="1363" w:header="1367" w:footer="1367" w:gutter="0"/>
          <w:cols w:space="720"/>
          <w:noEndnote/>
          <w:rtlGutter w:val="0"/>
          <w:docGrid w:linePitch="360"/>
        </w:sectPr>
      </w:pPr>
    </w:p>
    <w:tbl>
      <w:tblPr>
        <w:tblOverlap w:val="never"/>
        <w:jc w:val="center"/>
        <w:tblLayout w:type="fixed"/>
      </w:tblPr>
      <w:tblGrid>
        <w:gridCol w:w="1248"/>
        <w:gridCol w:w="710"/>
        <w:gridCol w:w="1416"/>
        <w:gridCol w:w="1421"/>
        <w:gridCol w:w="1512"/>
      </w:tblGrid>
      <w:tr>
        <w:trPr>
          <w:trHeight w:val="42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11,160,000.00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-12,842,386.00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246,616,630.00</w:t>
            </w:r>
          </w:p>
        </w:tc>
      </w:tr>
      <w:tr>
        <w:trPr>
          <w:trHeight w:val="44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531,341,227.37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610,709,115.29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-12,842,386.00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688,782,920.73</w:t>
            </w:r>
          </w:p>
        </w:tc>
      </w:tr>
    </w:tbl>
    <w:p>
      <w:pPr>
        <w:sectPr>
          <w:headerReference w:type="default" r:id="rId61"/>
          <w:footerReference w:type="default" r:id="rId62"/>
          <w:footnotePr>
            <w:pos w:val="pageBottom"/>
            <w:numFmt w:val="decimal"/>
            <w:numRestart w:val="continuous"/>
          </w:footnotePr>
          <w:pgSz w:w="8400" w:h="11900"/>
          <w:pgMar w:top="1794" w:right="2093" w:bottom="1794" w:left="0" w:header="0" w:footer="3" w:gutter="0"/>
          <w:pgNumType w:start="217"/>
          <w:cols w:space="720"/>
          <w:noEndnote/>
          <w:rtlGutter w:val="0"/>
          <w:docGrid w:linePitch="360"/>
        </w:sectPr>
      </w:pPr>
    </w:p>
    <w:p>
      <w:pPr>
        <w:pStyle w:val="Style37"/>
        <w:keepNext/>
        <w:keepLines/>
        <w:widowControl w:val="0"/>
        <w:shd w:val="clear" w:color="auto" w:fill="auto"/>
        <w:bidi w:val="0"/>
        <w:spacing w:before="0" w:after="0" w:line="410" w:lineRule="exact"/>
        <w:ind w:left="0" w:right="0" w:firstLine="480"/>
        <w:jc w:val="left"/>
      </w:pPr>
      <w:bookmarkStart w:id="1740" w:name="bookmark1740"/>
      <w:bookmarkStart w:id="1741" w:name="bookmark1741"/>
      <w:bookmarkStart w:id="1742" w:name="bookmark1742"/>
      <w:bookmarkStart w:id="1743" w:name="bookmark1743"/>
      <w:r>
        <w:rPr>
          <w:color w:val="000000"/>
          <w:spacing w:val="0"/>
          <w:w w:val="100"/>
          <w:position w:val="0"/>
        </w:rPr>
        <w:t>（</w:t>
      </w:r>
      <w:bookmarkEnd w:id="1742"/>
      <w:r>
        <w:rPr>
          <w:color w:val="000000"/>
          <w:spacing w:val="0"/>
          <w:w w:val="100"/>
          <w:position w:val="0"/>
        </w:rPr>
        <w:t>六）不以公允价值计量的金融资产和金融负债的公允价值情况</w:t>
      </w:r>
      <w:bookmarkEnd w:id="1740"/>
      <w:bookmarkEnd w:id="1741"/>
      <w:bookmarkEnd w:id="1743"/>
    </w:p>
    <w:p>
      <w:pPr>
        <w:pStyle w:val="Style16"/>
        <w:keepNext w:val="0"/>
        <w:keepLines w:val="0"/>
        <w:widowControl w:val="0"/>
        <w:shd w:val="clear" w:color="auto" w:fill="auto"/>
        <w:bidi w:val="0"/>
        <w:spacing w:before="0" w:after="200" w:line="410" w:lineRule="exact"/>
        <w:ind w:left="0" w:right="0" w:firstLine="480"/>
        <w:jc w:val="both"/>
      </w:pPr>
      <w:r>
        <w:rPr>
          <w:color w:val="000000"/>
          <w:spacing w:val="0"/>
          <w:w w:val="100"/>
          <w:position w:val="0"/>
        </w:rPr>
        <w:t>除了上述以公允价值计量的金融资产和金融负债外，公司对其他不以公允价值计量的金 融资产和金融负债，如融出资金、买入返售金融资产、应收账款、应付债券、拆入资金、卖 出回购金融资产款、应付账款等，公允价值与账面价值相若，根据会计政策的规定进行计量。</w:t>
      </w:r>
    </w:p>
    <w:p>
      <w:pPr>
        <w:pStyle w:val="Style29"/>
        <w:keepNext/>
        <w:keepLines/>
        <w:widowControl w:val="0"/>
        <w:shd w:val="clear" w:color="auto" w:fill="auto"/>
        <w:bidi w:val="0"/>
        <w:spacing w:before="0" w:after="200" w:line="240" w:lineRule="auto"/>
        <w:ind w:left="0" w:right="0" w:firstLine="480"/>
        <w:jc w:val="left"/>
      </w:pPr>
      <w:bookmarkStart w:id="1744" w:name="bookmark1744"/>
      <w:bookmarkStart w:id="1745" w:name="bookmark1745"/>
      <w:bookmarkStart w:id="1746" w:name="bookmark1746"/>
      <w:r>
        <w:rPr>
          <w:color w:val="000000"/>
          <w:spacing w:val="0"/>
          <w:w w:val="100"/>
          <w:position w:val="0"/>
          <w:sz w:val="24"/>
          <w:szCs w:val="24"/>
        </w:rPr>
        <w:t>十一、关联方及关联交易</w:t>
      </w:r>
      <w:bookmarkEnd w:id="1744"/>
      <w:bookmarkEnd w:id="1745"/>
      <w:bookmarkEnd w:id="1746"/>
    </w:p>
    <w:p>
      <w:pPr>
        <w:pStyle w:val="Style37"/>
        <w:keepNext/>
        <w:keepLines/>
        <w:widowControl w:val="0"/>
        <w:shd w:val="clear" w:color="auto" w:fill="auto"/>
        <w:bidi w:val="0"/>
        <w:spacing w:before="0" w:after="200" w:line="240" w:lineRule="auto"/>
        <w:ind w:left="0" w:right="0" w:firstLine="480"/>
        <w:jc w:val="left"/>
      </w:pPr>
      <w:bookmarkStart w:id="1747" w:name="bookmark1747"/>
      <w:bookmarkStart w:id="1748" w:name="bookmark1748"/>
      <w:bookmarkStart w:id="1749" w:name="bookmark1749"/>
      <w:r>
        <w:rPr>
          <w:color w:val="000000"/>
          <w:spacing w:val="0"/>
          <w:w w:val="100"/>
          <w:position w:val="0"/>
        </w:rPr>
        <w:t>（一）本企业的母公司情况</w:t>
      </w:r>
      <w:bookmarkEnd w:id="1747"/>
      <w:bookmarkEnd w:id="1748"/>
      <w:bookmarkEnd w:id="1749"/>
    </w:p>
    <w:tbl>
      <w:tblPr>
        <w:tblOverlap w:val="never"/>
        <w:jc w:val="center"/>
        <w:tblLayout w:type="fixed"/>
      </w:tblPr>
      <w:tblGrid>
        <w:gridCol w:w="2606"/>
        <w:gridCol w:w="1118"/>
        <w:gridCol w:w="1613"/>
        <w:gridCol w:w="1123"/>
        <w:gridCol w:w="960"/>
        <w:gridCol w:w="965"/>
      </w:tblGrid>
      <w:tr>
        <w:trPr>
          <w:trHeight w:val="83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母公司名称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注册地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业务性质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200"/>
              <w:jc w:val="left"/>
              <w:rPr>
                <w:sz w:val="18"/>
                <w:szCs w:val="18"/>
              </w:rPr>
            </w:pPr>
            <w:r>
              <w:rPr>
                <w:color w:val="000000"/>
                <w:spacing w:val="0"/>
                <w:w w:val="100"/>
                <w:position w:val="0"/>
                <w:sz w:val="18"/>
                <w:szCs w:val="18"/>
              </w:rPr>
              <w:t>注册资本</w:t>
            </w:r>
          </w:p>
          <w:p>
            <w:pPr>
              <w:pStyle w:val="Style2"/>
              <w:keepNext w:val="0"/>
              <w:keepLines w:val="0"/>
              <w:widowControl w:val="0"/>
              <w:shd w:val="clear" w:color="auto" w:fill="auto"/>
              <w:bidi w:val="0"/>
              <w:spacing w:before="0" w:after="0" w:line="240" w:lineRule="auto"/>
              <w:ind w:left="0" w:right="0" w:firstLine="0"/>
              <w:jc w:val="center"/>
              <w:rPr>
                <w:sz w:val="22"/>
                <w:szCs w:val="22"/>
              </w:rPr>
            </w:pPr>
            <w:r>
              <w:rPr>
                <w:rFonts w:ascii="Arial Narrow" w:eastAsia="Arial Narrow" w:hAnsi="Arial Narrow" w:cs="Arial Narrow"/>
                <w:color w:val="000000"/>
                <w:spacing w:val="0"/>
                <w:w w:val="100"/>
                <w:position w:val="0"/>
                <w:sz w:val="18"/>
                <w:szCs w:val="18"/>
              </w:rPr>
              <w:t>（</w:t>
            </w:r>
            <w:r>
              <w:rPr>
                <w:color w:val="000000"/>
                <w:spacing w:val="0"/>
                <w:w w:val="100"/>
                <w:position w:val="0"/>
                <w:sz w:val="18"/>
                <w:szCs w:val="18"/>
              </w:rPr>
              <w:t>万元</w:t>
            </w:r>
            <w:r>
              <w:rPr>
                <w:color w:val="000000"/>
                <w:spacing w:val="0"/>
                <w:w w:val="100"/>
                <w:position w:val="0"/>
                <w:sz w:val="22"/>
                <w:szCs w:val="22"/>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5" w:lineRule="exact"/>
              <w:ind w:left="0" w:right="0" w:firstLine="0"/>
              <w:jc w:val="right"/>
              <w:rPr>
                <w:sz w:val="18"/>
                <w:szCs w:val="18"/>
              </w:rPr>
            </w:pPr>
            <w:r>
              <w:rPr>
                <w:color w:val="000000"/>
                <w:spacing w:val="0"/>
                <w:w w:val="100"/>
                <w:position w:val="0"/>
                <w:sz w:val="18"/>
                <w:szCs w:val="18"/>
              </w:rPr>
              <w:t>对本公司 的持股比</w:t>
            </w:r>
          </w:p>
          <w:p>
            <w:pPr>
              <w:pStyle w:val="Style2"/>
              <w:keepNext w:val="0"/>
              <w:keepLines w:val="0"/>
              <w:widowControl w:val="0"/>
              <w:shd w:val="clear" w:color="auto" w:fill="auto"/>
              <w:bidi w:val="0"/>
              <w:spacing w:before="0" w:after="0" w:line="245" w:lineRule="exact"/>
              <w:ind w:left="0" w:right="0" w:firstLine="260"/>
              <w:jc w:val="left"/>
              <w:rPr>
                <w:sz w:val="18"/>
                <w:szCs w:val="18"/>
              </w:rPr>
            </w:pPr>
            <w:r>
              <w:rPr>
                <w:color w:val="000000"/>
                <w:spacing w:val="0"/>
                <w:w w:val="100"/>
                <w:position w:val="0"/>
                <w:sz w:val="18"/>
                <w:szCs w:val="18"/>
              </w:rPr>
              <w:t>例</w:t>
            </w:r>
            <w:r>
              <w:rPr>
                <w:rFonts w:ascii="Arial Narrow" w:eastAsia="Arial Narrow" w:hAnsi="Arial Narrow" w:cs="Arial Narrow"/>
                <w:color w:val="000000"/>
                <w:spacing w:val="0"/>
                <w:w w:val="100"/>
                <w:position w:val="0"/>
                <w:sz w:val="18"/>
                <w:szCs w:val="18"/>
              </w:rPr>
              <w:t>（</w:t>
            </w:r>
            <w:r>
              <w:rPr>
                <w:color w:val="000000"/>
                <w:spacing w:val="0"/>
                <w:w w:val="100"/>
                <w:position w:val="0"/>
                <w:sz w:val="22"/>
                <w:szCs w:val="22"/>
              </w:rPr>
              <w:t>％</w:t>
            </w:r>
            <w:r>
              <w:rPr>
                <w:rFonts w:ascii="Arial Narrow" w:eastAsia="Arial Narrow" w:hAnsi="Arial Narrow" w:cs="Arial Narrow"/>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5" w:lineRule="exact"/>
              <w:ind w:left="0" w:right="0" w:firstLine="0"/>
              <w:jc w:val="right"/>
              <w:rPr>
                <w:sz w:val="18"/>
                <w:szCs w:val="18"/>
              </w:rPr>
            </w:pPr>
            <w:r>
              <w:rPr>
                <w:color w:val="000000"/>
                <w:spacing w:val="0"/>
                <w:w w:val="100"/>
                <w:position w:val="0"/>
                <w:sz w:val="18"/>
                <w:szCs w:val="18"/>
              </w:rPr>
              <w:t>对本公司 的表决权</w:t>
            </w:r>
          </w:p>
          <w:p>
            <w:pPr>
              <w:pStyle w:val="Style2"/>
              <w:keepNext w:val="0"/>
              <w:keepLines w:val="0"/>
              <w:widowControl w:val="0"/>
              <w:shd w:val="clear" w:color="auto" w:fill="auto"/>
              <w:bidi w:val="0"/>
              <w:spacing w:before="0" w:after="0" w:line="245" w:lineRule="exact"/>
              <w:ind w:left="0" w:right="0" w:firstLine="160"/>
              <w:jc w:val="left"/>
              <w:rPr>
                <w:sz w:val="18"/>
                <w:szCs w:val="18"/>
              </w:rPr>
            </w:pPr>
            <w:r>
              <w:rPr>
                <w:color w:val="000000"/>
                <w:spacing w:val="0"/>
                <w:w w:val="100"/>
                <w:position w:val="0"/>
                <w:sz w:val="18"/>
                <w:szCs w:val="18"/>
              </w:rPr>
              <w:t>比例</w:t>
            </w:r>
            <w:r>
              <w:rPr>
                <w:rFonts w:ascii="Arial Narrow" w:eastAsia="Arial Narrow" w:hAnsi="Arial Narrow" w:cs="Arial Narrow"/>
                <w:color w:val="000000"/>
                <w:spacing w:val="0"/>
                <w:w w:val="100"/>
                <w:position w:val="0"/>
                <w:sz w:val="18"/>
                <w:szCs w:val="18"/>
              </w:rPr>
              <w:t>（</w:t>
            </w:r>
            <w:r>
              <w:rPr>
                <w:color w:val="000000"/>
                <w:spacing w:val="0"/>
                <w:w w:val="100"/>
                <w:position w:val="0"/>
                <w:sz w:val="22"/>
                <w:szCs w:val="22"/>
              </w:rPr>
              <w:t>％</w:t>
            </w:r>
            <w:r>
              <w:rPr>
                <w:rFonts w:ascii="Arial Narrow" w:eastAsia="Arial Narrow" w:hAnsi="Arial Narrow" w:cs="Arial Narrow"/>
                <w:color w:val="000000"/>
                <w:spacing w:val="0"/>
                <w:w w:val="100"/>
                <w:position w:val="0"/>
                <w:sz w:val="18"/>
                <w:szCs w:val="18"/>
              </w:rPr>
              <w:t>）</w:t>
            </w:r>
          </w:p>
        </w:tc>
      </w:tr>
      <w:tr>
        <w:trPr>
          <w:trHeight w:val="57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50" w:lineRule="exact"/>
              <w:ind w:left="140" w:right="0" w:firstLine="0"/>
              <w:jc w:val="both"/>
              <w:rPr>
                <w:sz w:val="18"/>
                <w:szCs w:val="18"/>
              </w:rPr>
            </w:pPr>
            <w:r>
              <w:rPr>
                <w:color w:val="000000"/>
                <w:spacing w:val="0"/>
                <w:w w:val="100"/>
                <w:position w:val="0"/>
                <w:sz w:val="18"/>
                <w:szCs w:val="18"/>
              </w:rPr>
              <w:t>张家港财智投资中心（有限合 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投资管理、咨询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250,001.00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17.06</w:t>
            </w:r>
          </w:p>
        </w:tc>
      </w:tr>
      <w:tr>
        <w:trPr>
          <w:trHeight w:val="57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 w:right="0" w:firstLine="0"/>
              <w:jc w:val="both"/>
              <w:rPr>
                <w:sz w:val="18"/>
                <w:szCs w:val="18"/>
              </w:rPr>
            </w:pPr>
            <w:r>
              <w:rPr>
                <w:color w:val="000000"/>
                <w:spacing w:val="0"/>
                <w:w w:val="100"/>
                <w:position w:val="0"/>
                <w:sz w:val="18"/>
                <w:szCs w:val="18"/>
              </w:rPr>
              <w:t>深圳前海财智远大投资中心</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投资管理、咨询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180,001.00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13.35</w:t>
            </w:r>
          </w:p>
        </w:tc>
      </w:tr>
      <w:tr>
        <w:trPr>
          <w:trHeight w:val="5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北京凤凰财鑫股权投资中心</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投资管理、咨询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150,001.00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7.42</w:t>
            </w:r>
          </w:p>
        </w:tc>
      </w:tr>
      <w:tr>
        <w:trPr>
          <w:trHeight w:val="60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北京凤凰财智创新投资中心</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（有限合伙）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北京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投资管理、咨询</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120,001.00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1.71</w:t>
            </w:r>
          </w:p>
        </w:tc>
      </w:tr>
    </w:tbl>
    <w:p>
      <w:pPr>
        <w:pStyle w:val="Style40"/>
        <w:keepNext w:val="0"/>
        <w:keepLines w:val="0"/>
        <w:widowControl w:val="0"/>
        <w:shd w:val="clear" w:color="auto" w:fill="auto"/>
        <w:bidi w:val="0"/>
        <w:spacing w:before="0" w:after="0" w:line="240" w:lineRule="auto"/>
        <w:ind w:left="422" w:right="0" w:firstLine="0"/>
        <w:jc w:val="left"/>
        <w:rPr>
          <w:sz w:val="18"/>
          <w:szCs w:val="18"/>
        </w:rPr>
      </w:pPr>
      <w:r>
        <w:rPr>
          <w:b/>
          <w:bCs/>
          <w:color w:val="000000"/>
          <w:spacing w:val="0"/>
          <w:w w:val="100"/>
          <w:position w:val="0"/>
          <w:sz w:val="18"/>
          <w:szCs w:val="18"/>
        </w:rPr>
        <w:t>本公司的实际控制人为杜力及其一致行动人张巍。</w:t>
      </w:r>
    </w:p>
    <w:p>
      <w:pPr>
        <w:widowControl w:val="0"/>
        <w:spacing w:after="199" w:line="1" w:lineRule="exact"/>
      </w:pPr>
    </w:p>
    <w:p>
      <w:pPr>
        <w:pStyle w:val="Style37"/>
        <w:keepNext/>
        <w:keepLines/>
        <w:widowControl w:val="0"/>
        <w:shd w:val="clear" w:color="auto" w:fill="auto"/>
        <w:tabs>
          <w:tab w:pos="1021" w:val="left"/>
        </w:tabs>
        <w:bidi w:val="0"/>
        <w:spacing w:before="0" w:after="200" w:line="240" w:lineRule="auto"/>
        <w:ind w:left="0" w:right="0" w:firstLine="480"/>
        <w:jc w:val="left"/>
      </w:pPr>
      <w:bookmarkStart w:id="1750" w:name="bookmark1750"/>
      <w:bookmarkStart w:id="1751" w:name="bookmark1751"/>
      <w:bookmarkStart w:id="1752" w:name="bookmark1752"/>
      <w:bookmarkStart w:id="1753" w:name="bookmark1753"/>
      <w:r>
        <w:rPr>
          <w:color w:val="000000"/>
          <w:spacing w:val="0"/>
          <w:w w:val="100"/>
          <w:position w:val="0"/>
        </w:rPr>
        <w:t>（</w:t>
      </w:r>
      <w:bookmarkEnd w:id="1752"/>
      <w:r>
        <w:rPr>
          <w:color w:val="000000"/>
          <w:spacing w:val="0"/>
          <w:w w:val="100"/>
          <w:position w:val="0"/>
        </w:rPr>
        <w:t>二）</w:t>
        <w:tab/>
        <w:t>本公司的子公司情况详见附注八（一）在子公司中的权益</w:t>
      </w:r>
      <w:bookmarkEnd w:id="1750"/>
      <w:bookmarkEnd w:id="1751"/>
      <w:bookmarkEnd w:id="1753"/>
    </w:p>
    <w:p>
      <w:pPr>
        <w:pStyle w:val="Style37"/>
        <w:keepNext/>
        <w:keepLines/>
        <w:widowControl w:val="0"/>
        <w:shd w:val="clear" w:color="auto" w:fill="auto"/>
        <w:tabs>
          <w:tab w:pos="1021" w:val="left"/>
        </w:tabs>
        <w:bidi w:val="0"/>
        <w:spacing w:before="0" w:after="200" w:line="240" w:lineRule="auto"/>
        <w:ind w:left="0" w:right="0" w:firstLine="480"/>
        <w:jc w:val="left"/>
      </w:pPr>
      <w:bookmarkStart w:id="1754" w:name="bookmark1754"/>
      <w:bookmarkStart w:id="1755" w:name="bookmark1755"/>
      <w:bookmarkStart w:id="1756" w:name="bookmark1756"/>
      <w:bookmarkStart w:id="1757" w:name="bookmark1757"/>
      <w:r>
        <w:rPr>
          <w:color w:val="000000"/>
          <w:spacing w:val="0"/>
          <w:w w:val="100"/>
          <w:position w:val="0"/>
        </w:rPr>
        <w:t>（</w:t>
      </w:r>
      <w:bookmarkEnd w:id="1756"/>
      <w:r>
        <w:rPr>
          <w:color w:val="000000"/>
          <w:spacing w:val="0"/>
          <w:w w:val="100"/>
          <w:position w:val="0"/>
        </w:rPr>
        <w:t>三）</w:t>
        <w:tab/>
        <w:t>本公司的合营和联营企业情况</w:t>
      </w:r>
      <w:bookmarkEnd w:id="1754"/>
      <w:bookmarkEnd w:id="1755"/>
      <w:bookmarkEnd w:id="1757"/>
    </w:p>
    <w:p>
      <w:pPr>
        <w:pStyle w:val="Style16"/>
        <w:keepNext w:val="0"/>
        <w:keepLines w:val="0"/>
        <w:widowControl w:val="0"/>
        <w:shd w:val="clear" w:color="auto" w:fill="auto"/>
        <w:bidi w:val="0"/>
        <w:spacing w:before="0" w:after="200" w:line="240" w:lineRule="auto"/>
        <w:ind w:left="0" w:right="0" w:firstLine="480"/>
        <w:jc w:val="left"/>
      </w:pPr>
      <w:r>
        <w:rPr>
          <w:color w:val="000000"/>
          <w:spacing w:val="0"/>
          <w:w w:val="100"/>
          <w:position w:val="0"/>
        </w:rPr>
        <w:t>本公司重要的合营或联营企业详见附注八（二）在合营安排或联营企业中的权益。</w:t>
      </w:r>
    </w:p>
    <w:p>
      <w:pPr>
        <w:pStyle w:val="Style37"/>
        <w:keepNext/>
        <w:keepLines/>
        <w:widowControl w:val="0"/>
        <w:shd w:val="clear" w:color="auto" w:fill="auto"/>
        <w:tabs>
          <w:tab w:pos="1021" w:val="left"/>
        </w:tabs>
        <w:bidi w:val="0"/>
        <w:spacing w:before="0" w:after="200" w:line="240" w:lineRule="auto"/>
        <w:ind w:left="0" w:right="0" w:firstLine="480"/>
        <w:jc w:val="left"/>
      </w:pPr>
      <w:bookmarkStart w:id="1758" w:name="bookmark1758"/>
      <w:bookmarkStart w:id="1759" w:name="bookmark1759"/>
      <w:bookmarkStart w:id="1760" w:name="bookmark1760"/>
      <w:bookmarkStart w:id="1761" w:name="bookmark1761"/>
      <w:r>
        <w:rPr>
          <w:color w:val="000000"/>
          <w:spacing w:val="0"/>
          <w:w w:val="100"/>
          <w:position w:val="0"/>
        </w:rPr>
        <w:t>（</w:t>
      </w:r>
      <w:bookmarkEnd w:id="1760"/>
      <w:r>
        <w:rPr>
          <w:color w:val="000000"/>
          <w:spacing w:val="0"/>
          <w:w w:val="100"/>
          <w:position w:val="0"/>
        </w:rPr>
        <w:t>四）</w:t>
        <w:tab/>
        <w:t>其他关联方情况</w:t>
      </w:r>
      <w:bookmarkEnd w:id="1758"/>
      <w:bookmarkEnd w:id="1759"/>
      <w:bookmarkEnd w:id="1761"/>
    </w:p>
    <w:tbl>
      <w:tblPr>
        <w:tblOverlap w:val="never"/>
        <w:jc w:val="center"/>
        <w:tblLayout w:type="fixed"/>
      </w:tblPr>
      <w:tblGrid>
        <w:gridCol w:w="3461"/>
        <w:gridCol w:w="4958"/>
      </w:tblGrid>
      <w:tr>
        <w:trPr>
          <w:trHeight w:val="44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关联方名称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关联方与本公司的关系</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杜力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本公司董事长</w:t>
            </w:r>
          </w:p>
        </w:tc>
      </w:tr>
      <w:tr>
        <w:trPr>
          <w:trHeight w:val="41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张巍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本公司副董事长、总经理</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李英明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本公司董事、副总经理</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李娥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本公司董事、副总经理</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杨志平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本公司董事</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徐强国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本公司独立董事</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邵彬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本公司独立董事</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傅继军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本公司独立董事</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叶强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本公司监事会主席</w:t>
            </w:r>
          </w:p>
        </w:tc>
      </w:tr>
      <w:tr>
        <w:trPr>
          <w:trHeight w:val="41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王晓龙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本公司监事</w:t>
            </w:r>
          </w:p>
        </w:tc>
      </w:tr>
      <w:tr>
        <w:trPr>
          <w:trHeight w:val="427"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刘晓辉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本公司监事</w:t>
            </w:r>
          </w:p>
        </w:tc>
      </w:tr>
    </w:tbl>
    <w:p>
      <w:pPr>
        <w:spacing w:lineRule="exact" w:line="1"/>
        <w:rPr>
          <w:sz w:val="2"/>
          <w:szCs w:val="2"/>
        </w:rPr>
      </w:pPr>
      <w:r>
        <w:br w:type="page"/>
      </w:r>
    </w:p>
    <w:tbl>
      <w:tblPr>
        <w:tblOverlap w:val="never"/>
        <w:jc w:val="center"/>
        <w:tblLayout w:type="fixed"/>
      </w:tblPr>
      <w:tblGrid>
        <w:gridCol w:w="3461"/>
        <w:gridCol w:w="4958"/>
      </w:tblGrid>
      <w:tr>
        <w:trPr>
          <w:trHeight w:val="44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关联方名称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关联方与本公司的关系</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吴艳艳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本公司高级管理人员</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雪松国际信托股份有限公司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本公司</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以上股东</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西藏迅杰新科科技有限公司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本公司</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以上股东</w:t>
            </w:r>
          </w:p>
        </w:tc>
      </w:tr>
      <w:tr>
        <w:trPr>
          <w:trHeight w:val="41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北京凤凰财富资产管理有限公司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本公司董事长控制或担任董事、高级管理人员的企业</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北京凤凰财富控股集团有限公司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本公司董事长控制或担任董事、高级管理人员的企业</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北京凤凰财富投资管理有限公司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本公司董事长控制或担任董事、高级管理人员的企业</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北京凤凰财鑫投资管理有限公司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本公司董事长控制或担任董事、高级管理人员的企业</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北京凤凰财富创新投资有限公司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本公司董事长控制或担任董事、高级管理人员的企业</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北京凤凰财富投资咨询有限公司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本公司董事长控制或担任董事、高级管理人员的企业</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北京凤凰财富成长投资中心（有限合伙）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本公司董事长担任执行事务合伙人委派代表的企业</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北京凤凰祥瑞互联投资基金（有限合伙）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本公司董事长担任执行事务合伙人委派代表的企业</w:t>
            </w:r>
          </w:p>
        </w:tc>
      </w:tr>
      <w:tr>
        <w:trPr>
          <w:trHeight w:val="41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北京凤凰鼎丰创业投资中心（有限合伙）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本公司董事长担任执行事务合伙人委派代表的企业</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北京凤凰鼎耀创新投资中心（有限合伙）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本公司董事长担任执行事务合伙人委派代表的企业</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北京凤凰日晟创新投资中心（有限合伙）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本公司董事长担任执行事务合伙人委派代表的企业</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北京凤凰金服投资有限公司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本公司董事长控制或担任董事的企业</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深圳华意实业投资有限公司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本公司董事长控制或担任董事的企业</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北京凤凰鼎耀投资管理有限公司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本公司董事长控制或担任董事的企业</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深圳乐丰投资管理有限公司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本公司董事长控制或担任董事的企业</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宁波梅山保税港区励锐投资管理有限公司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本公司董事长控制或担任董事的企业</w:t>
            </w:r>
          </w:p>
        </w:tc>
      </w:tr>
      <w:tr>
        <w:trPr>
          <w:trHeight w:val="41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北京悟空保科技集团有限公司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本公司董事担任董事的企业</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北京左江科技股份有限公司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本公司董事担任董事的企业</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上海程欧信息咨询合伙企业（有限合伙）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本公司董事担任执行事务合伙人的企业</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海南阿凡题科技有限公司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本公司董事担任董事的企业</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立信会计师事务所（特殊普通合伙）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本公司董事担任董事、高级管理人员的企业</w:t>
            </w:r>
          </w:p>
        </w:tc>
      </w:tr>
      <w:tr>
        <w:trPr>
          <w:trHeight w:val="73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上海勰信企业发展中心（有限合伙）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本公司董事之关系密切的家庭成员控制或担任董事、高级管理 人员的企业</w:t>
            </w:r>
          </w:p>
        </w:tc>
      </w:tr>
      <w:tr>
        <w:trPr>
          <w:trHeight w:val="73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上海星尔企业管理咨询事务所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本公司董事之关系密切的家庭成员控制或担任董事、高级管理 人员的企业</w:t>
            </w:r>
          </w:p>
        </w:tc>
      </w:tr>
      <w:tr>
        <w:trPr>
          <w:trHeight w:val="73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上海运昌机械设备有限公司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本公司董事之关系密切的家庭成员控制或担任董事、高级管理 人员的企业</w:t>
            </w:r>
          </w:p>
        </w:tc>
      </w:tr>
      <w:tr>
        <w:trPr>
          <w:trHeight w:val="427"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乐歌人体工学科技股份有限公司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本公司董事担任董事的企业</w:t>
            </w:r>
          </w:p>
        </w:tc>
      </w:tr>
    </w:tbl>
    <w:p>
      <w:pPr>
        <w:spacing w:lineRule="exact" w:line="1"/>
        <w:rPr>
          <w:sz w:val="2"/>
          <w:szCs w:val="2"/>
        </w:rPr>
      </w:pPr>
      <w:r>
        <w:br w:type="page"/>
      </w:r>
    </w:p>
    <w:tbl>
      <w:tblPr>
        <w:tblOverlap w:val="never"/>
        <w:jc w:val="center"/>
        <w:tblLayout w:type="fixed"/>
      </w:tblPr>
      <w:tblGrid>
        <w:gridCol w:w="3461"/>
        <w:gridCol w:w="4958"/>
      </w:tblGrid>
      <w:tr>
        <w:trPr>
          <w:trHeight w:val="44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关联方名称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关联方与本公司的关系</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江苏诺泰澳赛诺生物制药股份有限公司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本公司董事担任董事的企业</w:t>
            </w:r>
          </w:p>
        </w:tc>
      </w:tr>
      <w:tr>
        <w:trPr>
          <w:trHeight w:val="73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上海庇寅企业管理事务所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本公司董事之关系密切的家庭成员控制或担任董事、高级管理 人员的企业</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中华财务咨询有限公司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本公司董事控制或担任董事、高级管理人员的企业</w:t>
            </w:r>
          </w:p>
        </w:tc>
      </w:tr>
      <w:tr>
        <w:trPr>
          <w:trHeight w:val="41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博略现代咨询（北京）有限公司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本公司董事控制或担任董事、高级管理人员的企业</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国合现代（深圳）资本研究院有限公司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本公司董事控制或担任董事、高级管理人员的企业</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上海量阶企业管理咨询有限公司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本公司董事控制或担任董事、高级管理人员的企业</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原画（北京）影业投资有限公司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本公司董事控制或担任董事、高级管理人员的企业</w:t>
            </w:r>
          </w:p>
        </w:tc>
      </w:tr>
      <w:tr>
        <w:trPr>
          <w:trHeight w:val="73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上海鋆开企业管理咨询中心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本公司董事之关系密切的家庭成员控制或担任董事、高级管理 人员的企业</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启赟金融信息服务（上海）有限公司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本公司监事担任董事的企业</w:t>
            </w:r>
          </w:p>
        </w:tc>
      </w:tr>
      <w:tr>
        <w:trPr>
          <w:trHeight w:val="73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江西赣粤高速公路股份有限公司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8"/>
                <w:szCs w:val="18"/>
              </w:rPr>
            </w:pPr>
            <w:r>
              <w:rPr>
                <w:color w:val="000000"/>
                <w:spacing w:val="0"/>
                <w:w w:val="100"/>
                <w:position w:val="0"/>
                <w:sz w:val="18"/>
                <w:szCs w:val="18"/>
              </w:rPr>
              <w:t>本公司原</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以上股东，该情形解除时间距离本期期初不足</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8"/>
                <w:szCs w:val="18"/>
              </w:rPr>
              <w:t>个月</w:t>
            </w:r>
          </w:p>
        </w:tc>
      </w:tr>
      <w:tr>
        <w:trPr>
          <w:trHeight w:val="73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众安在线财产保险股份有限公司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8"/>
                <w:szCs w:val="18"/>
              </w:rPr>
              <w:t>本公司董事长曾担任董事的企业，该情形解除时间距离本期期 初不足</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个月</w:t>
            </w:r>
          </w:p>
        </w:tc>
      </w:tr>
      <w:tr>
        <w:trPr>
          <w:trHeight w:val="41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浙江仙通橡塑股份有限公司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本公司董事担任董事的企业，截至期末该情形已解除</w:t>
            </w:r>
          </w:p>
        </w:tc>
      </w:tr>
      <w:tr>
        <w:trPr>
          <w:trHeight w:val="73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浙江圣达生物药业股份有限公司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rPr>
                <w:sz w:val="18"/>
                <w:szCs w:val="18"/>
              </w:rPr>
            </w:pPr>
            <w:r>
              <w:rPr>
                <w:color w:val="000000"/>
                <w:spacing w:val="0"/>
                <w:w w:val="100"/>
                <w:position w:val="0"/>
                <w:sz w:val="18"/>
                <w:szCs w:val="18"/>
              </w:rPr>
              <w:t>本公司董事曾担任董事的企业，该情形解除时间距离本期期初 不足</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个月</w:t>
            </w:r>
          </w:p>
        </w:tc>
      </w:tr>
      <w:tr>
        <w:trPr>
          <w:trHeight w:val="73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香飘飘食品股份有限公司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rPr>
                <w:sz w:val="18"/>
                <w:szCs w:val="18"/>
              </w:rPr>
            </w:pPr>
            <w:r>
              <w:rPr>
                <w:color w:val="000000"/>
                <w:spacing w:val="0"/>
                <w:w w:val="100"/>
                <w:position w:val="0"/>
                <w:sz w:val="18"/>
                <w:szCs w:val="18"/>
              </w:rPr>
              <w:t>本公司董事曾担任董事的企业，该情形解除时间距离本期期初 不足</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个月</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赵岑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本公司董事、高级管理人员，截至期末不再任职</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刘世明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本公司董事，截至期末不再任职</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张李平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本公司独立董事，截至期末不再任职</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周春生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本公司独立董事，截至期末不再任职</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方胜玲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本公司监事，截至期末不再任职</w:t>
            </w:r>
          </w:p>
        </w:tc>
      </w:tr>
      <w:tr>
        <w:trPr>
          <w:trHeight w:val="41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刘琛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本公司监事，截至期末不再任职</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Lin, Chienher</w:t>
            </w:r>
            <w:r>
              <w:rPr>
                <w:color w:val="000000"/>
                <w:spacing w:val="0"/>
                <w:w w:val="100"/>
                <w:position w:val="0"/>
                <w:sz w:val="18"/>
                <w:szCs w:val="18"/>
              </w:rPr>
              <w:t>（林建何）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本公司副总经理，截至期末不再任职</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广东华声电器实业有限公司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报告期离任董事担任董事的企业</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扬州华声电子实业有限公司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报告期离任董事担任董事的企业</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广东兴顺律师事务所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报告期离任董事控制或担任董事、高级管理人员的企业</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深圳市金汉源资产管理有限公司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报告期离任董事控制或担任董事的企业</w:t>
            </w:r>
          </w:p>
        </w:tc>
      </w:tr>
      <w:tr>
        <w:trPr>
          <w:trHeight w:val="427"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南大傲拓科技江苏股份有限公司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报告期离任董事控制或担任董事的企业</w:t>
            </w:r>
          </w:p>
        </w:tc>
      </w:tr>
    </w:tbl>
    <w:p>
      <w:pPr>
        <w:spacing w:lineRule="exact" w:line="1"/>
        <w:rPr>
          <w:sz w:val="2"/>
          <w:szCs w:val="2"/>
        </w:rPr>
      </w:pPr>
      <w:r>
        <w:br w:type="page"/>
      </w:r>
    </w:p>
    <w:tbl>
      <w:tblPr>
        <w:tblOverlap w:val="never"/>
        <w:jc w:val="center"/>
        <w:tblLayout w:type="fixed"/>
      </w:tblPr>
      <w:tblGrid>
        <w:gridCol w:w="3461"/>
        <w:gridCol w:w="4958"/>
      </w:tblGrid>
      <w:tr>
        <w:trPr>
          <w:trHeight w:val="44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关联方名称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关联方与本公司的关系</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北亚资源控股有限公司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报告期离任董事控制或担任董事的企业</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中国智能交通系统（控股）有限公司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报告期离任董事控制或担任董事的企业</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北京即利网信息服务有限公司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报告期离任董事控制或担任董事的企业</w:t>
            </w:r>
          </w:p>
        </w:tc>
      </w:tr>
      <w:tr>
        <w:trPr>
          <w:trHeight w:val="41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北京海风联盈富投资管理有限公司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报告期离任董事控制或担任董事的企业</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海风联投资顾问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北京</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报告期离任董事控制或担任董事的企业</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传化智联股份有限公司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报告期离任董事担任董事的企业</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中弘控股股份有限公司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报告期离任董事担任董事的企业</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北京宏朗万得投资管理有限公司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报告期离任董事担任董事的企业</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深圳市集创云天新能源有限公司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报告期离任董事担任董事的企业</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珠海红塔仁恒包装股份有限公司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报告期离任董事担任董事的企业</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清大国华环境集团股份有限公司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报告期离任董事担任董事的企业</w:t>
            </w:r>
          </w:p>
        </w:tc>
      </w:tr>
      <w:tr>
        <w:trPr>
          <w:trHeight w:val="41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山西联合镁业有限公司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报告期离任董事担任董事的企业</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中冀投资股份有限公司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报告期离任董事担任董事的企业</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深圳市集创云天新材料有限公司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报告期离任董事担任董事的企业</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昆吾九鼎投资控股股份有限公司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报告期离任董事担任董事的企业</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光华天成投资股份有限公司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报告期离任董事担任董事的企业</w:t>
            </w:r>
          </w:p>
        </w:tc>
      </w:tr>
      <w:tr>
        <w:trPr>
          <w:trHeight w:val="73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乐山市商业银行股份有限公司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报告期离任董事曾担任董事的企业，该情形解除时间距离本期 期初不足</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个月</w:t>
            </w:r>
          </w:p>
        </w:tc>
      </w:tr>
      <w:tr>
        <w:trPr>
          <w:trHeight w:val="73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威联印刷厂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报告期离任监事之关系密切的家庭成员控制或担任董事、高级 管理人员的企业</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趣分期（赣州）信息技术有限公司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本公司的联营企业的子公司</w:t>
            </w:r>
          </w:p>
        </w:tc>
      </w:tr>
      <w:tr>
        <w:trPr>
          <w:trHeight w:val="41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厦门快乐时代科技有限公司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本公司的联营企业的子公司</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Qufenqi (HK) 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本公司的联营企业的子公司</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QD Technologies 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本公司的联营企业的子公司</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天津趣店融资租赁有限公司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本公司的联营企业的子公司</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QD Data 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本公司的联营企业的子公司</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厦门趣店融资租赁有限公司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本公司的联营企业的子公司</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济南趣店汽车租赁有限公司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本公司的联营企业的子公司</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温州趣店汽车租赁有限公司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本公司的联营企业的子公司</w:t>
            </w:r>
          </w:p>
        </w:tc>
      </w:tr>
      <w:tr>
        <w:trPr>
          <w:trHeight w:val="41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南昌趣店汽车租赁有限公司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本公司的联营企业的子公司</w:t>
            </w:r>
          </w:p>
        </w:tc>
      </w:tr>
      <w:tr>
        <w:trPr>
          <w:trHeight w:val="427"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宁夏趣店汽车租赁有限公司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本公司的联营企业的子公司</w:t>
            </w:r>
          </w:p>
        </w:tc>
      </w:tr>
    </w:tbl>
    <w:p>
      <w:pPr>
        <w:spacing w:lineRule="exact" w:line="1"/>
        <w:rPr>
          <w:sz w:val="2"/>
          <w:szCs w:val="2"/>
        </w:rPr>
      </w:pPr>
      <w:r>
        <w:br w:type="page"/>
      </w:r>
    </w:p>
    <w:tbl>
      <w:tblPr>
        <w:tblOverlap w:val="never"/>
        <w:jc w:val="center"/>
        <w:tblLayout w:type="fixed"/>
      </w:tblPr>
      <w:tblGrid>
        <w:gridCol w:w="3461"/>
        <w:gridCol w:w="4958"/>
      </w:tblGrid>
      <w:tr>
        <w:trPr>
          <w:trHeight w:val="44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关联方名称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关联方与本公司的关系</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石家庄趣店汽车租赁有限公司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本公司的联营企业的子公司</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甘肃趣店汽车销售有限公司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本公司的联营企业的子公司</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沈阳趣店汽车租赁有限公司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本公司的联营企业的子公司</w:t>
            </w:r>
          </w:p>
        </w:tc>
      </w:tr>
      <w:tr>
        <w:trPr>
          <w:trHeight w:val="41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重庆趣店汽车租赁有限公司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本公司的联营企业的子公司</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苏州趣店汽车租赁有限公司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本公司的联营企业的子公司</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太原趣店汽车租赁有限公司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本公司的联营企业的子公司</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厦门趣店汽车销售服务有限公司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本公司的联营企业的子公司</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郑州趣店汽车租赁有限公司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本公司的联营企业的子公司</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贵阳趣店汽车租赁有限公司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本公司的联营企业的子公司</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成都趣店汽车租赁有限公司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本公司的联营企业的子公司</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南京趣店汽车租赁有限公司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本公司的联营企业的子公司</w:t>
            </w:r>
          </w:p>
        </w:tc>
      </w:tr>
      <w:tr>
        <w:trPr>
          <w:trHeight w:val="41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长沙趣店汽车租赁有限公司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本公司的联营企业的子公司</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重庆大白汽车租赁有限公司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本公司的联营企业的子公司</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厦门信诚友达融资担保有限公司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本公司的联营企业的子公司</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厦门友契科技有限公司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本公司的联营企业的子公司</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厦门友盾科技有限公司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本公司的联营企业的子公司</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厦门优享时代科技服务有限公司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本公司的联营企业的子公司</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北京快乐时代科技发展有限公司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本公司的联营企业的子公司</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厦门趣店科技有限公司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本公司的联营企业的子公司</w:t>
            </w:r>
          </w:p>
        </w:tc>
      </w:tr>
      <w:tr>
        <w:trPr>
          <w:trHeight w:val="41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湖南趣店科技发展有限公司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本公司的联营企业的子公司</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赣州趣店科技有限公司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本公司的联营企业的子公司</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厦门唯谱家科技有限公司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本公司的联营企业的子公司</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厦门趣加加科技发展有限公司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本公司的联营企业的子公司</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赣州快乐分期网络服务有限公司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本公司的联营企业的子公司</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新疆趣店科技有限公司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本公司的联营企业的子公司</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抚州高新区趣分期小额贷款有限公司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本公司的联营企业的子公司</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赣州快乐生活网络小额贷款有限公司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本公司的联营企业的子公司</w:t>
            </w:r>
          </w:p>
        </w:tc>
      </w:tr>
      <w:tr>
        <w:trPr>
          <w:trHeight w:val="41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趣分期</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北京</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本公司的联营企业的子公司</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抚州快乐时代科技发展有限公司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本公司的联营企业的子公司</w:t>
            </w:r>
          </w:p>
        </w:tc>
      </w:tr>
      <w:tr>
        <w:trPr>
          <w:trHeight w:val="427"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厦门趣店商业保理有限公司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本公司的联营企业的子公司</w:t>
            </w:r>
          </w:p>
        </w:tc>
      </w:tr>
    </w:tbl>
    <w:p>
      <w:pPr>
        <w:spacing w:lineRule="exact" w:line="1"/>
        <w:rPr>
          <w:sz w:val="2"/>
          <w:szCs w:val="2"/>
        </w:rPr>
      </w:pPr>
      <w:r>
        <w:br w:type="page"/>
      </w:r>
    </w:p>
    <w:tbl>
      <w:tblPr>
        <w:tblOverlap w:val="never"/>
        <w:jc w:val="center"/>
        <w:tblLayout w:type="fixed"/>
      </w:tblPr>
      <w:tblGrid>
        <w:gridCol w:w="3461"/>
        <w:gridCol w:w="4958"/>
      </w:tblGrid>
      <w:tr>
        <w:trPr>
          <w:trHeight w:val="44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关联方名称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关联方与本公司的关系</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赣州快乐分期科技发展有限公司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本公司的联营企业的子公司</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赣州快乐时代电子商务有限公司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本公司的联营企业的子公司</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厦门均达网络科技有限公司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本公司的联营企业的子公司</w:t>
            </w:r>
          </w:p>
        </w:tc>
      </w:tr>
      <w:tr>
        <w:trPr>
          <w:trHeight w:val="41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天津趣分期科技有限公司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本公司的联营企业的子公司</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天津快乐分期科技发展有限公司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本公司的联营企业的子公司</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湖南快乐时代科技发展有限公司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本公司的联营企业的子公司</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宜黄县趣店科技发展有限公司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本公司的联营企业的子公司</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江西春眠科技发展有限公司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本公司的联营企业的子公司</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北京快乐分期科技发展有限公司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本公司的联营企业的子公司</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赣州趣店商贸发展有限公司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本公司的联营企业的子公司</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天津快乐时代科技发展有限公司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本公司的联营企业的子公司</w:t>
            </w:r>
          </w:p>
        </w:tc>
      </w:tr>
      <w:tr>
        <w:trPr>
          <w:trHeight w:val="41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厦门万里目科技有限公司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本公司的联营企业的子公司</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厦门梅花天使股权投资管理有限公司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本公司的联营企业的子公司</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宁波航海时代投资管理有限公司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本公司的联营企业的子公司</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青岛梅花天使投资管理有限公司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本公司的联营企业的子公司</w:t>
            </w:r>
          </w:p>
        </w:tc>
      </w:tr>
      <w:tr>
        <w:trPr>
          <w:trHeight w:val="44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乐意宝科技（北京）有限公司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本公司的联营企业的子公司</w:t>
            </w:r>
          </w:p>
        </w:tc>
      </w:tr>
    </w:tbl>
    <w:p>
      <w:pPr>
        <w:widowControl w:val="0"/>
        <w:spacing w:after="159" w:line="1" w:lineRule="exact"/>
      </w:pPr>
    </w:p>
    <w:p>
      <w:pPr>
        <w:pStyle w:val="Style16"/>
        <w:keepNext w:val="0"/>
        <w:keepLines w:val="0"/>
        <w:widowControl w:val="0"/>
        <w:shd w:val="clear" w:color="auto" w:fill="auto"/>
        <w:bidi w:val="0"/>
        <w:spacing w:before="0" w:after="320" w:line="240" w:lineRule="auto"/>
        <w:ind w:left="0" w:right="0" w:firstLine="480"/>
        <w:jc w:val="left"/>
      </w:pPr>
      <w:bookmarkStart w:id="1762" w:name="bookmark1762"/>
      <w:bookmarkStart w:id="1763" w:name="bookmark1763"/>
      <w:r>
        <w:rPr>
          <w:b/>
          <w:bCs/>
          <w:color w:val="000000"/>
          <w:spacing w:val="0"/>
          <w:w w:val="100"/>
          <w:position w:val="0"/>
        </w:rPr>
        <w:t>（</w:t>
      </w:r>
      <w:bookmarkEnd w:id="1762"/>
      <w:r>
        <w:rPr>
          <w:b/>
          <w:bCs/>
          <w:color w:val="000000"/>
          <w:spacing w:val="0"/>
          <w:w w:val="100"/>
          <w:position w:val="0"/>
        </w:rPr>
        <w:t>五）关联方交易</w:t>
      </w:r>
      <w:bookmarkEnd w:id="1763"/>
    </w:p>
    <w:p>
      <w:pPr>
        <w:pStyle w:val="Style51"/>
        <w:keepNext/>
        <w:keepLines/>
        <w:widowControl w:val="0"/>
        <w:shd w:val="clear" w:color="auto" w:fill="auto"/>
        <w:bidi w:val="0"/>
        <w:spacing w:before="0" w:after="160" w:line="240" w:lineRule="auto"/>
        <w:ind w:left="0" w:right="0" w:firstLine="480"/>
        <w:jc w:val="left"/>
      </w:pPr>
      <w:bookmarkStart w:id="1764" w:name="bookmark1764"/>
      <w:bookmarkStart w:id="1765" w:name="bookmark1765"/>
      <w:bookmarkStart w:id="1766" w:name="bookmark1766"/>
      <w:r>
        <w:rPr>
          <w:color w:val="000000"/>
          <w:spacing w:val="0"/>
          <w:w w:val="100"/>
          <w:position w:val="0"/>
        </w:rPr>
        <w:t>1.</w:t>
      </w:r>
      <w:r>
        <w:rPr>
          <w:color w:val="000000"/>
          <w:spacing w:val="0"/>
          <w:w w:val="100"/>
          <w:position w:val="0"/>
        </w:rPr>
        <w:t>购买商品、接受劳务的关联交易</w:t>
      </w:r>
      <w:bookmarkEnd w:id="1764"/>
      <w:bookmarkEnd w:id="1765"/>
      <w:bookmarkEnd w:id="1766"/>
    </w:p>
    <w:tbl>
      <w:tblPr>
        <w:tblOverlap w:val="never"/>
        <w:jc w:val="center"/>
        <w:tblLayout w:type="fixed"/>
      </w:tblPr>
      <w:tblGrid>
        <w:gridCol w:w="2664"/>
        <w:gridCol w:w="1872"/>
        <w:gridCol w:w="2011"/>
        <w:gridCol w:w="1795"/>
      </w:tblGrid>
      <w:tr>
        <w:trPr>
          <w:trHeight w:val="37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关联交易内容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本期发生额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上期发生额</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5" w:lineRule="exact"/>
              <w:ind w:left="140" w:right="0" w:firstLine="0"/>
              <w:jc w:val="left"/>
              <w:rPr>
                <w:sz w:val="18"/>
                <w:szCs w:val="18"/>
              </w:rPr>
            </w:pPr>
            <w:r>
              <w:rPr>
                <w:color w:val="000000"/>
                <w:spacing w:val="0"/>
                <w:w w:val="100"/>
                <w:position w:val="0"/>
                <w:sz w:val="18"/>
                <w:szCs w:val="18"/>
              </w:rPr>
              <w:t>珠海凡泰极客科技有限责任公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软件技术服务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155,471.70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661,568.88</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35" w:lineRule="exact"/>
              <w:ind w:left="140" w:right="0" w:firstLine="0"/>
              <w:jc w:val="left"/>
              <w:rPr>
                <w:sz w:val="18"/>
                <w:szCs w:val="18"/>
              </w:rPr>
            </w:pPr>
            <w:r>
              <w:rPr>
                <w:color w:val="000000"/>
                <w:spacing w:val="0"/>
                <w:w w:val="100"/>
                <w:position w:val="0"/>
                <w:sz w:val="18"/>
                <w:szCs w:val="18"/>
              </w:rPr>
              <w:t>苏州梧桐汇智软件科技有限责 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软件技术服务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123,762.39</w:t>
            </w: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279,234.09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661,568.88</w:t>
            </w:r>
          </w:p>
        </w:tc>
      </w:tr>
    </w:tbl>
    <w:p>
      <w:pPr>
        <w:widowControl w:val="0"/>
        <w:spacing w:after="319" w:line="1" w:lineRule="exact"/>
      </w:pPr>
    </w:p>
    <w:p>
      <w:pPr>
        <w:pStyle w:val="Style51"/>
        <w:keepNext/>
        <w:keepLines/>
        <w:widowControl w:val="0"/>
        <w:shd w:val="clear" w:color="auto" w:fill="auto"/>
        <w:bidi w:val="0"/>
        <w:spacing w:before="0" w:after="160" w:line="240" w:lineRule="auto"/>
        <w:ind w:left="0" w:right="0" w:firstLine="480"/>
        <w:jc w:val="left"/>
      </w:pPr>
      <w:bookmarkStart w:id="1767" w:name="bookmark1767"/>
      <w:bookmarkStart w:id="1768" w:name="bookmark1768"/>
      <w:bookmarkStart w:id="1769" w:name="bookmark1769"/>
      <w:r>
        <w:rPr>
          <w:color w:val="000000"/>
          <w:spacing w:val="0"/>
          <w:w w:val="100"/>
          <w:position w:val="0"/>
        </w:rPr>
        <w:t>2.</w:t>
      </w:r>
      <w:r>
        <w:rPr>
          <w:color w:val="000000"/>
          <w:spacing w:val="0"/>
          <w:w w:val="100"/>
          <w:position w:val="0"/>
        </w:rPr>
        <w:t>销售商品、提供劳务的关联交易</w:t>
      </w:r>
      <w:bookmarkEnd w:id="1767"/>
      <w:bookmarkEnd w:id="1768"/>
      <w:bookmarkEnd w:id="1769"/>
    </w:p>
    <w:tbl>
      <w:tblPr>
        <w:tblOverlap w:val="never"/>
        <w:jc w:val="center"/>
        <w:tblLayout w:type="fixed"/>
      </w:tblPr>
      <w:tblGrid>
        <w:gridCol w:w="2894"/>
        <w:gridCol w:w="1670"/>
        <w:gridCol w:w="2011"/>
        <w:gridCol w:w="1795"/>
      </w:tblGrid>
      <w:tr>
        <w:trPr>
          <w:trHeight w:val="37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关联交易内容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本期发生额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上期发生额</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众安在线财产保险股份有限公司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5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sz w:val="18"/>
                <w:szCs w:val="18"/>
              </w:rPr>
              <w:t xml:space="preserve">广晟 </w:t>
            </w:r>
            <w:r>
              <w:rPr>
                <w:rFonts w:ascii="Times New Roman" w:eastAsia="Times New Roman" w:hAnsi="Times New Roman" w:cs="Times New Roman"/>
                <w:color w:val="000000"/>
                <w:spacing w:val="0"/>
                <w:w w:val="100"/>
                <w:position w:val="0"/>
                <w:sz w:val="18"/>
                <w:szCs w:val="18"/>
              </w:rPr>
              <w:t xml:space="preserve">MTN002 </w:t>
            </w:r>
            <w:r>
              <w:rPr>
                <w:color w:val="000000"/>
                <w:spacing w:val="0"/>
                <w:w w:val="100"/>
                <w:position w:val="0"/>
                <w:sz w:val="18"/>
                <w:szCs w:val="18"/>
              </w:rPr>
              <w:t>债券卖出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50,012,945.21</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江信基金管理有限公司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手续费及佣金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270,580.93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606,139.38</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江西赣粤高速公路股份有限公司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手续费及佣金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24,801.54</w:t>
            </w:r>
          </w:p>
        </w:tc>
        <w:tc>
          <w:tcPr>
            <w:tcBorders>
              <w:top w:val="single" w:sz="4"/>
              <w:left w:val="single" w:sz="4"/>
            </w:tcBorders>
            <w:shd w:val="clear" w:color="auto" w:fill="FFFFFF"/>
            <w:vAlign w:val="top"/>
          </w:tcPr>
          <w:p>
            <w:pPr>
              <w:widowControl w:val="0"/>
              <w:rPr>
                <w:sz w:val="10"/>
                <w:szCs w:val="10"/>
              </w:rPr>
            </w:pPr>
          </w:p>
        </w:tc>
      </w:tr>
      <w:tr>
        <w:trPr>
          <w:trHeight w:val="58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35" w:lineRule="exact"/>
              <w:ind w:left="140" w:right="0" w:firstLine="0"/>
              <w:jc w:val="left"/>
              <w:rPr>
                <w:sz w:val="18"/>
                <w:szCs w:val="18"/>
              </w:rPr>
            </w:pPr>
            <w:r>
              <w:rPr>
                <w:color w:val="000000"/>
                <w:spacing w:val="0"/>
                <w:w w:val="100"/>
                <w:position w:val="0"/>
                <w:sz w:val="18"/>
                <w:szCs w:val="18"/>
              </w:rPr>
              <w:t>雪松国际信托股份有限公司（中江 国际信托股份有限公司）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手续费及佣金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45,251.38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577,982.88</w:t>
            </w:r>
          </w:p>
        </w:tc>
      </w:tr>
    </w:tbl>
    <w:tbl>
      <w:tblPr>
        <w:tblOverlap w:val="never"/>
        <w:jc w:val="center"/>
        <w:tblLayout w:type="fixed"/>
      </w:tblPr>
      <w:tblGrid>
        <w:gridCol w:w="2894"/>
        <w:gridCol w:w="1670"/>
        <w:gridCol w:w="2011"/>
        <w:gridCol w:w="1795"/>
      </w:tblGrid>
      <w:tr>
        <w:trPr>
          <w:trHeight w:val="37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关联交易内容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上期发生额</w:t>
            </w:r>
          </w:p>
        </w:tc>
      </w:tr>
      <w:tr>
        <w:trPr>
          <w:trHeight w:val="432"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50,353,579.06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1,184,122.26</w:t>
            </w:r>
          </w:p>
        </w:tc>
      </w:tr>
    </w:tbl>
    <w:p>
      <w:pPr>
        <w:widowControl w:val="0"/>
        <w:spacing w:after="299" w:line="1" w:lineRule="exact"/>
      </w:pPr>
    </w:p>
    <w:p>
      <w:pPr>
        <w:pStyle w:val="Style51"/>
        <w:keepNext/>
        <w:keepLines/>
        <w:widowControl w:val="0"/>
        <w:numPr>
          <w:ilvl w:val="0"/>
          <w:numId w:val="113"/>
        </w:numPr>
        <w:shd w:val="clear" w:color="auto" w:fill="auto"/>
        <w:bidi w:val="0"/>
        <w:spacing w:before="0" w:after="200" w:line="240" w:lineRule="auto"/>
        <w:ind w:left="0" w:right="0" w:firstLine="320"/>
        <w:jc w:val="left"/>
      </w:pPr>
      <w:bookmarkStart w:id="1770" w:name="bookmark1770"/>
      <w:bookmarkStart w:id="1771" w:name="bookmark1771"/>
      <w:bookmarkStart w:id="1772" w:name="bookmark1772"/>
      <w:bookmarkStart w:id="1773" w:name="bookmark1773"/>
      <w:bookmarkEnd w:id="1772"/>
      <w:r>
        <w:rPr>
          <w:color w:val="000000"/>
          <w:spacing w:val="0"/>
          <w:w w:val="100"/>
          <w:position w:val="0"/>
        </w:rPr>
        <w:t>关联方资产转让、债务重组情况</w:t>
      </w:r>
      <w:bookmarkEnd w:id="1770"/>
      <w:bookmarkEnd w:id="1771"/>
      <w:bookmarkEnd w:id="1773"/>
    </w:p>
    <w:tbl>
      <w:tblPr>
        <w:tblOverlap w:val="never"/>
        <w:jc w:val="center"/>
        <w:tblLayout w:type="fixed"/>
      </w:tblPr>
      <w:tblGrid>
        <w:gridCol w:w="2846"/>
        <w:gridCol w:w="1690"/>
        <w:gridCol w:w="2006"/>
        <w:gridCol w:w="1800"/>
      </w:tblGrid>
      <w:tr>
        <w:trPr>
          <w:trHeight w:val="37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关联交易内容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本期发生额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珠海凡泰极客科技有限责任公司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硬件设备转让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145,892.40</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35" w:lineRule="exact"/>
              <w:ind w:left="140" w:right="0" w:firstLine="0"/>
              <w:jc w:val="left"/>
              <w:rPr>
                <w:sz w:val="18"/>
                <w:szCs w:val="18"/>
              </w:rPr>
            </w:pPr>
            <w:r>
              <w:rPr>
                <w:color w:val="000000"/>
                <w:spacing w:val="0"/>
                <w:w w:val="100"/>
                <w:position w:val="0"/>
                <w:sz w:val="18"/>
                <w:szCs w:val="18"/>
              </w:rPr>
              <w:t>苏州梧桐汇智软件科技有限责任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采购无形资产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346,534.65</w:t>
            </w: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492,427.05</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299" w:line="1" w:lineRule="exact"/>
      </w:pPr>
    </w:p>
    <w:p>
      <w:pPr>
        <w:pStyle w:val="Style51"/>
        <w:keepNext/>
        <w:keepLines/>
        <w:widowControl w:val="0"/>
        <w:numPr>
          <w:ilvl w:val="0"/>
          <w:numId w:val="113"/>
        </w:numPr>
        <w:shd w:val="clear" w:color="auto" w:fill="auto"/>
        <w:tabs>
          <w:tab w:pos="738" w:val="left"/>
        </w:tabs>
        <w:bidi w:val="0"/>
        <w:spacing w:before="0" w:after="200" w:line="240" w:lineRule="auto"/>
        <w:ind w:left="0" w:right="0" w:firstLine="380"/>
        <w:jc w:val="left"/>
      </w:pPr>
      <w:bookmarkStart w:id="1774" w:name="bookmark1774"/>
      <w:bookmarkStart w:id="1775" w:name="bookmark1775"/>
      <w:bookmarkStart w:id="1776" w:name="bookmark1776"/>
      <w:bookmarkStart w:id="1777" w:name="bookmark1777"/>
      <w:bookmarkEnd w:id="1776"/>
      <w:r>
        <w:rPr>
          <w:color w:val="000000"/>
          <w:spacing w:val="0"/>
          <w:w w:val="100"/>
          <w:position w:val="0"/>
        </w:rPr>
        <w:t>关联托管情况</w:t>
      </w:r>
      <w:bookmarkEnd w:id="1774"/>
      <w:bookmarkEnd w:id="1775"/>
      <w:bookmarkEnd w:id="1777"/>
    </w:p>
    <w:p>
      <w:pPr>
        <w:pStyle w:val="Style16"/>
        <w:keepNext w:val="0"/>
        <w:keepLines w:val="0"/>
        <w:widowControl w:val="0"/>
        <w:shd w:val="clear" w:color="auto" w:fill="auto"/>
        <w:bidi w:val="0"/>
        <w:spacing w:before="0" w:after="200" w:line="240" w:lineRule="auto"/>
        <w:ind w:left="0" w:right="0" w:firstLine="380"/>
        <w:jc w:val="left"/>
      </w:pPr>
      <w:r>
        <w:rPr>
          <w:color w:val="000000"/>
          <w:spacing w:val="0"/>
          <w:w w:val="100"/>
          <w:position w:val="0"/>
        </w:rPr>
        <w:t>本期无此事项。</w:t>
      </w:r>
    </w:p>
    <w:p>
      <w:pPr>
        <w:pStyle w:val="Style51"/>
        <w:keepNext/>
        <w:keepLines/>
        <w:widowControl w:val="0"/>
        <w:numPr>
          <w:ilvl w:val="0"/>
          <w:numId w:val="113"/>
        </w:numPr>
        <w:shd w:val="clear" w:color="auto" w:fill="auto"/>
        <w:tabs>
          <w:tab w:pos="738" w:val="left"/>
        </w:tabs>
        <w:bidi w:val="0"/>
        <w:spacing w:before="0" w:after="200" w:line="240" w:lineRule="auto"/>
        <w:ind w:left="0" w:right="0" w:firstLine="380"/>
        <w:jc w:val="left"/>
      </w:pPr>
      <w:bookmarkStart w:id="1778" w:name="bookmark1778"/>
      <w:bookmarkStart w:id="1779" w:name="bookmark1779"/>
      <w:bookmarkStart w:id="1780" w:name="bookmark1780"/>
      <w:bookmarkStart w:id="1781" w:name="bookmark1781"/>
      <w:bookmarkEnd w:id="1780"/>
      <w:r>
        <w:rPr>
          <w:color w:val="000000"/>
          <w:spacing w:val="0"/>
          <w:w w:val="100"/>
          <w:position w:val="0"/>
        </w:rPr>
        <w:t>关联租赁情况</w:t>
      </w:r>
      <w:bookmarkEnd w:id="1778"/>
      <w:bookmarkEnd w:id="1779"/>
      <w:bookmarkEnd w:id="1781"/>
    </w:p>
    <w:p>
      <w:pPr>
        <w:pStyle w:val="Style51"/>
        <w:keepNext/>
        <w:keepLines/>
        <w:widowControl w:val="0"/>
        <w:shd w:val="clear" w:color="auto" w:fill="auto"/>
        <w:bidi w:val="0"/>
        <w:spacing w:before="0" w:after="200" w:line="240" w:lineRule="auto"/>
        <w:ind w:left="0" w:right="0" w:firstLine="380"/>
        <w:jc w:val="left"/>
      </w:pPr>
      <w:bookmarkStart w:id="1782" w:name="bookmark1782"/>
      <w:bookmarkStart w:id="1783" w:name="bookmark1783"/>
      <w:bookmarkStart w:id="1784" w:name="bookmark1784"/>
      <w:r>
        <w:rPr>
          <w:b w:val="0"/>
          <w:bCs w:val="0"/>
          <w:color w:val="000000"/>
          <w:spacing w:val="0"/>
          <w:w w:val="100"/>
          <w:position w:val="0"/>
        </w:rPr>
        <w:t>本期无此事项。</w:t>
      </w:r>
      <w:bookmarkEnd w:id="1782"/>
      <w:bookmarkEnd w:id="1783"/>
      <w:bookmarkEnd w:id="1784"/>
    </w:p>
    <w:p>
      <w:pPr>
        <w:pStyle w:val="Style51"/>
        <w:keepNext/>
        <w:keepLines/>
        <w:widowControl w:val="0"/>
        <w:numPr>
          <w:ilvl w:val="0"/>
          <w:numId w:val="113"/>
        </w:numPr>
        <w:shd w:val="clear" w:color="auto" w:fill="auto"/>
        <w:tabs>
          <w:tab w:pos="738" w:val="left"/>
        </w:tabs>
        <w:bidi w:val="0"/>
        <w:spacing w:before="0" w:after="200" w:line="240" w:lineRule="auto"/>
        <w:ind w:left="0" w:right="0" w:firstLine="380"/>
        <w:jc w:val="left"/>
      </w:pPr>
      <w:bookmarkStart w:id="1785" w:name="bookmark1785"/>
      <w:bookmarkStart w:id="1786" w:name="bookmark1786"/>
      <w:bookmarkStart w:id="1787" w:name="bookmark1787"/>
      <w:bookmarkStart w:id="1788" w:name="bookmark1788"/>
      <w:bookmarkEnd w:id="1787"/>
      <w:r>
        <w:rPr>
          <w:color w:val="000000"/>
          <w:spacing w:val="0"/>
          <w:w w:val="100"/>
          <w:position w:val="0"/>
        </w:rPr>
        <w:t>关联担保情况</w:t>
      </w:r>
      <w:bookmarkEnd w:id="1785"/>
      <w:bookmarkEnd w:id="1786"/>
      <w:bookmarkEnd w:id="1788"/>
    </w:p>
    <w:p>
      <w:pPr>
        <w:pStyle w:val="Style51"/>
        <w:keepNext/>
        <w:keepLines/>
        <w:widowControl w:val="0"/>
        <w:shd w:val="clear" w:color="auto" w:fill="auto"/>
        <w:bidi w:val="0"/>
        <w:spacing w:before="0" w:after="200" w:line="240" w:lineRule="auto"/>
        <w:ind w:left="0" w:right="0" w:firstLine="380"/>
        <w:jc w:val="left"/>
      </w:pPr>
      <w:bookmarkStart w:id="1789" w:name="bookmark1789"/>
      <w:bookmarkStart w:id="1790" w:name="bookmark1790"/>
      <w:bookmarkStart w:id="1791" w:name="bookmark1791"/>
      <w:r>
        <w:rPr>
          <w:b w:val="0"/>
          <w:bCs w:val="0"/>
          <w:color w:val="000000"/>
          <w:spacing w:val="0"/>
          <w:w w:val="100"/>
          <w:position w:val="0"/>
        </w:rPr>
        <w:t>本期无此事项。</w:t>
      </w:r>
      <w:bookmarkEnd w:id="1789"/>
      <w:bookmarkEnd w:id="1790"/>
      <w:bookmarkEnd w:id="1791"/>
    </w:p>
    <w:p>
      <w:pPr>
        <w:pStyle w:val="Style51"/>
        <w:keepNext/>
        <w:keepLines/>
        <w:widowControl w:val="0"/>
        <w:numPr>
          <w:ilvl w:val="0"/>
          <w:numId w:val="113"/>
        </w:numPr>
        <w:shd w:val="clear" w:color="auto" w:fill="auto"/>
        <w:tabs>
          <w:tab w:pos="738" w:val="left"/>
        </w:tabs>
        <w:bidi w:val="0"/>
        <w:spacing w:before="0" w:after="200" w:line="240" w:lineRule="auto"/>
        <w:ind w:left="0" w:right="0" w:firstLine="380"/>
        <w:jc w:val="left"/>
      </w:pPr>
      <w:bookmarkStart w:id="1792" w:name="bookmark1792"/>
      <w:bookmarkStart w:id="1793" w:name="bookmark1793"/>
      <w:bookmarkStart w:id="1794" w:name="bookmark1794"/>
      <w:bookmarkStart w:id="1795" w:name="bookmark1795"/>
      <w:bookmarkEnd w:id="1794"/>
      <w:r>
        <w:rPr>
          <w:color w:val="000000"/>
          <w:spacing w:val="0"/>
          <w:w w:val="100"/>
          <w:position w:val="0"/>
        </w:rPr>
        <w:t>关联方资金拆借</w:t>
      </w:r>
      <w:bookmarkEnd w:id="1792"/>
      <w:bookmarkEnd w:id="1793"/>
      <w:bookmarkEnd w:id="1795"/>
    </w:p>
    <w:p>
      <w:pPr>
        <w:pStyle w:val="Style51"/>
        <w:keepNext/>
        <w:keepLines/>
        <w:widowControl w:val="0"/>
        <w:shd w:val="clear" w:color="auto" w:fill="auto"/>
        <w:bidi w:val="0"/>
        <w:spacing w:before="0" w:after="200" w:line="240" w:lineRule="auto"/>
        <w:ind w:left="0" w:right="0" w:firstLine="380"/>
        <w:jc w:val="left"/>
      </w:pPr>
      <w:bookmarkStart w:id="1796" w:name="bookmark1796"/>
      <w:bookmarkStart w:id="1797" w:name="bookmark1797"/>
      <w:bookmarkStart w:id="1798" w:name="bookmark1798"/>
      <w:r>
        <w:rPr>
          <w:b w:val="0"/>
          <w:bCs w:val="0"/>
          <w:color w:val="000000"/>
          <w:spacing w:val="0"/>
          <w:w w:val="100"/>
          <w:position w:val="0"/>
        </w:rPr>
        <w:t>本期无此事项。</w:t>
      </w:r>
      <w:bookmarkEnd w:id="1796"/>
      <w:bookmarkEnd w:id="1797"/>
      <w:bookmarkEnd w:id="1798"/>
    </w:p>
    <w:p>
      <w:pPr>
        <w:pStyle w:val="Style51"/>
        <w:keepNext/>
        <w:keepLines/>
        <w:widowControl w:val="0"/>
        <w:numPr>
          <w:ilvl w:val="0"/>
          <w:numId w:val="113"/>
        </w:numPr>
        <w:shd w:val="clear" w:color="auto" w:fill="auto"/>
        <w:tabs>
          <w:tab w:pos="738" w:val="left"/>
        </w:tabs>
        <w:bidi w:val="0"/>
        <w:spacing w:before="0" w:after="200" w:line="240" w:lineRule="auto"/>
        <w:ind w:left="0" w:right="0" w:firstLine="380"/>
        <w:jc w:val="left"/>
      </w:pPr>
      <w:bookmarkStart w:id="1799" w:name="bookmark1799"/>
      <w:bookmarkStart w:id="1800" w:name="bookmark1800"/>
      <w:bookmarkStart w:id="1801" w:name="bookmark1801"/>
      <w:bookmarkStart w:id="1802" w:name="bookmark1802"/>
      <w:bookmarkEnd w:id="1801"/>
      <w:r>
        <w:rPr>
          <w:color w:val="000000"/>
          <w:spacing w:val="0"/>
          <w:w w:val="100"/>
          <w:position w:val="0"/>
        </w:rPr>
        <w:t>关联方资产转让、债务重组情况</w:t>
      </w:r>
      <w:bookmarkEnd w:id="1799"/>
      <w:bookmarkEnd w:id="1800"/>
      <w:bookmarkEnd w:id="1802"/>
    </w:p>
    <w:p>
      <w:pPr>
        <w:pStyle w:val="Style16"/>
        <w:keepNext w:val="0"/>
        <w:keepLines w:val="0"/>
        <w:widowControl w:val="0"/>
        <w:shd w:val="clear" w:color="auto" w:fill="auto"/>
        <w:bidi w:val="0"/>
        <w:spacing w:before="0" w:after="300" w:line="240" w:lineRule="auto"/>
        <w:ind w:left="0" w:right="0" w:firstLine="380"/>
        <w:jc w:val="left"/>
      </w:pPr>
      <w:r>
        <w:rPr>
          <w:color w:val="000000"/>
          <w:spacing w:val="0"/>
          <w:w w:val="100"/>
          <w:position w:val="0"/>
        </w:rPr>
        <w:t>本期无此事项。</w:t>
      </w:r>
    </w:p>
    <w:p>
      <w:pPr>
        <w:pStyle w:val="Style51"/>
        <w:keepNext/>
        <w:keepLines/>
        <w:widowControl w:val="0"/>
        <w:numPr>
          <w:ilvl w:val="0"/>
          <w:numId w:val="113"/>
        </w:numPr>
        <w:shd w:val="clear" w:color="auto" w:fill="auto"/>
        <w:bidi w:val="0"/>
        <w:spacing w:before="0" w:after="200" w:line="240" w:lineRule="auto"/>
        <w:ind w:left="0" w:right="0" w:firstLine="380"/>
        <w:jc w:val="left"/>
      </w:pPr>
      <w:bookmarkStart w:id="1803" w:name="bookmark1803"/>
      <w:bookmarkStart w:id="1804" w:name="bookmark1804"/>
      <w:bookmarkStart w:id="1805" w:name="bookmark1805"/>
      <w:bookmarkStart w:id="1806" w:name="bookmark1806"/>
      <w:bookmarkEnd w:id="1805"/>
      <w:r>
        <w:rPr>
          <w:color w:val="000000"/>
          <w:spacing w:val="0"/>
          <w:w w:val="100"/>
          <w:position w:val="0"/>
        </w:rPr>
        <w:t>关键管理人员薪酬</w:t>
      </w:r>
      <w:bookmarkEnd w:id="1803"/>
      <w:bookmarkEnd w:id="1804"/>
      <w:bookmarkEnd w:id="1806"/>
    </w:p>
    <w:tbl>
      <w:tblPr>
        <w:tblOverlap w:val="never"/>
        <w:jc w:val="center"/>
        <w:tblLayout w:type="fixed"/>
      </w:tblPr>
      <w:tblGrid>
        <w:gridCol w:w="3187"/>
        <w:gridCol w:w="2702"/>
        <w:gridCol w:w="2438"/>
      </w:tblGrid>
      <w:tr>
        <w:trPr>
          <w:trHeight w:val="37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379"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关键管理人员薪酬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15,261,283.78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11</w:t>
            </w:r>
            <w:r>
              <w:rPr>
                <w:rFonts w:ascii="Courier New" w:eastAsia="Courier New" w:hAnsi="Courier New" w:cs="Courier New"/>
                <w:color w:val="000000"/>
                <w:spacing w:val="0"/>
                <w:w w:val="100"/>
                <w:position w:val="0"/>
                <w:sz w:val="32"/>
                <w:szCs w:val="32"/>
              </w:rPr>
              <w:t>,</w:t>
            </w:r>
            <w:r>
              <w:rPr>
                <w:rFonts w:ascii="Times New Roman" w:eastAsia="Times New Roman" w:hAnsi="Times New Roman" w:cs="Times New Roman"/>
                <w:color w:val="000000"/>
                <w:spacing w:val="0"/>
                <w:w w:val="100"/>
                <w:position w:val="0"/>
                <w:sz w:val="18"/>
                <w:szCs w:val="18"/>
              </w:rPr>
              <w:t>719</w:t>
            </w:r>
            <w:r>
              <w:rPr>
                <w:rFonts w:ascii="Courier New" w:eastAsia="Courier New" w:hAnsi="Courier New" w:cs="Courier New"/>
                <w:color w:val="000000"/>
                <w:spacing w:val="0"/>
                <w:w w:val="100"/>
                <w:position w:val="0"/>
                <w:sz w:val="32"/>
                <w:szCs w:val="32"/>
              </w:rPr>
              <w:t>,</w:t>
            </w:r>
            <w:r>
              <w:rPr>
                <w:rFonts w:ascii="Times New Roman" w:eastAsia="Times New Roman" w:hAnsi="Times New Roman" w:cs="Times New Roman"/>
                <w:color w:val="000000"/>
                <w:spacing w:val="0"/>
                <w:w w:val="100"/>
                <w:position w:val="0"/>
                <w:sz w:val="18"/>
                <w:szCs w:val="18"/>
              </w:rPr>
              <w:t>153</w:t>
            </w:r>
            <w:r>
              <w:rPr>
                <w:rFonts w:ascii="Courier New" w:eastAsia="Courier New" w:hAnsi="Courier New" w:cs="Courier New"/>
                <w:color w:val="000000"/>
                <w:spacing w:val="0"/>
                <w:w w:val="100"/>
                <w:position w:val="0"/>
                <w:sz w:val="32"/>
                <w:szCs w:val="32"/>
              </w:rPr>
              <w:t>.</w:t>
            </w:r>
            <w:r>
              <w:rPr>
                <w:rFonts w:ascii="Times New Roman" w:eastAsia="Times New Roman" w:hAnsi="Times New Roman" w:cs="Times New Roman"/>
                <w:color w:val="000000"/>
                <w:spacing w:val="0"/>
                <w:w w:val="100"/>
                <w:position w:val="0"/>
                <w:sz w:val="18"/>
                <w:szCs w:val="18"/>
              </w:rPr>
              <w:t>57</w:t>
            </w:r>
          </w:p>
        </w:tc>
      </w:tr>
    </w:tbl>
    <w:p>
      <w:pPr>
        <w:widowControl w:val="0"/>
        <w:spacing w:after="99" w:line="1" w:lineRule="exact"/>
      </w:pPr>
    </w:p>
    <w:p>
      <w:pPr>
        <w:pStyle w:val="Style16"/>
        <w:keepNext w:val="0"/>
        <w:keepLines w:val="0"/>
        <w:widowControl w:val="0"/>
        <w:shd w:val="clear" w:color="auto" w:fill="auto"/>
        <w:bidi w:val="0"/>
        <w:spacing w:before="0" w:after="560" w:line="408" w:lineRule="exact"/>
        <w:ind w:left="0" w:right="0" w:firstLine="440"/>
        <w:jc w:val="both"/>
      </w:pPr>
      <w:r>
        <w:rPr>
          <w:color w:val="000000"/>
          <w:spacing w:val="0"/>
          <w:w w:val="100"/>
          <w:position w:val="0"/>
        </w:rPr>
        <w:t>注:关键管理人员是指有权力及责任直接或间接地计划、指令和控制本集团的活动的人 员，包括董事、监事和高级管理人员，薪酬包括基本工资、奖金、津贴、补贴、职工福利费 和各项保险费、公积金、年金以及以其他形式从公司获得的报酬。</w:t>
      </w:r>
    </w:p>
    <w:p>
      <w:pPr>
        <w:pStyle w:val="Style51"/>
        <w:keepNext/>
        <w:keepLines/>
        <w:widowControl w:val="0"/>
        <w:numPr>
          <w:ilvl w:val="0"/>
          <w:numId w:val="113"/>
        </w:numPr>
        <w:shd w:val="clear" w:color="auto" w:fill="auto"/>
        <w:bidi w:val="0"/>
        <w:spacing w:before="0" w:after="200" w:line="240" w:lineRule="auto"/>
        <w:ind w:left="0" w:right="0" w:firstLine="380"/>
        <w:jc w:val="both"/>
      </w:pPr>
      <w:bookmarkStart w:id="1807" w:name="bookmark1807"/>
      <w:bookmarkStart w:id="1808" w:name="bookmark1808"/>
      <w:bookmarkStart w:id="1809" w:name="bookmark1809"/>
      <w:bookmarkStart w:id="1810" w:name="bookmark1810"/>
      <w:bookmarkEnd w:id="1809"/>
      <w:r>
        <w:rPr>
          <w:color w:val="000000"/>
          <w:spacing w:val="0"/>
          <w:w w:val="100"/>
          <w:position w:val="0"/>
        </w:rPr>
        <w:t>其他关联交易</w:t>
      </w:r>
      <w:bookmarkEnd w:id="1807"/>
      <w:bookmarkEnd w:id="1808"/>
      <w:bookmarkEnd w:id="1810"/>
    </w:p>
    <w:tbl>
      <w:tblPr>
        <w:tblOverlap w:val="never"/>
        <w:jc w:val="center"/>
        <w:tblLayout w:type="fixed"/>
      </w:tblPr>
      <w:tblGrid>
        <w:gridCol w:w="2006"/>
        <w:gridCol w:w="2683"/>
        <w:gridCol w:w="1805"/>
        <w:gridCol w:w="1834"/>
      </w:tblGrid>
      <w:tr>
        <w:trPr>
          <w:trHeight w:val="37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交易类型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关联方名称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上期发生额</w:t>
            </w:r>
          </w:p>
        </w:tc>
      </w:tr>
      <w:tr>
        <w:trPr>
          <w:trHeight w:val="57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单一信托</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趣店四期收</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益差额补足保证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5" w:lineRule="exact"/>
              <w:ind w:left="0" w:right="0" w:firstLine="0"/>
              <w:jc w:val="both"/>
              <w:rPr>
                <w:sz w:val="18"/>
                <w:szCs w:val="18"/>
              </w:rPr>
            </w:pPr>
            <w:r>
              <w:rPr>
                <w:color w:val="000000"/>
                <w:spacing w:val="0"/>
                <w:w w:val="100"/>
                <w:position w:val="0"/>
                <w:sz w:val="18"/>
                <w:szCs w:val="18"/>
              </w:rPr>
              <w:t>北京快乐时代科技发展有限公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29,712,328.74</w:t>
            </w:r>
          </w:p>
        </w:tc>
      </w:tr>
      <w:tr>
        <w:trPr>
          <w:trHeight w:val="60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单一信托</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趣店八期收</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益差额补足保证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50" w:lineRule="exact"/>
              <w:ind w:left="0" w:right="0" w:firstLine="0"/>
              <w:jc w:val="both"/>
              <w:rPr>
                <w:sz w:val="18"/>
                <w:szCs w:val="18"/>
              </w:rPr>
            </w:pPr>
            <w:r>
              <w:rPr>
                <w:color w:val="000000"/>
                <w:spacing w:val="0"/>
                <w:w w:val="100"/>
                <w:position w:val="0"/>
                <w:sz w:val="18"/>
                <w:szCs w:val="18"/>
              </w:rPr>
              <w:t>北京快乐时代科技发展有限公 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34,169,178.07</w:t>
            </w:r>
          </w:p>
        </w:tc>
      </w:tr>
    </w:tbl>
    <w:tbl>
      <w:tblPr>
        <w:tblOverlap w:val="never"/>
        <w:jc w:val="center"/>
        <w:tblLayout w:type="fixed"/>
      </w:tblPr>
      <w:tblGrid>
        <w:gridCol w:w="2006"/>
        <w:gridCol w:w="2683"/>
        <w:gridCol w:w="1805"/>
        <w:gridCol w:w="1834"/>
      </w:tblGrid>
      <w:tr>
        <w:trPr>
          <w:trHeight w:val="37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交易类型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关联方名称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上期发生额</w:t>
            </w:r>
          </w:p>
        </w:tc>
      </w:tr>
      <w:tr>
        <w:trPr>
          <w:trHeight w:val="57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exact"/>
              <w:ind w:left="140" w:right="0" w:firstLine="0"/>
              <w:jc w:val="left"/>
              <w:rPr>
                <w:sz w:val="18"/>
                <w:szCs w:val="18"/>
              </w:rPr>
            </w:pPr>
            <w:r>
              <w:rPr>
                <w:color w:val="000000"/>
                <w:spacing w:val="0"/>
                <w:w w:val="100"/>
                <w:position w:val="0"/>
                <w:sz w:val="18"/>
                <w:szCs w:val="18"/>
              </w:rPr>
              <w:t>单一信托</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盛信</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号 收益差额补足保证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趣分期（赣州）信息技术有限公 司、厦门趣店科技有限公司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25,680,821.93</w:t>
            </w:r>
          </w:p>
        </w:tc>
      </w:tr>
      <w:tr>
        <w:trPr>
          <w:trHeight w:val="432"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89,562,328.74</w:t>
            </w:r>
          </w:p>
        </w:tc>
      </w:tr>
    </w:tbl>
    <w:p>
      <w:pPr>
        <w:widowControl w:val="0"/>
        <w:spacing w:after="119" w:line="1" w:lineRule="exact"/>
      </w:pPr>
    </w:p>
    <w:p>
      <w:pPr>
        <w:pStyle w:val="Style51"/>
        <w:keepNext/>
        <w:keepLines/>
        <w:widowControl w:val="0"/>
        <w:numPr>
          <w:ilvl w:val="0"/>
          <w:numId w:val="113"/>
        </w:numPr>
        <w:shd w:val="clear" w:color="auto" w:fill="auto"/>
        <w:bidi w:val="0"/>
        <w:spacing w:before="0" w:after="40" w:line="410" w:lineRule="exact"/>
        <w:ind w:left="0" w:right="0" w:firstLine="440"/>
        <w:jc w:val="both"/>
      </w:pPr>
      <w:bookmarkStart w:id="1811" w:name="bookmark1811"/>
      <w:bookmarkStart w:id="1812" w:name="bookmark1812"/>
      <w:bookmarkStart w:id="1813" w:name="bookmark1813"/>
      <w:bookmarkStart w:id="1814" w:name="bookmark1814"/>
      <w:bookmarkEnd w:id="1813"/>
      <w:r>
        <w:rPr>
          <w:color w:val="000000"/>
          <w:spacing w:val="0"/>
          <w:w w:val="100"/>
          <w:position w:val="0"/>
        </w:rPr>
        <w:t>关联方应收应付款项</w:t>
      </w:r>
      <w:bookmarkEnd w:id="1811"/>
      <w:bookmarkEnd w:id="1812"/>
      <w:bookmarkEnd w:id="1814"/>
    </w:p>
    <w:p>
      <w:pPr>
        <w:pStyle w:val="Style16"/>
        <w:keepNext w:val="0"/>
        <w:keepLines w:val="0"/>
        <w:widowControl w:val="0"/>
        <w:shd w:val="clear" w:color="auto" w:fill="auto"/>
        <w:bidi w:val="0"/>
        <w:spacing w:before="0" w:after="340" w:line="410" w:lineRule="exact"/>
        <w:ind w:left="0" w:right="0" w:firstLine="440"/>
        <w:jc w:val="both"/>
      </w:pPr>
      <w:r>
        <w:rPr>
          <w:color w:val="000000"/>
          <w:spacing w:val="0"/>
          <w:w w:val="100"/>
          <w:position w:val="0"/>
        </w:rPr>
        <w:t>本期无应收应付款项余额。</w:t>
      </w:r>
    </w:p>
    <w:p>
      <w:pPr>
        <w:pStyle w:val="Style29"/>
        <w:keepNext/>
        <w:keepLines/>
        <w:widowControl w:val="0"/>
        <w:shd w:val="clear" w:color="auto" w:fill="auto"/>
        <w:bidi w:val="0"/>
        <w:spacing w:before="0" w:after="40" w:line="240" w:lineRule="auto"/>
        <w:ind w:left="0" w:right="0" w:firstLine="440"/>
        <w:jc w:val="both"/>
      </w:pPr>
      <w:bookmarkStart w:id="1815" w:name="bookmark1815"/>
      <w:bookmarkStart w:id="1816" w:name="bookmark1816"/>
      <w:bookmarkStart w:id="1817" w:name="bookmark1817"/>
      <w:r>
        <w:rPr>
          <w:color w:val="000000"/>
          <w:spacing w:val="0"/>
          <w:w w:val="100"/>
          <w:position w:val="0"/>
          <w:sz w:val="24"/>
          <w:szCs w:val="24"/>
        </w:rPr>
        <w:t>十二、股份支付</w:t>
      </w:r>
      <w:bookmarkEnd w:id="1815"/>
      <w:bookmarkEnd w:id="1816"/>
      <w:bookmarkEnd w:id="1817"/>
    </w:p>
    <w:p>
      <w:pPr>
        <w:pStyle w:val="Style16"/>
        <w:keepNext w:val="0"/>
        <w:keepLines w:val="0"/>
        <w:widowControl w:val="0"/>
        <w:shd w:val="clear" w:color="auto" w:fill="auto"/>
        <w:bidi w:val="0"/>
        <w:spacing w:before="0" w:after="200" w:line="410" w:lineRule="exact"/>
        <w:ind w:left="0" w:right="0" w:firstLine="440"/>
        <w:jc w:val="both"/>
      </w:pPr>
      <w:r>
        <w:rPr>
          <w:color w:val="000000"/>
          <w:spacing w:val="0"/>
          <w:w w:val="100"/>
          <w:position w:val="0"/>
        </w:rPr>
        <w:t>本期无此事项。</w:t>
      </w:r>
    </w:p>
    <w:p>
      <w:pPr>
        <w:pStyle w:val="Style29"/>
        <w:keepNext/>
        <w:keepLines/>
        <w:widowControl w:val="0"/>
        <w:shd w:val="clear" w:color="auto" w:fill="auto"/>
        <w:bidi w:val="0"/>
        <w:spacing w:before="0" w:after="40" w:line="240" w:lineRule="auto"/>
        <w:ind w:left="0" w:right="0" w:firstLine="440"/>
        <w:jc w:val="both"/>
      </w:pPr>
      <w:bookmarkStart w:id="1818" w:name="bookmark1818"/>
      <w:bookmarkStart w:id="1819" w:name="bookmark1819"/>
      <w:bookmarkStart w:id="1820" w:name="bookmark1820"/>
      <w:r>
        <w:rPr>
          <w:color w:val="000000"/>
          <w:spacing w:val="0"/>
          <w:w w:val="100"/>
          <w:position w:val="0"/>
          <w:sz w:val="24"/>
          <w:szCs w:val="24"/>
        </w:rPr>
        <w:t>十三、承诺及或有事项</w:t>
      </w:r>
      <w:bookmarkEnd w:id="1818"/>
      <w:bookmarkEnd w:id="1819"/>
      <w:bookmarkEnd w:id="1820"/>
    </w:p>
    <w:p>
      <w:pPr>
        <w:pStyle w:val="Style37"/>
        <w:keepNext/>
        <w:keepLines/>
        <w:widowControl w:val="0"/>
        <w:shd w:val="clear" w:color="auto" w:fill="auto"/>
        <w:tabs>
          <w:tab w:pos="1018" w:val="left"/>
        </w:tabs>
        <w:bidi w:val="0"/>
        <w:spacing w:before="0" w:after="40" w:line="410" w:lineRule="exact"/>
        <w:ind w:left="0" w:right="0" w:firstLine="440"/>
        <w:jc w:val="both"/>
      </w:pPr>
      <w:bookmarkStart w:id="1821" w:name="bookmark1821"/>
      <w:bookmarkStart w:id="1822" w:name="bookmark1822"/>
      <w:bookmarkStart w:id="1823" w:name="bookmark1823"/>
      <w:bookmarkStart w:id="1824" w:name="bookmark1824"/>
      <w:r>
        <w:rPr>
          <w:color w:val="000000"/>
          <w:spacing w:val="0"/>
          <w:w w:val="100"/>
          <w:position w:val="0"/>
        </w:rPr>
        <w:t>（</w:t>
      </w:r>
      <w:bookmarkEnd w:id="1823"/>
      <w:r>
        <w:rPr>
          <w:color w:val="000000"/>
          <w:spacing w:val="0"/>
          <w:w w:val="100"/>
          <w:position w:val="0"/>
        </w:rPr>
        <w:t>一）</w:t>
        <w:tab/>
        <w:t>重要承诺事项</w:t>
      </w:r>
      <w:bookmarkEnd w:id="1821"/>
      <w:bookmarkEnd w:id="1822"/>
      <w:bookmarkEnd w:id="1824"/>
    </w:p>
    <w:p>
      <w:pPr>
        <w:pStyle w:val="Style16"/>
        <w:keepNext w:val="0"/>
        <w:keepLines w:val="0"/>
        <w:widowControl w:val="0"/>
        <w:shd w:val="clear" w:color="auto" w:fill="auto"/>
        <w:bidi w:val="0"/>
        <w:spacing w:before="0" w:after="420" w:line="410" w:lineRule="exact"/>
        <w:ind w:left="0" w:right="0" w:firstLine="440"/>
        <w:jc w:val="both"/>
      </w:pPr>
      <w:r>
        <w:rPr>
          <w:color w:val="000000"/>
          <w:spacing w:val="0"/>
          <w:w w:val="100"/>
          <w:position w:val="0"/>
        </w:rPr>
        <w:t>子公司香港投资于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月签署无约束力意向书，自愿锁定所持趣店股份</w:t>
      </w:r>
      <w:r>
        <w:rPr>
          <w:rFonts w:ascii="Times New Roman" w:eastAsia="Times New Roman" w:hAnsi="Times New Roman" w:cs="Times New Roman"/>
          <w:color w:val="000000"/>
          <w:spacing w:val="0"/>
          <w:w w:val="100"/>
          <w:position w:val="0"/>
        </w:rPr>
        <w:t>360</w:t>
      </w:r>
      <w:r>
        <w:rPr>
          <w:color w:val="000000"/>
          <w:spacing w:val="0"/>
          <w:w w:val="100"/>
          <w:position w:val="0"/>
        </w:rPr>
        <w:t>天。</w:t>
      </w:r>
    </w:p>
    <w:p>
      <w:pPr>
        <w:pStyle w:val="Style37"/>
        <w:keepNext/>
        <w:keepLines/>
        <w:widowControl w:val="0"/>
        <w:shd w:val="clear" w:color="auto" w:fill="auto"/>
        <w:tabs>
          <w:tab w:pos="1018" w:val="left"/>
        </w:tabs>
        <w:bidi w:val="0"/>
        <w:spacing w:before="0" w:after="40" w:line="410" w:lineRule="exact"/>
        <w:ind w:left="0" w:right="0" w:firstLine="440"/>
        <w:jc w:val="both"/>
      </w:pPr>
      <w:bookmarkStart w:id="1825" w:name="bookmark1825"/>
      <w:bookmarkStart w:id="1826" w:name="bookmark1826"/>
      <w:bookmarkStart w:id="1827" w:name="bookmark1827"/>
      <w:bookmarkStart w:id="1828" w:name="bookmark1828"/>
      <w:r>
        <w:rPr>
          <w:color w:val="000000"/>
          <w:spacing w:val="0"/>
          <w:w w:val="100"/>
          <w:position w:val="0"/>
        </w:rPr>
        <w:t>（</w:t>
      </w:r>
      <w:bookmarkEnd w:id="1827"/>
      <w:r>
        <w:rPr>
          <w:color w:val="000000"/>
          <w:spacing w:val="0"/>
          <w:w w:val="100"/>
          <w:position w:val="0"/>
        </w:rPr>
        <w:t>二）</w:t>
        <w:tab/>
        <w:t>资产负债表日存在的重要或有事项</w:t>
      </w:r>
      <w:bookmarkEnd w:id="1825"/>
      <w:bookmarkEnd w:id="1826"/>
      <w:bookmarkEnd w:id="1828"/>
    </w:p>
    <w:p>
      <w:pPr>
        <w:pStyle w:val="Style16"/>
        <w:keepNext w:val="0"/>
        <w:keepLines w:val="0"/>
        <w:widowControl w:val="0"/>
        <w:shd w:val="clear" w:color="auto" w:fill="auto"/>
        <w:bidi w:val="0"/>
        <w:spacing w:before="0" w:after="420" w:line="410" w:lineRule="exact"/>
        <w:ind w:left="0" w:right="0" w:firstLine="44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日，公司客户祁海燕以委托代理理财亏损为由向宝鸡市金台区人民 法院提起诉讼，状告公司、公司宝鸡行政中心证券营业部、张文学（宝鸡营业部原负责人）， 要求被告赔偿理财亏损</w:t>
      </w:r>
      <w:r>
        <w:rPr>
          <w:rFonts w:ascii="Times New Roman" w:eastAsia="Times New Roman" w:hAnsi="Times New Roman" w:cs="Times New Roman"/>
          <w:color w:val="000000"/>
          <w:spacing w:val="0"/>
          <w:w w:val="100"/>
          <w:position w:val="0"/>
        </w:rPr>
        <w:t>495</w:t>
      </w:r>
      <w:r>
        <w:rPr>
          <w:color w:val="000000"/>
          <w:spacing w:val="0"/>
          <w:w w:val="100"/>
          <w:position w:val="0"/>
        </w:rPr>
        <w:t>万元、赔偿其利息损失、退还佣金</w:t>
      </w:r>
      <w:r>
        <w:rPr>
          <w:rFonts w:ascii="Times New Roman" w:eastAsia="Times New Roman" w:hAnsi="Times New Roman" w:cs="Times New Roman"/>
          <w:color w:val="000000"/>
          <w:spacing w:val="0"/>
          <w:w w:val="100"/>
          <w:position w:val="0"/>
        </w:rPr>
        <w:t>58</w:t>
      </w:r>
      <w:r>
        <w:rPr>
          <w:color w:val="000000"/>
          <w:spacing w:val="0"/>
          <w:w w:val="100"/>
          <w:position w:val="0"/>
        </w:rPr>
        <w:t>万元、承担诉讼费用。</w:t>
      </w: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日陕西省宝鸡市金台区人民法院一审判决</w:t>
      </w:r>
      <w:r>
        <w:rPr>
          <w:color w:val="000000"/>
          <w:spacing w:val="0"/>
          <w:w w:val="100"/>
          <w:position w:val="0"/>
        </w:rPr>
        <w:t>（（</w:t>
      </w:r>
      <w:r>
        <w:rPr>
          <w:rFonts w:ascii="Times New Roman" w:eastAsia="Times New Roman" w:hAnsi="Times New Roman" w:cs="Times New Roman"/>
          <w:color w:val="000000"/>
          <w:spacing w:val="0"/>
          <w:w w:val="100"/>
          <w:position w:val="0"/>
        </w:rPr>
        <w:t>2018</w:t>
      </w:r>
      <w:r>
        <w:rPr>
          <w:color w:val="000000"/>
          <w:spacing w:val="0"/>
          <w:w w:val="100"/>
          <w:position w:val="0"/>
        </w:rPr>
        <w:t>陕）</w:t>
      </w:r>
      <w:r>
        <w:rPr>
          <w:rFonts w:ascii="Times New Roman" w:eastAsia="Times New Roman" w:hAnsi="Times New Roman" w:cs="Times New Roman"/>
          <w:color w:val="000000"/>
          <w:spacing w:val="0"/>
          <w:w w:val="100"/>
          <w:position w:val="0"/>
        </w:rPr>
        <w:t>0303</w:t>
      </w:r>
      <w:r>
        <w:rPr>
          <w:color w:val="000000"/>
          <w:spacing w:val="0"/>
          <w:w w:val="100"/>
          <w:position w:val="0"/>
        </w:rPr>
        <w:t>民初</w:t>
      </w:r>
      <w:r>
        <w:rPr>
          <w:rFonts w:ascii="Times New Roman" w:eastAsia="Times New Roman" w:hAnsi="Times New Roman" w:cs="Times New Roman"/>
          <w:color w:val="000000"/>
          <w:spacing w:val="0"/>
          <w:w w:val="100"/>
          <w:position w:val="0"/>
        </w:rPr>
        <w:t>1028</w:t>
      </w:r>
      <w:r>
        <w:rPr>
          <w:color w:val="000000"/>
          <w:spacing w:val="0"/>
          <w:w w:val="100"/>
          <w:position w:val="0"/>
        </w:rPr>
        <w:t>号），驳回 祁海燕对本公司及宝鸡营业部的诉讼请求。祁海燕与张文学均不服一审判决，分别于</w:t>
      </w: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日提起上诉，</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日，陕西省宝鸡市中级人民法 院以原审法院判决认定事实不清为由撤销一审判决，并发回原审法院重审。</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 xml:space="preserve">27 </w:t>
      </w:r>
      <w:r>
        <w:rPr>
          <w:color w:val="000000"/>
          <w:spacing w:val="0"/>
          <w:w w:val="100"/>
          <w:position w:val="0"/>
        </w:rPr>
        <w:t>日，我司宝鸡营业部收到宝鸡市金台区人民法院的裁定书，法院裁定该案中止诉讼。</w:t>
      </w:r>
    </w:p>
    <w:p>
      <w:pPr>
        <w:pStyle w:val="Style16"/>
        <w:keepNext w:val="0"/>
        <w:keepLines w:val="0"/>
        <w:widowControl w:val="0"/>
        <w:shd w:val="clear" w:color="auto" w:fill="auto"/>
        <w:bidi w:val="0"/>
        <w:spacing w:before="0" w:after="600" w:line="410" w:lineRule="exact"/>
        <w:ind w:left="0" w:right="0" w:firstLine="540"/>
        <w:jc w:val="both"/>
      </w:pPr>
      <w:bookmarkStart w:id="1829" w:name="bookmark1829"/>
      <w:r>
        <w:rPr>
          <w:rFonts w:ascii="Times New Roman" w:eastAsia="Times New Roman" w:hAnsi="Times New Roman" w:cs="Times New Roman"/>
          <w:color w:val="000000"/>
          <w:spacing w:val="0"/>
          <w:w w:val="100"/>
          <w:position w:val="0"/>
        </w:rPr>
        <w:t>2</w:t>
      </w:r>
      <w:bookmarkEnd w:id="1829"/>
      <w:r>
        <w:rPr>
          <w:color w:val="000000"/>
          <w:spacing w:val="0"/>
          <w:w w:val="100"/>
          <w:position w:val="0"/>
        </w:rPr>
        <w:t>、</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月期间“国盛资管神鹰</w:t>
      </w:r>
      <w:r>
        <w:rPr>
          <w:rFonts w:ascii="Times New Roman" w:eastAsia="Times New Roman" w:hAnsi="Times New Roman" w:cs="Times New Roman"/>
          <w:color w:val="000000"/>
          <w:spacing w:val="0"/>
          <w:w w:val="100"/>
          <w:position w:val="0"/>
        </w:rPr>
        <w:t>102</w:t>
      </w:r>
      <w:r>
        <w:rPr>
          <w:color w:val="000000"/>
          <w:spacing w:val="0"/>
          <w:w w:val="100"/>
          <w:position w:val="0"/>
        </w:rPr>
        <w:t>号天业股份集合资产管理计划” 投资者先后以国盛证券资产管理有限公司未按约定履行尽职管理义务，并怠于履行管理人职 责提起诉讼，未经投资人同意，擅自和融资人签订了债务和解协议，未继续履行合同义务等 事项为由向法院提起诉讼。涉及案件</w:t>
      </w:r>
      <w:r>
        <w:rPr>
          <w:rFonts w:ascii="Times New Roman" w:eastAsia="Times New Roman" w:hAnsi="Times New Roman" w:cs="Times New Roman"/>
          <w:color w:val="000000"/>
          <w:spacing w:val="0"/>
          <w:w w:val="100"/>
          <w:position w:val="0"/>
        </w:rPr>
        <w:t>27</w:t>
      </w:r>
      <w:r>
        <w:rPr>
          <w:color w:val="000000"/>
          <w:spacing w:val="0"/>
          <w:w w:val="100"/>
          <w:position w:val="0"/>
        </w:rPr>
        <w:t>起，其中一起案件原告当庭撤诉。</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 xml:space="preserve">24 </w:t>
      </w:r>
      <w:r>
        <w:rPr>
          <w:color w:val="000000"/>
          <w:spacing w:val="0"/>
          <w:w w:val="100"/>
          <w:position w:val="0"/>
        </w:rPr>
        <w:t>日法院判决驳回原告诉讼请求；</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日，国盛证券资产管理有限公司收到投资者 上诉状共</w:t>
      </w:r>
      <w:r>
        <w:rPr>
          <w:rFonts w:ascii="Times New Roman" w:eastAsia="Times New Roman" w:hAnsi="Times New Roman" w:cs="Times New Roman"/>
          <w:color w:val="000000"/>
          <w:spacing w:val="0"/>
          <w:w w:val="100"/>
          <w:position w:val="0"/>
        </w:rPr>
        <w:t>12</w:t>
      </w:r>
      <w:r>
        <w:rPr>
          <w:color w:val="000000"/>
          <w:spacing w:val="0"/>
          <w:w w:val="100"/>
          <w:position w:val="0"/>
        </w:rPr>
        <w:t>份，</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日，本案于深圳市中级人民法院开庭审理，未当庭宣判。 我司已向深圳市中级人民法院提交中止审理申请书。</w:t>
      </w:r>
    </w:p>
    <w:p>
      <w:pPr>
        <w:pStyle w:val="Style16"/>
        <w:keepNext w:val="0"/>
        <w:keepLines w:val="0"/>
        <w:widowControl w:val="0"/>
        <w:shd w:val="clear" w:color="auto" w:fill="auto"/>
        <w:bidi w:val="0"/>
        <w:spacing w:before="0" w:after="420" w:line="240" w:lineRule="auto"/>
        <w:ind w:left="0" w:right="0" w:firstLine="440"/>
        <w:jc w:val="both"/>
      </w:pPr>
      <w:bookmarkStart w:id="1830" w:name="bookmark1830"/>
      <w:r>
        <w:rPr>
          <w:rFonts w:ascii="Times New Roman" w:eastAsia="Times New Roman" w:hAnsi="Times New Roman" w:cs="Times New Roman"/>
          <w:color w:val="000000"/>
          <w:spacing w:val="0"/>
          <w:w w:val="100"/>
          <w:position w:val="0"/>
        </w:rPr>
        <w:t>3</w:t>
      </w:r>
      <w:bookmarkEnd w:id="1830"/>
      <w:r>
        <w:rPr>
          <w:color w:val="000000"/>
          <w:spacing w:val="0"/>
          <w:w w:val="100"/>
          <w:position w:val="0"/>
        </w:rPr>
        <w:t>、国盛证券资产管理有限公司、万龙飞诉金桔莱等金融借款合同纠纷案件已于</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日上午在杭州市中级人民法院开庭；</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日，国盛证券资产管理有限公 司收到浙江省杭州市中级人民法院民事判决书；判决被告支付本金、利息、罚息。</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 xml:space="preserve">2 </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日，国盛证券资产管理有限公司收到秋林集团和天津嘉颐的上诉状，我司于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 xml:space="preserve">9 </w:t>
      </w:r>
      <w:r>
        <w:rPr>
          <w:color w:val="000000"/>
          <w:spacing w:val="0"/>
          <w:w w:val="100"/>
          <w:position w:val="0"/>
        </w:rPr>
        <w:t>月</w:t>
      </w:r>
      <w:r>
        <w:rPr>
          <w:i/>
          <w:iCs/>
          <w:color w:val="000000"/>
          <w:spacing w:val="0"/>
          <w:w w:val="100"/>
          <w:position w:val="0"/>
        </w:rPr>
        <w:t>9</w:t>
      </w:r>
      <w:r>
        <w:rPr>
          <w:color w:val="000000"/>
          <w:spacing w:val="0"/>
          <w:w w:val="100"/>
          <w:position w:val="0"/>
        </w:rPr>
        <w:t>日收到浙江省高级人民法院民事判决书，判决书已于</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日生效。</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 xml:space="preserve">15 </w:t>
      </w:r>
      <w:r>
        <w:rPr>
          <w:color w:val="000000"/>
          <w:spacing w:val="0"/>
          <w:w w:val="100"/>
          <w:position w:val="0"/>
        </w:rPr>
        <w:t>日，我司已向杭州市中级人民法院申请强制执行。</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日，国盛资管公司收到杭 州市中级人民法院执行裁定书，根据该裁定书，该案已依法立案。</w:t>
      </w:r>
    </w:p>
    <w:p>
      <w:pPr>
        <w:pStyle w:val="Style16"/>
        <w:keepNext w:val="0"/>
        <w:keepLines w:val="0"/>
        <w:widowControl w:val="0"/>
        <w:shd w:val="clear" w:color="auto" w:fill="auto"/>
        <w:tabs>
          <w:tab w:pos="730" w:val="left"/>
        </w:tabs>
        <w:bidi w:val="0"/>
        <w:spacing w:before="0" w:after="420" w:line="411" w:lineRule="exact"/>
        <w:ind w:left="0" w:right="0" w:firstLine="440"/>
        <w:jc w:val="both"/>
      </w:pPr>
      <w:bookmarkStart w:id="1831" w:name="bookmark1831"/>
      <w:r>
        <w:rPr>
          <w:rFonts w:ascii="Times New Roman" w:eastAsia="Times New Roman" w:hAnsi="Times New Roman" w:cs="Times New Roman"/>
          <w:color w:val="000000"/>
          <w:spacing w:val="0"/>
          <w:w w:val="100"/>
          <w:position w:val="0"/>
        </w:rPr>
        <w:t>4</w:t>
      </w:r>
      <w:bookmarkEnd w:id="1831"/>
      <w:r>
        <w:rPr>
          <w:color w:val="000000"/>
          <w:spacing w:val="0"/>
          <w:w w:val="100"/>
          <w:position w:val="0"/>
        </w:rPr>
        <w:t>、</w:t>
        <w:tab/>
        <w:t>国盛证券资产管理有限公司担任管理人的国盛资管神鹰</w:t>
      </w:r>
      <w:r>
        <w:rPr>
          <w:rFonts w:ascii="Times New Roman" w:eastAsia="Times New Roman" w:hAnsi="Times New Roman" w:cs="Times New Roman"/>
          <w:color w:val="000000"/>
          <w:spacing w:val="0"/>
          <w:w w:val="100"/>
          <w:position w:val="0"/>
        </w:rPr>
        <w:t>38</w:t>
      </w:r>
      <w:r>
        <w:rPr>
          <w:color w:val="000000"/>
          <w:spacing w:val="0"/>
          <w:w w:val="100"/>
          <w:position w:val="0"/>
        </w:rPr>
        <w:t>号东方金钰集合资产管理 计划，通过光大兴陇信托有限责任公司发放信托贷款，债务人东方金钰股份有限公司未按信 托贷款合同约定归还贷款本息。</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日国盛证券资产管理有限公司收到深圳市中 级人民法院发送的查封、冻结财产通知书，</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日广东省深圳市中级人民法院作 出查证结果通知书，东方金钰无可执行财产。</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日因获知被申请人有可供执行 的财产线索，国盛证券资产管理有限公司、陈宇菲已向法院提出恢复强制执行被申请人未付 的全部款项的申请，</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日，公司收到法院送达的对东方金钰大股东云南兴龙实 业相关财产采取控制措施的冻结通知书。</w:t>
      </w:r>
    </w:p>
    <w:p>
      <w:pPr>
        <w:pStyle w:val="Style16"/>
        <w:keepNext w:val="0"/>
        <w:keepLines w:val="0"/>
        <w:widowControl w:val="0"/>
        <w:shd w:val="clear" w:color="auto" w:fill="auto"/>
        <w:tabs>
          <w:tab w:pos="735" w:val="left"/>
        </w:tabs>
        <w:bidi w:val="0"/>
        <w:spacing w:before="0" w:after="40" w:line="410" w:lineRule="exact"/>
        <w:ind w:left="0" w:right="0" w:firstLine="440"/>
        <w:jc w:val="both"/>
      </w:pPr>
      <w:bookmarkStart w:id="1832" w:name="bookmark1832"/>
      <w:r>
        <w:rPr>
          <w:rFonts w:ascii="Times New Roman" w:eastAsia="Times New Roman" w:hAnsi="Times New Roman" w:cs="Times New Roman"/>
          <w:color w:val="000000"/>
          <w:spacing w:val="0"/>
          <w:w w:val="100"/>
          <w:position w:val="0"/>
        </w:rPr>
        <w:t>5</w:t>
      </w:r>
      <w:bookmarkEnd w:id="1832"/>
      <w:r>
        <w:rPr>
          <w:color w:val="000000"/>
          <w:spacing w:val="0"/>
          <w:w w:val="100"/>
          <w:position w:val="0"/>
        </w:rPr>
        <w:t>、</w:t>
        <w:tab/>
        <w:t>神鹰</w:t>
      </w:r>
      <w:r>
        <w:rPr>
          <w:rFonts w:ascii="Times New Roman" w:eastAsia="Times New Roman" w:hAnsi="Times New Roman" w:cs="Times New Roman"/>
          <w:color w:val="000000"/>
          <w:spacing w:val="0"/>
          <w:w w:val="100"/>
          <w:position w:val="0"/>
        </w:rPr>
        <w:t>100</w:t>
      </w:r>
      <w:r>
        <w:rPr>
          <w:color w:val="000000"/>
          <w:spacing w:val="0"/>
          <w:w w:val="100"/>
          <w:position w:val="0"/>
        </w:rPr>
        <w:t>号龙里生物项目投资者梁体山等</w:t>
      </w:r>
      <w:r>
        <w:rPr>
          <w:rFonts w:ascii="Times New Roman" w:eastAsia="Times New Roman" w:hAnsi="Times New Roman" w:cs="Times New Roman"/>
          <w:color w:val="000000"/>
          <w:spacing w:val="0"/>
          <w:w w:val="100"/>
          <w:position w:val="0"/>
        </w:rPr>
        <w:t>4</w:t>
      </w:r>
      <w:r>
        <w:rPr>
          <w:color w:val="000000"/>
          <w:spacing w:val="0"/>
          <w:w w:val="100"/>
          <w:position w:val="0"/>
        </w:rPr>
        <w:t>人诉国盛资管及其他相关机构财产损害 赔偿纠纷诉讼案，案件原定于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日开庭。国盛资管于庭前向法院提交了中止审 理的相关申请，并于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日收到法院对该等案件中止审理的裁定书。</w:t>
      </w:r>
    </w:p>
    <w:p>
      <w:pPr>
        <w:pStyle w:val="Style16"/>
        <w:keepNext w:val="0"/>
        <w:keepLines w:val="0"/>
        <w:widowControl w:val="0"/>
        <w:shd w:val="clear" w:color="auto" w:fill="auto"/>
        <w:bidi w:val="0"/>
        <w:spacing w:before="0" w:after="420" w:line="410" w:lineRule="exact"/>
        <w:ind w:left="0" w:right="0" w:firstLine="440"/>
        <w:jc w:val="both"/>
      </w:pPr>
      <w:r>
        <w:rPr>
          <w:color w:val="000000"/>
          <w:spacing w:val="0"/>
          <w:w w:val="100"/>
          <w:position w:val="0"/>
        </w:rPr>
        <w:t>殷虹等</w:t>
      </w:r>
      <w:r>
        <w:rPr>
          <w:rFonts w:ascii="Times New Roman" w:eastAsia="Times New Roman" w:hAnsi="Times New Roman" w:cs="Times New Roman"/>
          <w:color w:val="000000"/>
          <w:spacing w:val="0"/>
          <w:w w:val="100"/>
          <w:position w:val="0"/>
        </w:rPr>
        <w:t>20</w:t>
      </w:r>
      <w:r>
        <w:rPr>
          <w:color w:val="000000"/>
          <w:spacing w:val="0"/>
          <w:w w:val="100"/>
          <w:position w:val="0"/>
        </w:rPr>
        <w:t>个投资者以公司作为神鹰</w:t>
      </w:r>
      <w:r>
        <w:rPr>
          <w:rFonts w:ascii="Times New Roman" w:eastAsia="Times New Roman" w:hAnsi="Times New Roman" w:cs="Times New Roman"/>
          <w:color w:val="000000"/>
          <w:spacing w:val="0"/>
          <w:w w:val="100"/>
          <w:position w:val="0"/>
        </w:rPr>
        <w:t>100</w:t>
      </w:r>
      <w:r>
        <w:rPr>
          <w:color w:val="000000"/>
          <w:spacing w:val="0"/>
          <w:w w:val="100"/>
          <w:position w:val="0"/>
        </w:rPr>
        <w:t>号龙里生物项目的管理人，怠于履行管理人义 务，未尽到管理人的尽职管理义务等理由，向法院提出相关诉讼请求，要求我司承担相应的 损失，我司亦向法院申请中止审理。</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日，我司收到投资者殷虹等</w:t>
      </w:r>
      <w:r>
        <w:rPr>
          <w:rFonts w:ascii="Times New Roman" w:eastAsia="Times New Roman" w:hAnsi="Times New Roman" w:cs="Times New Roman"/>
          <w:color w:val="000000"/>
          <w:spacing w:val="0"/>
          <w:w w:val="100"/>
          <w:position w:val="0"/>
        </w:rPr>
        <w:t>20</w:t>
      </w:r>
      <w:r>
        <w:rPr>
          <w:color w:val="000000"/>
          <w:spacing w:val="0"/>
          <w:w w:val="100"/>
          <w:position w:val="0"/>
        </w:rPr>
        <w:t>人诉我司 委托理财合同纠纷案的应诉通知书、举证通知书、民事起诉状，法院亦同时出具了该等</w:t>
      </w:r>
      <w:r>
        <w:rPr>
          <w:rFonts w:ascii="Times New Roman" w:eastAsia="Times New Roman" w:hAnsi="Times New Roman" w:cs="Times New Roman"/>
          <w:color w:val="000000"/>
          <w:spacing w:val="0"/>
          <w:w w:val="100"/>
          <w:position w:val="0"/>
        </w:rPr>
        <w:t xml:space="preserve">20 </w:t>
      </w:r>
      <w:r>
        <w:rPr>
          <w:color w:val="000000"/>
          <w:spacing w:val="0"/>
          <w:w w:val="100"/>
          <w:position w:val="0"/>
        </w:rPr>
        <w:t>人案件的中止审理民事裁定书。</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日，国盛资管收到东湖法院对殷虹案件的裁 定书，根据该裁定书，殷虹等投资者诉公司案件被移送至南昌市红谷滩区人民法院处理。</w:t>
      </w:r>
    </w:p>
    <w:p>
      <w:pPr>
        <w:pStyle w:val="Style16"/>
        <w:keepNext w:val="0"/>
        <w:keepLines w:val="0"/>
        <w:widowControl w:val="0"/>
        <w:shd w:val="clear" w:color="auto" w:fill="auto"/>
        <w:tabs>
          <w:tab w:pos="726" w:val="left"/>
        </w:tabs>
        <w:bidi w:val="0"/>
        <w:spacing w:before="0" w:after="220" w:line="427" w:lineRule="exact"/>
        <w:ind w:left="0" w:right="0" w:firstLine="440"/>
        <w:jc w:val="both"/>
      </w:pPr>
      <w:bookmarkStart w:id="1833" w:name="bookmark1833"/>
      <w:r>
        <w:rPr>
          <w:rFonts w:ascii="Times New Roman" w:eastAsia="Times New Roman" w:hAnsi="Times New Roman" w:cs="Times New Roman"/>
          <w:color w:val="000000"/>
          <w:spacing w:val="0"/>
          <w:w w:val="100"/>
          <w:position w:val="0"/>
        </w:rPr>
        <w:t>6</w:t>
      </w:r>
      <w:bookmarkEnd w:id="1833"/>
      <w:r>
        <w:rPr>
          <w:color w:val="000000"/>
          <w:spacing w:val="0"/>
          <w:w w:val="100"/>
          <w:position w:val="0"/>
        </w:rPr>
        <w:t>、</w:t>
        <w:tab/>
        <w:t>截止报告批准报出日，</w:t>
      </w:r>
      <w:r>
        <w:rPr>
          <w:rFonts w:ascii="Times New Roman" w:eastAsia="Times New Roman" w:hAnsi="Times New Roman" w:cs="Times New Roman"/>
          <w:color w:val="000000"/>
          <w:spacing w:val="0"/>
          <w:w w:val="100"/>
          <w:position w:val="0"/>
        </w:rPr>
        <w:t>5</w:t>
      </w:r>
      <w:r>
        <w:rPr>
          <w:color w:val="000000"/>
          <w:spacing w:val="0"/>
          <w:w w:val="100"/>
          <w:position w:val="0"/>
        </w:rPr>
        <w:t>名公司员工对国盛证券资产管理有限公司提起劳动仲裁， 该案件目前处于劳动仲裁、起诉或法院一审阶段。</w:t>
      </w:r>
    </w:p>
    <w:p>
      <w:pPr>
        <w:pStyle w:val="Style29"/>
        <w:keepNext/>
        <w:keepLines/>
        <w:widowControl w:val="0"/>
        <w:shd w:val="clear" w:color="auto" w:fill="auto"/>
        <w:bidi w:val="0"/>
        <w:spacing w:before="0" w:after="220" w:line="240" w:lineRule="auto"/>
        <w:ind w:left="0" w:right="0" w:firstLine="440"/>
        <w:jc w:val="left"/>
      </w:pPr>
      <w:bookmarkStart w:id="1834" w:name="bookmark1834"/>
      <w:bookmarkStart w:id="1835" w:name="bookmark1835"/>
      <w:bookmarkStart w:id="1836" w:name="bookmark1836"/>
      <w:r>
        <w:rPr>
          <w:color w:val="000000"/>
          <w:spacing w:val="0"/>
          <w:w w:val="100"/>
          <w:position w:val="0"/>
          <w:sz w:val="24"/>
          <w:szCs w:val="24"/>
        </w:rPr>
        <w:t>十四、资产负债表日后事项</w:t>
      </w:r>
      <w:bookmarkEnd w:id="1834"/>
      <w:bookmarkEnd w:id="1835"/>
      <w:bookmarkEnd w:id="1836"/>
    </w:p>
    <w:p>
      <w:pPr>
        <w:pStyle w:val="Style37"/>
        <w:keepNext/>
        <w:keepLines/>
        <w:widowControl w:val="0"/>
        <w:shd w:val="clear" w:color="auto" w:fill="auto"/>
        <w:bidi w:val="0"/>
        <w:spacing w:before="0" w:after="220" w:line="240" w:lineRule="auto"/>
        <w:ind w:left="0" w:right="0" w:firstLine="440"/>
        <w:jc w:val="both"/>
      </w:pPr>
      <w:bookmarkStart w:id="1837" w:name="bookmark1837"/>
      <w:bookmarkStart w:id="1838" w:name="bookmark1838"/>
      <w:bookmarkStart w:id="1839" w:name="bookmark1839"/>
      <w:r>
        <w:rPr>
          <w:color w:val="000000"/>
          <w:spacing w:val="0"/>
          <w:w w:val="100"/>
          <w:position w:val="0"/>
        </w:rPr>
        <w:t>（一）重要的非调整事项</w:t>
      </w:r>
      <w:bookmarkEnd w:id="1837"/>
      <w:bookmarkEnd w:id="1838"/>
      <w:bookmarkEnd w:id="1839"/>
    </w:p>
    <w:p>
      <w:pPr>
        <w:pStyle w:val="Style51"/>
        <w:keepNext/>
        <w:keepLines/>
        <w:widowControl w:val="0"/>
        <w:shd w:val="clear" w:color="auto" w:fill="auto"/>
        <w:bidi w:val="0"/>
        <w:spacing w:before="0" w:after="320" w:line="240" w:lineRule="auto"/>
        <w:ind w:left="0" w:right="0" w:firstLine="440"/>
        <w:jc w:val="both"/>
        <w:sectPr>
          <w:headerReference w:type="default" r:id="rId63"/>
          <w:footerReference w:type="default" r:id="rId64"/>
          <w:footnotePr>
            <w:pos w:val="pageBottom"/>
            <w:numFmt w:val="decimal"/>
            <w:numRestart w:val="continuous"/>
          </w:footnotePr>
          <w:pgSz w:w="11900" w:h="16840"/>
          <w:pgMar w:top="1993" w:right="1716" w:bottom="1513" w:left="1721" w:header="0" w:footer="3" w:gutter="0"/>
          <w:cols w:space="720"/>
          <w:noEndnote/>
          <w:rtlGutter w:val="0"/>
          <w:docGrid w:linePitch="360"/>
        </w:sectPr>
      </w:pPr>
      <w:bookmarkStart w:id="1840" w:name="bookmark1840"/>
      <w:bookmarkStart w:id="1841" w:name="bookmark1841"/>
      <w:bookmarkStart w:id="1842" w:name="bookmark1842"/>
      <w:r>
        <w:rPr>
          <w:color w:val="000000"/>
          <w:spacing w:val="0"/>
          <w:w w:val="100"/>
          <w:position w:val="0"/>
        </w:rPr>
        <w:t>1.</w:t>
      </w:r>
      <w:r>
        <w:rPr>
          <w:color w:val="000000"/>
          <w:spacing w:val="0"/>
          <w:w w:val="100"/>
          <w:position w:val="0"/>
        </w:rPr>
        <w:t>重大经营战略调整</w:t>
      </w:r>
      <w:bookmarkEnd w:id="1840"/>
      <w:bookmarkEnd w:id="1841"/>
      <w:bookmarkEnd w:id="1842"/>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9" w:after="9" w:line="240" w:lineRule="exact"/>
        <w:rPr>
          <w:sz w:val="19"/>
          <w:szCs w:val="19"/>
        </w:rPr>
      </w:pPr>
    </w:p>
    <w:p>
      <w:pPr>
        <w:widowControl w:val="0"/>
        <w:spacing w:line="1" w:lineRule="exact"/>
        <w:sectPr>
          <w:footnotePr>
            <w:pos w:val="pageBottom"/>
            <w:numFmt w:val="decimal"/>
            <w:numRestart w:val="continuous"/>
          </w:footnotePr>
          <w:pgSz w:w="11900" w:h="16840"/>
          <w:pgMar w:top="1147" w:right="1745" w:bottom="1393" w:left="1975" w:header="0" w:footer="3" w:gutter="0"/>
          <w:cols w:space="720"/>
          <w:noEndnote/>
          <w:rtlGutter w:val="0"/>
          <w:docGrid w:linePitch="360"/>
        </w:sectPr>
      </w:pPr>
    </w:p>
    <w:p>
      <w:pPr>
        <w:pStyle w:val="Style16"/>
        <w:keepNext w:val="0"/>
        <w:keepLines w:val="0"/>
        <w:framePr w:w="4517" w:h="3437" w:wrap="none" w:vAnchor="text" w:hAnchor="page" w:x="2135" w:y="21"/>
        <w:widowControl w:val="0"/>
        <w:shd w:val="clear" w:color="auto" w:fill="auto"/>
        <w:bidi w:val="0"/>
        <w:spacing w:before="0" w:after="200" w:line="240" w:lineRule="auto"/>
        <w:ind w:left="0" w:right="0" w:firstLine="0"/>
        <w:jc w:val="left"/>
      </w:pPr>
      <w:r>
        <w:rPr>
          <w:color w:val="000000"/>
          <w:spacing w:val="0"/>
          <w:w w:val="100"/>
          <w:position w:val="0"/>
        </w:rPr>
        <w:t>无。</w:t>
      </w:r>
    </w:p>
    <w:p>
      <w:pPr>
        <w:pStyle w:val="Style37"/>
        <w:keepNext/>
        <w:keepLines/>
        <w:framePr w:w="4517" w:h="3437" w:wrap="none" w:vAnchor="text" w:hAnchor="page" w:x="2135" w:y="21"/>
        <w:widowControl w:val="0"/>
        <w:shd w:val="clear" w:color="auto" w:fill="auto"/>
        <w:tabs>
          <w:tab w:pos="547" w:val="left"/>
        </w:tabs>
        <w:bidi w:val="0"/>
        <w:spacing w:before="0" w:after="200" w:line="240" w:lineRule="auto"/>
        <w:ind w:left="0" w:right="0" w:firstLine="0"/>
        <w:jc w:val="left"/>
      </w:pPr>
      <w:bookmarkStart w:id="1843" w:name="bookmark1843"/>
      <w:bookmarkStart w:id="1844" w:name="bookmark1844"/>
      <w:bookmarkStart w:id="1845" w:name="bookmark1845"/>
      <w:bookmarkStart w:id="1846" w:name="bookmark1846"/>
      <w:r>
        <w:rPr>
          <w:color w:val="000000"/>
          <w:spacing w:val="0"/>
          <w:w w:val="100"/>
          <w:position w:val="0"/>
        </w:rPr>
        <w:t>（</w:t>
      </w:r>
      <w:bookmarkEnd w:id="1845"/>
      <w:r>
        <w:rPr>
          <w:color w:val="000000"/>
          <w:spacing w:val="0"/>
          <w:w w:val="100"/>
          <w:position w:val="0"/>
        </w:rPr>
        <w:t>二）</w:t>
        <w:tab/>
        <w:t>利润分配情况</w:t>
      </w:r>
      <w:bookmarkEnd w:id="1843"/>
      <w:bookmarkEnd w:id="1844"/>
      <w:bookmarkEnd w:id="1846"/>
    </w:p>
    <w:p>
      <w:pPr>
        <w:pStyle w:val="Style16"/>
        <w:keepNext w:val="0"/>
        <w:keepLines w:val="0"/>
        <w:framePr w:w="4517" w:h="3437" w:wrap="none" w:vAnchor="text" w:hAnchor="page" w:x="2135" w:y="21"/>
        <w:widowControl w:val="0"/>
        <w:shd w:val="clear" w:color="auto" w:fill="auto"/>
        <w:bidi w:val="0"/>
        <w:spacing w:before="0" w:after="200" w:line="240" w:lineRule="auto"/>
        <w:ind w:left="0" w:right="0" w:firstLine="0"/>
        <w:jc w:val="left"/>
      </w:pPr>
      <w:r>
        <w:rPr>
          <w:color w:val="000000"/>
          <w:spacing w:val="0"/>
          <w:w w:val="100"/>
          <w:position w:val="0"/>
        </w:rPr>
        <w:t>不派发股利、不送红股，不以公积金转增股本。</w:t>
      </w:r>
    </w:p>
    <w:p>
      <w:pPr>
        <w:pStyle w:val="Style37"/>
        <w:keepNext/>
        <w:keepLines/>
        <w:framePr w:w="4517" w:h="3437" w:wrap="none" w:vAnchor="text" w:hAnchor="page" w:x="2135" w:y="21"/>
        <w:widowControl w:val="0"/>
        <w:shd w:val="clear" w:color="auto" w:fill="auto"/>
        <w:tabs>
          <w:tab w:pos="547" w:val="left"/>
        </w:tabs>
        <w:bidi w:val="0"/>
        <w:spacing w:before="0" w:after="200" w:line="240" w:lineRule="auto"/>
        <w:ind w:left="0" w:right="0" w:firstLine="0"/>
        <w:jc w:val="left"/>
      </w:pPr>
      <w:bookmarkStart w:id="1847" w:name="bookmark1847"/>
      <w:bookmarkStart w:id="1848" w:name="bookmark1848"/>
      <w:bookmarkStart w:id="1849" w:name="bookmark1849"/>
      <w:bookmarkStart w:id="1850" w:name="bookmark1850"/>
      <w:r>
        <w:rPr>
          <w:color w:val="000000"/>
          <w:spacing w:val="0"/>
          <w:w w:val="100"/>
          <w:position w:val="0"/>
        </w:rPr>
        <w:t>（</w:t>
      </w:r>
      <w:bookmarkEnd w:id="1849"/>
      <w:r>
        <w:rPr>
          <w:color w:val="000000"/>
          <w:spacing w:val="0"/>
          <w:w w:val="100"/>
          <w:position w:val="0"/>
        </w:rPr>
        <w:t>三）</w:t>
        <w:tab/>
        <w:t>销售退回</w:t>
      </w:r>
      <w:bookmarkEnd w:id="1847"/>
      <w:bookmarkEnd w:id="1848"/>
      <w:bookmarkEnd w:id="1850"/>
    </w:p>
    <w:p>
      <w:pPr>
        <w:pStyle w:val="Style16"/>
        <w:keepNext w:val="0"/>
        <w:keepLines w:val="0"/>
        <w:framePr w:w="4517" w:h="3437" w:wrap="none" w:vAnchor="text" w:hAnchor="page" w:x="2135" w:y="21"/>
        <w:widowControl w:val="0"/>
        <w:shd w:val="clear" w:color="auto" w:fill="auto"/>
        <w:bidi w:val="0"/>
        <w:spacing w:before="0" w:after="200" w:line="240" w:lineRule="auto"/>
        <w:ind w:left="0" w:right="0" w:firstLine="0"/>
        <w:jc w:val="left"/>
      </w:pPr>
      <w:r>
        <w:rPr>
          <w:color w:val="000000"/>
          <w:spacing w:val="0"/>
          <w:w w:val="100"/>
          <w:position w:val="0"/>
        </w:rPr>
        <w:t>本期无此事项。</w:t>
      </w:r>
    </w:p>
    <w:p>
      <w:pPr>
        <w:pStyle w:val="Style37"/>
        <w:keepNext/>
        <w:keepLines/>
        <w:framePr w:w="4517" w:h="3437" w:wrap="none" w:vAnchor="text" w:hAnchor="page" w:x="2135" w:y="21"/>
        <w:widowControl w:val="0"/>
        <w:shd w:val="clear" w:color="auto" w:fill="auto"/>
        <w:tabs>
          <w:tab w:pos="547" w:val="left"/>
        </w:tabs>
        <w:bidi w:val="0"/>
        <w:spacing w:before="0" w:after="200" w:line="240" w:lineRule="auto"/>
        <w:ind w:left="0" w:right="0" w:firstLine="0"/>
        <w:jc w:val="left"/>
      </w:pPr>
      <w:bookmarkStart w:id="1851" w:name="bookmark1851"/>
      <w:bookmarkStart w:id="1852" w:name="bookmark1852"/>
      <w:bookmarkStart w:id="1853" w:name="bookmark1853"/>
      <w:bookmarkStart w:id="1854" w:name="bookmark1854"/>
      <w:r>
        <w:rPr>
          <w:color w:val="000000"/>
          <w:spacing w:val="0"/>
          <w:w w:val="100"/>
          <w:position w:val="0"/>
        </w:rPr>
        <w:t>（</w:t>
      </w:r>
      <w:bookmarkEnd w:id="1853"/>
      <w:r>
        <w:rPr>
          <w:color w:val="000000"/>
          <w:spacing w:val="0"/>
          <w:w w:val="100"/>
          <w:position w:val="0"/>
        </w:rPr>
        <w:t>四）</w:t>
        <w:tab/>
        <w:t>其他资产负债表日后事项说明</w:t>
      </w:r>
      <w:bookmarkEnd w:id="1851"/>
      <w:bookmarkEnd w:id="1852"/>
      <w:bookmarkEnd w:id="1854"/>
    </w:p>
    <w:p>
      <w:pPr>
        <w:pStyle w:val="Style16"/>
        <w:keepNext w:val="0"/>
        <w:keepLines w:val="0"/>
        <w:framePr w:w="4517" w:h="3437" w:wrap="none" w:vAnchor="text" w:hAnchor="page" w:x="2135" w:y="21"/>
        <w:widowControl w:val="0"/>
        <w:shd w:val="clear" w:color="auto" w:fill="auto"/>
        <w:bidi w:val="0"/>
        <w:spacing w:before="0" w:after="200" w:line="240" w:lineRule="auto"/>
        <w:ind w:left="0" w:right="0" w:firstLine="0"/>
        <w:jc w:val="left"/>
      </w:pPr>
      <w:r>
        <w:rPr>
          <w:color w:val="000000"/>
          <w:spacing w:val="0"/>
          <w:w w:val="100"/>
          <w:position w:val="0"/>
        </w:rPr>
        <w:t>本期无此事项。</w:t>
      </w:r>
    </w:p>
    <w:p>
      <w:pPr>
        <w:pStyle w:val="Style29"/>
        <w:keepNext/>
        <w:keepLines/>
        <w:framePr w:w="4517" w:h="3437" w:wrap="none" w:vAnchor="text" w:hAnchor="page" w:x="2135" w:y="21"/>
        <w:widowControl w:val="0"/>
        <w:shd w:val="clear" w:color="auto" w:fill="auto"/>
        <w:bidi w:val="0"/>
        <w:spacing w:before="0" w:after="200" w:line="240" w:lineRule="auto"/>
        <w:ind w:left="0" w:right="0" w:firstLine="0"/>
        <w:jc w:val="left"/>
      </w:pPr>
      <w:bookmarkStart w:id="1855" w:name="bookmark1855"/>
      <w:bookmarkStart w:id="1856" w:name="bookmark1856"/>
      <w:bookmarkStart w:id="1857" w:name="bookmark1857"/>
      <w:r>
        <w:rPr>
          <w:color w:val="000000"/>
          <w:spacing w:val="0"/>
          <w:w w:val="100"/>
          <w:position w:val="0"/>
          <w:sz w:val="24"/>
          <w:szCs w:val="24"/>
        </w:rPr>
        <w:t>十五、其他重要事项说明</w:t>
      </w:r>
      <w:bookmarkEnd w:id="1855"/>
      <w:bookmarkEnd w:id="1856"/>
      <w:bookmarkEnd w:id="1857"/>
    </w:p>
    <w:p>
      <w:pPr>
        <w:pStyle w:val="Style37"/>
        <w:keepNext/>
        <w:keepLines/>
        <w:framePr w:w="2270" w:h="264" w:wrap="none" w:vAnchor="text" w:hAnchor="page" w:x="2312" w:y="3644"/>
        <w:widowControl w:val="0"/>
        <w:shd w:val="clear" w:color="auto" w:fill="auto"/>
        <w:bidi w:val="0"/>
        <w:spacing w:before="0" w:after="0" w:line="240" w:lineRule="auto"/>
        <w:ind w:left="0" w:right="0" w:firstLine="0"/>
        <w:jc w:val="left"/>
      </w:pPr>
      <w:bookmarkStart w:id="1858" w:name="bookmark1858"/>
      <w:bookmarkStart w:id="1859" w:name="bookmark1859"/>
      <w:bookmarkStart w:id="1860" w:name="bookmark1860"/>
      <w:r>
        <w:rPr>
          <w:color w:val="000000"/>
          <w:spacing w:val="0"/>
          <w:w w:val="100"/>
          <w:position w:val="0"/>
        </w:rPr>
        <w:t>（一）前期会计差错更正</w:t>
      </w:r>
      <w:bookmarkEnd w:id="1858"/>
      <w:bookmarkEnd w:id="1859"/>
      <w:bookmarkEnd w:id="1860"/>
    </w:p>
    <w:p>
      <w:pPr>
        <w:pStyle w:val="Style16"/>
        <w:keepNext w:val="0"/>
        <w:keepLines w:val="0"/>
        <w:framePr w:w="1094" w:h="264" w:wrap="none" w:vAnchor="text" w:hAnchor="page" w:x="2197" w:y="4091"/>
        <w:widowControl w:val="0"/>
        <w:shd w:val="clear" w:color="auto" w:fill="auto"/>
        <w:bidi w:val="0"/>
        <w:spacing w:before="0" w:after="0" w:line="240" w:lineRule="auto"/>
        <w:ind w:left="0" w:right="0" w:firstLine="0"/>
        <w:jc w:val="left"/>
      </w:pPr>
      <w:r>
        <w:rPr>
          <w:color w:val="000000"/>
          <w:spacing w:val="0"/>
          <w:w w:val="100"/>
          <w:position w:val="0"/>
        </w:rPr>
        <w:t>追溯重述法</w:t>
      </w:r>
    </w:p>
    <w:p>
      <w:pPr>
        <w:pStyle w:val="Style100"/>
        <w:keepNext w:val="0"/>
        <w:keepLines w:val="0"/>
        <w:framePr w:w="1666" w:h="235" w:wrap="none" w:vAnchor="text" w:hAnchor="page" w:x="2500" w:y="4801"/>
        <w:widowControl w:val="0"/>
        <w:shd w:val="clear" w:color="auto" w:fill="auto"/>
        <w:bidi w:val="0"/>
        <w:spacing w:before="0" w:after="0" w:line="240" w:lineRule="auto"/>
        <w:ind w:left="0" w:right="0" w:firstLine="0"/>
        <w:jc w:val="left"/>
      </w:pPr>
      <w:r>
        <w:rPr>
          <w:color w:val="000000"/>
          <w:spacing w:val="0"/>
          <w:w w:val="100"/>
          <w:position w:val="0"/>
        </w:rPr>
        <w:t>会计差错更正的内容</w:t>
      </w:r>
    </w:p>
    <w:p>
      <w:pPr>
        <w:pStyle w:val="Style100"/>
        <w:keepNext w:val="0"/>
        <w:keepLines w:val="0"/>
        <w:framePr w:w="763" w:h="230" w:wrap="none" w:vAnchor="text" w:hAnchor="page" w:x="5456" w:y="4801"/>
        <w:widowControl w:val="0"/>
        <w:shd w:val="clear" w:color="auto" w:fill="auto"/>
        <w:bidi w:val="0"/>
        <w:spacing w:before="0" w:after="0" w:line="240" w:lineRule="auto"/>
        <w:ind w:left="0" w:right="0" w:firstLine="0"/>
        <w:jc w:val="left"/>
      </w:pPr>
      <w:r>
        <w:rPr>
          <w:color w:val="000000"/>
          <w:spacing w:val="0"/>
          <w:w w:val="100"/>
          <w:position w:val="0"/>
        </w:rPr>
        <w:t>处理程序</w:t>
      </w:r>
    </w:p>
    <w:p>
      <w:pPr>
        <w:pStyle w:val="Style100"/>
        <w:keepNext w:val="0"/>
        <w:keepLines w:val="0"/>
        <w:framePr w:w="1478" w:h="547" w:wrap="none" w:vAnchor="text" w:hAnchor="page" w:x="7016" w:y="4647"/>
        <w:widowControl w:val="0"/>
        <w:shd w:val="clear" w:color="auto" w:fill="auto"/>
        <w:bidi w:val="0"/>
        <w:spacing w:before="0" w:after="100" w:line="240" w:lineRule="auto"/>
        <w:ind w:left="0" w:right="0" w:firstLine="0"/>
        <w:jc w:val="center"/>
      </w:pPr>
      <w:r>
        <w:rPr>
          <w:color w:val="000000"/>
          <w:spacing w:val="0"/>
          <w:w w:val="100"/>
          <w:position w:val="0"/>
        </w:rPr>
        <w:t>受影响的报表项目</w:t>
      </w:r>
    </w:p>
    <w:p>
      <w:pPr>
        <w:pStyle w:val="Style100"/>
        <w:keepNext w:val="0"/>
        <w:keepLines w:val="0"/>
        <w:framePr w:w="1478" w:h="547" w:wrap="none" w:vAnchor="text" w:hAnchor="page" w:x="7016" w:y="4647"/>
        <w:widowControl w:val="0"/>
        <w:shd w:val="clear" w:color="auto" w:fill="auto"/>
        <w:bidi w:val="0"/>
        <w:spacing w:before="0" w:after="0" w:line="240" w:lineRule="auto"/>
        <w:ind w:left="0" w:right="0" w:firstLine="0"/>
        <w:jc w:val="center"/>
      </w:pPr>
      <w:r>
        <w:rPr>
          <w:color w:val="000000"/>
          <w:spacing w:val="0"/>
          <w:w w:val="100"/>
          <w:position w:val="0"/>
        </w:rPr>
        <w:t>名称</w:t>
      </w:r>
    </w:p>
    <w:p>
      <w:pPr>
        <w:pStyle w:val="Style116"/>
        <w:keepNext w:val="0"/>
        <w:keepLines w:val="0"/>
        <w:framePr w:w="1363" w:h="552" w:wrap="none" w:vAnchor="text" w:hAnchor="page" w:x="8682" w:y="4643"/>
        <w:widowControl w:val="0"/>
        <w:shd w:val="clear" w:color="auto" w:fill="auto"/>
        <w:bidi w:val="0"/>
        <w:spacing w:before="0" w:after="100" w:line="240" w:lineRule="auto"/>
        <w:ind w:left="0" w:right="0" w:firstLine="0"/>
        <w:jc w:val="left"/>
      </w:pPr>
      <w:r>
        <w:rPr>
          <w:color w:val="000000"/>
          <w:spacing w:val="0"/>
          <w:w w:val="100"/>
          <w:position w:val="0"/>
        </w:rPr>
        <w:t>2019</w:t>
      </w:r>
      <w:r>
        <w:rPr>
          <w:rFonts w:ascii="SimSun" w:eastAsia="SimSun" w:hAnsi="SimSun" w:cs="SimSun"/>
          <w:color w:val="000000"/>
          <w:spacing w:val="0"/>
          <w:w w:val="100"/>
          <w:position w:val="0"/>
        </w:rPr>
        <w:t>年度及</w:t>
      </w:r>
      <w:r>
        <w:rPr>
          <w:color w:val="000000"/>
          <w:spacing w:val="0"/>
          <w:w w:val="100"/>
          <w:position w:val="0"/>
        </w:rPr>
        <w:t>2019</w:t>
      </w:r>
    </w:p>
    <w:p>
      <w:pPr>
        <w:pStyle w:val="Style100"/>
        <w:keepNext w:val="0"/>
        <w:keepLines w:val="0"/>
        <w:framePr w:w="1363" w:h="552" w:wrap="none" w:vAnchor="text" w:hAnchor="page" w:x="8682" w:y="4643"/>
        <w:widowControl w:val="0"/>
        <w:shd w:val="clear" w:color="auto" w:fill="auto"/>
        <w:bidi w:val="0"/>
        <w:spacing w:before="0" w:after="0" w:line="240" w:lineRule="auto"/>
        <w:ind w:left="0" w:right="0" w:firstLine="0"/>
        <w:jc w:val="left"/>
      </w:pPr>
      <w:r>
        <w:rPr>
          <w:color w:val="000000"/>
          <w:spacing w:val="0"/>
          <w:w w:val="100"/>
          <w:position w:val="0"/>
        </w:rPr>
        <w:t>年期末影响金额</w:t>
      </w:r>
    </w:p>
    <w:p>
      <w:pPr>
        <w:pStyle w:val="Style100"/>
        <w:keepNext w:val="0"/>
        <w:keepLines w:val="0"/>
        <w:framePr w:w="2746" w:h="3139" w:wrap="none" w:vAnchor="text" w:hAnchor="page" w:x="1976" w:y="6188"/>
        <w:widowControl w:val="0"/>
        <w:shd w:val="clear" w:color="auto" w:fill="auto"/>
        <w:bidi w:val="0"/>
        <w:spacing w:before="0" w:after="0" w:line="312" w:lineRule="exact"/>
        <w:ind w:left="0" w:right="0" w:firstLine="0"/>
        <w:jc w:val="both"/>
      </w:pPr>
      <w:r>
        <w:rPr>
          <w:color w:val="000000"/>
          <w:spacing w:val="0"/>
          <w:w w:val="100"/>
          <w:position w:val="0"/>
        </w:rPr>
        <w:t>公司根据企业会计准则及公司会 计政策，对</w:t>
      </w:r>
      <w:r>
        <w:rPr>
          <w:rFonts w:ascii="Times New Roman" w:eastAsia="Times New Roman" w:hAnsi="Times New Roman" w:cs="Times New Roman"/>
          <w:color w:val="000000"/>
          <w:spacing w:val="0"/>
          <w:w w:val="100"/>
          <w:position w:val="0"/>
        </w:rPr>
        <w:t>2019</w:t>
      </w:r>
      <w:r>
        <w:rPr>
          <w:color w:val="000000"/>
          <w:spacing w:val="0"/>
          <w:w w:val="100"/>
          <w:position w:val="0"/>
        </w:rPr>
        <w:t>年度审计工作中 审计机构出具保留意见的事项进 行了梳理和核实，年审机构认为公 司自投资初始即对被投资单位趣 店实施重大影响，公司充分尊重年 审机构意见，重新评估能够对被投 资单位趣店实施重大影响的时点， 作出恰当判断和会计处理，并对涉 及年度的财务报表进行追溯重述。</w:t>
      </w:r>
    </w:p>
    <w:p>
      <w:pPr>
        <w:pStyle w:val="Style100"/>
        <w:keepNext w:val="0"/>
        <w:keepLines w:val="0"/>
        <w:framePr w:w="1958" w:h="1891" w:wrap="none" w:vAnchor="text" w:hAnchor="page" w:x="4861" w:y="6812"/>
        <w:widowControl w:val="0"/>
        <w:shd w:val="clear" w:color="auto" w:fill="auto"/>
        <w:bidi w:val="0"/>
        <w:spacing w:before="0" w:after="0" w:line="312" w:lineRule="exact"/>
        <w:ind w:left="0" w:right="0" w:firstLine="0"/>
        <w:jc w:val="both"/>
      </w:pPr>
      <w:r>
        <w:rPr>
          <w:color w:val="000000"/>
          <w:spacing w:val="0"/>
          <w:w w:val="100"/>
          <w:position w:val="0"/>
        </w:rPr>
        <w:t>本项差错更正经公司第 四届董事会第十三次会 议暨</w:t>
      </w:r>
      <w:r>
        <w:rPr>
          <w:rFonts w:ascii="Times New Roman" w:eastAsia="Times New Roman" w:hAnsi="Times New Roman" w:cs="Times New Roman"/>
          <w:color w:val="000000"/>
          <w:spacing w:val="0"/>
          <w:w w:val="100"/>
          <w:position w:val="0"/>
        </w:rPr>
        <w:t>2020</w:t>
      </w:r>
      <w:r>
        <w:rPr>
          <w:color w:val="000000"/>
          <w:spacing w:val="0"/>
          <w:w w:val="100"/>
          <w:position w:val="0"/>
        </w:rPr>
        <w:t>年度董事会审 议通过，本期采用追溯重 述法对该项差错进行了 更正。</w:t>
      </w:r>
    </w:p>
    <w:tbl>
      <w:tblPr>
        <w:tblOverlap w:val="never"/>
        <w:jc w:val="left"/>
        <w:tblLayout w:type="fixed"/>
      </w:tblPr>
      <w:tblGrid>
        <w:gridCol w:w="1714"/>
        <w:gridCol w:w="1550"/>
      </w:tblGrid>
      <w:tr>
        <w:trPr>
          <w:trHeight w:val="302" w:hRule="exact"/>
        </w:trPr>
        <w:tc>
          <w:tcPr>
            <w:tcBorders>
              <w:left w:val="single" w:sz="4"/>
            </w:tcBorders>
            <w:shd w:val="clear" w:color="auto" w:fill="FFFFFF"/>
            <w:vAlign w:val="top"/>
          </w:tcPr>
          <w:p>
            <w:pPr>
              <w:pStyle w:val="Style2"/>
              <w:keepNext w:val="0"/>
              <w:keepLines w:val="0"/>
              <w:framePr w:w="3264" w:h="4978" w:wrap="none" w:vAnchor="text" w:hAnchor="page" w:x="6892" w:y="5367"/>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长期股权投资</w:t>
            </w:r>
          </w:p>
        </w:tc>
        <w:tc>
          <w:tcPr>
            <w:tcBorders>
              <w:left w:val="single" w:sz="4"/>
            </w:tcBorders>
            <w:shd w:val="clear" w:color="auto" w:fill="FFFFFF"/>
            <w:vAlign w:val="top"/>
          </w:tcPr>
          <w:p>
            <w:pPr>
              <w:pStyle w:val="Style2"/>
              <w:keepNext w:val="0"/>
              <w:keepLines w:val="0"/>
              <w:framePr w:w="3264" w:h="4978" w:wrap="none" w:vAnchor="text" w:hAnchor="page" w:x="6892" w:y="5367"/>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147,835,533.62</w:t>
            </w:r>
          </w:p>
        </w:tc>
      </w:tr>
      <w:tr>
        <w:trPr>
          <w:trHeight w:val="403" w:hRule="exact"/>
        </w:trPr>
        <w:tc>
          <w:tcPr>
            <w:tcBorders>
              <w:top w:val="single" w:sz="4"/>
              <w:left w:val="single" w:sz="4"/>
            </w:tcBorders>
            <w:shd w:val="clear" w:color="auto" w:fill="FFFFFF"/>
            <w:vAlign w:val="center"/>
          </w:tcPr>
          <w:p>
            <w:pPr>
              <w:pStyle w:val="Style2"/>
              <w:keepNext w:val="0"/>
              <w:keepLines w:val="0"/>
              <w:framePr w:w="3264" w:h="4978" w:wrap="none" w:vAnchor="text" w:hAnchor="page" w:x="6892" w:y="5367"/>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其他综合收益</w:t>
            </w:r>
          </w:p>
        </w:tc>
        <w:tc>
          <w:tcPr>
            <w:tcBorders>
              <w:top w:val="single" w:sz="4"/>
              <w:left w:val="single" w:sz="4"/>
            </w:tcBorders>
            <w:shd w:val="clear" w:color="auto" w:fill="FFFFFF"/>
            <w:vAlign w:val="center"/>
          </w:tcPr>
          <w:p>
            <w:pPr>
              <w:pStyle w:val="Style2"/>
              <w:keepNext w:val="0"/>
              <w:keepLines w:val="0"/>
              <w:framePr w:w="3264" w:h="4978" w:wrap="none" w:vAnchor="text" w:hAnchor="page" w:x="6892" w:y="5367"/>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-10,649,490.60</w:t>
            </w:r>
          </w:p>
        </w:tc>
      </w:tr>
      <w:tr>
        <w:trPr>
          <w:trHeight w:val="403" w:hRule="exact"/>
        </w:trPr>
        <w:tc>
          <w:tcPr>
            <w:tcBorders>
              <w:top w:val="single" w:sz="4"/>
              <w:left w:val="single" w:sz="4"/>
            </w:tcBorders>
            <w:shd w:val="clear" w:color="auto" w:fill="FFFFFF"/>
            <w:vAlign w:val="center"/>
          </w:tcPr>
          <w:p>
            <w:pPr>
              <w:pStyle w:val="Style2"/>
              <w:keepNext w:val="0"/>
              <w:keepLines w:val="0"/>
              <w:framePr w:w="3264" w:h="4978" w:wrap="none" w:vAnchor="text" w:hAnchor="page" w:x="6892" w:y="5367"/>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资本公积</w:t>
            </w:r>
          </w:p>
        </w:tc>
        <w:tc>
          <w:tcPr>
            <w:tcBorders>
              <w:top w:val="single" w:sz="4"/>
              <w:left w:val="single" w:sz="4"/>
            </w:tcBorders>
            <w:shd w:val="clear" w:color="auto" w:fill="FFFFFF"/>
            <w:vAlign w:val="center"/>
          </w:tcPr>
          <w:p>
            <w:pPr>
              <w:pStyle w:val="Style2"/>
              <w:keepNext w:val="0"/>
              <w:keepLines w:val="0"/>
              <w:framePr w:w="3264" w:h="4978" w:wrap="none" w:vAnchor="text" w:hAnchor="page" w:x="6892" w:y="5367"/>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69,342,254.59</w:t>
            </w:r>
          </w:p>
        </w:tc>
      </w:tr>
      <w:tr>
        <w:trPr>
          <w:trHeight w:val="398" w:hRule="exact"/>
        </w:trPr>
        <w:tc>
          <w:tcPr>
            <w:tcBorders>
              <w:top w:val="single" w:sz="4"/>
              <w:left w:val="single" w:sz="4"/>
            </w:tcBorders>
            <w:shd w:val="clear" w:color="auto" w:fill="FFFFFF"/>
            <w:vAlign w:val="center"/>
          </w:tcPr>
          <w:p>
            <w:pPr>
              <w:pStyle w:val="Style2"/>
              <w:keepNext w:val="0"/>
              <w:keepLines w:val="0"/>
              <w:framePr w:w="3264" w:h="4978" w:wrap="none" w:vAnchor="text" w:hAnchor="page" w:x="6892" w:y="5367"/>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未分配利润</w:t>
            </w:r>
          </w:p>
        </w:tc>
        <w:tc>
          <w:tcPr>
            <w:tcBorders>
              <w:top w:val="single" w:sz="4"/>
              <w:left w:val="single" w:sz="4"/>
            </w:tcBorders>
            <w:shd w:val="clear" w:color="auto" w:fill="FFFFFF"/>
            <w:vAlign w:val="center"/>
          </w:tcPr>
          <w:p>
            <w:pPr>
              <w:pStyle w:val="Style2"/>
              <w:keepNext w:val="0"/>
              <w:keepLines w:val="0"/>
              <w:framePr w:w="3264" w:h="4978" w:wrap="none" w:vAnchor="text" w:hAnchor="page" w:x="6892" w:y="5367"/>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89,142,769.63</w:t>
            </w:r>
          </w:p>
        </w:tc>
      </w:tr>
      <w:tr>
        <w:trPr>
          <w:trHeight w:val="403" w:hRule="exact"/>
        </w:trPr>
        <w:tc>
          <w:tcPr>
            <w:tcBorders>
              <w:top w:val="single" w:sz="4"/>
              <w:left w:val="single" w:sz="4"/>
            </w:tcBorders>
            <w:shd w:val="clear" w:color="auto" w:fill="FFFFFF"/>
            <w:vAlign w:val="center"/>
          </w:tcPr>
          <w:p>
            <w:pPr>
              <w:pStyle w:val="Style2"/>
              <w:keepNext w:val="0"/>
              <w:keepLines w:val="0"/>
              <w:framePr w:w="3264" w:h="4978" w:wrap="none" w:vAnchor="text" w:hAnchor="page" w:x="6892" w:y="5367"/>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投资收益</w:t>
            </w:r>
          </w:p>
        </w:tc>
        <w:tc>
          <w:tcPr>
            <w:tcBorders>
              <w:top w:val="single" w:sz="4"/>
              <w:left w:val="single" w:sz="4"/>
            </w:tcBorders>
            <w:shd w:val="clear" w:color="auto" w:fill="FFFFFF"/>
            <w:vAlign w:val="center"/>
          </w:tcPr>
          <w:p>
            <w:pPr>
              <w:pStyle w:val="Style2"/>
              <w:keepNext w:val="0"/>
              <w:keepLines w:val="0"/>
              <w:framePr w:w="3264" w:h="4978" w:wrap="none" w:vAnchor="text" w:hAnchor="page" w:x="6892" w:y="5367"/>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182,689,304.74</w:t>
            </w:r>
          </w:p>
        </w:tc>
      </w:tr>
      <w:tr>
        <w:trPr>
          <w:trHeight w:val="403" w:hRule="exact"/>
        </w:trPr>
        <w:tc>
          <w:tcPr>
            <w:tcBorders>
              <w:top w:val="single" w:sz="4"/>
              <w:left w:val="single" w:sz="4"/>
            </w:tcBorders>
            <w:shd w:val="clear" w:color="auto" w:fill="FFFFFF"/>
            <w:vAlign w:val="center"/>
          </w:tcPr>
          <w:p>
            <w:pPr>
              <w:pStyle w:val="Style2"/>
              <w:keepNext w:val="0"/>
              <w:keepLines w:val="0"/>
              <w:framePr w:w="3264" w:h="4978" w:wrap="none" w:vAnchor="text" w:hAnchor="page" w:x="6892" w:y="5367"/>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营业外收入</w:t>
            </w:r>
          </w:p>
        </w:tc>
        <w:tc>
          <w:tcPr>
            <w:tcBorders>
              <w:top w:val="single" w:sz="4"/>
              <w:left w:val="single" w:sz="4"/>
            </w:tcBorders>
            <w:shd w:val="clear" w:color="auto" w:fill="FFFFFF"/>
            <w:vAlign w:val="center"/>
          </w:tcPr>
          <w:p>
            <w:pPr>
              <w:pStyle w:val="Style2"/>
              <w:keepNext w:val="0"/>
              <w:keepLines w:val="0"/>
              <w:framePr w:w="3264" w:h="4978" w:wrap="none" w:vAnchor="text" w:hAnchor="page" w:x="6892" w:y="5367"/>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-200,565,802.38</w:t>
            </w:r>
          </w:p>
        </w:tc>
      </w:tr>
      <w:tr>
        <w:trPr>
          <w:trHeight w:val="403" w:hRule="exact"/>
        </w:trPr>
        <w:tc>
          <w:tcPr>
            <w:tcBorders>
              <w:top w:val="single" w:sz="4"/>
              <w:left w:val="single" w:sz="4"/>
            </w:tcBorders>
            <w:shd w:val="clear" w:color="auto" w:fill="FFFFFF"/>
            <w:vAlign w:val="center"/>
          </w:tcPr>
          <w:p>
            <w:pPr>
              <w:pStyle w:val="Style2"/>
              <w:keepNext w:val="0"/>
              <w:keepLines w:val="0"/>
              <w:framePr w:w="3264" w:h="4978" w:wrap="none" w:vAnchor="text" w:hAnchor="page" w:x="6892" w:y="5367"/>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净利润</w:t>
            </w:r>
          </w:p>
        </w:tc>
        <w:tc>
          <w:tcPr>
            <w:tcBorders>
              <w:top w:val="single" w:sz="4"/>
              <w:left w:val="single" w:sz="4"/>
            </w:tcBorders>
            <w:shd w:val="clear" w:color="auto" w:fill="FFFFFF"/>
            <w:vAlign w:val="center"/>
          </w:tcPr>
          <w:p>
            <w:pPr>
              <w:pStyle w:val="Style2"/>
              <w:keepNext w:val="0"/>
              <w:keepLines w:val="0"/>
              <w:framePr w:w="3264" w:h="4978" w:wrap="none" w:vAnchor="text" w:hAnchor="page" w:x="6892" w:y="5367"/>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-17,876,497.64</w:t>
            </w:r>
          </w:p>
        </w:tc>
      </w:tr>
      <w:tr>
        <w:trPr>
          <w:trHeight w:val="710" w:hRule="exact"/>
        </w:trPr>
        <w:tc>
          <w:tcPr>
            <w:tcBorders>
              <w:top w:val="single" w:sz="4"/>
              <w:left w:val="single" w:sz="4"/>
            </w:tcBorders>
            <w:shd w:val="clear" w:color="auto" w:fill="FFFFFF"/>
            <w:vAlign w:val="center"/>
          </w:tcPr>
          <w:p>
            <w:pPr>
              <w:pStyle w:val="Style2"/>
              <w:keepNext w:val="0"/>
              <w:keepLines w:val="0"/>
              <w:framePr w:w="3264" w:h="4978" w:wrap="none" w:vAnchor="text" w:hAnchor="page" w:x="6892" w:y="5367"/>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归属于母公司所有</w:t>
            </w:r>
          </w:p>
          <w:p>
            <w:pPr>
              <w:pStyle w:val="Style2"/>
              <w:keepNext w:val="0"/>
              <w:keepLines w:val="0"/>
              <w:framePr w:w="3264" w:h="4978" w:wrap="none" w:vAnchor="text" w:hAnchor="page" w:x="6892" w:y="5367"/>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者的净利润</w:t>
            </w:r>
          </w:p>
        </w:tc>
        <w:tc>
          <w:tcPr>
            <w:tcBorders>
              <w:top w:val="single" w:sz="4"/>
              <w:left w:val="single" w:sz="4"/>
            </w:tcBorders>
            <w:shd w:val="clear" w:color="auto" w:fill="FFFFFF"/>
            <w:vAlign w:val="center"/>
          </w:tcPr>
          <w:p>
            <w:pPr>
              <w:pStyle w:val="Style2"/>
              <w:keepNext w:val="0"/>
              <w:keepLines w:val="0"/>
              <w:framePr w:w="3264" w:h="4978" w:wrap="none" w:vAnchor="text" w:hAnchor="page" w:x="6892" w:y="5367"/>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-17,876,497.64</w:t>
            </w:r>
          </w:p>
        </w:tc>
      </w:tr>
      <w:tr>
        <w:trPr>
          <w:trHeight w:val="403" w:hRule="exact"/>
        </w:trPr>
        <w:tc>
          <w:tcPr>
            <w:tcBorders>
              <w:top w:val="single" w:sz="4"/>
              <w:left w:val="single" w:sz="4"/>
            </w:tcBorders>
            <w:shd w:val="clear" w:color="auto" w:fill="FFFFFF"/>
            <w:vAlign w:val="center"/>
          </w:tcPr>
          <w:p>
            <w:pPr>
              <w:pStyle w:val="Style2"/>
              <w:keepNext w:val="0"/>
              <w:keepLines w:val="0"/>
              <w:framePr w:w="3264" w:h="4978" w:wrap="none" w:vAnchor="text" w:hAnchor="page" w:x="6892" w:y="5367"/>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其他综合收益</w:t>
            </w:r>
          </w:p>
        </w:tc>
        <w:tc>
          <w:tcPr>
            <w:tcBorders>
              <w:top w:val="single" w:sz="4"/>
              <w:left w:val="single" w:sz="4"/>
            </w:tcBorders>
            <w:shd w:val="clear" w:color="auto" w:fill="FFFFFF"/>
            <w:vAlign w:val="center"/>
          </w:tcPr>
          <w:p>
            <w:pPr>
              <w:pStyle w:val="Style2"/>
              <w:keepNext w:val="0"/>
              <w:keepLines w:val="0"/>
              <w:framePr w:w="3264" w:h="4978" w:wrap="none" w:vAnchor="text" w:hAnchor="page" w:x="6892" w:y="5367"/>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-8,636,998.95</w:t>
            </w:r>
          </w:p>
        </w:tc>
      </w:tr>
      <w:tr>
        <w:trPr>
          <w:trHeight w:val="403" w:hRule="exact"/>
        </w:trPr>
        <w:tc>
          <w:tcPr>
            <w:tcBorders>
              <w:top w:val="single" w:sz="4"/>
              <w:left w:val="single" w:sz="4"/>
            </w:tcBorders>
            <w:shd w:val="clear" w:color="auto" w:fill="FFFFFF"/>
            <w:vAlign w:val="center"/>
          </w:tcPr>
          <w:p>
            <w:pPr>
              <w:pStyle w:val="Style2"/>
              <w:keepNext w:val="0"/>
              <w:keepLines w:val="0"/>
              <w:framePr w:w="3264" w:h="4978" w:wrap="none" w:vAnchor="text" w:hAnchor="page" w:x="6892" w:y="5367"/>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综合收益总额</w:t>
            </w:r>
          </w:p>
        </w:tc>
        <w:tc>
          <w:tcPr>
            <w:tcBorders>
              <w:top w:val="single" w:sz="4"/>
              <w:left w:val="single" w:sz="4"/>
            </w:tcBorders>
            <w:shd w:val="clear" w:color="auto" w:fill="FFFFFF"/>
            <w:vAlign w:val="center"/>
          </w:tcPr>
          <w:p>
            <w:pPr>
              <w:pStyle w:val="Style2"/>
              <w:keepNext w:val="0"/>
              <w:keepLines w:val="0"/>
              <w:framePr w:w="3264" w:h="4978" w:wrap="none" w:vAnchor="text" w:hAnchor="page" w:x="6892" w:y="5367"/>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-26,513,496.59</w:t>
            </w:r>
          </w:p>
        </w:tc>
      </w:tr>
      <w:tr>
        <w:trPr>
          <w:trHeight w:val="744" w:hRule="exact"/>
        </w:trPr>
        <w:tc>
          <w:tcPr>
            <w:tcBorders>
              <w:top w:val="single" w:sz="4"/>
              <w:left w:val="single" w:sz="4"/>
              <w:bottom w:val="single" w:sz="4"/>
            </w:tcBorders>
            <w:shd w:val="clear" w:color="auto" w:fill="FFFFFF"/>
            <w:vAlign w:val="center"/>
          </w:tcPr>
          <w:p>
            <w:pPr>
              <w:pStyle w:val="Style2"/>
              <w:keepNext w:val="0"/>
              <w:keepLines w:val="0"/>
              <w:framePr w:w="3264" w:h="4978" w:wrap="none" w:vAnchor="text" w:hAnchor="page" w:x="6892" w:y="5367"/>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归属于母公司所有</w:t>
            </w:r>
          </w:p>
          <w:p>
            <w:pPr>
              <w:pStyle w:val="Style2"/>
              <w:keepNext w:val="0"/>
              <w:keepLines w:val="0"/>
              <w:framePr w:w="3264" w:h="4978" w:wrap="none" w:vAnchor="text" w:hAnchor="page" w:x="6892" w:y="5367"/>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者的综合收益总额</w:t>
            </w:r>
          </w:p>
        </w:tc>
        <w:tc>
          <w:tcPr>
            <w:tcBorders>
              <w:top w:val="single" w:sz="4"/>
              <w:left w:val="single" w:sz="4"/>
              <w:bottom w:val="single" w:sz="4"/>
            </w:tcBorders>
            <w:shd w:val="clear" w:color="auto" w:fill="FFFFFF"/>
            <w:vAlign w:val="center"/>
          </w:tcPr>
          <w:p>
            <w:pPr>
              <w:pStyle w:val="Style2"/>
              <w:keepNext w:val="0"/>
              <w:keepLines w:val="0"/>
              <w:framePr w:w="3264" w:h="4978" w:wrap="none" w:vAnchor="text" w:hAnchor="page" w:x="6892" w:y="5367"/>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-26,513,496.59</w:t>
            </w:r>
          </w:p>
        </w:tc>
      </w:tr>
    </w:tbl>
    <w:p>
      <w:pPr>
        <w:framePr w:w="3264" w:h="4978" w:wrap="none" w:vAnchor="text" w:hAnchor="page" w:x="6892" w:y="5367"/>
        <w:widowControl w:val="0"/>
        <w:spacing w:line="1" w:lineRule="exact"/>
      </w:pPr>
    </w:p>
    <w:p>
      <w:pPr>
        <w:pStyle w:val="Style37"/>
        <w:keepNext/>
        <w:keepLines/>
        <w:framePr w:w="1541" w:h="715" w:wrap="none" w:vAnchor="text" w:hAnchor="page" w:x="2202" w:y="10791"/>
        <w:widowControl w:val="0"/>
        <w:shd w:val="clear" w:color="auto" w:fill="auto"/>
        <w:bidi w:val="0"/>
        <w:spacing w:before="0" w:after="220" w:line="240" w:lineRule="auto"/>
        <w:ind w:left="0" w:right="0" w:firstLine="0"/>
        <w:jc w:val="left"/>
      </w:pPr>
      <w:bookmarkStart w:id="1861" w:name="bookmark1861"/>
      <w:bookmarkStart w:id="1862" w:name="bookmark1862"/>
      <w:bookmarkStart w:id="1863" w:name="bookmark1863"/>
      <w:r>
        <w:rPr>
          <w:color w:val="000000"/>
          <w:spacing w:val="0"/>
          <w:w w:val="100"/>
          <w:position w:val="0"/>
        </w:rPr>
        <w:t>（二）债务重组</w:t>
      </w:r>
      <w:bookmarkEnd w:id="1861"/>
      <w:bookmarkEnd w:id="1862"/>
      <w:bookmarkEnd w:id="1863"/>
    </w:p>
    <w:p>
      <w:pPr>
        <w:pStyle w:val="Style16"/>
        <w:keepNext w:val="0"/>
        <w:keepLines w:val="0"/>
        <w:framePr w:w="1541" w:h="715" w:wrap="none" w:vAnchor="text" w:hAnchor="page" w:x="2202" w:y="10791"/>
        <w:widowControl w:val="0"/>
        <w:shd w:val="clear" w:color="auto" w:fill="auto"/>
        <w:bidi w:val="0"/>
        <w:spacing w:before="0" w:after="0" w:line="240" w:lineRule="auto"/>
        <w:ind w:left="0" w:right="0" w:firstLine="0"/>
        <w:jc w:val="left"/>
      </w:pPr>
      <w:r>
        <w:rPr>
          <w:color w:val="000000"/>
          <w:spacing w:val="0"/>
          <w:w w:val="100"/>
          <w:position w:val="0"/>
        </w:rPr>
        <w:t>本期无此事项。</w:t>
      </w:r>
    </w:p>
    <w:p>
      <w:pPr>
        <w:pStyle w:val="Style37"/>
        <w:keepNext/>
        <w:keepLines/>
        <w:framePr w:w="1546" w:h="715" w:wrap="none" w:vAnchor="text" w:hAnchor="page" w:x="2197" w:y="12092"/>
        <w:widowControl w:val="0"/>
        <w:shd w:val="clear" w:color="auto" w:fill="auto"/>
        <w:bidi w:val="0"/>
        <w:spacing w:before="0" w:after="200" w:line="240" w:lineRule="auto"/>
        <w:ind w:left="0" w:right="0" w:firstLine="0"/>
        <w:jc w:val="left"/>
      </w:pPr>
      <w:bookmarkStart w:id="1864" w:name="bookmark1864"/>
      <w:bookmarkStart w:id="1865" w:name="bookmark1865"/>
      <w:bookmarkStart w:id="1866" w:name="bookmark1866"/>
      <w:r>
        <w:rPr>
          <w:color w:val="000000"/>
          <w:spacing w:val="0"/>
          <w:w w:val="100"/>
          <w:position w:val="0"/>
        </w:rPr>
        <w:t>（三）资产置换</w:t>
      </w:r>
      <w:bookmarkEnd w:id="1864"/>
      <w:bookmarkEnd w:id="1865"/>
      <w:bookmarkEnd w:id="1866"/>
    </w:p>
    <w:p>
      <w:pPr>
        <w:pStyle w:val="Style16"/>
        <w:keepNext w:val="0"/>
        <w:keepLines w:val="0"/>
        <w:framePr w:w="1546" w:h="715" w:wrap="none" w:vAnchor="text" w:hAnchor="page" w:x="2197" w:y="12092"/>
        <w:widowControl w:val="0"/>
        <w:shd w:val="clear" w:color="auto" w:fill="auto"/>
        <w:bidi w:val="0"/>
        <w:spacing w:before="0" w:after="0" w:line="240" w:lineRule="auto"/>
        <w:ind w:left="0" w:right="0" w:firstLine="0"/>
        <w:jc w:val="left"/>
      </w:pPr>
      <w:r>
        <w:rPr>
          <w:color w:val="000000"/>
          <w:spacing w:val="0"/>
          <w:w w:val="100"/>
          <w:position w:val="0"/>
        </w:rPr>
        <w:t>本期无此事项。</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65" w:line="1" w:lineRule="exact"/>
      </w:pPr>
    </w:p>
    <w:p>
      <w:pPr>
        <w:widowControl w:val="0"/>
        <w:spacing w:line="1" w:lineRule="exact"/>
        <w:sectPr>
          <w:footnotePr>
            <w:pos w:val="pageBottom"/>
            <w:numFmt w:val="decimal"/>
            <w:numRestart w:val="continuous"/>
          </w:footnotePr>
          <w:type w:val="continuous"/>
          <w:pgSz w:w="11900" w:h="16840"/>
          <w:pgMar w:top="1147" w:right="1745" w:bottom="1393" w:left="1975" w:header="0" w:footer="3" w:gutter="0"/>
          <w:cols w:space="720"/>
          <w:noEndnote/>
          <w:rtlGutter w:val="0"/>
          <w:docGrid w:linePitch="360"/>
        </w:sectPr>
      </w:pPr>
    </w:p>
    <w:p>
      <w:pPr>
        <w:pStyle w:val="Style37"/>
        <w:keepNext/>
        <w:keepLines/>
        <w:widowControl w:val="0"/>
        <w:numPr>
          <w:ilvl w:val="0"/>
          <w:numId w:val="115"/>
        </w:numPr>
        <w:shd w:val="clear" w:color="auto" w:fill="auto"/>
        <w:tabs>
          <w:tab w:pos="1038" w:val="left"/>
        </w:tabs>
        <w:bidi w:val="0"/>
        <w:spacing w:before="0" w:after="40" w:line="408" w:lineRule="exact"/>
        <w:ind w:left="0" w:right="0" w:firstLine="440"/>
        <w:jc w:val="both"/>
      </w:pPr>
      <w:bookmarkStart w:id="1867" w:name="bookmark1867"/>
      <w:bookmarkStart w:id="1868" w:name="bookmark1868"/>
      <w:bookmarkStart w:id="1869" w:name="bookmark1869"/>
      <w:bookmarkStart w:id="1870" w:name="bookmark1870"/>
      <w:bookmarkEnd w:id="1869"/>
      <w:r>
        <w:rPr>
          <w:color w:val="000000"/>
          <w:spacing w:val="0"/>
          <w:w w:val="100"/>
          <w:position w:val="0"/>
        </w:rPr>
        <w:t>年金计划</w:t>
      </w:r>
      <w:bookmarkEnd w:id="1867"/>
      <w:bookmarkEnd w:id="1868"/>
      <w:bookmarkEnd w:id="1870"/>
    </w:p>
    <w:p>
      <w:pPr>
        <w:pStyle w:val="Style16"/>
        <w:keepNext w:val="0"/>
        <w:keepLines w:val="0"/>
        <w:widowControl w:val="0"/>
        <w:shd w:val="clear" w:color="auto" w:fill="auto"/>
        <w:bidi w:val="0"/>
        <w:spacing w:before="0" w:after="440" w:line="408" w:lineRule="exact"/>
        <w:ind w:left="0" w:right="0" w:firstLine="440"/>
        <w:jc w:val="both"/>
      </w:pPr>
      <w:r>
        <w:rPr>
          <w:color w:val="000000"/>
          <w:spacing w:val="0"/>
          <w:w w:val="100"/>
          <w:position w:val="0"/>
        </w:rPr>
        <w:t>本期无此事项。</w:t>
      </w:r>
    </w:p>
    <w:p>
      <w:pPr>
        <w:pStyle w:val="Style37"/>
        <w:keepNext/>
        <w:keepLines/>
        <w:widowControl w:val="0"/>
        <w:numPr>
          <w:ilvl w:val="0"/>
          <w:numId w:val="115"/>
        </w:numPr>
        <w:shd w:val="clear" w:color="auto" w:fill="auto"/>
        <w:tabs>
          <w:tab w:pos="1038" w:val="left"/>
        </w:tabs>
        <w:bidi w:val="0"/>
        <w:spacing w:before="0" w:after="40" w:line="408" w:lineRule="exact"/>
        <w:ind w:left="0" w:right="0" w:firstLine="440"/>
        <w:jc w:val="both"/>
      </w:pPr>
      <w:bookmarkStart w:id="1871" w:name="bookmark1871"/>
      <w:bookmarkStart w:id="1872" w:name="bookmark1872"/>
      <w:bookmarkStart w:id="1873" w:name="bookmark1873"/>
      <w:bookmarkStart w:id="1874" w:name="bookmark1874"/>
      <w:bookmarkEnd w:id="1873"/>
      <w:r>
        <w:rPr>
          <w:color w:val="000000"/>
          <w:spacing w:val="0"/>
          <w:w w:val="100"/>
          <w:position w:val="0"/>
        </w:rPr>
        <w:t>终止经营</w:t>
      </w:r>
      <w:bookmarkEnd w:id="1871"/>
      <w:bookmarkEnd w:id="1872"/>
      <w:bookmarkEnd w:id="1874"/>
    </w:p>
    <w:p>
      <w:pPr>
        <w:pStyle w:val="Style16"/>
        <w:keepNext w:val="0"/>
        <w:keepLines w:val="0"/>
        <w:widowControl w:val="0"/>
        <w:shd w:val="clear" w:color="auto" w:fill="auto"/>
        <w:bidi w:val="0"/>
        <w:spacing w:before="0" w:after="260" w:line="408" w:lineRule="exact"/>
        <w:ind w:left="0" w:right="0" w:firstLine="440"/>
        <w:jc w:val="both"/>
      </w:pPr>
      <w:r>
        <w:rPr>
          <w:color w:val="000000"/>
          <w:spacing w:val="0"/>
          <w:w w:val="100"/>
          <w:position w:val="0"/>
        </w:rPr>
        <w:t>本期无此事项。</w:t>
      </w:r>
    </w:p>
    <w:p>
      <w:pPr>
        <w:pStyle w:val="Style37"/>
        <w:keepNext/>
        <w:keepLines/>
        <w:widowControl w:val="0"/>
        <w:numPr>
          <w:ilvl w:val="0"/>
          <w:numId w:val="115"/>
        </w:numPr>
        <w:shd w:val="clear" w:color="auto" w:fill="auto"/>
        <w:tabs>
          <w:tab w:pos="1038" w:val="left"/>
        </w:tabs>
        <w:bidi w:val="0"/>
        <w:spacing w:before="0" w:after="140" w:line="408" w:lineRule="exact"/>
        <w:ind w:left="0" w:right="0" w:firstLine="440"/>
        <w:jc w:val="both"/>
      </w:pPr>
      <w:bookmarkStart w:id="1875" w:name="bookmark1875"/>
      <w:bookmarkStart w:id="1876" w:name="bookmark1876"/>
      <w:bookmarkStart w:id="1877" w:name="bookmark1877"/>
      <w:bookmarkStart w:id="1878" w:name="bookmark1878"/>
      <w:bookmarkEnd w:id="1877"/>
      <w:r>
        <w:rPr>
          <w:color w:val="000000"/>
          <w:spacing w:val="0"/>
          <w:w w:val="100"/>
          <w:position w:val="0"/>
        </w:rPr>
        <w:t>分部信息</w:t>
      </w:r>
      <w:bookmarkEnd w:id="1875"/>
      <w:bookmarkEnd w:id="1876"/>
      <w:bookmarkEnd w:id="1878"/>
    </w:p>
    <w:p>
      <w:pPr>
        <w:pStyle w:val="Style51"/>
        <w:keepNext/>
        <w:keepLines/>
        <w:widowControl w:val="0"/>
        <w:shd w:val="clear" w:color="auto" w:fill="auto"/>
        <w:bidi w:val="0"/>
        <w:spacing w:before="0" w:after="0" w:line="408" w:lineRule="exact"/>
        <w:ind w:left="0" w:right="0" w:firstLine="300"/>
        <w:jc w:val="both"/>
      </w:pPr>
      <w:bookmarkStart w:id="1879" w:name="bookmark1879"/>
      <w:bookmarkStart w:id="1880" w:name="bookmark1880"/>
      <w:bookmarkStart w:id="1881" w:name="bookmark1881"/>
      <w:r>
        <w:rPr>
          <w:color w:val="000000"/>
          <w:spacing w:val="0"/>
          <w:w w:val="100"/>
          <w:position w:val="0"/>
        </w:rPr>
        <w:t>1.</w:t>
      </w:r>
      <w:r>
        <w:rPr>
          <w:color w:val="000000"/>
          <w:spacing w:val="0"/>
          <w:w w:val="100"/>
          <w:position w:val="0"/>
        </w:rPr>
        <w:t>报告分部的确定依据与会计政策</w:t>
      </w:r>
      <w:bookmarkEnd w:id="1879"/>
      <w:bookmarkEnd w:id="1880"/>
      <w:bookmarkEnd w:id="1881"/>
    </w:p>
    <w:p>
      <w:pPr>
        <w:pStyle w:val="Style16"/>
        <w:keepNext w:val="0"/>
        <w:keepLines w:val="0"/>
        <w:widowControl w:val="0"/>
        <w:shd w:val="clear" w:color="auto" w:fill="auto"/>
        <w:bidi w:val="0"/>
        <w:spacing w:before="0" w:after="40" w:line="408" w:lineRule="exact"/>
        <w:ind w:left="0" w:right="0" w:firstLine="440"/>
        <w:jc w:val="both"/>
      </w:pPr>
      <w:r>
        <w:rPr>
          <w:color w:val="000000"/>
          <w:spacing w:val="0"/>
          <w:w w:val="100"/>
          <w:position w:val="0"/>
        </w:rPr>
        <w:t>公司以内部组织结构、管理要求、内部报告制度等为依据确定经营分部。公司的经营分 部是指同时满足下列条件的组成部分：</w:t>
      </w:r>
    </w:p>
    <w:p>
      <w:pPr>
        <w:pStyle w:val="Style16"/>
        <w:keepNext w:val="0"/>
        <w:keepLines w:val="0"/>
        <w:widowControl w:val="0"/>
        <w:numPr>
          <w:ilvl w:val="0"/>
          <w:numId w:val="117"/>
        </w:numPr>
        <w:shd w:val="clear" w:color="auto" w:fill="auto"/>
        <w:tabs>
          <w:tab w:pos="928" w:val="left"/>
        </w:tabs>
        <w:bidi w:val="0"/>
        <w:spacing w:before="0" w:after="40" w:line="408" w:lineRule="exact"/>
        <w:ind w:left="0" w:right="0" w:firstLine="440"/>
        <w:jc w:val="both"/>
      </w:pPr>
      <w:bookmarkStart w:id="1882" w:name="bookmark1882"/>
      <w:bookmarkEnd w:id="1882"/>
      <w:r>
        <w:rPr>
          <w:color w:val="000000"/>
          <w:spacing w:val="0"/>
          <w:w w:val="100"/>
          <w:position w:val="0"/>
        </w:rPr>
        <w:t>该组成部分能够在日常活动中产生收入、发生费用；</w:t>
      </w:r>
    </w:p>
    <w:p>
      <w:pPr>
        <w:pStyle w:val="Style16"/>
        <w:keepNext w:val="0"/>
        <w:keepLines w:val="0"/>
        <w:widowControl w:val="0"/>
        <w:numPr>
          <w:ilvl w:val="0"/>
          <w:numId w:val="117"/>
        </w:numPr>
        <w:shd w:val="clear" w:color="auto" w:fill="auto"/>
        <w:bidi w:val="0"/>
        <w:spacing w:before="0" w:after="40" w:line="408" w:lineRule="exact"/>
        <w:ind w:left="0" w:right="0" w:firstLine="440"/>
        <w:jc w:val="both"/>
      </w:pPr>
      <w:bookmarkStart w:id="1883" w:name="bookmark1883"/>
      <w:bookmarkEnd w:id="1883"/>
      <w:r>
        <w:rPr>
          <w:color w:val="000000"/>
          <w:spacing w:val="0"/>
          <w:w w:val="100"/>
          <w:position w:val="0"/>
        </w:rPr>
        <w:t xml:space="preserve"> 管理层能够定期评价该组成部分的经营成果，以决定向其配置资源、评价其业绩；</w:t>
      </w:r>
    </w:p>
    <w:p>
      <w:pPr>
        <w:pStyle w:val="Style16"/>
        <w:keepNext w:val="0"/>
        <w:keepLines w:val="0"/>
        <w:widowControl w:val="0"/>
        <w:numPr>
          <w:ilvl w:val="0"/>
          <w:numId w:val="117"/>
        </w:numPr>
        <w:shd w:val="clear" w:color="auto" w:fill="auto"/>
        <w:tabs>
          <w:tab w:pos="928" w:val="left"/>
        </w:tabs>
        <w:bidi w:val="0"/>
        <w:spacing w:before="0" w:after="40" w:line="408" w:lineRule="exact"/>
        <w:ind w:left="0" w:right="0" w:firstLine="440"/>
        <w:jc w:val="both"/>
      </w:pPr>
      <w:bookmarkStart w:id="1884" w:name="bookmark1884"/>
      <w:bookmarkEnd w:id="1884"/>
      <w:r>
        <w:rPr>
          <w:color w:val="000000"/>
          <w:spacing w:val="0"/>
          <w:w w:val="100"/>
          <w:position w:val="0"/>
        </w:rPr>
        <w:t>能够通过分析取得该组成部分的财务状况、经营成果和现金流量等有关会计信息；</w:t>
      </w:r>
    </w:p>
    <w:p>
      <w:pPr>
        <w:pStyle w:val="Style16"/>
        <w:keepNext w:val="0"/>
        <w:keepLines w:val="0"/>
        <w:widowControl w:val="0"/>
        <w:shd w:val="clear" w:color="auto" w:fill="auto"/>
        <w:bidi w:val="0"/>
        <w:spacing w:before="0" w:after="40" w:line="410" w:lineRule="exact"/>
        <w:ind w:left="0" w:right="0" w:firstLine="440"/>
        <w:jc w:val="both"/>
      </w:pPr>
      <w:r>
        <w:rPr>
          <w:color w:val="000000"/>
          <w:spacing w:val="0"/>
          <w:w w:val="100"/>
          <w:position w:val="0"/>
        </w:rPr>
        <w:t>本公司以战略规划中业务板块为基础确定报告分部，分为证券业务板块、投资业务板块、 其他板块。其中，证券业务板块是指国盛证券及其下属子公司所从事的业务；投资业务板块 指的是集团内除证券业务板块外各主体对外股权投资及投资管理业务；</w:t>
      </w:r>
    </w:p>
    <w:p>
      <w:pPr>
        <w:pStyle w:val="Style51"/>
        <w:keepNext/>
        <w:keepLines/>
        <w:widowControl w:val="0"/>
        <w:shd w:val="clear" w:color="auto" w:fill="auto"/>
        <w:bidi w:val="0"/>
        <w:spacing w:before="0" w:after="40" w:line="405" w:lineRule="exact"/>
        <w:ind w:left="0" w:right="0" w:firstLine="440"/>
        <w:jc w:val="both"/>
        <w:sectPr>
          <w:footnotePr>
            <w:pos w:val="pageBottom"/>
            <w:numFmt w:val="decimal"/>
            <w:numRestart w:val="continuous"/>
          </w:footnotePr>
          <w:pgSz w:w="11900" w:h="16840"/>
          <w:pgMar w:top="2007" w:right="1664" w:bottom="2007" w:left="1774" w:header="0" w:footer="3" w:gutter="0"/>
          <w:cols w:space="720"/>
          <w:noEndnote/>
          <w:rtlGutter w:val="0"/>
          <w:docGrid w:linePitch="360"/>
        </w:sectPr>
      </w:pPr>
      <w:bookmarkStart w:id="1885" w:name="bookmark1885"/>
      <w:bookmarkStart w:id="1886" w:name="bookmark1886"/>
      <w:bookmarkStart w:id="1887" w:name="bookmark1887"/>
      <w:r>
        <w:rPr>
          <w:b w:val="0"/>
          <w:bCs w:val="0"/>
          <w:color w:val="000000"/>
          <w:spacing w:val="0"/>
          <w:w w:val="100"/>
          <w:position w:val="0"/>
        </w:rPr>
        <w:t>分部间转移价格按照实际交易价格为基础确定，间接归属于各分部的费用按照收入比例 在分部之间进行分配。资产根据分部的经营以及资产的所在位置进行分配，分部负债包括分 部经营活动形成的可归属于该分部的负债。如果多个经营分部共同承担的负债相关的费用分 配给这些经营分部，该共同承担的负债也分配给这些经营分部。</w:t>
      </w:r>
      <w:bookmarkEnd w:id="1885"/>
      <w:bookmarkEnd w:id="1886"/>
      <w:bookmarkEnd w:id="1887"/>
    </w:p>
    <w:p>
      <w:pPr>
        <w:pStyle w:val="Style51"/>
        <w:keepNext/>
        <w:keepLines/>
        <w:widowControl w:val="0"/>
        <w:shd w:val="clear" w:color="auto" w:fill="auto"/>
        <w:bidi w:val="0"/>
        <w:spacing w:before="0" w:after="140" w:line="240" w:lineRule="auto"/>
        <w:ind w:left="0" w:right="0" w:firstLine="340"/>
        <w:jc w:val="left"/>
      </w:pPr>
      <w:bookmarkStart w:id="1888" w:name="bookmark1888"/>
      <w:bookmarkStart w:id="1889" w:name="bookmark1889"/>
      <w:bookmarkStart w:id="1890" w:name="bookmark1890"/>
      <w:r>
        <w:rPr>
          <w:color w:val="000000"/>
          <w:spacing w:val="0"/>
          <w:w w:val="100"/>
          <w:position w:val="0"/>
        </w:rPr>
        <w:t>2.</w:t>
      </w:r>
      <w:r>
        <w:rPr>
          <w:color w:val="000000"/>
          <w:spacing w:val="0"/>
          <w:w w:val="100"/>
          <w:position w:val="0"/>
        </w:rPr>
        <w:t>报告分部的财务信息</w:t>
      </w:r>
      <w:bookmarkEnd w:id="1888"/>
      <w:bookmarkEnd w:id="1889"/>
      <w:bookmarkEnd w:id="1890"/>
    </w:p>
    <w:p>
      <w:pPr>
        <w:pStyle w:val="Style16"/>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单位：元</w:t>
      </w:r>
    </w:p>
    <w:tbl>
      <w:tblPr>
        <w:tblOverlap w:val="never"/>
        <w:jc w:val="center"/>
        <w:tblLayout w:type="fixed"/>
      </w:tblPr>
      <w:tblGrid>
        <w:gridCol w:w="2352"/>
        <w:gridCol w:w="2304"/>
        <w:gridCol w:w="2174"/>
        <w:gridCol w:w="2093"/>
        <w:gridCol w:w="2338"/>
        <w:gridCol w:w="2083"/>
      </w:tblGrid>
      <w:tr>
        <w:trPr>
          <w:trHeight w:val="44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科目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证券业务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投资业务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分部间抵销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合计</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一、营业总收入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2,202,329,215.64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317,591.89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30,322,817.81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-26,984,368.27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2,205,985,257.07</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二、营业总成本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2,141,085,802.41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43,249,440.96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312,978,598.36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-69,660,140.93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2,427,653,700.80</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三、其他损益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59,681,784.87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-82,733,518.04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120,843,167.57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-185,871,583.98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-88,080,149.58</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四、分部营业利润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120,925,198.10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-125,665,367.11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-161,812,612.98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-143,195,811.32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-309,748,593.31</w:t>
            </w:r>
          </w:p>
        </w:tc>
      </w:tr>
      <w:tr>
        <w:trPr>
          <w:trHeight w:val="41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五、分部利润总额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103,651,178.30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-124,657,347.39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-162,082,869.35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-143,195,811.32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-326,284,849.76</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六、分部资产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26,852,871,977.52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1,074,010,366.22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13,305,409,399.62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-10,026,588,262.20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31,205,703,481.16</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加：递延所得税资产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113,416,052.60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113,416,052.60</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资产总额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26,966,288,030.12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1,074,010,366.22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13,305,409,399.62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-10,026,588,262.20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31,319,119,533.76</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七、分部负债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17,340,911,528.22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782,565,792.52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2,675,464,522.43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-777,910,922.78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20,021,030,920.39</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加：递延所得税负债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957,649.21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957,649.21</w:t>
            </w:r>
          </w:p>
        </w:tc>
      </w:tr>
      <w:tr>
        <w:trPr>
          <w:trHeight w:val="44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负债总额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17,341,869,177.43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782,565,792.52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2,675,464,522.43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-777,910,922.78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20,021,988,569.60</w:t>
            </w:r>
          </w:p>
        </w:tc>
      </w:tr>
    </w:tbl>
    <w:p>
      <w:pPr>
        <w:pStyle w:val="Style16"/>
        <w:keepNext w:val="0"/>
        <w:keepLines w:val="0"/>
        <w:widowControl w:val="0"/>
        <w:shd w:val="clear" w:color="auto" w:fill="auto"/>
        <w:bidi w:val="0"/>
        <w:spacing w:before="0" w:after="140" w:line="408" w:lineRule="exact"/>
        <w:ind w:left="0" w:right="0" w:firstLine="480"/>
        <w:jc w:val="left"/>
        <w:sectPr>
          <w:headerReference w:type="default" r:id="rId65"/>
          <w:footerReference w:type="default" r:id="rId66"/>
          <w:footnotePr>
            <w:pos w:val="pageBottom"/>
            <w:numFmt w:val="decimal"/>
            <w:numRestart w:val="continuous"/>
          </w:footnotePr>
          <w:pgSz w:w="16840" w:h="11900" w:orient="landscape"/>
          <w:pgMar w:top="1899" w:right="2113" w:bottom="1899" w:left="1383" w:header="0" w:footer="3" w:gutter="0"/>
          <w:cols w:space="720"/>
          <w:noEndnote/>
          <w:rtlGutter w:val="0"/>
          <w:docGrid w:linePitch="360"/>
        </w:sectPr>
      </w:pPr>
      <w:r>
        <w:rPr>
          <w:color w:val="000000"/>
          <w:spacing w:val="0"/>
          <w:w w:val="100"/>
          <w:position w:val="0"/>
        </w:rPr>
        <w:t>注：本表营业总成本包含报表项目的营业成本、利息支出、手续费及佣金支出、税金及附加、销售费用、研发费用、管理费用及财务费用； 其他损益包括报表项目的投资收益、公允价值变动收益、汇兑收益、其他收益、信用减值损失、资产减值损失及资产处置收益；分部利润=营业总 收入-营业总成本+其他损益，即营业利润。</w:t>
      </w:r>
    </w:p>
    <w:p>
      <w:pPr>
        <w:pStyle w:val="Style37"/>
        <w:keepNext/>
        <w:keepLines/>
        <w:widowControl w:val="0"/>
        <w:shd w:val="clear" w:color="auto" w:fill="auto"/>
        <w:bidi w:val="0"/>
        <w:spacing w:before="0" w:after="0" w:line="469" w:lineRule="exact"/>
        <w:ind w:left="0" w:right="0" w:firstLine="440"/>
        <w:jc w:val="both"/>
      </w:pPr>
      <w:bookmarkStart w:id="1891" w:name="bookmark1891"/>
      <w:bookmarkStart w:id="1892" w:name="bookmark1892"/>
      <w:bookmarkStart w:id="1893" w:name="bookmark1893"/>
      <w:bookmarkStart w:id="1894" w:name="bookmark1894"/>
      <w:r>
        <w:rPr>
          <w:color w:val="000000"/>
          <w:spacing w:val="0"/>
          <w:w w:val="100"/>
          <w:position w:val="0"/>
        </w:rPr>
        <w:t>（</w:t>
      </w:r>
      <w:bookmarkEnd w:id="1893"/>
      <w:r>
        <w:rPr>
          <w:color w:val="000000"/>
          <w:spacing w:val="0"/>
          <w:w w:val="100"/>
          <w:position w:val="0"/>
        </w:rPr>
        <w:t>七）其他对投资者决策有影响的重要交易和事项</w:t>
      </w:r>
      <w:bookmarkEnd w:id="1891"/>
      <w:bookmarkEnd w:id="1892"/>
      <w:bookmarkEnd w:id="1894"/>
    </w:p>
    <w:p>
      <w:pPr>
        <w:pStyle w:val="Style16"/>
        <w:keepNext w:val="0"/>
        <w:keepLines w:val="0"/>
        <w:widowControl w:val="0"/>
        <w:shd w:val="clear" w:color="auto" w:fill="auto"/>
        <w:bidi w:val="0"/>
        <w:spacing w:before="0" w:after="0" w:line="469" w:lineRule="exact"/>
        <w:ind w:left="0" w:right="0" w:firstLine="720"/>
        <w:jc w:val="both"/>
      </w:pPr>
      <w:r>
        <w:rPr>
          <w:color w:val="000000"/>
          <w:spacing w:val="0"/>
          <w:w w:val="100"/>
          <w:position w:val="0"/>
        </w:rPr>
        <w:t>关于</w:t>
      </w:r>
      <w:r>
        <w:rPr>
          <w:rFonts w:ascii="Times New Roman" w:eastAsia="Times New Roman" w:hAnsi="Times New Roman" w:cs="Times New Roman"/>
          <w:color w:val="000000"/>
          <w:spacing w:val="0"/>
          <w:w w:val="100"/>
          <w:position w:val="0"/>
        </w:rPr>
        <w:t>2016</w:t>
      </w:r>
      <w:r>
        <w:rPr>
          <w:color w:val="000000"/>
          <w:spacing w:val="0"/>
          <w:w w:val="100"/>
          <w:position w:val="0"/>
        </w:rPr>
        <w:t>年重大资产重组业绩承诺补偿事项</w:t>
      </w:r>
    </w:p>
    <w:p>
      <w:pPr>
        <w:pStyle w:val="Style16"/>
        <w:keepNext w:val="0"/>
        <w:keepLines w:val="0"/>
        <w:widowControl w:val="0"/>
        <w:shd w:val="clear" w:color="auto" w:fill="auto"/>
        <w:bidi w:val="0"/>
        <w:spacing w:before="0" w:after="0" w:line="480" w:lineRule="exact"/>
        <w:ind w:left="0" w:right="0" w:firstLine="440"/>
        <w:jc w:val="both"/>
      </w:pPr>
      <w:r>
        <w:rPr>
          <w:rFonts w:ascii="Times New Roman" w:eastAsia="Times New Roman" w:hAnsi="Times New Roman" w:cs="Times New Roman"/>
          <w:color w:val="000000"/>
          <w:spacing w:val="0"/>
          <w:w w:val="100"/>
          <w:position w:val="0"/>
        </w:rPr>
        <w:t>1</w:t>
      </w:r>
      <w:r>
        <w:rPr>
          <w:color w:val="000000"/>
          <w:spacing w:val="0"/>
          <w:w w:val="100"/>
          <w:position w:val="0"/>
        </w:rPr>
        <w:t xml:space="preserve">. </w:t>
      </w:r>
      <w:r>
        <w:rPr>
          <w:rFonts w:ascii="Times New Roman" w:eastAsia="Times New Roman" w:hAnsi="Times New Roman" w:cs="Times New Roman"/>
          <w:color w:val="000000"/>
          <w:spacing w:val="0"/>
          <w:w w:val="100"/>
          <w:position w:val="0"/>
        </w:rPr>
        <w:t>2015</w:t>
      </w:r>
      <w:r>
        <w:rPr>
          <w:color w:val="000000"/>
          <w:spacing w:val="0"/>
          <w:w w:val="100"/>
          <w:position w:val="0"/>
        </w:rPr>
        <w:t>-</w:t>
      </w:r>
      <w:r>
        <w:rPr>
          <w:rFonts w:ascii="Times New Roman" w:eastAsia="Times New Roman" w:hAnsi="Times New Roman" w:cs="Times New Roman"/>
          <w:color w:val="000000"/>
          <w:spacing w:val="0"/>
          <w:w w:val="100"/>
          <w:position w:val="0"/>
        </w:rPr>
        <w:t>2016</w:t>
      </w:r>
      <w:r>
        <w:rPr>
          <w:color w:val="000000"/>
          <w:spacing w:val="0"/>
          <w:w w:val="100"/>
          <w:position w:val="0"/>
        </w:rPr>
        <w:t>年公司筹划并实施以收购国盛证券为主要内容的重大资产重组，签订《业 绩承诺补偿协议》。</w:t>
      </w:r>
    </w:p>
    <w:p>
      <w:pPr>
        <w:pStyle w:val="Style16"/>
        <w:keepNext w:val="0"/>
        <w:keepLines w:val="0"/>
        <w:widowControl w:val="0"/>
        <w:shd w:val="clear" w:color="auto" w:fill="auto"/>
        <w:bidi w:val="0"/>
        <w:spacing w:before="0" w:after="0" w:line="472" w:lineRule="exact"/>
        <w:ind w:left="0" w:right="0" w:firstLine="44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日公司股东大会审议通过《关于进行本次重大资产重组的议案》及相 关事项；</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日，公司与中江信托（后改名雪松信托，下称雪松信托）、杜力、 张巍签署《业绩承诺补偿协议》；</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月，中国证监会核准公司向雪松信托等发行股份 购买国盛证券</w:t>
      </w:r>
      <w:r>
        <w:rPr>
          <w:rFonts w:ascii="Times New Roman" w:eastAsia="Times New Roman" w:hAnsi="Times New Roman" w:cs="Times New Roman"/>
          <w:color w:val="000000"/>
          <w:spacing w:val="0"/>
          <w:w w:val="100"/>
          <w:position w:val="0"/>
        </w:rPr>
        <w:t>100</w:t>
      </w:r>
      <w:r>
        <w:rPr>
          <w:color w:val="000000"/>
          <w:spacing w:val="0"/>
          <w:w w:val="100"/>
          <w:position w:val="0"/>
        </w:rPr>
        <w:t>%股权并募集配套资金的方案（证监许可【</w:t>
      </w:r>
      <w:r>
        <w:rPr>
          <w:rFonts w:ascii="Times New Roman" w:eastAsia="Times New Roman" w:hAnsi="Times New Roman" w:cs="Times New Roman"/>
          <w:color w:val="000000"/>
          <w:spacing w:val="0"/>
          <w:w w:val="100"/>
          <w:position w:val="0"/>
        </w:rPr>
        <w:t>2016</w:t>
      </w:r>
      <w:r>
        <w:rPr>
          <w:color w:val="000000"/>
          <w:spacing w:val="0"/>
          <w:w w:val="100"/>
          <w:position w:val="0"/>
        </w:rPr>
        <w:t>】</w:t>
      </w:r>
      <w:r>
        <w:rPr>
          <w:rFonts w:ascii="Times New Roman" w:eastAsia="Times New Roman" w:hAnsi="Times New Roman" w:cs="Times New Roman"/>
          <w:color w:val="000000"/>
          <w:spacing w:val="0"/>
          <w:w w:val="100"/>
          <w:position w:val="0"/>
        </w:rPr>
        <w:t>657</w:t>
      </w:r>
      <w:r>
        <w:rPr>
          <w:color w:val="000000"/>
          <w:spacing w:val="0"/>
          <w:w w:val="100"/>
          <w:position w:val="0"/>
        </w:rPr>
        <w:t>号）；</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日，重 组标的资产国盛证券股权完成过户；</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日，重组现金对价支付完毕；</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日本次重组 新增股份上市交易。</w:t>
      </w:r>
    </w:p>
    <w:p>
      <w:pPr>
        <w:pStyle w:val="Style1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公司与相关方签订的《业绩承诺补偿协议》（全文见公司于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日披露的《关 于重大资产重组签署〈业绩承诺补偿协议〉的公告》）约定：雪松信托承诺国盛证券</w:t>
      </w:r>
      <w:r>
        <w:rPr>
          <w:rFonts w:ascii="Times New Roman" w:eastAsia="Times New Roman" w:hAnsi="Times New Roman" w:cs="Times New Roman"/>
          <w:color w:val="000000"/>
          <w:spacing w:val="0"/>
          <w:w w:val="100"/>
          <w:position w:val="0"/>
        </w:rPr>
        <w:t>2016</w:t>
      </w:r>
      <w:r>
        <w:rPr>
          <w:color w:val="000000"/>
          <w:spacing w:val="0"/>
          <w:w w:val="100"/>
          <w:position w:val="0"/>
        </w:rPr>
        <w:t xml:space="preserve">年度、 </w:t>
      </w:r>
      <w:r>
        <w:rPr>
          <w:rFonts w:ascii="Times New Roman" w:eastAsia="Times New Roman" w:hAnsi="Times New Roman" w:cs="Times New Roman"/>
          <w:color w:val="000000"/>
          <w:spacing w:val="0"/>
          <w:w w:val="100"/>
          <w:position w:val="0"/>
        </w:rPr>
        <w:t>2017</w:t>
      </w:r>
      <w:r>
        <w:rPr>
          <w:color w:val="000000"/>
          <w:spacing w:val="0"/>
          <w:w w:val="100"/>
          <w:position w:val="0"/>
        </w:rPr>
        <w:t>年度、</w:t>
      </w:r>
      <w:r>
        <w:rPr>
          <w:rFonts w:ascii="Times New Roman" w:eastAsia="Times New Roman" w:hAnsi="Times New Roman" w:cs="Times New Roman"/>
          <w:color w:val="000000"/>
          <w:spacing w:val="0"/>
          <w:w w:val="100"/>
          <w:position w:val="0"/>
        </w:rPr>
        <w:t>2018</w:t>
      </w:r>
      <w:r>
        <w:rPr>
          <w:color w:val="000000"/>
          <w:spacing w:val="0"/>
          <w:w w:val="100"/>
          <w:position w:val="0"/>
        </w:rPr>
        <w:t>年度经审计的归属于母公司所有者的净利润分别不低于人民币</w:t>
      </w:r>
      <w:r>
        <w:rPr>
          <w:rFonts w:ascii="Times New Roman" w:eastAsia="Times New Roman" w:hAnsi="Times New Roman" w:cs="Times New Roman"/>
          <w:color w:val="000000"/>
          <w:spacing w:val="0"/>
          <w:w w:val="100"/>
          <w:position w:val="0"/>
        </w:rPr>
        <w:t>74</w:t>
      </w:r>
      <w:r>
        <w:rPr>
          <w:color w:val="000000"/>
          <w:spacing w:val="0"/>
          <w:w w:val="100"/>
          <w:position w:val="0"/>
        </w:rPr>
        <w:t xml:space="preserve">, </w:t>
      </w:r>
      <w:r>
        <w:rPr>
          <w:rFonts w:ascii="Times New Roman" w:eastAsia="Times New Roman" w:hAnsi="Times New Roman" w:cs="Times New Roman"/>
          <w:color w:val="000000"/>
          <w:spacing w:val="0"/>
          <w:w w:val="100"/>
          <w:position w:val="0"/>
        </w:rPr>
        <w:t>000</w:t>
      </w:r>
      <w:r>
        <w:rPr>
          <w:color w:val="000000"/>
          <w:spacing w:val="0"/>
          <w:w w:val="100"/>
          <w:position w:val="0"/>
        </w:rPr>
        <w:t xml:space="preserve">万元、 </w:t>
      </w:r>
      <w:r>
        <w:rPr>
          <w:rFonts w:ascii="Times New Roman" w:eastAsia="Times New Roman" w:hAnsi="Times New Roman" w:cs="Times New Roman"/>
          <w:color w:val="000000"/>
          <w:spacing w:val="0"/>
          <w:w w:val="100"/>
          <w:position w:val="0"/>
        </w:rPr>
        <w:t>79</w:t>
      </w:r>
      <w:r>
        <w:rPr>
          <w:color w:val="000000"/>
          <w:spacing w:val="0"/>
          <w:w w:val="100"/>
          <w:position w:val="0"/>
        </w:rPr>
        <w:t xml:space="preserve">, </w:t>
      </w:r>
      <w:r>
        <w:rPr>
          <w:rFonts w:ascii="Times New Roman" w:eastAsia="Times New Roman" w:hAnsi="Times New Roman" w:cs="Times New Roman"/>
          <w:color w:val="000000"/>
          <w:spacing w:val="0"/>
          <w:w w:val="100"/>
          <w:position w:val="0"/>
        </w:rPr>
        <w:t>000</w:t>
      </w:r>
      <w:r>
        <w:rPr>
          <w:color w:val="000000"/>
          <w:spacing w:val="0"/>
          <w:w w:val="100"/>
          <w:position w:val="0"/>
        </w:rPr>
        <w:t>万元、</w:t>
      </w:r>
      <w:r>
        <w:rPr>
          <w:rFonts w:ascii="Times New Roman" w:eastAsia="Times New Roman" w:hAnsi="Times New Roman" w:cs="Times New Roman"/>
          <w:color w:val="000000"/>
          <w:spacing w:val="0"/>
          <w:w w:val="100"/>
          <w:position w:val="0"/>
        </w:rPr>
        <w:t>85</w:t>
      </w:r>
      <w:r>
        <w:rPr>
          <w:color w:val="000000"/>
          <w:spacing w:val="0"/>
          <w:w w:val="100"/>
          <w:position w:val="0"/>
        </w:rPr>
        <w:t>,</w:t>
      </w:r>
      <w:r>
        <w:rPr>
          <w:rFonts w:ascii="Times New Roman" w:eastAsia="Times New Roman" w:hAnsi="Times New Roman" w:cs="Times New Roman"/>
          <w:color w:val="000000"/>
          <w:spacing w:val="0"/>
          <w:w w:val="100"/>
          <w:position w:val="0"/>
        </w:rPr>
        <w:t>000</w:t>
      </w:r>
      <w:r>
        <w:rPr>
          <w:color w:val="000000"/>
          <w:spacing w:val="0"/>
          <w:w w:val="100"/>
          <w:position w:val="0"/>
        </w:rPr>
        <w:t>万元，其中净利润以扣除非经常性损益前后孰低值为准。如国盛证券 在业绩承诺期未实际完成承诺净利润数，雪松信托应按照《业绩承诺补偿协议》的约定进行 业绩补偿。业绩承诺差额补偿应先以股份补偿，不足部分以现金补偿。在约定的业绩承诺期 满后</w:t>
      </w:r>
      <w:r>
        <w:rPr>
          <w:rFonts w:ascii="Times New Roman" w:eastAsia="Times New Roman" w:hAnsi="Times New Roman" w:cs="Times New Roman"/>
          <w:color w:val="000000"/>
          <w:spacing w:val="0"/>
          <w:w w:val="100"/>
          <w:position w:val="0"/>
        </w:rPr>
        <w:t>120</w:t>
      </w:r>
      <w:r>
        <w:rPr>
          <w:color w:val="000000"/>
          <w:spacing w:val="0"/>
          <w:w w:val="100"/>
          <w:position w:val="0"/>
        </w:rPr>
        <w:t>日内，公司应聘请有资格的机构对国盛证券出具减值测试报告，如根据减值测试报 告标的资产期末减值额〉雪松信托已补偿金额+杜力、张巍已补偿金额（如有），则雪松信托 应向公司另行以现金方式进行补偿。如雪松信托承担的上述业绩承诺补偿与减值补偿合计金 额超过</w:t>
      </w:r>
      <w:r>
        <w:rPr>
          <w:rFonts w:ascii="Times New Roman" w:eastAsia="Times New Roman" w:hAnsi="Times New Roman" w:cs="Times New Roman"/>
          <w:color w:val="000000"/>
          <w:spacing w:val="0"/>
          <w:w w:val="100"/>
          <w:position w:val="0"/>
        </w:rPr>
        <w:t>401</w:t>
      </w:r>
      <w:r>
        <w:rPr>
          <w:color w:val="000000"/>
          <w:spacing w:val="0"/>
          <w:w w:val="100"/>
          <w:position w:val="0"/>
        </w:rPr>
        <w:t>,</w:t>
      </w:r>
      <w:r>
        <w:rPr>
          <w:rFonts w:ascii="Times New Roman" w:eastAsia="Times New Roman" w:hAnsi="Times New Roman" w:cs="Times New Roman"/>
          <w:color w:val="000000"/>
          <w:spacing w:val="0"/>
          <w:w w:val="100"/>
          <w:position w:val="0"/>
        </w:rPr>
        <w:t>980</w:t>
      </w:r>
      <w:r>
        <w:rPr>
          <w:color w:val="000000"/>
          <w:spacing w:val="0"/>
          <w:w w:val="100"/>
          <w:position w:val="0"/>
        </w:rPr>
        <w:t xml:space="preserve">. </w:t>
      </w:r>
      <w:r>
        <w:rPr>
          <w:rFonts w:ascii="Times New Roman" w:eastAsia="Times New Roman" w:hAnsi="Times New Roman" w:cs="Times New Roman"/>
          <w:color w:val="000000"/>
          <w:spacing w:val="0"/>
          <w:w w:val="100"/>
          <w:position w:val="0"/>
        </w:rPr>
        <w:t>56</w:t>
      </w:r>
      <w:r>
        <w:rPr>
          <w:color w:val="000000"/>
          <w:spacing w:val="0"/>
          <w:w w:val="100"/>
          <w:position w:val="0"/>
        </w:rPr>
        <w:t>万元，则超出部分的补偿义务由杜力、张巍以现金方式向公司承担。协 议约定争议解决机关为南昌仲裁委员会。</w:t>
      </w:r>
    </w:p>
    <w:p>
      <w:pPr>
        <w:pStyle w:val="Style16"/>
        <w:keepNext w:val="0"/>
        <w:keepLines w:val="0"/>
        <w:widowControl w:val="0"/>
        <w:shd w:val="clear" w:color="auto" w:fill="auto"/>
        <w:bidi w:val="0"/>
        <w:spacing w:before="0" w:after="0" w:line="469" w:lineRule="exact"/>
        <w:ind w:left="0" w:right="0" w:firstLine="44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日，立信会计师事务所（特殊普通合伙）（以下简称立信）出具《关于 国盛证券有限责任公司业绩承诺实现情况的专项审核报告》（信会师报字</w:t>
      </w:r>
      <w:r>
        <w:rPr>
          <w:color w:val="000000"/>
          <w:spacing w:val="0"/>
          <w:w w:val="100"/>
          <w:position w:val="0"/>
        </w:rPr>
        <w:t>［</w:t>
      </w:r>
      <w:r>
        <w:rPr>
          <w:rFonts w:ascii="Times New Roman" w:eastAsia="Times New Roman" w:hAnsi="Times New Roman" w:cs="Times New Roman"/>
          <w:color w:val="000000"/>
          <w:spacing w:val="0"/>
          <w:w w:val="100"/>
          <w:position w:val="0"/>
        </w:rPr>
        <w:t>2019</w:t>
      </w:r>
      <w:r>
        <w:rPr>
          <w:color w:val="000000"/>
          <w:spacing w:val="0"/>
          <w:w w:val="100"/>
          <w:position w:val="0"/>
        </w:rPr>
        <w:t>］</w:t>
      </w:r>
      <w:r>
        <w:rPr>
          <w:color w:val="000000"/>
          <w:spacing w:val="0"/>
          <w:w w:val="100"/>
          <w:position w:val="0"/>
        </w:rPr>
        <w:t>第</w:t>
      </w:r>
      <w:r>
        <w:rPr>
          <w:rFonts w:ascii="Arial" w:eastAsia="Arial" w:hAnsi="Arial" w:cs="Arial"/>
          <w:color w:val="000000"/>
          <w:spacing w:val="0"/>
          <w:w w:val="100"/>
          <w:position w:val="0"/>
          <w:sz w:val="17"/>
          <w:szCs w:val="17"/>
        </w:rPr>
        <w:t>ZA</w:t>
      </w:r>
      <w:r>
        <w:rPr>
          <w:rFonts w:ascii="Times New Roman" w:eastAsia="Times New Roman" w:hAnsi="Times New Roman" w:cs="Times New Roman"/>
          <w:color w:val="000000"/>
          <w:spacing w:val="0"/>
          <w:w w:val="100"/>
          <w:position w:val="0"/>
        </w:rPr>
        <w:t xml:space="preserve">13415 </w:t>
      </w:r>
      <w:r>
        <w:rPr>
          <w:color w:val="000000"/>
          <w:spacing w:val="0"/>
          <w:w w:val="100"/>
          <w:position w:val="0"/>
        </w:rPr>
        <w:t>号）、《国盛金融控股集团股份有限公司重大资产重组标的资产减值测试专项审核报告》（信 会师报字</w:t>
      </w:r>
      <w:r>
        <w:rPr>
          <w:color w:val="000000"/>
          <w:spacing w:val="0"/>
          <w:w w:val="100"/>
          <w:position w:val="0"/>
        </w:rPr>
        <w:t>［</w:t>
      </w:r>
      <w:r>
        <w:rPr>
          <w:rFonts w:ascii="Times New Roman" w:eastAsia="Times New Roman" w:hAnsi="Times New Roman" w:cs="Times New Roman"/>
          <w:color w:val="000000"/>
          <w:spacing w:val="0"/>
          <w:w w:val="100"/>
          <w:position w:val="0"/>
        </w:rPr>
        <w:t>2019</w:t>
      </w:r>
      <w:r>
        <w:rPr>
          <w:color w:val="000000"/>
          <w:spacing w:val="0"/>
          <w:w w:val="100"/>
          <w:position w:val="0"/>
        </w:rPr>
        <w:t>］</w:t>
      </w:r>
      <w:r>
        <w:rPr>
          <w:color w:val="000000"/>
          <w:spacing w:val="0"/>
          <w:w w:val="100"/>
          <w:position w:val="0"/>
        </w:rPr>
        <w:t>第</w:t>
      </w:r>
      <w:r>
        <w:rPr>
          <w:rFonts w:ascii="Arial" w:eastAsia="Arial" w:hAnsi="Arial" w:cs="Arial"/>
          <w:color w:val="000000"/>
          <w:spacing w:val="0"/>
          <w:w w:val="100"/>
          <w:position w:val="0"/>
          <w:sz w:val="17"/>
          <w:szCs w:val="17"/>
        </w:rPr>
        <w:t>ZA</w:t>
      </w:r>
      <w:r>
        <w:rPr>
          <w:rFonts w:ascii="Times New Roman" w:eastAsia="Times New Roman" w:hAnsi="Times New Roman" w:cs="Times New Roman"/>
          <w:color w:val="000000"/>
          <w:spacing w:val="0"/>
          <w:w w:val="100"/>
          <w:position w:val="0"/>
        </w:rPr>
        <w:t>13511</w:t>
      </w:r>
      <w:r>
        <w:rPr>
          <w:color w:val="000000"/>
          <w:spacing w:val="0"/>
          <w:w w:val="100"/>
          <w:position w:val="0"/>
        </w:rPr>
        <w:t>号）。根据该两份专项审核报告，国盛证券</w:t>
      </w:r>
      <w:r>
        <w:rPr>
          <w:rFonts w:ascii="Times New Roman" w:eastAsia="Times New Roman" w:hAnsi="Times New Roman" w:cs="Times New Roman"/>
          <w:color w:val="000000"/>
          <w:spacing w:val="0"/>
          <w:w w:val="100"/>
          <w:position w:val="0"/>
        </w:rPr>
        <w:t>2016</w:t>
      </w:r>
      <w:r>
        <w:rPr>
          <w:color w:val="000000"/>
          <w:spacing w:val="0"/>
          <w:w w:val="100"/>
          <w:position w:val="0"/>
        </w:rPr>
        <w:t>年度实现归属于 母公司所有者的净利润</w:t>
      </w:r>
      <w:r>
        <w:rPr>
          <w:rFonts w:ascii="Times New Roman" w:eastAsia="Times New Roman" w:hAnsi="Times New Roman" w:cs="Times New Roman"/>
          <w:color w:val="000000"/>
          <w:spacing w:val="0"/>
          <w:w w:val="100"/>
          <w:position w:val="0"/>
        </w:rPr>
        <w:t>608</w:t>
      </w:r>
      <w:r>
        <w:rPr>
          <w:color w:val="000000"/>
          <w:spacing w:val="0"/>
          <w:w w:val="100"/>
          <w:position w:val="0"/>
        </w:rPr>
        <w:t xml:space="preserve">, </w:t>
      </w:r>
      <w:r>
        <w:rPr>
          <w:rFonts w:ascii="Times New Roman" w:eastAsia="Times New Roman" w:hAnsi="Times New Roman" w:cs="Times New Roman"/>
          <w:color w:val="000000"/>
          <w:spacing w:val="0"/>
          <w:w w:val="100"/>
          <w:position w:val="0"/>
        </w:rPr>
        <w:t>180</w:t>
      </w:r>
      <w:r>
        <w:rPr>
          <w:color w:val="000000"/>
          <w:spacing w:val="0"/>
          <w:w w:val="100"/>
          <w:position w:val="0"/>
        </w:rPr>
        <w:t xml:space="preserve">, </w:t>
      </w:r>
      <w:r>
        <w:rPr>
          <w:rFonts w:ascii="Times New Roman" w:eastAsia="Times New Roman" w:hAnsi="Times New Roman" w:cs="Times New Roman"/>
          <w:color w:val="000000"/>
          <w:spacing w:val="0"/>
          <w:w w:val="100"/>
          <w:position w:val="0"/>
        </w:rPr>
        <w:t>997</w:t>
      </w:r>
      <w:r>
        <w:rPr>
          <w:color w:val="000000"/>
          <w:spacing w:val="0"/>
          <w:w w:val="100"/>
          <w:position w:val="0"/>
        </w:rPr>
        <w:t xml:space="preserve">. </w:t>
      </w:r>
      <w:r>
        <w:rPr>
          <w:rFonts w:ascii="Times New Roman" w:eastAsia="Times New Roman" w:hAnsi="Times New Roman" w:cs="Times New Roman"/>
          <w:color w:val="000000"/>
          <w:spacing w:val="0"/>
          <w:w w:val="100"/>
          <w:position w:val="0"/>
        </w:rPr>
        <w:t>77</w:t>
      </w:r>
      <w:r>
        <w:rPr>
          <w:color w:val="000000"/>
          <w:spacing w:val="0"/>
          <w:w w:val="100"/>
          <w:position w:val="0"/>
        </w:rPr>
        <w:t>元，</w:t>
      </w:r>
      <w:r>
        <w:rPr>
          <w:rFonts w:ascii="Times New Roman" w:eastAsia="Times New Roman" w:hAnsi="Times New Roman" w:cs="Times New Roman"/>
          <w:color w:val="000000"/>
          <w:spacing w:val="0"/>
          <w:w w:val="100"/>
          <w:position w:val="0"/>
        </w:rPr>
        <w:t>2017</w:t>
      </w:r>
      <w:r>
        <w:rPr>
          <w:color w:val="000000"/>
          <w:spacing w:val="0"/>
          <w:w w:val="100"/>
          <w:position w:val="0"/>
        </w:rPr>
        <w:t xml:space="preserve">年度实现归属于母公司所有者的净利润 </w:t>
      </w:r>
      <w:r>
        <w:rPr>
          <w:rFonts w:ascii="Times New Roman" w:eastAsia="Times New Roman" w:hAnsi="Times New Roman" w:cs="Times New Roman"/>
          <w:color w:val="000000"/>
          <w:spacing w:val="0"/>
          <w:w w:val="100"/>
          <w:position w:val="0"/>
        </w:rPr>
        <w:t>642</w:t>
      </w:r>
      <w:r>
        <w:rPr>
          <w:color w:val="000000"/>
          <w:spacing w:val="0"/>
          <w:w w:val="100"/>
          <w:position w:val="0"/>
        </w:rPr>
        <w:t xml:space="preserve">, </w:t>
      </w:r>
      <w:r>
        <w:rPr>
          <w:rFonts w:ascii="Times New Roman" w:eastAsia="Times New Roman" w:hAnsi="Times New Roman" w:cs="Times New Roman"/>
          <w:color w:val="000000"/>
          <w:spacing w:val="0"/>
          <w:w w:val="100"/>
          <w:position w:val="0"/>
        </w:rPr>
        <w:t>818</w:t>
      </w:r>
      <w:r>
        <w:rPr>
          <w:color w:val="000000"/>
          <w:spacing w:val="0"/>
          <w:w w:val="100"/>
          <w:position w:val="0"/>
        </w:rPr>
        <w:t xml:space="preserve">, </w:t>
      </w:r>
      <w:r>
        <w:rPr>
          <w:rFonts w:ascii="Times New Roman" w:eastAsia="Times New Roman" w:hAnsi="Times New Roman" w:cs="Times New Roman"/>
          <w:color w:val="000000"/>
          <w:spacing w:val="0"/>
          <w:w w:val="100"/>
          <w:position w:val="0"/>
        </w:rPr>
        <w:t>760</w:t>
      </w:r>
      <w:r>
        <w:rPr>
          <w:color w:val="000000"/>
          <w:spacing w:val="0"/>
          <w:w w:val="100"/>
          <w:position w:val="0"/>
        </w:rPr>
        <w:t xml:space="preserve">. </w:t>
      </w:r>
      <w:r>
        <w:rPr>
          <w:rFonts w:ascii="Times New Roman" w:eastAsia="Times New Roman" w:hAnsi="Times New Roman" w:cs="Times New Roman"/>
          <w:color w:val="000000"/>
          <w:spacing w:val="0"/>
          <w:w w:val="100"/>
          <w:position w:val="0"/>
        </w:rPr>
        <w:t>81</w:t>
      </w:r>
      <w:r>
        <w:rPr>
          <w:color w:val="000000"/>
          <w:spacing w:val="0"/>
          <w:w w:val="100"/>
          <w:position w:val="0"/>
        </w:rPr>
        <w:t>元，</w:t>
      </w:r>
      <w:r>
        <w:rPr>
          <w:rFonts w:ascii="Times New Roman" w:eastAsia="Times New Roman" w:hAnsi="Times New Roman" w:cs="Times New Roman"/>
          <w:color w:val="000000"/>
          <w:spacing w:val="0"/>
          <w:w w:val="100"/>
          <w:position w:val="0"/>
        </w:rPr>
        <w:t>2018</w:t>
      </w:r>
      <w:r>
        <w:rPr>
          <w:color w:val="000000"/>
          <w:spacing w:val="0"/>
          <w:w w:val="100"/>
          <w:position w:val="0"/>
        </w:rPr>
        <w:t>年度实现归属于母公司所有者的净利润</w:t>
      </w:r>
      <w:r>
        <w:rPr>
          <w:color w:val="000000"/>
          <w:spacing w:val="0"/>
          <w:w w:val="100"/>
          <w:position w:val="0"/>
        </w:rPr>
        <w:t>-</w:t>
      </w:r>
      <w:r>
        <w:rPr>
          <w:rFonts w:ascii="Times New Roman" w:eastAsia="Times New Roman" w:hAnsi="Times New Roman" w:cs="Times New Roman"/>
          <w:color w:val="000000"/>
          <w:spacing w:val="0"/>
          <w:w w:val="100"/>
          <w:position w:val="0"/>
        </w:rPr>
        <w:t>190</w:t>
      </w:r>
      <w:r>
        <w:rPr>
          <w:color w:val="000000"/>
          <w:spacing w:val="0"/>
          <w:w w:val="100"/>
          <w:position w:val="0"/>
        </w:rPr>
        <w:t>,</w:t>
      </w:r>
      <w:r>
        <w:rPr>
          <w:rFonts w:ascii="Times New Roman" w:eastAsia="Times New Roman" w:hAnsi="Times New Roman" w:cs="Times New Roman"/>
          <w:color w:val="000000"/>
          <w:spacing w:val="0"/>
          <w:w w:val="100"/>
          <w:position w:val="0"/>
        </w:rPr>
        <w:t>047</w:t>
      </w:r>
      <w:r>
        <w:rPr>
          <w:color w:val="000000"/>
          <w:spacing w:val="0"/>
          <w:w w:val="100"/>
          <w:position w:val="0"/>
        </w:rPr>
        <w:t>,</w:t>
      </w:r>
      <w:r>
        <w:rPr>
          <w:rFonts w:ascii="Times New Roman" w:eastAsia="Times New Roman" w:hAnsi="Times New Roman" w:cs="Times New Roman"/>
          <w:color w:val="000000"/>
          <w:spacing w:val="0"/>
          <w:w w:val="100"/>
          <w:position w:val="0"/>
        </w:rPr>
        <w:t>253</w:t>
      </w:r>
      <w:r>
        <w:rPr>
          <w:color w:val="000000"/>
          <w:spacing w:val="0"/>
          <w:w w:val="100"/>
          <w:position w:val="0"/>
        </w:rPr>
        <w:t>.</w:t>
      </w:r>
      <w:r>
        <w:rPr>
          <w:rFonts w:ascii="Times New Roman" w:eastAsia="Times New Roman" w:hAnsi="Times New Roman" w:cs="Times New Roman"/>
          <w:color w:val="000000"/>
          <w:spacing w:val="0"/>
          <w:w w:val="100"/>
          <w:position w:val="0"/>
        </w:rPr>
        <w:t>37</w:t>
      </w:r>
      <w:r>
        <w:rPr>
          <w:color w:val="000000"/>
          <w:spacing w:val="0"/>
          <w:w w:val="100"/>
          <w:position w:val="0"/>
        </w:rPr>
        <w:t xml:space="preserve">元， </w:t>
      </w:r>
      <w:r>
        <w:rPr>
          <w:rFonts w:ascii="Times New Roman" w:eastAsia="Times New Roman" w:hAnsi="Times New Roman" w:cs="Times New Roman"/>
          <w:color w:val="000000"/>
          <w:spacing w:val="0"/>
          <w:w w:val="100"/>
          <w:position w:val="0"/>
        </w:rPr>
        <w:t>2016</w:t>
      </w:r>
      <w:r>
        <w:rPr>
          <w:color w:val="000000"/>
          <w:spacing w:val="0"/>
          <w:w w:val="100"/>
          <w:position w:val="0"/>
        </w:rPr>
        <w:t>-</w:t>
      </w:r>
      <w:r>
        <w:rPr>
          <w:rFonts w:ascii="Times New Roman" w:eastAsia="Times New Roman" w:hAnsi="Times New Roman" w:cs="Times New Roman"/>
          <w:color w:val="000000"/>
          <w:spacing w:val="0"/>
          <w:w w:val="100"/>
          <w:position w:val="0"/>
        </w:rPr>
        <w:t>2018</w:t>
      </w:r>
      <w:r>
        <w:rPr>
          <w:color w:val="000000"/>
          <w:spacing w:val="0"/>
          <w:w w:val="100"/>
          <w:position w:val="0"/>
        </w:rPr>
        <w:t>年三年国盛证券累计实现归属于母公司所有者的净利润与扣除非经常性损益后 归属于母公司所有者的净利润孰低值为</w:t>
      </w:r>
      <w:r>
        <w:rPr>
          <w:rFonts w:ascii="Times New Roman" w:eastAsia="Times New Roman" w:hAnsi="Times New Roman" w:cs="Times New Roman"/>
          <w:color w:val="000000"/>
          <w:spacing w:val="0"/>
          <w:w w:val="100"/>
          <w:position w:val="0"/>
        </w:rPr>
        <w:t>1</w:t>
      </w:r>
      <w:r>
        <w:rPr>
          <w:color w:val="000000"/>
          <w:spacing w:val="0"/>
          <w:w w:val="100"/>
          <w:position w:val="0"/>
        </w:rPr>
        <w:t xml:space="preserve">, </w:t>
      </w:r>
      <w:r>
        <w:rPr>
          <w:rFonts w:ascii="Times New Roman" w:eastAsia="Times New Roman" w:hAnsi="Times New Roman" w:cs="Times New Roman"/>
          <w:color w:val="000000"/>
          <w:spacing w:val="0"/>
          <w:w w:val="100"/>
          <w:position w:val="0"/>
        </w:rPr>
        <w:t>060</w:t>
      </w:r>
      <w:r>
        <w:rPr>
          <w:color w:val="000000"/>
          <w:spacing w:val="0"/>
          <w:w w:val="100"/>
          <w:position w:val="0"/>
        </w:rPr>
        <w:t xml:space="preserve">, </w:t>
      </w:r>
      <w:r>
        <w:rPr>
          <w:rFonts w:ascii="Times New Roman" w:eastAsia="Times New Roman" w:hAnsi="Times New Roman" w:cs="Times New Roman"/>
          <w:color w:val="000000"/>
          <w:spacing w:val="0"/>
          <w:w w:val="100"/>
          <w:position w:val="0"/>
        </w:rPr>
        <w:t>952</w:t>
      </w:r>
      <w:r>
        <w:rPr>
          <w:color w:val="000000"/>
          <w:spacing w:val="0"/>
          <w:w w:val="100"/>
          <w:position w:val="0"/>
        </w:rPr>
        <w:t xml:space="preserve">, </w:t>
      </w:r>
      <w:r>
        <w:rPr>
          <w:rFonts w:ascii="Times New Roman" w:eastAsia="Times New Roman" w:hAnsi="Times New Roman" w:cs="Times New Roman"/>
          <w:color w:val="000000"/>
          <w:spacing w:val="0"/>
          <w:w w:val="100"/>
          <w:position w:val="0"/>
        </w:rPr>
        <w:t>505</w:t>
      </w:r>
      <w:r>
        <w:rPr>
          <w:color w:val="000000"/>
          <w:spacing w:val="0"/>
          <w:w w:val="100"/>
          <w:position w:val="0"/>
        </w:rPr>
        <w:t xml:space="preserve">. </w:t>
      </w:r>
      <w:r>
        <w:rPr>
          <w:rFonts w:ascii="Times New Roman" w:eastAsia="Times New Roman" w:hAnsi="Times New Roman" w:cs="Times New Roman"/>
          <w:color w:val="000000"/>
          <w:spacing w:val="0"/>
          <w:w w:val="100"/>
          <w:position w:val="0"/>
        </w:rPr>
        <w:t>21</w:t>
      </w:r>
      <w:r>
        <w:rPr>
          <w:color w:val="000000"/>
          <w:spacing w:val="0"/>
          <w:w w:val="100"/>
          <w:position w:val="0"/>
        </w:rPr>
        <w:t>元，低于承诺业绩</w:t>
      </w:r>
    </w:p>
    <w:p>
      <w:pPr>
        <w:pStyle w:val="Style97"/>
        <w:keepNext w:val="0"/>
        <w:keepLines w:val="0"/>
        <w:widowControl w:val="0"/>
        <w:shd w:val="clear" w:color="auto" w:fill="auto"/>
        <w:bidi w:val="0"/>
        <w:spacing w:before="0" w:after="0" w:line="240" w:lineRule="auto"/>
        <w:ind w:left="0" w:right="0" w:firstLine="0"/>
        <w:jc w:val="both"/>
      </w:pPr>
      <w:r>
        <w:rPr>
          <w:b w:val="0"/>
          <w:bCs w:val="0"/>
          <w:color w:val="000000"/>
          <w:spacing w:val="0"/>
          <w:w w:val="100"/>
          <w:position w:val="0"/>
        </w:rPr>
        <w:t>1</w:t>
      </w:r>
      <w:r>
        <w:rPr>
          <w:rFonts w:ascii="SimSun" w:eastAsia="SimSun" w:hAnsi="SimSun" w:cs="SimSun"/>
          <w:b w:val="0"/>
          <w:bCs w:val="0"/>
          <w:color w:val="000000"/>
          <w:spacing w:val="0"/>
          <w:w w:val="100"/>
          <w:position w:val="0"/>
        </w:rPr>
        <w:t>,</w:t>
      </w:r>
      <w:r>
        <w:rPr>
          <w:b w:val="0"/>
          <w:bCs w:val="0"/>
          <w:color w:val="000000"/>
          <w:spacing w:val="0"/>
          <w:w w:val="100"/>
          <w:position w:val="0"/>
        </w:rPr>
        <w:t>319</w:t>
      </w:r>
      <w:r>
        <w:rPr>
          <w:rFonts w:ascii="SimSun" w:eastAsia="SimSun" w:hAnsi="SimSun" w:cs="SimSun"/>
          <w:b w:val="0"/>
          <w:bCs w:val="0"/>
          <w:color w:val="000000"/>
          <w:spacing w:val="0"/>
          <w:w w:val="100"/>
          <w:position w:val="0"/>
        </w:rPr>
        <w:t xml:space="preserve">, </w:t>
      </w:r>
      <w:r>
        <w:rPr>
          <w:b w:val="0"/>
          <w:bCs w:val="0"/>
          <w:color w:val="000000"/>
          <w:spacing w:val="0"/>
          <w:w w:val="100"/>
          <w:position w:val="0"/>
        </w:rPr>
        <w:t>047</w:t>
      </w:r>
      <w:r>
        <w:rPr>
          <w:rFonts w:ascii="SimSun" w:eastAsia="SimSun" w:hAnsi="SimSun" w:cs="SimSun"/>
          <w:b w:val="0"/>
          <w:bCs w:val="0"/>
          <w:color w:val="000000"/>
          <w:spacing w:val="0"/>
          <w:w w:val="100"/>
          <w:position w:val="0"/>
        </w:rPr>
        <w:t xml:space="preserve">, </w:t>
      </w:r>
      <w:r>
        <w:rPr>
          <w:b w:val="0"/>
          <w:bCs w:val="0"/>
          <w:color w:val="000000"/>
          <w:spacing w:val="0"/>
          <w:w w:val="100"/>
          <w:position w:val="0"/>
        </w:rPr>
        <w:t>494</w:t>
      </w:r>
      <w:r>
        <w:rPr>
          <w:rFonts w:ascii="SimSun" w:eastAsia="SimSun" w:hAnsi="SimSun" w:cs="SimSun"/>
          <w:b w:val="0"/>
          <w:bCs w:val="0"/>
          <w:color w:val="000000"/>
          <w:spacing w:val="0"/>
          <w:w w:val="100"/>
          <w:position w:val="0"/>
        </w:rPr>
        <w:t xml:space="preserve">. </w:t>
      </w:r>
      <w:r>
        <w:rPr>
          <w:b w:val="0"/>
          <w:bCs w:val="0"/>
          <w:color w:val="000000"/>
          <w:spacing w:val="0"/>
          <w:w w:val="100"/>
          <w:position w:val="0"/>
        </w:rPr>
        <w:t xml:space="preserve">79 </w:t>
      </w:r>
      <w:r>
        <w:rPr>
          <w:rFonts w:ascii="SimSun" w:eastAsia="SimSun" w:hAnsi="SimSun" w:cs="SimSun"/>
          <w:b w:val="0"/>
          <w:bCs w:val="0"/>
          <w:color w:val="000000"/>
          <w:spacing w:val="0"/>
          <w:w w:val="100"/>
          <w:position w:val="0"/>
        </w:rPr>
        <w:t>元。</w:t>
      </w:r>
    </w:p>
    <w:p>
      <w:pPr>
        <w:pStyle w:val="Style16"/>
        <w:keepNext w:val="0"/>
        <w:keepLines w:val="0"/>
        <w:widowControl w:val="0"/>
        <w:shd w:val="clear" w:color="auto" w:fill="auto"/>
        <w:tabs>
          <w:tab w:pos="753" w:val="left"/>
        </w:tabs>
        <w:bidi w:val="0"/>
        <w:spacing w:before="0" w:after="0" w:line="472" w:lineRule="exact"/>
        <w:ind w:left="0" w:right="0" w:firstLine="440"/>
        <w:jc w:val="both"/>
      </w:pPr>
      <w:bookmarkStart w:id="1895" w:name="bookmark1895"/>
      <w:r>
        <w:rPr>
          <w:rFonts w:ascii="Times New Roman" w:eastAsia="Times New Roman" w:hAnsi="Times New Roman" w:cs="Times New Roman"/>
          <w:color w:val="000000"/>
          <w:spacing w:val="0"/>
          <w:w w:val="100"/>
          <w:position w:val="0"/>
        </w:rPr>
        <w:t>2</w:t>
      </w:r>
      <w:bookmarkEnd w:id="1895"/>
      <w:r>
        <w:rPr>
          <w:color w:val="000000"/>
          <w:spacing w:val="0"/>
          <w:w w:val="100"/>
          <w:position w:val="0"/>
        </w:rPr>
        <w:t>、</w:t>
        <w:tab/>
        <w:t>业绩承诺事项涉及争议</w:t>
      </w:r>
    </w:p>
    <w:p>
      <w:pPr>
        <w:pStyle w:val="Style16"/>
        <w:keepNext w:val="0"/>
        <w:keepLines w:val="0"/>
        <w:widowControl w:val="0"/>
        <w:shd w:val="clear" w:color="auto" w:fill="auto"/>
        <w:bidi w:val="0"/>
        <w:spacing w:before="0" w:after="0" w:line="471" w:lineRule="exact"/>
        <w:ind w:left="0" w:right="0" w:firstLine="44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月，雪松信托以公司违反诚实信用原则、恶意促成《业绩承诺补偿协议》约 定的业绩补偿条件成就为由对公司、杜力、张巍等三人提起诉讼，请求法院判令三被告：向 雪松信托赔偿</w:t>
      </w:r>
      <w:r>
        <w:rPr>
          <w:rFonts w:ascii="Times New Roman" w:eastAsia="Times New Roman" w:hAnsi="Times New Roman" w:cs="Times New Roman"/>
          <w:color w:val="000000"/>
          <w:spacing w:val="0"/>
          <w:w w:val="100"/>
          <w:position w:val="0"/>
        </w:rPr>
        <w:t>1</w:t>
      </w:r>
      <w:r>
        <w:rPr>
          <w:color w:val="000000"/>
          <w:spacing w:val="0"/>
          <w:w w:val="100"/>
          <w:position w:val="0"/>
        </w:rPr>
        <w:t>亿元损失；将国盛证券有限责任公司移交给雪松信托经营管理。</w:t>
      </w:r>
    </w:p>
    <w:p>
      <w:pPr>
        <w:pStyle w:val="Style16"/>
        <w:keepNext w:val="0"/>
        <w:keepLines w:val="0"/>
        <w:widowControl w:val="0"/>
        <w:shd w:val="clear" w:color="auto" w:fill="auto"/>
        <w:bidi w:val="0"/>
        <w:spacing w:before="0" w:after="0" w:line="471" w:lineRule="exact"/>
        <w:ind w:left="0" w:right="0" w:firstLine="44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月，公司向江西省高级人民法院（以下简称江西高院）提起反诉，请求法院 判令雪松信托履行业绩承诺差额补偿义务。具体诉讼请求为：雪松信托以</w:t>
      </w:r>
      <w:r>
        <w:rPr>
          <w:rFonts w:ascii="Times New Roman" w:eastAsia="Times New Roman" w:hAnsi="Times New Roman" w:cs="Times New Roman"/>
          <w:color w:val="000000"/>
          <w:spacing w:val="0"/>
          <w:w w:val="100"/>
          <w:position w:val="0"/>
        </w:rPr>
        <w:t>1</w:t>
      </w:r>
      <w:r>
        <w:rPr>
          <w:color w:val="000000"/>
          <w:spacing w:val="0"/>
          <w:w w:val="100"/>
          <w:position w:val="0"/>
        </w:rPr>
        <w:t>元的总对价向国 盛金控转让</w:t>
      </w:r>
      <w:r>
        <w:rPr>
          <w:rFonts w:ascii="Times New Roman" w:eastAsia="Times New Roman" w:hAnsi="Times New Roman" w:cs="Times New Roman"/>
          <w:color w:val="000000"/>
          <w:spacing w:val="0"/>
          <w:w w:val="100"/>
          <w:position w:val="0"/>
        </w:rPr>
        <w:t>311</w:t>
      </w:r>
      <w:r>
        <w:rPr>
          <w:color w:val="000000"/>
          <w:spacing w:val="0"/>
          <w:w w:val="100"/>
          <w:position w:val="0"/>
        </w:rPr>
        <w:t xml:space="preserve">, </w:t>
      </w:r>
      <w:r>
        <w:rPr>
          <w:rFonts w:ascii="Times New Roman" w:eastAsia="Times New Roman" w:hAnsi="Times New Roman" w:cs="Times New Roman"/>
          <w:color w:val="000000"/>
          <w:spacing w:val="0"/>
          <w:w w:val="100"/>
          <w:position w:val="0"/>
        </w:rPr>
        <w:t>734</w:t>
      </w:r>
      <w:r>
        <w:rPr>
          <w:color w:val="000000"/>
          <w:spacing w:val="0"/>
          <w:w w:val="100"/>
          <w:position w:val="0"/>
        </w:rPr>
        <w:t xml:space="preserve">, </w:t>
      </w:r>
      <w:r>
        <w:rPr>
          <w:rFonts w:ascii="Times New Roman" w:eastAsia="Times New Roman" w:hAnsi="Times New Roman" w:cs="Times New Roman"/>
          <w:color w:val="000000"/>
          <w:spacing w:val="0"/>
          <w:w w:val="100"/>
          <w:position w:val="0"/>
        </w:rPr>
        <w:t>019</w:t>
      </w:r>
      <w:r>
        <w:rPr>
          <w:color w:val="000000"/>
          <w:spacing w:val="0"/>
          <w:w w:val="100"/>
          <w:position w:val="0"/>
        </w:rPr>
        <w:t>股应补偿的国盛金控股份（雪松信托在国盛金控</w:t>
      </w:r>
      <w:r>
        <w:rPr>
          <w:rFonts w:ascii="Times New Roman" w:eastAsia="Times New Roman" w:hAnsi="Times New Roman" w:cs="Times New Roman"/>
          <w:color w:val="000000"/>
          <w:spacing w:val="0"/>
          <w:w w:val="100"/>
          <w:position w:val="0"/>
        </w:rPr>
        <w:t>2016</w:t>
      </w:r>
      <w:r>
        <w:rPr>
          <w:color w:val="000000"/>
          <w:spacing w:val="0"/>
          <w:w w:val="100"/>
          <w:position w:val="0"/>
        </w:rPr>
        <w:t>年度重大资 产重组中获得的</w:t>
      </w:r>
      <w:r>
        <w:rPr>
          <w:rFonts w:ascii="Times New Roman" w:eastAsia="Times New Roman" w:hAnsi="Times New Roman" w:cs="Times New Roman"/>
          <w:color w:val="000000"/>
          <w:spacing w:val="0"/>
          <w:w w:val="100"/>
          <w:position w:val="0"/>
        </w:rPr>
        <w:t>50</w:t>
      </w:r>
      <w:r>
        <w:rPr>
          <w:color w:val="000000"/>
          <w:spacing w:val="0"/>
          <w:w w:val="100"/>
          <w:position w:val="0"/>
        </w:rPr>
        <w:t>%交易对价</w:t>
      </w:r>
      <w:r>
        <w:rPr>
          <w:rFonts w:ascii="Times New Roman" w:eastAsia="Times New Roman" w:hAnsi="Times New Roman" w:cs="Times New Roman"/>
          <w:color w:val="000000"/>
          <w:spacing w:val="0"/>
          <w:w w:val="100"/>
          <w:position w:val="0"/>
        </w:rPr>
        <w:t>149</w:t>
      </w:r>
      <w:r>
        <w:rPr>
          <w:color w:val="000000"/>
          <w:spacing w:val="0"/>
          <w:w w:val="100"/>
          <w:position w:val="0"/>
        </w:rPr>
        <w:t xml:space="preserve">, </w:t>
      </w:r>
      <w:r>
        <w:rPr>
          <w:rFonts w:ascii="Times New Roman" w:eastAsia="Times New Roman" w:hAnsi="Times New Roman" w:cs="Times New Roman"/>
          <w:color w:val="000000"/>
          <w:spacing w:val="0"/>
          <w:w w:val="100"/>
          <w:position w:val="0"/>
        </w:rPr>
        <w:t>769</w:t>
      </w:r>
      <w:r>
        <w:rPr>
          <w:color w:val="000000"/>
          <w:spacing w:val="0"/>
          <w:w w:val="100"/>
          <w:position w:val="0"/>
        </w:rPr>
        <w:t xml:space="preserve">, </w:t>
      </w:r>
      <w:r>
        <w:rPr>
          <w:rFonts w:ascii="Times New Roman" w:eastAsia="Times New Roman" w:hAnsi="Times New Roman" w:cs="Times New Roman"/>
          <w:color w:val="000000"/>
          <w:spacing w:val="0"/>
          <w:w w:val="100"/>
          <w:position w:val="0"/>
        </w:rPr>
        <w:t>210</w:t>
      </w:r>
      <w:r>
        <w:rPr>
          <w:color w:val="000000"/>
          <w:spacing w:val="0"/>
          <w:w w:val="100"/>
          <w:position w:val="0"/>
        </w:rPr>
        <w:t>股国盛金控股份在业绩承诺期内经两次资本公积 金转增股本，现为</w:t>
      </w:r>
      <w:r>
        <w:rPr>
          <w:rFonts w:ascii="Times New Roman" w:eastAsia="Times New Roman" w:hAnsi="Times New Roman" w:cs="Times New Roman"/>
          <w:color w:val="000000"/>
          <w:spacing w:val="0"/>
          <w:w w:val="100"/>
          <w:position w:val="0"/>
        </w:rPr>
        <w:t>311</w:t>
      </w:r>
      <w:r>
        <w:rPr>
          <w:color w:val="000000"/>
          <w:spacing w:val="0"/>
          <w:w w:val="100"/>
          <w:position w:val="0"/>
        </w:rPr>
        <w:t xml:space="preserve">, </w:t>
      </w:r>
      <w:r>
        <w:rPr>
          <w:rFonts w:ascii="Times New Roman" w:eastAsia="Times New Roman" w:hAnsi="Times New Roman" w:cs="Times New Roman"/>
          <w:color w:val="000000"/>
          <w:spacing w:val="0"/>
          <w:w w:val="100"/>
          <w:position w:val="0"/>
        </w:rPr>
        <w:t>734</w:t>
      </w:r>
      <w:r>
        <w:rPr>
          <w:color w:val="000000"/>
          <w:spacing w:val="0"/>
          <w:w w:val="100"/>
          <w:position w:val="0"/>
        </w:rPr>
        <w:t xml:space="preserve">, </w:t>
      </w:r>
      <w:r>
        <w:rPr>
          <w:rFonts w:ascii="Times New Roman" w:eastAsia="Times New Roman" w:hAnsi="Times New Roman" w:cs="Times New Roman"/>
          <w:color w:val="000000"/>
          <w:spacing w:val="0"/>
          <w:w w:val="100"/>
          <w:position w:val="0"/>
        </w:rPr>
        <w:t>019</w:t>
      </w:r>
      <w:r>
        <w:rPr>
          <w:color w:val="000000"/>
          <w:spacing w:val="0"/>
          <w:w w:val="100"/>
          <w:position w:val="0"/>
        </w:rPr>
        <w:t>股）；雪松信托向国盛金控支付应补偿股份从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19</w:t>
      </w:r>
      <w:r>
        <w:rPr>
          <w:color w:val="000000"/>
          <w:spacing w:val="0"/>
          <w:w w:val="100"/>
          <w:position w:val="0"/>
        </w:rPr>
        <w:t>日起至全部转让给国盛金控之日止获得的全部现金股利，上述现金股利暂计至</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 xml:space="preserve">2 </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日，总计</w:t>
      </w:r>
      <w:r>
        <w:rPr>
          <w:rFonts w:ascii="Times New Roman" w:eastAsia="Times New Roman" w:hAnsi="Times New Roman" w:cs="Times New Roman"/>
          <w:color w:val="000000"/>
          <w:spacing w:val="0"/>
          <w:w w:val="100"/>
          <w:position w:val="0"/>
        </w:rPr>
        <w:t>5</w:t>
      </w:r>
      <w:r>
        <w:rPr>
          <w:color w:val="000000"/>
          <w:spacing w:val="0"/>
          <w:w w:val="100"/>
          <w:position w:val="0"/>
        </w:rPr>
        <w:t>,</w:t>
      </w:r>
      <w:r>
        <w:rPr>
          <w:rFonts w:ascii="Times New Roman" w:eastAsia="Times New Roman" w:hAnsi="Times New Roman" w:cs="Times New Roman"/>
          <w:color w:val="000000"/>
          <w:spacing w:val="0"/>
          <w:w w:val="100"/>
          <w:position w:val="0"/>
        </w:rPr>
        <w:t>398</w:t>
      </w:r>
      <w:r>
        <w:rPr>
          <w:color w:val="000000"/>
          <w:spacing w:val="0"/>
          <w:w w:val="100"/>
          <w:position w:val="0"/>
        </w:rPr>
        <w:t>,</w:t>
      </w:r>
      <w:r>
        <w:rPr>
          <w:rFonts w:ascii="Times New Roman" w:eastAsia="Times New Roman" w:hAnsi="Times New Roman" w:cs="Times New Roman"/>
          <w:color w:val="000000"/>
          <w:spacing w:val="0"/>
          <w:w w:val="100"/>
          <w:position w:val="0"/>
        </w:rPr>
        <w:t>640</w:t>
      </w:r>
      <w:r>
        <w:rPr>
          <w:color w:val="000000"/>
          <w:spacing w:val="0"/>
          <w:w w:val="100"/>
          <w:position w:val="0"/>
        </w:rPr>
        <w:t>.</w:t>
      </w:r>
      <w:r>
        <w:rPr>
          <w:rFonts w:ascii="Times New Roman" w:eastAsia="Times New Roman" w:hAnsi="Times New Roman" w:cs="Times New Roman"/>
          <w:color w:val="000000"/>
          <w:spacing w:val="0"/>
          <w:w w:val="100"/>
          <w:position w:val="0"/>
        </w:rPr>
        <w:t>85</w:t>
      </w:r>
      <w:r>
        <w:rPr>
          <w:color w:val="000000"/>
          <w:spacing w:val="0"/>
          <w:w w:val="100"/>
          <w:position w:val="0"/>
        </w:rPr>
        <w:t>元；雪松信托向国盛金控支付现金补偿款</w:t>
      </w: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802</w:t>
      </w:r>
      <w:r>
        <w:rPr>
          <w:color w:val="000000"/>
          <w:spacing w:val="0"/>
          <w:w w:val="100"/>
          <w:position w:val="0"/>
        </w:rPr>
        <w:t xml:space="preserve">, </w:t>
      </w:r>
      <w:r>
        <w:rPr>
          <w:rFonts w:ascii="Times New Roman" w:eastAsia="Times New Roman" w:hAnsi="Times New Roman" w:cs="Times New Roman"/>
          <w:color w:val="000000"/>
          <w:spacing w:val="0"/>
          <w:w w:val="100"/>
          <w:position w:val="0"/>
        </w:rPr>
        <w:t>533</w:t>
      </w:r>
      <w:r>
        <w:rPr>
          <w:color w:val="000000"/>
          <w:spacing w:val="0"/>
          <w:w w:val="100"/>
          <w:position w:val="0"/>
        </w:rPr>
        <w:t xml:space="preserve">, </w:t>
      </w:r>
      <w:r>
        <w:rPr>
          <w:rFonts w:ascii="Times New Roman" w:eastAsia="Times New Roman" w:hAnsi="Times New Roman" w:cs="Times New Roman"/>
          <w:color w:val="000000"/>
          <w:spacing w:val="0"/>
          <w:w w:val="100"/>
          <w:position w:val="0"/>
        </w:rPr>
        <w:t>221</w:t>
      </w:r>
      <w:r>
        <w:rPr>
          <w:color w:val="000000"/>
          <w:spacing w:val="0"/>
          <w:w w:val="100"/>
          <w:position w:val="0"/>
        </w:rPr>
        <w:t>.</w:t>
      </w:r>
      <w:r>
        <w:rPr>
          <w:rFonts w:ascii="Times New Roman" w:eastAsia="Times New Roman" w:hAnsi="Times New Roman" w:cs="Times New Roman"/>
          <w:color w:val="000000"/>
          <w:spacing w:val="0"/>
          <w:w w:val="100"/>
          <w:position w:val="0"/>
        </w:rPr>
        <w:t xml:space="preserve">58 </w:t>
      </w:r>
      <w:r>
        <w:rPr>
          <w:color w:val="000000"/>
          <w:spacing w:val="0"/>
          <w:w w:val="100"/>
          <w:position w:val="0"/>
        </w:rPr>
        <w:t>元；雪松信托承担本案全部诉讼费用。</w:t>
      </w:r>
    </w:p>
    <w:p>
      <w:pPr>
        <w:pStyle w:val="Style16"/>
        <w:keepNext w:val="0"/>
        <w:keepLines w:val="0"/>
        <w:widowControl w:val="0"/>
        <w:shd w:val="clear" w:color="auto" w:fill="auto"/>
        <w:bidi w:val="0"/>
        <w:spacing w:before="0" w:after="0" w:line="472" w:lineRule="exact"/>
        <w:ind w:left="0" w:right="0" w:firstLine="44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日，江西高院作出（</w:t>
      </w:r>
      <w:r>
        <w:rPr>
          <w:rFonts w:ascii="Times New Roman" w:eastAsia="Times New Roman" w:hAnsi="Times New Roman" w:cs="Times New Roman"/>
          <w:color w:val="000000"/>
          <w:spacing w:val="0"/>
          <w:w w:val="100"/>
          <w:position w:val="0"/>
        </w:rPr>
        <w:t>2018</w:t>
      </w:r>
      <w:r>
        <w:rPr>
          <w:color w:val="000000"/>
          <w:spacing w:val="0"/>
          <w:w w:val="100"/>
          <w:position w:val="0"/>
        </w:rPr>
        <w:t>）赣民初</w:t>
      </w:r>
      <w:r>
        <w:rPr>
          <w:rFonts w:ascii="Times New Roman" w:eastAsia="Times New Roman" w:hAnsi="Times New Roman" w:cs="Times New Roman"/>
          <w:color w:val="000000"/>
          <w:spacing w:val="0"/>
          <w:w w:val="100"/>
          <w:position w:val="0"/>
        </w:rPr>
        <w:t>170</w:t>
      </w:r>
      <w:r>
        <w:rPr>
          <w:color w:val="000000"/>
          <w:spacing w:val="0"/>
          <w:w w:val="100"/>
          <w:position w:val="0"/>
        </w:rPr>
        <w:t>号民事裁定书。江西高院经审 查认为，国盛金控与雪松信托</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日签署的《发行股份及支付现金购买资产协议》、 国盛金控与雪松信托、杜力、张巍</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日签署的《业绩承诺补偿协议》均约定了 仲裁条款。因此，雪松信托与国盛金控关于本案纠纷解决均签有仲裁条款，且合法有效，江 西高院裁定分别驳回雪松信托的起诉和国盛金控的反诉。</w:t>
      </w:r>
    </w:p>
    <w:p>
      <w:pPr>
        <w:pStyle w:val="Style16"/>
        <w:keepNext w:val="0"/>
        <w:keepLines w:val="0"/>
        <w:widowControl w:val="0"/>
        <w:shd w:val="clear" w:color="auto" w:fill="auto"/>
        <w:bidi w:val="0"/>
        <w:spacing w:before="0" w:after="0" w:line="472" w:lineRule="exact"/>
        <w:ind w:left="0" w:right="0" w:firstLine="440"/>
        <w:jc w:val="both"/>
      </w:pPr>
      <w:r>
        <w:rPr>
          <w:color w:val="000000"/>
          <w:spacing w:val="0"/>
          <w:w w:val="100"/>
          <w:position w:val="0"/>
        </w:rPr>
        <w:t>公司已在法定期限内就江西高院作出的（</w:t>
      </w:r>
      <w:r>
        <w:rPr>
          <w:rFonts w:ascii="Times New Roman" w:eastAsia="Times New Roman" w:hAnsi="Times New Roman" w:cs="Times New Roman"/>
          <w:color w:val="000000"/>
          <w:spacing w:val="0"/>
          <w:w w:val="100"/>
          <w:position w:val="0"/>
        </w:rPr>
        <w:t>2018</w:t>
      </w:r>
      <w:r>
        <w:rPr>
          <w:color w:val="000000"/>
          <w:spacing w:val="0"/>
          <w:w w:val="100"/>
          <w:position w:val="0"/>
        </w:rPr>
        <w:t>）赣民初</w:t>
      </w:r>
      <w:r>
        <w:rPr>
          <w:rFonts w:ascii="Times New Roman" w:eastAsia="Times New Roman" w:hAnsi="Times New Roman" w:cs="Times New Roman"/>
          <w:color w:val="000000"/>
          <w:spacing w:val="0"/>
          <w:w w:val="100"/>
          <w:position w:val="0"/>
        </w:rPr>
        <w:t>170</w:t>
      </w:r>
      <w:r>
        <w:rPr>
          <w:color w:val="000000"/>
          <w:spacing w:val="0"/>
          <w:w w:val="100"/>
          <w:position w:val="0"/>
        </w:rPr>
        <w:t xml:space="preserve">号民事裁定书上诉至最高人 民法院（以下简称最高法院）。公司目前已收到最高法院《受理案件通知书》。最高法院于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日受理该上诉案件，案号为（</w:t>
      </w:r>
      <w:r>
        <w:rPr>
          <w:rFonts w:ascii="Times New Roman" w:eastAsia="Times New Roman" w:hAnsi="Times New Roman" w:cs="Times New Roman"/>
          <w:color w:val="000000"/>
          <w:spacing w:val="0"/>
          <w:w w:val="100"/>
          <w:position w:val="0"/>
        </w:rPr>
        <w:t>2020</w:t>
      </w:r>
      <w:r>
        <w:rPr>
          <w:color w:val="000000"/>
          <w:spacing w:val="0"/>
          <w:w w:val="100"/>
          <w:position w:val="0"/>
        </w:rPr>
        <w:t>）最高法民终</w:t>
      </w:r>
      <w:r>
        <w:rPr>
          <w:rFonts w:ascii="Times New Roman" w:eastAsia="Times New Roman" w:hAnsi="Times New Roman" w:cs="Times New Roman"/>
          <w:color w:val="000000"/>
          <w:spacing w:val="0"/>
          <w:w w:val="100"/>
          <w:position w:val="0"/>
        </w:rPr>
        <w:t>358</w:t>
      </w:r>
      <w:r>
        <w:rPr>
          <w:color w:val="000000"/>
          <w:spacing w:val="0"/>
          <w:w w:val="100"/>
          <w:position w:val="0"/>
        </w:rPr>
        <w:t>号。</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月，最高 法院以（</w:t>
      </w:r>
      <w:r>
        <w:rPr>
          <w:rFonts w:ascii="Times New Roman" w:eastAsia="Times New Roman" w:hAnsi="Times New Roman" w:cs="Times New Roman"/>
          <w:color w:val="000000"/>
          <w:spacing w:val="0"/>
          <w:w w:val="100"/>
          <w:position w:val="0"/>
        </w:rPr>
        <w:t>2020</w:t>
      </w:r>
      <w:r>
        <w:rPr>
          <w:color w:val="000000"/>
          <w:spacing w:val="0"/>
          <w:w w:val="100"/>
          <w:position w:val="0"/>
        </w:rPr>
        <w:t>）最高法民终</w:t>
      </w:r>
      <w:r>
        <w:rPr>
          <w:rFonts w:ascii="Times New Roman" w:eastAsia="Times New Roman" w:hAnsi="Times New Roman" w:cs="Times New Roman"/>
          <w:color w:val="000000"/>
          <w:spacing w:val="0"/>
          <w:w w:val="100"/>
          <w:position w:val="0"/>
        </w:rPr>
        <w:t>358</w:t>
      </w:r>
      <w:r>
        <w:rPr>
          <w:color w:val="000000"/>
          <w:spacing w:val="0"/>
          <w:w w:val="100"/>
          <w:position w:val="0"/>
        </w:rPr>
        <w:t>号《民事裁定书》裁定（下称本裁定）驳回上诉，维持原裁 定，本裁定为终审裁定。</w:t>
      </w:r>
    </w:p>
    <w:p>
      <w:pPr>
        <w:pStyle w:val="Style16"/>
        <w:keepNext w:val="0"/>
        <w:keepLines w:val="0"/>
        <w:widowControl w:val="0"/>
        <w:shd w:val="clear" w:color="auto" w:fill="auto"/>
        <w:bidi w:val="0"/>
        <w:spacing w:before="0" w:after="0" w:line="472" w:lineRule="exact"/>
        <w:ind w:left="0" w:right="0" w:firstLine="440"/>
        <w:jc w:val="both"/>
      </w:pPr>
      <w:bookmarkStart w:id="1896" w:name="bookmark1896"/>
      <w:r>
        <w:rPr>
          <w:rFonts w:ascii="Times New Roman" w:eastAsia="Times New Roman" w:hAnsi="Times New Roman" w:cs="Times New Roman"/>
          <w:color w:val="000000"/>
          <w:spacing w:val="0"/>
          <w:w w:val="100"/>
          <w:position w:val="0"/>
        </w:rPr>
        <w:t>3</w:t>
      </w:r>
      <w:bookmarkEnd w:id="1896"/>
      <w:r>
        <w:rPr>
          <w:color w:val="000000"/>
          <w:spacing w:val="0"/>
          <w:w w:val="100"/>
          <w:position w:val="0"/>
        </w:rPr>
        <w:t>、 截止本报告出具日，雪松信托持有公司股份</w:t>
      </w:r>
      <w:r>
        <w:rPr>
          <w:rFonts w:ascii="Times New Roman" w:eastAsia="Times New Roman" w:hAnsi="Times New Roman" w:cs="Times New Roman"/>
          <w:color w:val="000000"/>
          <w:spacing w:val="0"/>
          <w:w w:val="100"/>
          <w:position w:val="0"/>
        </w:rPr>
        <w:t>311</w:t>
      </w:r>
      <w:r>
        <w:rPr>
          <w:color w:val="000000"/>
          <w:spacing w:val="0"/>
          <w:w w:val="100"/>
          <w:position w:val="0"/>
        </w:rPr>
        <w:t>,</w:t>
      </w:r>
      <w:r>
        <w:rPr>
          <w:rFonts w:ascii="Times New Roman" w:eastAsia="Times New Roman" w:hAnsi="Times New Roman" w:cs="Times New Roman"/>
          <w:color w:val="000000"/>
          <w:spacing w:val="0"/>
          <w:w w:val="100"/>
          <w:position w:val="0"/>
        </w:rPr>
        <w:t>734</w:t>
      </w:r>
      <w:r>
        <w:rPr>
          <w:color w:val="000000"/>
          <w:spacing w:val="0"/>
          <w:w w:val="100"/>
          <w:position w:val="0"/>
        </w:rPr>
        <w:t>,</w:t>
      </w:r>
      <w:r>
        <w:rPr>
          <w:rFonts w:ascii="Times New Roman" w:eastAsia="Times New Roman" w:hAnsi="Times New Roman" w:cs="Times New Roman"/>
          <w:color w:val="000000"/>
          <w:spacing w:val="0"/>
          <w:w w:val="100"/>
          <w:position w:val="0"/>
        </w:rPr>
        <w:t>019</w:t>
      </w:r>
      <w:r>
        <w:rPr>
          <w:color w:val="000000"/>
          <w:spacing w:val="0"/>
          <w:w w:val="100"/>
          <w:position w:val="0"/>
        </w:rPr>
        <w:t xml:space="preserve">股，累计被质押数量为 </w:t>
      </w:r>
      <w:r>
        <w:rPr>
          <w:rFonts w:ascii="Times New Roman" w:eastAsia="Times New Roman" w:hAnsi="Times New Roman" w:cs="Times New Roman"/>
          <w:color w:val="000000"/>
          <w:spacing w:val="0"/>
          <w:w w:val="100"/>
          <w:position w:val="0"/>
        </w:rPr>
        <w:t>311</w:t>
      </w:r>
      <w:r>
        <w:rPr>
          <w:color w:val="000000"/>
          <w:spacing w:val="0"/>
          <w:w w:val="100"/>
          <w:position w:val="0"/>
        </w:rPr>
        <w:t xml:space="preserve">, </w:t>
      </w:r>
      <w:r>
        <w:rPr>
          <w:rFonts w:ascii="Times New Roman" w:eastAsia="Times New Roman" w:hAnsi="Times New Roman" w:cs="Times New Roman"/>
          <w:color w:val="000000"/>
          <w:spacing w:val="0"/>
          <w:w w:val="100"/>
          <w:position w:val="0"/>
        </w:rPr>
        <w:t>734</w:t>
      </w:r>
      <w:r>
        <w:rPr>
          <w:color w:val="000000"/>
          <w:spacing w:val="0"/>
          <w:w w:val="100"/>
          <w:position w:val="0"/>
        </w:rPr>
        <w:t xml:space="preserve">, </w:t>
      </w:r>
      <w:r>
        <w:rPr>
          <w:rFonts w:ascii="Times New Roman" w:eastAsia="Times New Roman" w:hAnsi="Times New Roman" w:cs="Times New Roman"/>
          <w:color w:val="000000"/>
          <w:spacing w:val="0"/>
          <w:w w:val="100"/>
          <w:position w:val="0"/>
        </w:rPr>
        <w:t>019</w:t>
      </w:r>
      <w:r>
        <w:rPr>
          <w:color w:val="000000"/>
          <w:spacing w:val="0"/>
          <w:w w:val="100"/>
          <w:position w:val="0"/>
        </w:rPr>
        <w:t>股,质权人为中国华融资产管理股份有限公司广东省分公司，其中</w:t>
      </w:r>
      <w:r>
        <w:rPr>
          <w:rFonts w:ascii="Times New Roman" w:eastAsia="Times New Roman" w:hAnsi="Times New Roman" w:cs="Times New Roman"/>
          <w:color w:val="000000"/>
          <w:spacing w:val="0"/>
          <w:w w:val="100"/>
          <w:position w:val="0"/>
        </w:rPr>
        <w:t>164</w:t>
      </w:r>
      <w:r>
        <w:rPr>
          <w:color w:val="000000"/>
          <w:spacing w:val="0"/>
          <w:w w:val="100"/>
          <w:position w:val="0"/>
        </w:rPr>
        <w:t xml:space="preserve">, </w:t>
      </w:r>
      <w:r>
        <w:rPr>
          <w:rFonts w:ascii="Times New Roman" w:eastAsia="Times New Roman" w:hAnsi="Times New Roman" w:cs="Times New Roman"/>
          <w:color w:val="000000"/>
          <w:spacing w:val="0"/>
          <w:w w:val="100"/>
          <w:position w:val="0"/>
        </w:rPr>
        <w:t>000</w:t>
      </w:r>
      <w:r>
        <w:rPr>
          <w:color w:val="000000"/>
          <w:spacing w:val="0"/>
          <w:w w:val="100"/>
          <w:position w:val="0"/>
        </w:rPr>
        <w:t xml:space="preserve">, </w:t>
      </w:r>
      <w:r>
        <w:rPr>
          <w:rFonts w:ascii="Times New Roman" w:eastAsia="Times New Roman" w:hAnsi="Times New Roman" w:cs="Times New Roman"/>
          <w:color w:val="000000"/>
          <w:spacing w:val="0"/>
          <w:w w:val="100"/>
          <w:position w:val="0"/>
        </w:rPr>
        <w:t xml:space="preserve">000 </w:t>
      </w:r>
      <w:r>
        <w:rPr>
          <w:color w:val="000000"/>
          <w:spacing w:val="0"/>
          <w:w w:val="100"/>
          <w:position w:val="0"/>
        </w:rPr>
        <w:t>股质押起始日为</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r>
        <w:rPr>
          <w:rFonts w:ascii="Times New Roman" w:eastAsia="Times New Roman" w:hAnsi="Times New Roman" w:cs="Times New Roman"/>
          <w:color w:val="000000"/>
          <w:spacing w:val="0"/>
          <w:w w:val="100"/>
          <w:position w:val="0"/>
        </w:rPr>
        <w:t>147</w:t>
      </w:r>
      <w:r>
        <w:rPr>
          <w:color w:val="000000"/>
          <w:spacing w:val="0"/>
          <w:w w:val="100"/>
          <w:position w:val="0"/>
        </w:rPr>
        <w:t xml:space="preserve">, </w:t>
      </w:r>
      <w:r>
        <w:rPr>
          <w:rFonts w:ascii="Times New Roman" w:eastAsia="Times New Roman" w:hAnsi="Times New Roman" w:cs="Times New Roman"/>
          <w:color w:val="000000"/>
          <w:spacing w:val="0"/>
          <w:w w:val="100"/>
          <w:position w:val="0"/>
        </w:rPr>
        <w:t>734</w:t>
      </w:r>
      <w:r>
        <w:rPr>
          <w:color w:val="000000"/>
          <w:spacing w:val="0"/>
          <w:w w:val="100"/>
          <w:position w:val="0"/>
        </w:rPr>
        <w:t xml:space="preserve">, </w:t>
      </w:r>
      <w:r>
        <w:rPr>
          <w:rFonts w:ascii="Times New Roman" w:eastAsia="Times New Roman" w:hAnsi="Times New Roman" w:cs="Times New Roman"/>
          <w:color w:val="000000"/>
          <w:spacing w:val="0"/>
          <w:w w:val="100"/>
          <w:position w:val="0"/>
        </w:rPr>
        <w:t>019</w:t>
      </w:r>
      <w:r>
        <w:rPr>
          <w:color w:val="000000"/>
          <w:spacing w:val="0"/>
          <w:w w:val="100"/>
          <w:position w:val="0"/>
        </w:rPr>
        <w:t>股质押起始日为</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日，质 押到期日为办理解除质押登记之日。</w:t>
      </w:r>
    </w:p>
    <w:p>
      <w:pPr>
        <w:pStyle w:val="Style16"/>
        <w:keepNext w:val="0"/>
        <w:keepLines w:val="0"/>
        <w:widowControl w:val="0"/>
        <w:shd w:val="clear" w:color="auto" w:fill="auto"/>
        <w:bidi w:val="0"/>
        <w:spacing w:before="0" w:after="160" w:line="466" w:lineRule="exact"/>
        <w:ind w:left="0" w:right="0" w:firstLine="440"/>
        <w:jc w:val="both"/>
      </w:pPr>
      <w:r>
        <w:rPr>
          <w:color w:val="000000"/>
          <w:spacing w:val="0"/>
          <w:w w:val="100"/>
          <w:position w:val="0"/>
        </w:rPr>
        <w:t>后续公司将进一步采取包括但不限于仲裁等多种方式，在维护公司及股东特别是广大中 小股东的利益的前提下，与雪松信托开展充分沟通，积极寻求业绩承诺事项的妥善解决方法,</w:t>
        <w:br w:type="page"/>
      </w:r>
      <w:r>
        <w:rPr>
          <w:color w:val="000000"/>
          <w:spacing w:val="0"/>
          <w:w w:val="100"/>
          <w:position w:val="0"/>
        </w:rPr>
        <w:t>采取有效、有利的措施依法维护自身合法权益。</w:t>
      </w:r>
    </w:p>
    <w:p>
      <w:pPr>
        <w:pStyle w:val="Style29"/>
        <w:keepNext/>
        <w:keepLines/>
        <w:widowControl w:val="0"/>
        <w:shd w:val="clear" w:color="auto" w:fill="auto"/>
        <w:bidi w:val="0"/>
        <w:spacing w:before="0" w:after="240" w:line="240" w:lineRule="auto"/>
        <w:ind w:left="0" w:right="0" w:firstLine="480"/>
        <w:jc w:val="left"/>
      </w:pPr>
      <w:bookmarkStart w:id="1897" w:name="bookmark1897"/>
      <w:bookmarkStart w:id="1898" w:name="bookmark1898"/>
      <w:bookmarkStart w:id="1899" w:name="bookmark1899"/>
      <w:r>
        <w:rPr>
          <w:color w:val="000000"/>
          <w:spacing w:val="0"/>
          <w:w w:val="100"/>
          <w:position w:val="0"/>
          <w:sz w:val="24"/>
          <w:szCs w:val="24"/>
        </w:rPr>
        <w:t>十六、</w:t>
      </w:r>
      <w:r>
        <w:rPr>
          <w:color w:val="000000"/>
          <w:spacing w:val="0"/>
          <w:w w:val="100"/>
          <w:position w:val="0"/>
          <w:sz w:val="24"/>
          <w:szCs w:val="24"/>
        </w:rPr>
        <w:t>母公司财务报表主要项目注释</w:t>
      </w:r>
      <w:bookmarkEnd w:id="1897"/>
      <w:bookmarkEnd w:id="1898"/>
      <w:bookmarkEnd w:id="1899"/>
    </w:p>
    <w:p>
      <w:pPr>
        <w:pStyle w:val="Style37"/>
        <w:keepNext/>
        <w:keepLines/>
        <w:widowControl w:val="0"/>
        <w:shd w:val="clear" w:color="auto" w:fill="auto"/>
        <w:bidi w:val="0"/>
        <w:spacing w:before="0" w:after="160" w:line="240" w:lineRule="auto"/>
        <w:ind w:left="0" w:right="0" w:firstLine="480"/>
        <w:jc w:val="left"/>
      </w:pPr>
      <w:bookmarkStart w:id="1900" w:name="bookmark1900"/>
      <w:bookmarkStart w:id="1901" w:name="bookmark1901"/>
      <w:bookmarkStart w:id="1902" w:name="bookmark1902"/>
      <w:r>
        <w:rPr>
          <w:color w:val="000000"/>
          <w:spacing w:val="0"/>
          <w:w w:val="100"/>
          <w:position w:val="0"/>
        </w:rPr>
        <w:t>注释</w:t>
      </w: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其他应收款</w:t>
      </w:r>
      <w:bookmarkEnd w:id="1900"/>
      <w:bookmarkEnd w:id="1901"/>
      <w:bookmarkEnd w:id="1902"/>
    </w:p>
    <w:tbl>
      <w:tblPr>
        <w:tblOverlap w:val="never"/>
        <w:jc w:val="center"/>
        <w:tblLayout w:type="fixed"/>
      </w:tblPr>
      <w:tblGrid>
        <w:gridCol w:w="3379"/>
        <w:gridCol w:w="2333"/>
        <w:gridCol w:w="2616"/>
      </w:tblGrid>
      <w:tr>
        <w:trPr>
          <w:trHeight w:val="37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190,000,000.00</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973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076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959,919,464.33</w:t>
            </w:r>
          </w:p>
        </w:tc>
      </w:tr>
      <w:tr>
        <w:trPr>
          <w:trHeight w:val="379"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973</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076</w:t>
            </w:r>
            <w:r>
              <w:rPr>
                <w:rFonts w:ascii="Arial Narrow" w:eastAsia="Arial Narrow" w:hAnsi="Arial Narrow" w:cs="Arial Narrow"/>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1,149,919,464.33</w:t>
            </w:r>
          </w:p>
        </w:tc>
      </w:tr>
    </w:tbl>
    <w:p>
      <w:pPr>
        <w:widowControl w:val="0"/>
        <w:spacing w:after="299" w:line="1" w:lineRule="exact"/>
      </w:pPr>
    </w:p>
    <w:p>
      <w:pPr>
        <w:pStyle w:val="Style16"/>
        <w:keepNext w:val="0"/>
        <w:keepLines w:val="0"/>
        <w:widowControl w:val="0"/>
        <w:shd w:val="clear" w:color="auto" w:fill="auto"/>
        <w:bidi w:val="0"/>
        <w:spacing w:before="0" w:after="160" w:line="240" w:lineRule="auto"/>
        <w:ind w:left="0" w:right="0" w:firstLine="480"/>
        <w:jc w:val="left"/>
      </w:pPr>
      <w:bookmarkStart w:id="1903" w:name="bookmark1903"/>
      <w:r>
        <w:rPr>
          <w:b/>
          <w:bCs/>
          <w:color w:val="000000"/>
          <w:spacing w:val="0"/>
          <w:w w:val="100"/>
          <w:position w:val="0"/>
        </w:rPr>
        <w:t>(一)应收股利</w:t>
      </w:r>
      <w:bookmarkEnd w:id="1903"/>
    </w:p>
    <w:p>
      <w:pPr>
        <w:pStyle w:val="Style16"/>
        <w:keepNext w:val="0"/>
        <w:keepLines w:val="0"/>
        <w:widowControl w:val="0"/>
        <w:shd w:val="clear" w:color="auto" w:fill="auto"/>
        <w:bidi w:val="0"/>
        <w:spacing w:before="0" w:after="160" w:line="240" w:lineRule="auto"/>
        <w:ind w:left="0" w:right="0" w:firstLine="48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w:t>
      </w:r>
      <w:r>
        <w:rPr>
          <w:b/>
          <w:bCs/>
          <w:color w:val="000000"/>
          <w:spacing w:val="0"/>
          <w:w w:val="100"/>
          <w:position w:val="0"/>
        </w:rPr>
        <w:t>应收股利</w:t>
      </w:r>
    </w:p>
    <w:tbl>
      <w:tblPr>
        <w:tblOverlap w:val="never"/>
        <w:jc w:val="center"/>
        <w:tblLayout w:type="fixed"/>
      </w:tblPr>
      <w:tblGrid>
        <w:gridCol w:w="3931"/>
        <w:gridCol w:w="2309"/>
        <w:gridCol w:w="2054"/>
      </w:tblGrid>
      <w:tr>
        <w:trPr>
          <w:trHeight w:val="37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被投资单位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国盛证券有限责任公司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190,000,000.00</w:t>
            </w:r>
          </w:p>
        </w:tc>
      </w:tr>
      <w:tr>
        <w:trPr>
          <w:trHeight w:val="379"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190,000,000.00</w:t>
            </w:r>
          </w:p>
        </w:tc>
      </w:tr>
    </w:tbl>
    <w:p>
      <w:pPr>
        <w:widowControl w:val="0"/>
        <w:spacing w:after="239" w:line="1" w:lineRule="exact"/>
      </w:pPr>
    </w:p>
    <w:p>
      <w:pPr>
        <w:pStyle w:val="Style16"/>
        <w:keepNext w:val="0"/>
        <w:keepLines w:val="0"/>
        <w:widowControl w:val="0"/>
        <w:shd w:val="clear" w:color="auto" w:fill="auto"/>
        <w:bidi w:val="0"/>
        <w:spacing w:before="0" w:after="240" w:line="240" w:lineRule="auto"/>
        <w:ind w:left="0" w:right="0" w:firstLine="480"/>
        <w:jc w:val="left"/>
      </w:pPr>
      <w:r>
        <w:rPr>
          <w:color w:val="000000"/>
          <w:spacing w:val="0"/>
          <w:w w:val="100"/>
          <w:position w:val="0"/>
        </w:rPr>
        <w:t>注：本期收到子公司国盛证券</w:t>
      </w:r>
      <w:r>
        <w:rPr>
          <w:rFonts w:ascii="Times New Roman" w:eastAsia="Times New Roman" w:hAnsi="Times New Roman" w:cs="Times New Roman"/>
          <w:color w:val="000000"/>
          <w:spacing w:val="0"/>
          <w:w w:val="100"/>
          <w:position w:val="0"/>
        </w:rPr>
        <w:t>2019</w:t>
      </w:r>
      <w:r>
        <w:rPr>
          <w:color w:val="000000"/>
          <w:spacing w:val="0"/>
          <w:w w:val="100"/>
          <w:position w:val="0"/>
        </w:rPr>
        <w:t>年度中期分红款</w:t>
      </w:r>
      <w:r>
        <w:rPr>
          <w:rFonts w:ascii="Times New Roman" w:eastAsia="Times New Roman" w:hAnsi="Times New Roman" w:cs="Times New Roman"/>
          <w:color w:val="000000"/>
          <w:spacing w:val="0"/>
          <w:w w:val="100"/>
          <w:position w:val="0"/>
        </w:rPr>
        <w:t>190</w:t>
      </w:r>
      <w:r>
        <w:rPr>
          <w:color w:val="000000"/>
          <w:spacing w:val="0"/>
          <w:w w:val="100"/>
          <w:position w:val="0"/>
        </w:rPr>
        <w:t xml:space="preserve">, </w:t>
      </w:r>
      <w:r>
        <w:rPr>
          <w:rFonts w:ascii="Times New Roman" w:eastAsia="Times New Roman" w:hAnsi="Times New Roman" w:cs="Times New Roman"/>
          <w:color w:val="000000"/>
          <w:spacing w:val="0"/>
          <w:w w:val="100"/>
          <w:position w:val="0"/>
        </w:rPr>
        <w:t>000</w:t>
      </w:r>
      <w:r>
        <w:rPr>
          <w:color w:val="000000"/>
          <w:spacing w:val="0"/>
          <w:w w:val="100"/>
          <w:position w:val="0"/>
        </w:rPr>
        <w:t xml:space="preserve">, </w:t>
      </w:r>
      <w:r>
        <w:rPr>
          <w:rFonts w:ascii="Times New Roman" w:eastAsia="Times New Roman" w:hAnsi="Times New Roman" w:cs="Times New Roman"/>
          <w:color w:val="000000"/>
          <w:spacing w:val="0"/>
          <w:w w:val="100"/>
          <w:position w:val="0"/>
        </w:rPr>
        <w:t>000</w:t>
      </w:r>
      <w:r>
        <w:rPr>
          <w:color w:val="000000"/>
          <w:spacing w:val="0"/>
          <w:w w:val="100"/>
          <w:position w:val="0"/>
        </w:rPr>
        <w:t xml:space="preserve">. </w:t>
      </w:r>
      <w:r>
        <w:rPr>
          <w:rFonts w:ascii="Times New Roman" w:eastAsia="Times New Roman" w:hAnsi="Times New Roman" w:cs="Times New Roman"/>
          <w:color w:val="000000"/>
          <w:spacing w:val="0"/>
          <w:w w:val="100"/>
          <w:position w:val="0"/>
        </w:rPr>
        <w:t>00</w:t>
      </w:r>
      <w:r>
        <w:rPr>
          <w:color w:val="000000"/>
          <w:spacing w:val="0"/>
          <w:w w:val="100"/>
          <w:position w:val="0"/>
        </w:rPr>
        <w:t>元；</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p>
      <w:pPr>
        <w:pStyle w:val="Style16"/>
        <w:keepNext w:val="0"/>
        <w:keepLines w:val="0"/>
        <w:widowControl w:val="0"/>
        <w:shd w:val="clear" w:color="auto" w:fill="auto"/>
        <w:bidi w:val="0"/>
        <w:spacing w:before="0" w:after="300" w:line="240" w:lineRule="auto"/>
        <w:ind w:left="0" w:right="0" w:firstLine="0"/>
        <w:jc w:val="left"/>
      </w:pPr>
      <w:r>
        <w:rPr>
          <w:color w:val="000000"/>
          <w:spacing w:val="0"/>
          <w:w w:val="100"/>
          <w:position w:val="0"/>
        </w:rPr>
        <w:t>子公司国盛证券向母公司分配利润</w:t>
      </w:r>
      <w:r>
        <w:rPr>
          <w:rFonts w:ascii="Times New Roman" w:eastAsia="Times New Roman" w:hAnsi="Times New Roman" w:cs="Times New Roman"/>
          <w:color w:val="000000"/>
          <w:spacing w:val="0"/>
          <w:w w:val="100"/>
          <w:position w:val="0"/>
        </w:rPr>
        <w:t>187</w:t>
      </w:r>
      <w:r>
        <w:rPr>
          <w:color w:val="000000"/>
          <w:spacing w:val="0"/>
          <w:w w:val="100"/>
          <w:position w:val="0"/>
        </w:rPr>
        <w:t xml:space="preserve">, </w:t>
      </w:r>
      <w:r>
        <w:rPr>
          <w:rFonts w:ascii="Times New Roman" w:eastAsia="Times New Roman" w:hAnsi="Times New Roman" w:cs="Times New Roman"/>
          <w:color w:val="000000"/>
          <w:spacing w:val="0"/>
          <w:w w:val="100"/>
          <w:position w:val="0"/>
        </w:rPr>
        <w:t>000</w:t>
      </w:r>
      <w:r>
        <w:rPr>
          <w:color w:val="000000"/>
          <w:spacing w:val="0"/>
          <w:w w:val="100"/>
          <w:position w:val="0"/>
        </w:rPr>
        <w:t xml:space="preserve">, </w:t>
      </w:r>
      <w:r>
        <w:rPr>
          <w:rFonts w:ascii="Times New Roman" w:eastAsia="Times New Roman" w:hAnsi="Times New Roman" w:cs="Times New Roman"/>
          <w:color w:val="000000"/>
          <w:spacing w:val="0"/>
          <w:w w:val="100"/>
          <w:position w:val="0"/>
        </w:rPr>
        <w:t>000</w:t>
      </w:r>
      <w:r>
        <w:rPr>
          <w:color w:val="000000"/>
          <w:spacing w:val="0"/>
          <w:w w:val="100"/>
          <w:position w:val="0"/>
        </w:rPr>
        <w:t xml:space="preserve">. </w:t>
      </w:r>
      <w:r>
        <w:rPr>
          <w:rFonts w:ascii="Times New Roman" w:eastAsia="Times New Roman" w:hAnsi="Times New Roman" w:cs="Times New Roman"/>
          <w:color w:val="000000"/>
          <w:spacing w:val="0"/>
          <w:w w:val="100"/>
          <w:position w:val="0"/>
        </w:rPr>
        <w:t>00</w:t>
      </w:r>
      <w:r>
        <w:rPr>
          <w:color w:val="000000"/>
          <w:spacing w:val="0"/>
          <w:w w:val="100"/>
          <w:position w:val="0"/>
        </w:rPr>
        <w:t>元，截至期末已收到该分红款项。</w:t>
      </w:r>
    </w:p>
    <w:p>
      <w:pPr>
        <w:pStyle w:val="Style16"/>
        <w:keepNext w:val="0"/>
        <w:keepLines w:val="0"/>
        <w:widowControl w:val="0"/>
        <w:shd w:val="clear" w:color="auto" w:fill="auto"/>
        <w:bidi w:val="0"/>
        <w:spacing w:before="0" w:after="160" w:line="240" w:lineRule="auto"/>
        <w:ind w:left="0" w:right="0" w:firstLine="600"/>
        <w:jc w:val="left"/>
      </w:pPr>
      <w:bookmarkStart w:id="1904" w:name="bookmark1904"/>
      <w:r>
        <w:rPr>
          <w:b/>
          <w:bCs/>
          <w:color w:val="000000"/>
          <w:spacing w:val="0"/>
          <w:w w:val="100"/>
          <w:position w:val="0"/>
        </w:rPr>
        <w:t>(二)其他应收款</w:t>
      </w:r>
      <w:bookmarkEnd w:id="1904"/>
    </w:p>
    <w:p>
      <w:pPr>
        <w:pStyle w:val="Style51"/>
        <w:keepNext/>
        <w:keepLines/>
        <w:widowControl w:val="0"/>
        <w:shd w:val="clear" w:color="auto" w:fill="auto"/>
        <w:bidi w:val="0"/>
        <w:spacing w:before="0" w:after="160" w:line="240" w:lineRule="auto"/>
        <w:ind w:left="0" w:right="0" w:firstLine="480"/>
        <w:jc w:val="left"/>
      </w:pPr>
      <w:bookmarkStart w:id="1905" w:name="bookmark1905"/>
      <w:bookmarkStart w:id="1906" w:name="bookmark1906"/>
      <w:bookmarkStart w:id="1907" w:name="bookmark1907"/>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按坏账准备计提方法分类披露</w:t>
      </w:r>
      <w:bookmarkEnd w:id="1905"/>
      <w:bookmarkEnd w:id="1906"/>
      <w:bookmarkEnd w:id="1907"/>
    </w:p>
    <w:tbl>
      <w:tblPr>
        <w:tblOverlap w:val="never"/>
        <w:jc w:val="center"/>
        <w:tblLayout w:type="fixed"/>
      </w:tblPr>
      <w:tblGrid>
        <w:gridCol w:w="2342"/>
        <w:gridCol w:w="1560"/>
        <w:gridCol w:w="850"/>
        <w:gridCol w:w="1387"/>
        <w:gridCol w:w="850"/>
        <w:gridCol w:w="1445"/>
      </w:tblGrid>
      <w:tr>
        <w:trPr>
          <w:trHeight w:val="374"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类别</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350"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r>
      <w:tr>
        <w:trPr>
          <w:trHeight w:val="557"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比例(</w:t>
            </w:r>
            <w:r>
              <w:rPr>
                <w:rFonts w:ascii="Arial Narrow" w:eastAsia="Arial Narrow" w:hAnsi="Arial Narrow" w:cs="Arial Narrow"/>
                <w:color w:val="000000"/>
                <w:spacing w:val="0"/>
                <w:w w:val="100"/>
                <w:position w:val="0"/>
                <w:sz w:val="18"/>
                <w:szCs w:val="18"/>
              </w:rPr>
              <w:t>%</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8"/>
                <w:szCs w:val="18"/>
              </w:rPr>
              <w:t>计提比例 (</w:t>
            </w:r>
            <w:r>
              <w:rPr>
                <w:rFonts w:ascii="Arial Narrow" w:eastAsia="Arial Narrow" w:hAnsi="Arial Narrow" w:cs="Arial Narrow"/>
                <w:color w:val="000000"/>
                <w:spacing w:val="0"/>
                <w:w w:val="100"/>
                <w:position w:val="0"/>
                <w:sz w:val="18"/>
                <w:szCs w:val="18"/>
              </w:rPr>
              <w:t>%</w:t>
            </w:r>
            <w:r>
              <w:rPr>
                <w:color w:val="000000"/>
                <w:spacing w:val="0"/>
                <w:w w:val="100"/>
                <w:position w:val="0"/>
                <w:sz w:val="18"/>
                <w:szCs w:val="18"/>
              </w:rPr>
              <w:t>)</w:t>
            </w:r>
          </w:p>
        </w:tc>
        <w:tc>
          <w:tcPr>
            <w:vMerge/>
            <w:tcBorders>
              <w:left w:val="single" w:sz="4"/>
            </w:tcBorders>
            <w:shd w:val="clear" w:color="auto" w:fill="FFFFFF"/>
            <w:vAlign w:val="center"/>
          </w:tcPr>
          <w:p>
            <w:pP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按“一般方法”计提：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35" w:lineRule="exact"/>
              <w:ind w:left="140" w:right="0" w:firstLine="180"/>
              <w:jc w:val="left"/>
              <w:rPr>
                <w:sz w:val="18"/>
                <w:szCs w:val="18"/>
              </w:rPr>
            </w:pPr>
            <w:r>
              <w:rPr>
                <w:color w:val="000000"/>
                <w:spacing w:val="0"/>
                <w:w w:val="100"/>
                <w:position w:val="0"/>
                <w:sz w:val="18"/>
                <w:szCs w:val="18"/>
              </w:rPr>
              <w:t>单项计提预期信用损失 的其他应收款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205,050,682.20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148,000,000.00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57,050,682.20</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35" w:lineRule="exact"/>
              <w:ind w:left="140" w:right="0" w:firstLine="0"/>
              <w:jc w:val="left"/>
              <w:rPr>
                <w:sz w:val="18"/>
                <w:szCs w:val="18"/>
              </w:rPr>
            </w:pPr>
            <w:r>
              <w:rPr>
                <w:color w:val="000000"/>
                <w:spacing w:val="0"/>
                <w:w w:val="100"/>
                <w:position w:val="0"/>
                <w:sz w:val="18"/>
                <w:szCs w:val="18"/>
              </w:rPr>
              <w:t>单项金额非重大并已单独 计提坏账准备的款项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24,700.00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按“简化方法”计提：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exact"/>
              <w:ind w:left="140" w:right="0" w:firstLine="180"/>
              <w:jc w:val="left"/>
              <w:rPr>
                <w:sz w:val="18"/>
                <w:szCs w:val="18"/>
              </w:rPr>
            </w:pPr>
            <w:r>
              <w:rPr>
                <w:color w:val="000000"/>
                <w:spacing w:val="0"/>
                <w:w w:val="100"/>
                <w:position w:val="0"/>
                <w:sz w:val="18"/>
                <w:szCs w:val="18"/>
              </w:rPr>
              <w:t>按组合计提预期信用损 失的其他应收款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790,097,018.63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174,624.43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789,922,394.20</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其中：组合</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790,097,018.63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174,624.43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789,922,394.20</w:t>
            </w:r>
          </w:p>
        </w:tc>
      </w:tr>
      <w:tr>
        <w:trPr>
          <w:trHeight w:val="39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组合</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995,172,400.83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148,199,324.43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846,973,076.40</w:t>
            </w:r>
          </w:p>
        </w:tc>
      </w:tr>
    </w:tbl>
    <w:p>
      <w:pPr>
        <w:widowControl w:val="0"/>
        <w:spacing w:after="159" w:line="1" w:lineRule="exact"/>
      </w:pPr>
    </w:p>
    <w:p>
      <w:pPr>
        <w:pStyle w:val="Style16"/>
        <w:keepNext w:val="0"/>
        <w:keepLines w:val="0"/>
        <w:widowControl w:val="0"/>
        <w:pBdr>
          <w:bottom w:val="single" w:sz="4" w:space="0" w:color="auto"/>
        </w:pBdr>
        <w:shd w:val="clear" w:color="auto" w:fill="auto"/>
        <w:bidi w:val="0"/>
        <w:spacing w:before="0" w:after="160" w:line="240" w:lineRule="auto"/>
        <w:ind w:left="0" w:right="0" w:firstLine="480"/>
        <w:jc w:val="left"/>
      </w:pPr>
      <w:r>
        <w:rPr>
          <w:color w:val="000000"/>
          <w:spacing w:val="0"/>
          <w:w w:val="100"/>
          <w:position w:val="0"/>
        </w:rPr>
        <w:t>续:</w:t>
      </w:r>
    </w:p>
    <w:p>
      <w:pPr>
        <w:widowControl w:val="0"/>
        <w:spacing w:line="1" w:lineRule="exact"/>
      </w:pPr>
      <w:r>
        <mc:AlternateContent>
          <mc:Choice Requires="wps">
            <w:drawing>
              <wp:anchor distT="186055" distB="109855" distL="0" distR="0" simplePos="0" relativeHeight="125829462" behindDoc="0" locked="0" layoutInCell="1" allowOverlap="1">
                <wp:simplePos x="0" y="0"/>
                <wp:positionH relativeFrom="page">
                  <wp:posOffset>1708150</wp:posOffset>
                </wp:positionH>
                <wp:positionV relativeFrom="paragraph">
                  <wp:posOffset>186055</wp:posOffset>
                </wp:positionV>
                <wp:extent cx="255905" cy="152400"/>
                <wp:wrapTopAndBottom/>
                <wp:docPr id="239" name="Shape 239"/>
                <a:graphic xmlns:a="http://schemas.openxmlformats.org/drawingml/2006/main">
                  <a:graphicData uri="http://schemas.microsoft.com/office/word/2010/wordprocessingShape">
                    <wps:wsp>
                      <wps:cNvSpPr txBox="1"/>
                      <wps:spPr>
                        <a:xfrm>
                          <a:ext cx="255905" cy="152400"/>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pPr>
                            <w:r>
                              <w:rPr>
                                <w:color w:val="000000"/>
                                <w:spacing w:val="0"/>
                                <w:w w:val="100"/>
                                <w:position w:val="0"/>
                              </w:rPr>
                              <w:t>类别</w:t>
                            </w:r>
                          </w:p>
                        </w:txbxContent>
                      </wps:txbx>
                      <wps:bodyPr wrap="none" lIns="0" tIns="0" rIns="0" bIns="0">
                        <a:noAutoFit/>
                      </wps:bodyPr>
                    </wps:wsp>
                  </a:graphicData>
                </a:graphic>
              </wp:anchor>
            </w:drawing>
          </mc:Choice>
          <mc:Fallback>
            <w:pict>
              <v:shape id="_x0000_s1265" type="#_x0000_t202" style="position:absolute;margin-left:134.5pt;margin-top:14.65pt;width:20.150000000000002pt;height:12.pt;z-index:-125829291;mso-wrap-distance-left:0;mso-wrap-distance-top:14.65pt;mso-wrap-distance-right:0;mso-wrap-distance-bottom:8.6500000000000004pt;mso-position-horizontal-relative:page" filled="f" stroked="f">
                <v:textbox inset="0,0,0,0">
                  <w:txbxContent>
                    <w:p>
                      <w:pPr>
                        <w:pStyle w:val="Style100"/>
                        <w:keepNext w:val="0"/>
                        <w:keepLines w:val="0"/>
                        <w:widowControl w:val="0"/>
                        <w:shd w:val="clear" w:color="auto" w:fill="auto"/>
                        <w:bidi w:val="0"/>
                        <w:spacing w:before="0" w:after="0" w:line="240" w:lineRule="auto"/>
                        <w:ind w:left="0" w:right="0" w:firstLine="0"/>
                        <w:jc w:val="left"/>
                      </w:pPr>
                      <w:r>
                        <w:rPr>
                          <w:color w:val="000000"/>
                          <w:spacing w:val="0"/>
                          <w:w w:val="100"/>
                          <w:position w:val="0"/>
                        </w:rPr>
                        <w:t>类别</w:t>
                      </w:r>
                    </w:p>
                  </w:txbxContent>
                </v:textbox>
                <w10:wrap type="topAndBottom" anchorx="page"/>
              </v:shape>
            </w:pict>
          </mc:Fallback>
        </mc:AlternateContent>
      </w:r>
      <w:r>
        <mc:AlternateContent>
          <mc:Choice Requires="wps">
            <w:drawing>
              <wp:anchor distT="298450" distB="635" distL="0" distR="0" simplePos="0" relativeHeight="125829464" behindDoc="0" locked="0" layoutInCell="1" allowOverlap="1">
                <wp:simplePos x="0" y="0"/>
                <wp:positionH relativeFrom="page">
                  <wp:posOffset>3027680</wp:posOffset>
                </wp:positionH>
                <wp:positionV relativeFrom="paragraph">
                  <wp:posOffset>298450</wp:posOffset>
                </wp:positionV>
                <wp:extent cx="484505" cy="149225"/>
                <wp:wrapTopAndBottom/>
                <wp:docPr id="241" name="Shape 241"/>
                <a:graphic xmlns:a="http://schemas.openxmlformats.org/drawingml/2006/main">
                  <a:graphicData uri="http://schemas.microsoft.com/office/word/2010/wordprocessingShape">
                    <wps:wsp>
                      <wps:cNvSpPr txBox="1"/>
                      <wps:spPr>
                        <a:xfrm>
                          <a:ext cx="484505" cy="149225"/>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账面余额</w:t>
                            </w:r>
                          </w:p>
                        </w:txbxContent>
                      </wps:txbx>
                      <wps:bodyPr wrap="none" lIns="0" tIns="0" rIns="0" bIns="0">
                        <a:noAutoFit/>
                      </wps:bodyPr>
                    </wps:wsp>
                  </a:graphicData>
                </a:graphic>
              </wp:anchor>
            </w:drawing>
          </mc:Choice>
          <mc:Fallback>
            <w:pict>
              <v:shape id="_x0000_s1267" type="#_x0000_t202" style="position:absolute;margin-left:238.40000000000001pt;margin-top:23.5pt;width:38.149999999999999pt;height:11.75pt;z-index:-125829289;mso-wrap-distance-left:0;mso-wrap-distance-top:23.5pt;mso-wrap-distance-right:0;mso-wrap-distance-bottom:5.0000000000000003e-002pt;mso-position-horizontal-relative:page" filled="f" stroked="f">
                <v:textbox inset="0,0,0,0">
                  <w:txbxContent>
                    <w:p>
                      <w:pPr>
                        <w:pStyle w:val="Style100"/>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账面余额</w:t>
                      </w:r>
                    </w:p>
                  </w:txbxContent>
                </v:textbox>
                <w10:wrap type="topAndBottom" anchorx="page"/>
              </v:shape>
            </w:pict>
          </mc:Fallback>
        </mc:AlternateContent>
      </w:r>
      <w:r>
        <mc:AlternateContent>
          <mc:Choice Requires="wps">
            <w:drawing>
              <wp:anchor distT="76200" distB="0" distL="0" distR="0" simplePos="0" relativeHeight="125829466" behindDoc="0" locked="0" layoutInCell="1" allowOverlap="1">
                <wp:simplePos x="0" y="0"/>
                <wp:positionH relativeFrom="page">
                  <wp:posOffset>4213860</wp:posOffset>
                </wp:positionH>
                <wp:positionV relativeFrom="paragraph">
                  <wp:posOffset>76200</wp:posOffset>
                </wp:positionV>
                <wp:extent cx="753110" cy="372110"/>
                <wp:wrapTopAndBottom/>
                <wp:docPr id="243" name="Shape 243"/>
                <a:graphic xmlns:a="http://schemas.openxmlformats.org/drawingml/2006/main">
                  <a:graphicData uri="http://schemas.microsoft.com/office/word/2010/wordprocessingShape">
                    <wps:wsp>
                      <wps:cNvSpPr txBox="1"/>
                      <wps:spPr>
                        <a:xfrm>
                          <a:ext cx="753110" cy="372110"/>
                        </a:xfrm>
                        <a:prstGeom prst="rect"/>
                        <a:noFill/>
                      </wps:spPr>
                      <wps:txbx>
                        <w:txbxContent>
                          <w:p>
                            <w:pPr>
                              <w:pStyle w:val="Style10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期初余额</w:t>
                            </w:r>
                          </w:p>
                          <w:p>
                            <w:pPr>
                              <w:pStyle w:val="Style100"/>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xbxContent>
                      </wps:txbx>
                      <wps:bodyPr lIns="0" tIns="0" rIns="0" bIns="0">
                        <a:noAutoFit/>
                      </wps:bodyPr>
                    </wps:wsp>
                  </a:graphicData>
                </a:graphic>
              </wp:anchor>
            </w:drawing>
          </mc:Choice>
          <mc:Fallback>
            <w:pict>
              <v:shape id="_x0000_s1269" type="#_x0000_t202" style="position:absolute;margin-left:331.80000000000001pt;margin-top:6.pt;width:59.300000000000004pt;height:29.300000000000001pt;z-index:-125829287;mso-wrap-distance-left:0;mso-wrap-distance-top:6.pt;mso-wrap-distance-right:0;mso-position-horizontal-relative:page" filled="f" stroked="f">
                <v:textbox inset="0,0,0,0">
                  <w:txbxContent>
                    <w:p>
                      <w:pPr>
                        <w:pStyle w:val="Style10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期初余额</w:t>
                      </w:r>
                    </w:p>
                    <w:p>
                      <w:pPr>
                        <w:pStyle w:val="Style100"/>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xbxContent>
                </v:textbox>
                <w10:wrap type="topAndBottom" anchorx="page"/>
              </v:shape>
            </w:pict>
          </mc:Fallback>
        </mc:AlternateContent>
      </w:r>
      <w:r>
        <mc:AlternateContent>
          <mc:Choice Requires="wps">
            <w:drawing>
              <wp:anchor distT="298450" distB="635" distL="0" distR="0" simplePos="0" relativeHeight="125829468" behindDoc="0" locked="0" layoutInCell="1" allowOverlap="1">
                <wp:simplePos x="0" y="0"/>
                <wp:positionH relativeFrom="page">
                  <wp:posOffset>5667375</wp:posOffset>
                </wp:positionH>
                <wp:positionV relativeFrom="paragraph">
                  <wp:posOffset>298450</wp:posOffset>
                </wp:positionV>
                <wp:extent cx="484505" cy="149225"/>
                <wp:wrapTopAndBottom/>
                <wp:docPr id="245" name="Shape 245"/>
                <a:graphic xmlns:a="http://schemas.openxmlformats.org/drawingml/2006/main">
                  <a:graphicData uri="http://schemas.microsoft.com/office/word/2010/wordprocessingShape">
                    <wps:wsp>
                      <wps:cNvSpPr txBox="1"/>
                      <wps:spPr>
                        <a:xfrm>
                          <a:ext cx="484505" cy="149225"/>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账面价值</w:t>
                            </w:r>
                          </w:p>
                        </w:txbxContent>
                      </wps:txbx>
                      <wps:bodyPr wrap="none" lIns="0" tIns="0" rIns="0" bIns="0">
                        <a:noAutoFit/>
                      </wps:bodyPr>
                    </wps:wsp>
                  </a:graphicData>
                </a:graphic>
              </wp:anchor>
            </w:drawing>
          </mc:Choice>
          <mc:Fallback>
            <w:pict>
              <v:shape id="_x0000_s1271" type="#_x0000_t202" style="position:absolute;margin-left:446.25pt;margin-top:23.5pt;width:38.149999999999999pt;height:11.75pt;z-index:-125829285;mso-wrap-distance-left:0;mso-wrap-distance-top:23.5pt;mso-wrap-distance-right:0;mso-wrap-distance-bottom:5.0000000000000003e-002pt;mso-position-horizontal-relative:page" filled="f" stroked="f">
                <v:textbox inset="0,0,0,0">
                  <w:txbxContent>
                    <w:p>
                      <w:pPr>
                        <w:pStyle w:val="Style100"/>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账面价值</w:t>
                      </w:r>
                    </w:p>
                  </w:txbxContent>
                </v:textbox>
                <w10:wrap type="topAndBottom" anchorx="page"/>
              </v:shape>
            </w:pict>
          </mc:Fallback>
        </mc:AlternateContent>
      </w:r>
      <w:r>
        <w:br w:type="page"/>
      </w:r>
    </w:p>
    <w:tbl>
      <w:tblPr>
        <w:tblOverlap w:val="never"/>
        <w:jc w:val="center"/>
        <w:tblLayout w:type="fixed"/>
      </w:tblPr>
      <w:tblGrid>
        <w:gridCol w:w="2150"/>
        <w:gridCol w:w="1560"/>
        <w:gridCol w:w="850"/>
        <w:gridCol w:w="1402"/>
        <w:gridCol w:w="763"/>
        <w:gridCol w:w="1603"/>
      </w:tblGrid>
      <w:tr>
        <w:trPr>
          <w:trHeight w:val="581"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8"/>
                <w:szCs w:val="18"/>
              </w:rPr>
              <w:t>计提比 例(</w:t>
            </w:r>
            <w:r>
              <w:rPr>
                <w:color w:val="000000"/>
                <w:spacing w:val="0"/>
                <w:w w:val="100"/>
                <w:position w:val="0"/>
                <w:sz w:val="22"/>
                <w:szCs w:val="22"/>
              </w:rPr>
              <w:t>％</w:t>
            </w: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按“一般方法”计提：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35" w:lineRule="exact"/>
              <w:ind w:left="140" w:right="0" w:firstLine="180"/>
              <w:jc w:val="left"/>
              <w:rPr>
                <w:sz w:val="18"/>
                <w:szCs w:val="18"/>
              </w:rPr>
            </w:pPr>
            <w:r>
              <w:rPr>
                <w:color w:val="000000"/>
                <w:spacing w:val="0"/>
                <w:w w:val="100"/>
                <w:position w:val="0"/>
                <w:sz w:val="18"/>
                <w:szCs w:val="18"/>
              </w:rPr>
              <w:t>单项计提预期信用损 失的其他应收款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35" w:lineRule="exact"/>
              <w:ind w:left="140" w:right="0" w:firstLine="0"/>
              <w:jc w:val="left"/>
              <w:rPr>
                <w:sz w:val="18"/>
                <w:szCs w:val="18"/>
              </w:rPr>
            </w:pPr>
            <w:r>
              <w:rPr>
                <w:color w:val="000000"/>
                <w:spacing w:val="0"/>
                <w:w w:val="100"/>
                <w:position w:val="0"/>
                <w:sz w:val="18"/>
                <w:szCs w:val="18"/>
              </w:rPr>
              <w:t>单项金额非重大并已单 独计提坏账准备的款项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按“简化方法”计提：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exact"/>
              <w:ind w:left="140" w:right="0" w:firstLine="180"/>
              <w:jc w:val="left"/>
              <w:rPr>
                <w:sz w:val="18"/>
                <w:szCs w:val="18"/>
              </w:rPr>
            </w:pPr>
            <w:r>
              <w:rPr>
                <w:color w:val="000000"/>
                <w:spacing w:val="0"/>
                <w:w w:val="100"/>
                <w:position w:val="0"/>
                <w:sz w:val="18"/>
                <w:szCs w:val="18"/>
              </w:rPr>
              <w:t>按组合计提预期信用 损失的其他应收款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其中：组合</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960,165,628.70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246,164.37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959,919,464.33</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组合</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960,165,628.70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246,164.37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959,919,464.33</w:t>
            </w:r>
          </w:p>
        </w:tc>
      </w:tr>
    </w:tbl>
    <w:p>
      <w:pPr>
        <w:widowControl w:val="0"/>
        <w:spacing w:after="299" w:line="1" w:lineRule="exact"/>
      </w:pPr>
    </w:p>
    <w:p>
      <w:pPr>
        <w:pStyle w:val="Style51"/>
        <w:keepNext/>
        <w:keepLines/>
        <w:widowControl w:val="0"/>
        <w:shd w:val="clear" w:color="auto" w:fill="auto"/>
        <w:bidi w:val="0"/>
        <w:spacing w:before="0" w:after="140" w:line="240" w:lineRule="auto"/>
        <w:ind w:left="0" w:right="0" w:firstLine="700"/>
        <w:jc w:val="left"/>
      </w:pPr>
      <w:bookmarkStart w:id="1908" w:name="bookmark1908"/>
      <w:bookmarkStart w:id="1909" w:name="bookmark1909"/>
      <w:bookmarkStart w:id="1910" w:name="bookmark1910"/>
      <w:r>
        <w:rPr>
          <w:rFonts w:ascii="Times New Roman" w:eastAsia="Times New Roman" w:hAnsi="Times New Roman" w:cs="Times New Roman"/>
          <w:color w:val="000000"/>
          <w:spacing w:val="0"/>
          <w:w w:val="100"/>
          <w:position w:val="0"/>
        </w:rPr>
        <w:t>(1</w:t>
      </w:r>
      <w:r>
        <w:rPr>
          <w:color w:val="000000"/>
          <w:spacing w:val="0"/>
          <w:w w:val="100"/>
          <w:position w:val="0"/>
        </w:rPr>
        <w:t>)单项金额重大并已单独计提坏账准备的款项</w:t>
      </w:r>
      <w:bookmarkEnd w:id="1908"/>
      <w:bookmarkEnd w:id="1909"/>
      <w:bookmarkEnd w:id="1910"/>
    </w:p>
    <w:tbl>
      <w:tblPr>
        <w:tblOverlap w:val="never"/>
        <w:jc w:val="center"/>
        <w:tblLayout w:type="fixed"/>
      </w:tblPr>
      <w:tblGrid>
        <w:gridCol w:w="1886"/>
        <w:gridCol w:w="1416"/>
        <w:gridCol w:w="1560"/>
        <w:gridCol w:w="1142"/>
        <w:gridCol w:w="2506"/>
      </w:tblGrid>
      <w:tr>
        <w:trPr>
          <w:trHeight w:val="374"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单位名称</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557"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8"/>
                <w:szCs w:val="18"/>
              </w:rPr>
              <w:t>计提比例 (</w:t>
            </w:r>
            <w:r>
              <w:rPr>
                <w:rFonts w:ascii="Arial Narrow" w:eastAsia="Arial Narrow" w:hAnsi="Arial Narrow" w:cs="Arial Narrow"/>
                <w:color w:val="000000"/>
                <w:spacing w:val="0"/>
                <w:w w:val="100"/>
                <w:position w:val="0"/>
                <w:sz w:val="18"/>
                <w:szCs w:val="18"/>
              </w:rPr>
              <w:t>%</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计提理由</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客户一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205,050,682.20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148,000,000.00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预期发生信用减值损失</w:t>
            </w:r>
          </w:p>
        </w:tc>
      </w:tr>
      <w:tr>
        <w:trPr>
          <w:trHeight w:val="432"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205,050,682.20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148,000,000.00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679" w:line="1" w:lineRule="exact"/>
      </w:pPr>
    </w:p>
    <w:p>
      <w:pPr>
        <w:pStyle w:val="Style51"/>
        <w:keepNext/>
        <w:keepLines/>
        <w:widowControl w:val="0"/>
        <w:shd w:val="clear" w:color="auto" w:fill="auto"/>
        <w:bidi w:val="0"/>
        <w:spacing w:before="0" w:after="140" w:line="240" w:lineRule="auto"/>
        <w:ind w:left="0" w:right="0" w:firstLine="520"/>
        <w:jc w:val="left"/>
      </w:pPr>
      <w:bookmarkStart w:id="1911" w:name="bookmark1911"/>
      <w:bookmarkStart w:id="1912" w:name="bookmark1912"/>
      <w:bookmarkStart w:id="1913" w:name="bookmark1913"/>
      <w:r>
        <w:rPr>
          <w:rFonts w:ascii="Times New Roman" w:eastAsia="Times New Roman" w:hAnsi="Times New Roman" w:cs="Times New Roman"/>
          <w:color w:val="000000"/>
          <w:spacing w:val="0"/>
          <w:w w:val="100"/>
          <w:position w:val="0"/>
        </w:rPr>
        <w:t>(2</w:t>
      </w:r>
      <w:r>
        <w:rPr>
          <w:color w:val="000000"/>
          <w:spacing w:val="0"/>
          <w:w w:val="100"/>
          <w:position w:val="0"/>
        </w:rPr>
        <w:t>)单项金额不重大并已单独计提坏账准备的款项</w:t>
      </w:r>
      <w:bookmarkEnd w:id="1911"/>
      <w:bookmarkEnd w:id="1912"/>
      <w:bookmarkEnd w:id="1913"/>
    </w:p>
    <w:tbl>
      <w:tblPr>
        <w:tblOverlap w:val="never"/>
        <w:jc w:val="center"/>
        <w:tblLayout w:type="fixed"/>
      </w:tblPr>
      <w:tblGrid>
        <w:gridCol w:w="2472"/>
        <w:gridCol w:w="1133"/>
        <w:gridCol w:w="1277"/>
        <w:gridCol w:w="1138"/>
        <w:gridCol w:w="2539"/>
      </w:tblGrid>
      <w:tr>
        <w:trPr>
          <w:trHeight w:val="442"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单位名称</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442"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计提比例(%)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计提理由</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客户二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24,700.00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24,700.00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预期发生信用减值损失</w:t>
            </w:r>
          </w:p>
        </w:tc>
      </w:tr>
      <w:tr>
        <w:trPr>
          <w:trHeight w:val="437"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24,700.00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24,700.00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679" w:line="1" w:lineRule="exact"/>
      </w:pPr>
    </w:p>
    <w:p>
      <w:pPr>
        <w:pStyle w:val="Style16"/>
        <w:keepNext w:val="0"/>
        <w:keepLines w:val="0"/>
        <w:widowControl w:val="0"/>
        <w:numPr>
          <w:ilvl w:val="0"/>
          <w:numId w:val="119"/>
        </w:numPr>
        <w:shd w:val="clear" w:color="auto" w:fill="auto"/>
        <w:bidi w:val="0"/>
        <w:spacing w:before="0" w:after="140" w:line="240" w:lineRule="auto"/>
        <w:ind w:left="0" w:right="0" w:firstLine="600"/>
        <w:jc w:val="left"/>
      </w:pPr>
      <w:bookmarkStart w:id="1914" w:name="bookmark1914"/>
      <w:bookmarkEnd w:id="1914"/>
      <w:r>
        <w:rPr>
          <w:b/>
          <w:bCs/>
          <w:color w:val="000000"/>
          <w:spacing w:val="0"/>
          <w:w w:val="100"/>
          <w:position w:val="0"/>
        </w:rPr>
        <w:t>按组合</w:t>
      </w:r>
      <w:r>
        <w:rPr>
          <w:rFonts w:ascii="Times New Roman" w:eastAsia="Times New Roman" w:hAnsi="Times New Roman" w:cs="Times New Roman"/>
          <w:b/>
          <w:bCs/>
          <w:color w:val="000000"/>
          <w:spacing w:val="0"/>
          <w:w w:val="100"/>
          <w:position w:val="0"/>
        </w:rPr>
        <w:t>1</w:t>
      </w:r>
      <w:r>
        <w:rPr>
          <w:b/>
          <w:bCs/>
          <w:color w:val="000000"/>
          <w:spacing w:val="0"/>
          <w:w w:val="100"/>
          <w:position w:val="0"/>
        </w:rPr>
        <w:t>计提预期信用损失的其他应收款</w:t>
      </w:r>
    </w:p>
    <w:tbl>
      <w:tblPr>
        <w:tblOverlap w:val="never"/>
        <w:jc w:val="center"/>
        <w:tblLayout w:type="fixed"/>
      </w:tblPr>
      <w:tblGrid>
        <w:gridCol w:w="2467"/>
        <w:gridCol w:w="1992"/>
        <w:gridCol w:w="1992"/>
        <w:gridCol w:w="1891"/>
      </w:tblGrid>
      <w:tr>
        <w:trPr>
          <w:trHeight w:val="374"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账龄</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计提比例(</w:t>
            </w:r>
            <w:r>
              <w:rPr>
                <w:rFonts w:ascii="Arial Narrow" w:eastAsia="Arial Narrow" w:hAnsi="Arial Narrow" w:cs="Arial Narrow"/>
                <w:color w:val="000000"/>
                <w:spacing w:val="0"/>
                <w:w w:val="100"/>
                <w:position w:val="0"/>
                <w:sz w:val="18"/>
                <w:szCs w:val="18"/>
              </w:rPr>
              <w:t>%</w:t>
            </w:r>
            <w:r>
              <w:rPr>
                <w:color w:val="000000"/>
                <w:spacing w:val="0"/>
                <w:w w:val="100"/>
                <w:position w:val="0"/>
                <w:sz w:val="18"/>
                <w:szCs w:val="18"/>
              </w:rPr>
              <w:t>)</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38,647,046.99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138,879.60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0.36</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其中：</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个月以内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14,381,341.63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5,280,627.50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个月至</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18,985,077.86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138,879.60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0.73</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176,144,262.95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8,100.00</w:t>
            </w: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58,171,017.13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17,275.00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0.03</w:t>
            </w:r>
          </w:p>
        </w:tc>
      </w:tr>
    </w:tbl>
    <w:p>
      <w:pPr>
        <w:widowControl w:val="0"/>
        <w:spacing w:line="1" w:lineRule="exact"/>
      </w:pPr>
      <w:r>
        <w:br w:type="page"/>
      </w:r>
    </w:p>
    <w:tbl>
      <w:tblPr>
        <w:tblOverlap w:val="never"/>
        <w:jc w:val="center"/>
        <w:tblLayout w:type="fixed"/>
      </w:tblPr>
      <w:tblGrid>
        <w:gridCol w:w="2467"/>
        <w:gridCol w:w="1992"/>
        <w:gridCol w:w="1997"/>
        <w:gridCol w:w="1886"/>
      </w:tblGrid>
      <w:tr>
        <w:trPr>
          <w:trHeight w:val="374"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账龄</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计提比例(</w:t>
            </w:r>
            <w:r>
              <w:rPr>
                <w:rFonts w:ascii="Arial Narrow" w:eastAsia="Arial Narrow" w:hAnsi="Arial Narrow" w:cs="Arial Narrow"/>
                <w:color w:val="000000"/>
                <w:spacing w:val="0"/>
                <w:w w:val="100"/>
                <w:position w:val="0"/>
                <w:sz w:val="18"/>
                <w:szCs w:val="18"/>
              </w:rPr>
              <w:t>%</w:t>
            </w:r>
            <w:r>
              <w:rPr>
                <w:color w:val="000000"/>
                <w:spacing w:val="0"/>
                <w:w w:val="100"/>
                <w:position w:val="0"/>
                <w:sz w:val="18"/>
                <w:szCs w:val="18"/>
              </w:rPr>
              <w:t>)</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517,134,691.56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10,369.83</w:t>
            </w: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790,097,018.63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174,624.43</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419" w:line="1" w:lineRule="exact"/>
      </w:pPr>
    </w:p>
    <w:p>
      <w:pPr>
        <w:pStyle w:val="Style51"/>
        <w:keepNext/>
        <w:keepLines/>
        <w:widowControl w:val="0"/>
        <w:shd w:val="clear" w:color="auto" w:fill="auto"/>
        <w:bidi w:val="0"/>
        <w:spacing w:before="0" w:after="0" w:line="240" w:lineRule="auto"/>
        <w:ind w:left="0" w:right="0" w:firstLine="600"/>
        <w:jc w:val="left"/>
      </w:pPr>
      <w:bookmarkStart w:id="1915" w:name="bookmark1915"/>
      <w:bookmarkStart w:id="1916" w:name="bookmark1916"/>
      <w:bookmarkStart w:id="1917" w:name="bookmark1917"/>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本期计提、核销的坏账准备情况</w:t>
      </w:r>
      <w:bookmarkEnd w:id="1915"/>
      <w:bookmarkEnd w:id="1916"/>
      <w:bookmarkEnd w:id="1917"/>
    </w:p>
    <w:tbl>
      <w:tblPr>
        <w:tblOverlap w:val="never"/>
        <w:jc w:val="center"/>
        <w:tblLayout w:type="fixed"/>
      </w:tblPr>
      <w:tblGrid>
        <w:gridCol w:w="2174"/>
        <w:gridCol w:w="1008"/>
        <w:gridCol w:w="1190"/>
        <w:gridCol w:w="1109"/>
        <w:gridCol w:w="662"/>
        <w:gridCol w:w="994"/>
        <w:gridCol w:w="1224"/>
      </w:tblGrid>
      <w:tr>
        <w:trPr>
          <w:trHeight w:val="442"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类别</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期初余额</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本期变动情况</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240" w:firstLine="0"/>
              <w:jc w:val="right"/>
              <w:rPr>
                <w:sz w:val="18"/>
                <w:szCs w:val="18"/>
              </w:rPr>
            </w:pPr>
            <w:r>
              <w:rPr>
                <w:color w:val="000000"/>
                <w:spacing w:val="0"/>
                <w:w w:val="100"/>
                <w:position w:val="0"/>
                <w:sz w:val="18"/>
                <w:szCs w:val="18"/>
              </w:rPr>
              <w:t>期末余额</w:t>
            </w:r>
          </w:p>
        </w:tc>
      </w:tr>
      <w:tr>
        <w:trPr>
          <w:trHeight w:val="418"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收回或转回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核销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其他变动</w:t>
            </w:r>
          </w:p>
        </w:tc>
        <w:tc>
          <w:tcPr>
            <w:vMerge/>
            <w:tcBorders>
              <w:left w:val="single" w:sz="4"/>
            </w:tcBorders>
            <w:shd w:val="clear" w:color="auto" w:fill="FFFFFF"/>
            <w:vAlign w:val="center"/>
          </w:tcPr>
          <w:p>
            <w:pP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按“一般方法”计提：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3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20"/>
              <w:jc w:val="left"/>
              <w:rPr>
                <w:sz w:val="18"/>
                <w:szCs w:val="18"/>
              </w:rPr>
            </w:pPr>
            <w:r>
              <w:rPr>
                <w:color w:val="000000"/>
                <w:spacing w:val="0"/>
                <w:w w:val="100"/>
                <w:position w:val="0"/>
                <w:sz w:val="18"/>
                <w:szCs w:val="18"/>
              </w:rPr>
              <w:t>单项金额重大并已单独</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计提坏账准备的款项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148,000,000.00</w:t>
            </w:r>
          </w:p>
        </w:tc>
      </w:tr>
      <w:tr>
        <w:trPr>
          <w:trHeight w:val="72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220"/>
              <w:jc w:val="left"/>
              <w:rPr>
                <w:sz w:val="18"/>
                <w:szCs w:val="18"/>
              </w:rPr>
            </w:pPr>
            <w:r>
              <w:rPr>
                <w:color w:val="000000"/>
                <w:spacing w:val="0"/>
                <w:w w:val="100"/>
                <w:position w:val="0"/>
                <w:sz w:val="18"/>
                <w:szCs w:val="18"/>
              </w:rPr>
              <w:t>单项金额非重大并已单 独计提坏账准备的款项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24,700.00</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按“简化方法”计提：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3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220"/>
              <w:jc w:val="left"/>
              <w:rPr>
                <w:sz w:val="18"/>
                <w:szCs w:val="18"/>
              </w:rPr>
            </w:pPr>
            <w:r>
              <w:rPr>
                <w:color w:val="000000"/>
                <w:spacing w:val="0"/>
                <w:w w:val="100"/>
                <w:position w:val="0"/>
                <w:sz w:val="18"/>
                <w:szCs w:val="18"/>
              </w:rPr>
              <w:t>按组合计提预期信用损 失的应收账款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246,164.37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161,934.52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233,474.46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174,624.43</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其中：组合</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246,164.37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161,934.52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233,474.46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174,624.43</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组合</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246,164.37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148,186,634.52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233,474.46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148,199,324.43</w:t>
            </w:r>
          </w:p>
        </w:tc>
      </w:tr>
    </w:tbl>
    <w:p>
      <w:pPr>
        <w:widowControl w:val="0"/>
        <w:spacing w:after="279" w:line="1" w:lineRule="exact"/>
      </w:pPr>
    </w:p>
    <w:p>
      <w:pPr>
        <w:pStyle w:val="Style51"/>
        <w:keepNext/>
        <w:keepLines/>
        <w:widowControl w:val="0"/>
        <w:numPr>
          <w:ilvl w:val="0"/>
          <w:numId w:val="121"/>
        </w:numPr>
        <w:shd w:val="clear" w:color="auto" w:fill="auto"/>
        <w:bidi w:val="0"/>
        <w:spacing w:before="0" w:after="140" w:line="240" w:lineRule="auto"/>
        <w:ind w:left="0" w:right="0" w:firstLine="500"/>
        <w:jc w:val="left"/>
      </w:pPr>
      <w:bookmarkStart w:id="1918" w:name="bookmark1918"/>
      <w:bookmarkStart w:id="1919" w:name="bookmark1919"/>
      <w:bookmarkStart w:id="1920" w:name="bookmark1920"/>
      <w:bookmarkStart w:id="1921" w:name="bookmark1921"/>
      <w:bookmarkEnd w:id="1920"/>
      <w:r>
        <w:rPr>
          <w:color w:val="000000"/>
          <w:spacing w:val="0"/>
          <w:w w:val="100"/>
          <w:position w:val="0"/>
        </w:rPr>
        <w:t>按款项性质分类情况</w:t>
      </w:r>
      <w:bookmarkEnd w:id="1918"/>
      <w:bookmarkEnd w:id="1919"/>
      <w:bookmarkEnd w:id="1921"/>
    </w:p>
    <w:tbl>
      <w:tblPr>
        <w:tblOverlap w:val="never"/>
        <w:jc w:val="center"/>
        <w:tblLayout w:type="fixed"/>
      </w:tblPr>
      <w:tblGrid>
        <w:gridCol w:w="2688"/>
        <w:gridCol w:w="2870"/>
        <w:gridCol w:w="2707"/>
      </w:tblGrid>
      <w:tr>
        <w:trPr>
          <w:trHeight w:val="44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款项性质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992,135,172.78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955,406,539.60</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2,961,742.00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4,682,140.86</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75,486.05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76,948.24</w:t>
            </w:r>
          </w:p>
        </w:tc>
      </w:tr>
      <w:tr>
        <w:trPr>
          <w:trHeight w:val="44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995,172,400.83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960,165,628.70</w:t>
            </w:r>
          </w:p>
        </w:tc>
      </w:tr>
    </w:tbl>
    <w:p>
      <w:pPr>
        <w:widowControl w:val="0"/>
        <w:spacing w:after="679" w:line="1" w:lineRule="exact"/>
      </w:pPr>
    </w:p>
    <w:p>
      <w:pPr>
        <w:pStyle w:val="Style51"/>
        <w:keepNext/>
        <w:keepLines/>
        <w:widowControl w:val="0"/>
        <w:numPr>
          <w:ilvl w:val="0"/>
          <w:numId w:val="111"/>
        </w:numPr>
        <w:shd w:val="clear" w:color="auto" w:fill="auto"/>
        <w:bidi w:val="0"/>
        <w:spacing w:before="0" w:after="140" w:line="240" w:lineRule="auto"/>
        <w:ind w:left="0" w:right="0" w:firstLine="500"/>
        <w:jc w:val="left"/>
      </w:pPr>
      <w:bookmarkStart w:id="1922" w:name="bookmark1922"/>
      <w:bookmarkStart w:id="1923" w:name="bookmark1923"/>
      <w:bookmarkStart w:id="1924" w:name="bookmark1924"/>
      <w:bookmarkStart w:id="1925" w:name="bookmark1925"/>
      <w:bookmarkEnd w:id="1924"/>
      <w:r>
        <w:rPr>
          <w:color w:val="000000"/>
          <w:spacing w:val="0"/>
          <w:w w:val="100"/>
          <w:position w:val="0"/>
        </w:rPr>
        <w:t>按欠款方归集的期末余额前五名的其他应收款</w:t>
      </w:r>
      <w:bookmarkEnd w:id="1922"/>
      <w:bookmarkEnd w:id="1923"/>
      <w:bookmarkEnd w:id="1925"/>
    </w:p>
    <w:tbl>
      <w:tblPr>
        <w:tblOverlap w:val="never"/>
        <w:jc w:val="center"/>
        <w:tblLayout w:type="fixed"/>
      </w:tblPr>
      <w:tblGrid>
        <w:gridCol w:w="1786"/>
        <w:gridCol w:w="994"/>
        <w:gridCol w:w="1560"/>
        <w:gridCol w:w="1277"/>
        <w:gridCol w:w="1478"/>
        <w:gridCol w:w="1387"/>
      </w:tblGrid>
      <w:tr>
        <w:trPr>
          <w:trHeight w:val="63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单位名称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款项性质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占其他应收款期末 余额的比例</w:t>
            </w:r>
            <w:r>
              <w:rPr>
                <w:rFonts w:ascii="Arial Narrow" w:eastAsia="Arial Narrow" w:hAnsi="Arial Narrow" w:cs="Arial Narrow"/>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83" w:lineRule="exact"/>
              <w:ind w:left="0" w:right="0" w:firstLine="0"/>
              <w:jc w:val="center"/>
              <w:rPr>
                <w:sz w:val="18"/>
                <w:szCs w:val="18"/>
              </w:rPr>
            </w:pPr>
            <w:r>
              <w:rPr>
                <w:color w:val="000000"/>
                <w:spacing w:val="0"/>
                <w:w w:val="100"/>
                <w:position w:val="0"/>
                <w:sz w:val="18"/>
                <w:szCs w:val="18"/>
              </w:rPr>
              <w:t>坏账准备 期末余额</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778,084,792.67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个月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78.19</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205,050,682.20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个月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148,000,000.00</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4,968,997.91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个月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0.50</w:t>
            </w: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第四名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往来款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4,002,000.00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个月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786"/>
        <w:gridCol w:w="994"/>
        <w:gridCol w:w="1560"/>
        <w:gridCol w:w="1282"/>
        <w:gridCol w:w="1478"/>
        <w:gridCol w:w="1382"/>
      </w:tblGrid>
      <w:tr>
        <w:trPr>
          <w:trHeight w:val="63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单位名称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款项性质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占其他应收款期末 余额的比例</w:t>
            </w:r>
            <w:r>
              <w:rPr>
                <w:rFonts w:ascii="Arial Narrow" w:eastAsia="Arial Narrow" w:hAnsi="Arial Narrow" w:cs="Arial Narrow"/>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83" w:lineRule="exact"/>
              <w:ind w:left="0" w:right="0" w:firstLine="0"/>
              <w:jc w:val="center"/>
              <w:rPr>
                <w:sz w:val="18"/>
                <w:szCs w:val="18"/>
              </w:rPr>
            </w:pPr>
            <w:r>
              <w:rPr>
                <w:color w:val="000000"/>
                <w:spacing w:val="0"/>
                <w:w w:val="100"/>
                <w:position w:val="0"/>
                <w:sz w:val="18"/>
                <w:szCs w:val="18"/>
              </w:rPr>
              <w:t>坏账准备 期末余额</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2,777,592.00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个月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138,879.60</w:t>
            </w:r>
          </w:p>
        </w:tc>
      </w:tr>
      <w:tr>
        <w:trPr>
          <w:trHeight w:val="432"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994,884,064.78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148,138,879.60</w:t>
            </w:r>
          </w:p>
        </w:tc>
      </w:tr>
    </w:tbl>
    <w:p>
      <w:pPr>
        <w:widowControl w:val="0"/>
        <w:spacing w:after="419" w:line="1" w:lineRule="exact"/>
      </w:pPr>
    </w:p>
    <w:p>
      <w:pPr>
        <w:pStyle w:val="Style37"/>
        <w:keepNext/>
        <w:keepLines/>
        <w:widowControl w:val="0"/>
        <w:shd w:val="clear" w:color="auto" w:fill="auto"/>
        <w:bidi w:val="0"/>
        <w:spacing w:before="0" w:after="140" w:line="240" w:lineRule="auto"/>
        <w:ind w:left="0" w:right="0" w:firstLine="500"/>
        <w:jc w:val="left"/>
      </w:pPr>
      <w:bookmarkStart w:id="1926" w:name="bookmark1926"/>
      <w:bookmarkStart w:id="1927" w:name="bookmark1927"/>
      <w:bookmarkStart w:id="1928" w:name="bookmark1928"/>
      <w:r>
        <w:rPr>
          <w:color w:val="000000"/>
          <w:spacing w:val="0"/>
          <w:w w:val="100"/>
          <w:position w:val="0"/>
        </w:rPr>
        <w:t>注释</w:t>
      </w: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长期股权投资</w:t>
      </w:r>
      <w:bookmarkEnd w:id="1926"/>
      <w:bookmarkEnd w:id="1927"/>
      <w:bookmarkEnd w:id="1928"/>
    </w:p>
    <w:tbl>
      <w:tblPr>
        <w:tblOverlap w:val="never"/>
        <w:jc w:val="center"/>
        <w:tblLayout w:type="fixed"/>
      </w:tblPr>
      <w:tblGrid>
        <w:gridCol w:w="1397"/>
        <w:gridCol w:w="1512"/>
        <w:gridCol w:w="566"/>
        <w:gridCol w:w="1416"/>
        <w:gridCol w:w="1421"/>
        <w:gridCol w:w="566"/>
        <w:gridCol w:w="1526"/>
      </w:tblGrid>
      <w:tr>
        <w:trPr>
          <w:trHeight w:val="427"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款项性质</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715"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减值</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准备</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8"/>
                <w:szCs w:val="18"/>
              </w:rPr>
            </w:pPr>
            <w:r>
              <w:rPr>
                <w:color w:val="000000"/>
                <w:spacing w:val="0"/>
                <w:w w:val="100"/>
                <w:position w:val="0"/>
                <w:sz w:val="18"/>
                <w:szCs w:val="18"/>
              </w:rPr>
              <w:t>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账面余额</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减值</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准备</w:t>
            </w:r>
          </w:p>
        </w:tc>
        <w:tc>
          <w:tcPr>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380"/>
              <w:jc w:val="left"/>
              <w:rPr>
                <w:sz w:val="18"/>
                <w:szCs w:val="18"/>
              </w:rPr>
            </w:pPr>
            <w:r>
              <w:rPr>
                <w:color w:val="000000"/>
                <w:spacing w:val="0"/>
                <w:w w:val="100"/>
                <w:position w:val="0"/>
                <w:sz w:val="18"/>
                <w:szCs w:val="18"/>
              </w:rPr>
              <w:t>账面价值</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对子公司投资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12,485,769,331.98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12,485,769,331.98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12,482,269,331.98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12,482,269,331.98</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对联营、合营企 业投资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47,231,855.91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47,231,855.91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45,275,703.68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45,275,703.68</w:t>
            </w:r>
          </w:p>
        </w:tc>
      </w:tr>
      <w:tr>
        <w:trPr>
          <w:trHeight w:val="432"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12,533,001,187.89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12,533,001,187.89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12,527,545,035.66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12,527,545,035.66</w:t>
            </w:r>
          </w:p>
        </w:tc>
      </w:tr>
    </w:tbl>
    <w:p>
      <w:pPr>
        <w:widowControl w:val="0"/>
        <w:spacing w:after="279" w:line="1" w:lineRule="exact"/>
      </w:pPr>
    </w:p>
    <w:p>
      <w:pPr>
        <w:pStyle w:val="Style51"/>
        <w:keepNext/>
        <w:keepLines/>
        <w:widowControl w:val="0"/>
        <w:shd w:val="clear" w:color="auto" w:fill="auto"/>
        <w:bidi w:val="0"/>
        <w:spacing w:before="0" w:after="140" w:line="240" w:lineRule="auto"/>
        <w:ind w:left="0" w:right="0" w:firstLine="500"/>
        <w:jc w:val="left"/>
      </w:pPr>
      <w:bookmarkStart w:id="1929" w:name="bookmark1929"/>
      <w:bookmarkStart w:id="1930" w:name="bookmark1930"/>
      <w:bookmarkStart w:id="1931" w:name="bookmark1931"/>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对子公司投资</w:t>
      </w:r>
      <w:bookmarkEnd w:id="1929"/>
      <w:bookmarkEnd w:id="1930"/>
      <w:bookmarkEnd w:id="1931"/>
    </w:p>
    <w:tbl>
      <w:tblPr>
        <w:tblOverlap w:val="never"/>
        <w:jc w:val="center"/>
        <w:tblLayout w:type="fixed"/>
      </w:tblPr>
      <w:tblGrid>
        <w:gridCol w:w="2107"/>
        <w:gridCol w:w="1368"/>
        <w:gridCol w:w="1094"/>
        <w:gridCol w:w="619"/>
        <w:gridCol w:w="1502"/>
        <w:gridCol w:w="850"/>
        <w:gridCol w:w="816"/>
      </w:tblGrid>
      <w:tr>
        <w:trPr>
          <w:trHeight w:val="81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被投资单位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本期 减少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本期计 提减值 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减值准 备期末 余额</w:t>
            </w:r>
          </w:p>
        </w:tc>
      </w:tr>
      <w:tr>
        <w:trPr>
          <w:trHeight w:val="71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317" w:lineRule="exact"/>
              <w:ind w:left="140" w:right="0" w:firstLine="0"/>
              <w:jc w:val="left"/>
              <w:rPr>
                <w:sz w:val="18"/>
                <w:szCs w:val="18"/>
              </w:rPr>
            </w:pPr>
            <w:r>
              <w:rPr>
                <w:color w:val="000000"/>
                <w:spacing w:val="0"/>
                <w:w w:val="100"/>
                <w:position w:val="0"/>
                <w:sz w:val="18"/>
                <w:szCs w:val="18"/>
              </w:rPr>
              <w:t>深圳国盛前海投资有限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39,500,000.00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39,500,000.00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Arial Narrow" w:eastAsia="Arial Narrow" w:hAnsi="Arial Narrow" w:cs="Arial Narrow"/>
                <w:color w:val="000000"/>
                <w:spacing w:val="0"/>
                <w:w w:val="100"/>
                <w:position w:val="0"/>
                <w:sz w:val="18"/>
                <w:szCs w:val="18"/>
              </w:rPr>
              <w:t xml:space="preserve">Guosheng </w:t>
            </w:r>
            <w:r>
              <w:rPr>
                <w:color w:val="000000"/>
                <w:spacing w:val="0"/>
                <w:w w:val="100"/>
                <w:position w:val="0"/>
                <w:sz w:val="18"/>
                <w:szCs w:val="18"/>
              </w:rPr>
              <w:t xml:space="preserve">( </w:t>
            </w:r>
            <w:r>
              <w:rPr>
                <w:rFonts w:ascii="Arial Narrow" w:eastAsia="Arial Narrow" w:hAnsi="Arial Narrow" w:cs="Arial Narrow"/>
                <w:color w:val="000000"/>
                <w:spacing w:val="0"/>
                <w:w w:val="100"/>
                <w:position w:val="0"/>
                <w:sz w:val="18"/>
                <w:szCs w:val="18"/>
              </w:rPr>
              <w:t>Hong Kong)</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Arial Narrow" w:eastAsia="Arial Narrow" w:hAnsi="Arial Narrow" w:cs="Arial Narrow"/>
                <w:color w:val="000000"/>
                <w:spacing w:val="0"/>
                <w:w w:val="100"/>
                <w:position w:val="0"/>
                <w:sz w:val="18"/>
                <w:szCs w:val="18"/>
              </w:rPr>
              <w:t>Investment 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4,265,199.98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5"/>
                <w:szCs w:val="15"/>
              </w:rPr>
            </w:pPr>
            <w:r>
              <w:rPr>
                <w:rFonts w:ascii="Times New Roman" w:eastAsia="Times New Roman" w:hAnsi="Times New Roman" w:cs="Times New Roman"/>
                <w:color w:val="000000"/>
                <w:spacing w:val="0"/>
                <w:w w:val="100"/>
                <w:position w:val="0"/>
                <w:sz w:val="15"/>
                <w:szCs w:val="15"/>
              </w:rPr>
              <w:t>4,265,199.98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国盛证券有限责任公司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12,226,000,000.00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12,226,000,000.00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312" w:lineRule="exact"/>
              <w:ind w:left="140" w:right="0" w:firstLine="0"/>
              <w:jc w:val="left"/>
              <w:rPr>
                <w:sz w:val="18"/>
                <w:szCs w:val="18"/>
              </w:rPr>
            </w:pPr>
            <w:r>
              <w:rPr>
                <w:color w:val="000000"/>
                <w:spacing w:val="0"/>
                <w:w w:val="100"/>
                <w:position w:val="0"/>
                <w:sz w:val="18"/>
                <w:szCs w:val="18"/>
              </w:rPr>
              <w:t>珠海横琴极盛科技有限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9,000,000.00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5"/>
                <w:szCs w:val="15"/>
              </w:rPr>
            </w:pPr>
            <w:r>
              <w:rPr>
                <w:rFonts w:ascii="Times New Roman" w:eastAsia="Times New Roman" w:hAnsi="Times New Roman" w:cs="Times New Roman"/>
                <w:color w:val="000000"/>
                <w:spacing w:val="0"/>
                <w:w w:val="100"/>
                <w:position w:val="0"/>
                <w:sz w:val="15"/>
                <w:szCs w:val="15"/>
              </w:rPr>
              <w:t>9,000,000.00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317" w:lineRule="exact"/>
              <w:ind w:left="140" w:right="0" w:firstLine="0"/>
              <w:jc w:val="left"/>
              <w:rPr>
                <w:sz w:val="18"/>
                <w:szCs w:val="18"/>
              </w:rPr>
            </w:pPr>
            <w:r>
              <w:rPr>
                <w:color w:val="000000"/>
                <w:spacing w:val="0"/>
                <w:w w:val="100"/>
                <w:position w:val="0"/>
                <w:sz w:val="18"/>
                <w:szCs w:val="18"/>
              </w:rPr>
              <w:t>天津国盛信安科技有限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195,504,131.00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195,504,131.00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302" w:lineRule="exact"/>
              <w:ind w:left="140" w:right="0" w:firstLine="0"/>
              <w:jc w:val="left"/>
              <w:rPr>
                <w:sz w:val="18"/>
                <w:szCs w:val="18"/>
              </w:rPr>
            </w:pPr>
            <w:r>
              <w:rPr>
                <w:color w:val="000000"/>
                <w:spacing w:val="0"/>
                <w:w w:val="100"/>
                <w:position w:val="0"/>
                <w:sz w:val="18"/>
                <w:szCs w:val="18"/>
              </w:rPr>
              <w:t>深圳前海弘大嘉豪资本 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8,000,001.00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3</w:t>
            </w:r>
            <w:r>
              <w:rPr>
                <w:rFonts w:ascii="Arial Narrow" w:eastAsia="Arial Narrow" w:hAnsi="Arial Narrow" w:cs="Arial Narrow"/>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11,500,001.00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12,482,269,331.98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3</w:t>
            </w:r>
            <w:r>
              <w:rPr>
                <w:rFonts w:ascii="Arial Narrow" w:eastAsia="Arial Narrow" w:hAnsi="Arial Narrow" w:cs="Arial Narrow"/>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500,000.00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12,485,769,331.98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279" w:line="1" w:lineRule="exact"/>
      </w:pPr>
    </w:p>
    <w:p>
      <w:pPr>
        <w:pStyle w:val="Style51"/>
        <w:keepNext/>
        <w:keepLines/>
        <w:widowControl w:val="0"/>
        <w:shd w:val="clear" w:color="auto" w:fill="auto"/>
        <w:bidi w:val="0"/>
        <w:spacing w:before="0" w:after="140" w:line="240" w:lineRule="auto"/>
        <w:ind w:left="0" w:right="0" w:firstLine="500"/>
        <w:jc w:val="left"/>
      </w:pPr>
      <w:bookmarkStart w:id="1932" w:name="bookmark1932"/>
      <w:bookmarkStart w:id="1933" w:name="bookmark1933"/>
      <w:bookmarkStart w:id="1934" w:name="bookmark1934"/>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对联营、合营企业投资</w:t>
      </w:r>
      <w:bookmarkEnd w:id="1932"/>
      <w:bookmarkEnd w:id="1933"/>
      <w:bookmarkEnd w:id="1934"/>
    </w:p>
    <w:tbl>
      <w:tblPr>
        <w:tblOverlap w:val="never"/>
        <w:jc w:val="center"/>
        <w:tblLayout w:type="fixed"/>
      </w:tblPr>
      <w:tblGrid>
        <w:gridCol w:w="2318"/>
        <w:gridCol w:w="1704"/>
        <w:gridCol w:w="797"/>
        <w:gridCol w:w="1219"/>
        <w:gridCol w:w="1219"/>
        <w:gridCol w:w="1142"/>
      </w:tblGrid>
      <w:tr>
        <w:trPr>
          <w:trHeight w:val="374"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被投资单位</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本期增减变动</w:t>
            </w:r>
          </w:p>
        </w:tc>
      </w:tr>
      <w:tr>
        <w:trPr>
          <w:trHeight w:val="557"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追加投 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减少投资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权益法确认的 投资损益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其他综合收 益调整</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一.联营企业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exact"/>
              <w:ind w:left="140" w:right="0" w:firstLine="0"/>
              <w:jc w:val="left"/>
              <w:rPr>
                <w:sz w:val="18"/>
                <w:szCs w:val="18"/>
              </w:rPr>
            </w:pPr>
            <w:r>
              <w:rPr>
                <w:color w:val="000000"/>
                <w:spacing w:val="0"/>
                <w:w w:val="100"/>
                <w:position w:val="0"/>
                <w:sz w:val="18"/>
                <w:szCs w:val="18"/>
              </w:rPr>
              <w:t>广州仁诺互联网小额贷款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45,275,703.68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1,956,152.23</w:t>
            </w: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45,275,703.68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1,956,152.23</w:t>
            </w: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16"/>
        <w:keepNext w:val="0"/>
        <w:keepLines w:val="0"/>
        <w:widowControl w:val="0"/>
        <w:shd w:val="clear" w:color="auto" w:fill="auto"/>
        <w:bidi w:val="0"/>
        <w:spacing w:before="0" w:after="300" w:line="240" w:lineRule="auto"/>
        <w:ind w:left="0" w:right="0" w:firstLine="520"/>
        <w:jc w:val="left"/>
      </w:pPr>
      <w:r>
        <w:rPr>
          <w:color w:val="000000"/>
          <w:spacing w:val="0"/>
          <w:w w:val="100"/>
          <w:position w:val="0"/>
        </w:rPr>
        <w:t>续:</w:t>
      </w:r>
    </w:p>
    <w:tbl>
      <w:tblPr>
        <w:tblOverlap w:val="never"/>
        <w:jc w:val="center"/>
        <w:tblLayout w:type="fixed"/>
      </w:tblPr>
      <w:tblGrid>
        <w:gridCol w:w="2280"/>
        <w:gridCol w:w="1085"/>
        <w:gridCol w:w="1090"/>
        <w:gridCol w:w="1090"/>
        <w:gridCol w:w="850"/>
        <w:gridCol w:w="1277"/>
        <w:gridCol w:w="658"/>
      </w:tblGrid>
      <w:tr>
        <w:trPr>
          <w:trHeight w:val="374"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被投资单位</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本期增减变动</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减值 准备 期末 余额</w:t>
            </w:r>
          </w:p>
        </w:tc>
      </w:tr>
      <w:tr>
        <w:trPr>
          <w:trHeight w:val="792"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5" w:lineRule="exact"/>
              <w:ind w:left="0" w:right="0" w:firstLine="0"/>
              <w:jc w:val="center"/>
              <w:rPr>
                <w:sz w:val="18"/>
                <w:szCs w:val="18"/>
              </w:rPr>
            </w:pPr>
            <w:r>
              <w:rPr>
                <w:color w:val="000000"/>
                <w:spacing w:val="0"/>
                <w:w w:val="100"/>
                <w:position w:val="0"/>
                <w:sz w:val="18"/>
                <w:szCs w:val="18"/>
              </w:rPr>
              <w:t>其他权益变 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2" w:lineRule="exact"/>
              <w:ind w:left="0" w:right="0" w:firstLine="0"/>
              <w:jc w:val="center"/>
              <w:rPr>
                <w:sz w:val="18"/>
                <w:szCs w:val="18"/>
              </w:rPr>
            </w:pPr>
            <w:r>
              <w:rPr>
                <w:color w:val="000000"/>
                <w:spacing w:val="0"/>
                <w:w w:val="100"/>
                <w:position w:val="0"/>
                <w:sz w:val="18"/>
                <w:szCs w:val="18"/>
              </w:rPr>
              <w:t>宣告发放现 金股利或利 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5" w:lineRule="exact"/>
              <w:ind w:left="0" w:right="0" w:firstLine="0"/>
              <w:jc w:val="center"/>
              <w:rPr>
                <w:sz w:val="18"/>
                <w:szCs w:val="18"/>
              </w:rPr>
            </w:pPr>
            <w:r>
              <w:rPr>
                <w:color w:val="000000"/>
                <w:spacing w:val="0"/>
                <w:w w:val="100"/>
                <w:position w:val="0"/>
                <w:sz w:val="18"/>
                <w:szCs w:val="18"/>
              </w:rPr>
              <w:t>计提减值准 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一.联营企业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exact"/>
              <w:ind w:left="140" w:right="0" w:firstLine="0"/>
              <w:jc w:val="left"/>
              <w:rPr>
                <w:sz w:val="18"/>
                <w:szCs w:val="18"/>
              </w:rPr>
            </w:pPr>
            <w:r>
              <w:rPr>
                <w:color w:val="000000"/>
                <w:spacing w:val="0"/>
                <w:w w:val="100"/>
                <w:position w:val="0"/>
                <w:sz w:val="18"/>
                <w:szCs w:val="18"/>
              </w:rPr>
              <w:t>广州仁诺互联网小额贷款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47,231,855.91</w:t>
            </w: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47,231,855.91</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439" w:line="1" w:lineRule="exact"/>
      </w:pPr>
    </w:p>
    <w:p>
      <w:pPr>
        <w:pStyle w:val="Style37"/>
        <w:keepNext/>
        <w:keepLines/>
        <w:widowControl w:val="0"/>
        <w:shd w:val="clear" w:color="auto" w:fill="auto"/>
        <w:bidi w:val="0"/>
        <w:spacing w:before="0" w:after="160" w:line="240" w:lineRule="auto"/>
        <w:ind w:left="0" w:right="0" w:firstLine="520"/>
        <w:jc w:val="left"/>
      </w:pPr>
      <w:bookmarkStart w:id="1935" w:name="bookmark1935"/>
      <w:bookmarkStart w:id="1936" w:name="bookmark1936"/>
      <w:bookmarkStart w:id="1937" w:name="bookmark1937"/>
      <w:r>
        <w:rPr>
          <w:color w:val="000000"/>
          <w:spacing w:val="0"/>
          <w:w w:val="100"/>
          <w:position w:val="0"/>
        </w:rPr>
        <w:t>注释</w:t>
      </w: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营业收入及营业成本</w:t>
      </w:r>
      <w:bookmarkEnd w:id="1935"/>
      <w:bookmarkEnd w:id="1936"/>
      <w:bookmarkEnd w:id="1937"/>
    </w:p>
    <w:p>
      <w:pPr>
        <w:pStyle w:val="Style51"/>
        <w:keepNext/>
        <w:keepLines/>
        <w:widowControl w:val="0"/>
        <w:shd w:val="clear" w:color="auto" w:fill="auto"/>
        <w:bidi w:val="0"/>
        <w:spacing w:before="0" w:after="160" w:line="240" w:lineRule="auto"/>
        <w:ind w:left="0" w:right="0" w:firstLine="520"/>
        <w:jc w:val="left"/>
      </w:pPr>
      <w:bookmarkStart w:id="1938" w:name="bookmark1938"/>
      <w:bookmarkStart w:id="1939" w:name="bookmark1939"/>
      <w:bookmarkStart w:id="1940" w:name="bookmark1940"/>
      <w:r>
        <w:rPr>
          <w:color w:val="000000"/>
          <w:spacing w:val="0"/>
          <w:w w:val="100"/>
          <w:position w:val="0"/>
        </w:rPr>
        <w:t>1.</w:t>
      </w:r>
      <w:r>
        <w:rPr>
          <w:color w:val="000000"/>
          <w:spacing w:val="0"/>
          <w:w w:val="100"/>
          <w:position w:val="0"/>
        </w:rPr>
        <w:t>营业收入、营业成本</w:t>
      </w:r>
      <w:bookmarkEnd w:id="1938"/>
      <w:bookmarkEnd w:id="1939"/>
      <w:bookmarkEnd w:id="1940"/>
    </w:p>
    <w:tbl>
      <w:tblPr>
        <w:tblOverlap w:val="never"/>
        <w:jc w:val="center"/>
        <w:tblLayout w:type="fixed"/>
      </w:tblPr>
      <w:tblGrid>
        <w:gridCol w:w="1618"/>
        <w:gridCol w:w="1709"/>
        <w:gridCol w:w="1704"/>
        <w:gridCol w:w="1704"/>
        <w:gridCol w:w="1608"/>
      </w:tblGrid>
      <w:tr>
        <w:trPr>
          <w:trHeight w:val="374"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项目</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成本</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主营业务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30,428,544.75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816,444.56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65,863,102.35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9,782,003.22</w:t>
            </w:r>
          </w:p>
        </w:tc>
      </w:tr>
      <w:tr>
        <w:trPr>
          <w:trHeight w:val="379"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30,428,544.75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816,444.56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65,863,102.35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9,782,003.22</w:t>
            </w:r>
          </w:p>
        </w:tc>
      </w:tr>
    </w:tbl>
    <w:p>
      <w:pPr>
        <w:widowControl w:val="0"/>
        <w:spacing w:after="439" w:line="1" w:lineRule="exact"/>
      </w:pPr>
    </w:p>
    <w:p>
      <w:pPr>
        <w:pStyle w:val="Style37"/>
        <w:keepNext/>
        <w:keepLines/>
        <w:widowControl w:val="0"/>
        <w:shd w:val="clear" w:color="auto" w:fill="auto"/>
        <w:bidi w:val="0"/>
        <w:spacing w:before="0" w:after="160" w:line="240" w:lineRule="auto"/>
        <w:ind w:left="0" w:right="0" w:firstLine="520"/>
        <w:jc w:val="left"/>
      </w:pPr>
      <w:bookmarkStart w:id="1941" w:name="bookmark1941"/>
      <w:bookmarkStart w:id="1942" w:name="bookmark1942"/>
      <w:bookmarkStart w:id="1943" w:name="bookmark1943"/>
      <w:r>
        <w:rPr>
          <w:color w:val="000000"/>
          <w:spacing w:val="0"/>
          <w:w w:val="100"/>
          <w:position w:val="0"/>
        </w:rPr>
        <w:t>注释</w:t>
      </w: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投资收益</w:t>
      </w:r>
      <w:bookmarkEnd w:id="1941"/>
      <w:bookmarkEnd w:id="1942"/>
      <w:bookmarkEnd w:id="1943"/>
    </w:p>
    <w:tbl>
      <w:tblPr>
        <w:tblOverlap w:val="never"/>
        <w:jc w:val="center"/>
        <w:tblLayout w:type="fixed"/>
      </w:tblPr>
      <w:tblGrid>
        <w:gridCol w:w="3187"/>
        <w:gridCol w:w="2477"/>
        <w:gridCol w:w="2842"/>
      </w:tblGrid>
      <w:tr>
        <w:trPr>
          <w:trHeight w:val="44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41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1,956,152.23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321,679.43</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金融工具投资收益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459,744.13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92,563,150.65</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其中：持有期间取得的收益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459,744.13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89,562,328.74</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459,744.13</w:t>
            </w: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89,562,328.74</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其中：处置金融工具取得的收益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3,000,821.91</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3,000,821.91</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成本法核算的长期股权投资收益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290,000,000.00</w:t>
            </w:r>
          </w:p>
        </w:tc>
      </w:tr>
      <w:tr>
        <w:trPr>
          <w:trHeight w:val="44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189,415,896.36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382,884,830.08</w:t>
            </w:r>
          </w:p>
        </w:tc>
      </w:tr>
    </w:tbl>
    <w:p>
      <w:pPr>
        <w:widowControl w:val="0"/>
        <w:spacing w:after="739" w:line="1" w:lineRule="exact"/>
      </w:pPr>
    </w:p>
    <w:p>
      <w:pPr>
        <w:pStyle w:val="Style29"/>
        <w:keepNext/>
        <w:keepLines/>
        <w:widowControl w:val="0"/>
        <w:shd w:val="clear" w:color="auto" w:fill="auto"/>
        <w:bidi w:val="0"/>
        <w:spacing w:before="0" w:after="160" w:line="240" w:lineRule="auto"/>
        <w:ind w:left="0" w:right="0" w:firstLine="520"/>
        <w:jc w:val="left"/>
      </w:pPr>
      <w:bookmarkStart w:id="1944" w:name="bookmark1944"/>
      <w:bookmarkStart w:id="1945" w:name="bookmark1945"/>
      <w:bookmarkStart w:id="1946" w:name="bookmark1946"/>
      <w:r>
        <w:rPr>
          <w:color w:val="000000"/>
          <w:spacing w:val="0"/>
          <w:w w:val="100"/>
          <w:position w:val="0"/>
          <w:sz w:val="24"/>
          <w:szCs w:val="24"/>
        </w:rPr>
        <w:t>十七、补充资料</w:t>
      </w:r>
      <w:bookmarkEnd w:id="1944"/>
      <w:bookmarkEnd w:id="1945"/>
      <w:bookmarkEnd w:id="1946"/>
    </w:p>
    <w:p>
      <w:pPr>
        <w:pStyle w:val="Style37"/>
        <w:keepNext/>
        <w:keepLines/>
        <w:widowControl w:val="0"/>
        <w:shd w:val="clear" w:color="auto" w:fill="auto"/>
        <w:bidi w:val="0"/>
        <w:spacing w:before="0" w:after="160" w:line="240" w:lineRule="auto"/>
        <w:ind w:left="0" w:right="0" w:firstLine="640"/>
        <w:jc w:val="left"/>
      </w:pPr>
      <w:bookmarkStart w:id="1947" w:name="bookmark1947"/>
      <w:bookmarkStart w:id="1948" w:name="bookmark1948"/>
      <w:bookmarkStart w:id="1949" w:name="bookmark1949"/>
      <w:r>
        <w:rPr>
          <w:color w:val="000000"/>
          <w:spacing w:val="0"/>
          <w:w w:val="100"/>
          <w:position w:val="0"/>
        </w:rPr>
        <w:t>（一）当期非经常性损益明细表</w:t>
      </w:r>
      <w:bookmarkEnd w:id="1947"/>
      <w:bookmarkEnd w:id="1948"/>
      <w:bookmarkEnd w:id="1949"/>
    </w:p>
    <w:tbl>
      <w:tblPr>
        <w:tblOverlap w:val="never"/>
        <w:jc w:val="center"/>
        <w:tblLayout w:type="fixed"/>
      </w:tblPr>
      <w:tblGrid>
        <w:gridCol w:w="5467"/>
        <w:gridCol w:w="1522"/>
        <w:gridCol w:w="1416"/>
      </w:tblGrid>
      <w:tr>
        <w:trPr>
          <w:trHeight w:val="37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说明</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非流动资产处置损益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-2,725,350.48</w:t>
            </w: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越权审批或无正式批准文件的税收返还、减免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5472"/>
        <w:gridCol w:w="1522"/>
        <w:gridCol w:w="1411"/>
      </w:tblGrid>
      <w:tr>
        <w:trPr>
          <w:trHeight w:val="37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说明</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计入当期损益的政府补助（与企业业务密切相关，按照国家统一标准 定额或定量享受的政府补助除外）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14,085,508.28</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计入当期损益的对非金融企业收取的资金占用费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企业取得子公司、联营企业及合营企业的投资成本小于取得投资时应 享有被投资单位可辨认净资产公允价值产生的收益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非货币性资产交换损益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委托他人投资或管理资产的损益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因不可抗力因素，如遭受自然灾害而计提的各项资产减值准备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债务重组损益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企业重组费用，如安置职工的支出、整合费用等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交易价格显失公允的交易产生的超过公允价值部分的损益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同一控制下企业合并产生的子公司期初至合并日的当期净损益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与公司正常经营业务无关的或有事项产生的损益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9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38" w:lineRule="exact"/>
              <w:ind w:left="0" w:right="0" w:firstLine="0"/>
              <w:jc w:val="both"/>
              <w:rPr>
                <w:sz w:val="18"/>
                <w:szCs w:val="18"/>
              </w:rPr>
            </w:pPr>
            <w:r>
              <w:rPr>
                <w:color w:val="000000"/>
                <w:spacing w:val="0"/>
                <w:w w:val="100"/>
                <w:position w:val="0"/>
                <w:sz w:val="18"/>
                <w:szCs w:val="18"/>
              </w:rPr>
              <w:t>除同公司正常经营业务相关的有效套期保值业务外，持有交易性金融 资产、交易性金融负债产生的公允价值变动损益，以及处置交易性金 融资产、交易性金融负债、债权投资和其他债权投资取得的投资收益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2,924.54</w:t>
            </w: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单独进行减值测试的应收款项减值准备转回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对外委托贷款取得的损益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采用公允价值模式进行后续计量的投资性房地产公允价值变动产生 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根据税收、会计等法律、法规的要求对当期损益进行一次性调整对当 期损益的影响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受托经营取得的托管费收入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-13,778,934.58</w:t>
            </w: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其他符合非经常性损益定义的损益项目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3,612,605.28</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-1,217,130.45</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少数股东权益影响额（税后）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106,516.84</w:t>
            </w: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2,307,366.65</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759" w:line="1" w:lineRule="exact"/>
      </w:pPr>
    </w:p>
    <w:p>
      <w:pPr>
        <w:pStyle w:val="Style37"/>
        <w:keepNext/>
        <w:keepLines/>
        <w:widowControl w:val="0"/>
        <w:shd w:val="clear" w:color="auto" w:fill="auto"/>
        <w:bidi w:val="0"/>
        <w:spacing w:before="0" w:after="160" w:line="240" w:lineRule="auto"/>
        <w:ind w:left="0" w:right="0" w:firstLine="580"/>
        <w:jc w:val="left"/>
      </w:pPr>
      <w:bookmarkStart w:id="1950" w:name="bookmark1950"/>
      <w:bookmarkStart w:id="1951" w:name="bookmark1951"/>
      <w:bookmarkStart w:id="1952" w:name="bookmark1952"/>
      <w:r>
        <w:rPr>
          <w:color w:val="000000"/>
          <w:spacing w:val="0"/>
          <w:w w:val="100"/>
          <w:position w:val="0"/>
        </w:rPr>
        <w:t>（二）净资产收益率及每股收益</w:t>
      </w:r>
      <w:bookmarkEnd w:id="1950"/>
      <w:bookmarkEnd w:id="1951"/>
      <w:bookmarkEnd w:id="1952"/>
    </w:p>
    <w:tbl>
      <w:tblPr>
        <w:tblOverlap w:val="never"/>
        <w:jc w:val="center"/>
        <w:tblLayout w:type="fixed"/>
      </w:tblPr>
      <w:tblGrid>
        <w:gridCol w:w="3336"/>
        <w:gridCol w:w="1435"/>
        <w:gridCol w:w="3605"/>
      </w:tblGrid>
      <w:tr>
        <w:trPr>
          <w:trHeight w:val="58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加权平均净资产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每股收益</w:t>
            </w:r>
          </w:p>
        </w:tc>
      </w:tr>
      <w:tr>
        <w:trPr>
          <w:trHeight w:val="158"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报告期利润</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206" w:hRule="exact"/>
        </w:trPr>
        <w:tc>
          <w:tcPr>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收益率（%）</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b/>
                <w:bCs/>
                <w:color w:val="000000"/>
                <w:spacing w:val="0"/>
                <w:w w:val="100"/>
                <w:position w:val="0"/>
                <w:sz w:val="24"/>
                <w:szCs w:val="24"/>
              </w:rPr>
              <w:t>1</w:t>
            </w:r>
          </w:p>
        </w:tc>
      </w:tr>
      <w:tr>
        <w:trPr>
          <w:trHeight w:val="336" w:hRule="exact"/>
        </w:trPr>
        <w:tc>
          <w:tcPr>
            <w:tcBorders>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
              <w:keepNext w:val="0"/>
              <w:keepLines w:val="0"/>
              <w:widowControl w:val="0"/>
              <w:shd w:val="clear" w:color="auto" w:fill="auto"/>
              <w:tabs>
                <w:tab w:pos="1771" w:val="left"/>
              </w:tabs>
              <w:bidi w:val="0"/>
              <w:spacing w:before="0" w:after="0" w:line="240" w:lineRule="auto"/>
              <w:ind w:left="0" w:right="0" w:firstLine="0"/>
              <w:jc w:val="center"/>
              <w:rPr>
                <w:sz w:val="18"/>
                <w:szCs w:val="18"/>
              </w:rPr>
            </w:pPr>
            <w:r>
              <w:rPr>
                <w:color w:val="000000"/>
                <w:spacing w:val="0"/>
                <w:w w:val="100"/>
                <w:position w:val="0"/>
                <w:sz w:val="18"/>
                <w:szCs w:val="18"/>
              </w:rPr>
              <w:t>基本每股收益</w:t>
              <w:tab/>
              <w:t>稀释每股收益</w:t>
            </w:r>
          </w:p>
        </w:tc>
      </w:tr>
    </w:tbl>
    <w:p>
      <w:pPr>
        <w:widowControl w:val="0"/>
        <w:spacing w:line="1" w:lineRule="exact"/>
      </w:pPr>
      <w:r>
        <w:br w:type="page"/>
      </w:r>
    </w:p>
    <w:tbl>
      <w:tblPr>
        <w:tblOverlap w:val="never"/>
        <w:jc w:val="center"/>
        <w:tblLayout w:type="fixed"/>
      </w:tblPr>
      <w:tblGrid>
        <w:gridCol w:w="3350"/>
        <w:gridCol w:w="1435"/>
        <w:gridCol w:w="1862"/>
        <w:gridCol w:w="1742"/>
      </w:tblGrid>
      <w:tr>
        <w:trPr>
          <w:trHeight w:val="840"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报告期利润</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加权平均净资产</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收益率（%）</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每股收益</w:t>
            </w:r>
          </w:p>
        </w:tc>
      </w:tr>
      <w:tr>
        <w:trPr>
          <w:trHeight w:val="437"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稀释每股收益</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归属于公司普通股股东的净利润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-0.1891</w:t>
            </w:r>
          </w:p>
        </w:tc>
      </w:tr>
      <w:tr>
        <w:trPr>
          <w:trHeight w:val="758"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扣除非经常性损益后归属于公司普通股股 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-0.1903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-0.1903</w:t>
            </w:r>
          </w:p>
        </w:tc>
      </w:tr>
    </w:tbl>
    <w:p>
      <w:pPr>
        <w:widowControl w:val="0"/>
        <w:spacing w:after="10019" w:line="1" w:lineRule="exact"/>
      </w:pPr>
    </w:p>
    <w:p>
      <w:pPr>
        <w:pStyle w:val="Style14"/>
        <w:keepNext/>
        <w:keepLines/>
        <w:widowControl w:val="0"/>
        <w:shd w:val="clear" w:color="auto" w:fill="auto"/>
        <w:bidi w:val="0"/>
        <w:spacing w:before="0" w:after="560" w:line="240" w:lineRule="auto"/>
        <w:ind w:left="0" w:right="0" w:firstLine="0"/>
        <w:jc w:val="center"/>
      </w:pPr>
      <w:bookmarkStart w:id="1953" w:name="bookmark1953"/>
      <w:bookmarkStart w:id="1954" w:name="bookmark1954"/>
      <w:bookmarkStart w:id="1955" w:name="bookmark1955"/>
      <w:r>
        <w:rPr>
          <w:color w:val="000000"/>
          <w:spacing w:val="0"/>
          <w:w w:val="100"/>
          <w:position w:val="0"/>
        </w:rPr>
        <w:t>第十三节备查文件目录</w:t>
      </w:r>
      <w:bookmarkEnd w:id="1953"/>
      <w:bookmarkEnd w:id="1954"/>
      <w:bookmarkEnd w:id="1955"/>
    </w:p>
    <w:p>
      <w:pPr>
        <w:pStyle w:val="Style16"/>
        <w:keepNext w:val="0"/>
        <w:keepLines w:val="0"/>
        <w:widowControl w:val="0"/>
        <w:shd w:val="clear" w:color="auto" w:fill="auto"/>
        <w:bidi w:val="0"/>
        <w:spacing w:before="0" w:after="0" w:line="240" w:lineRule="auto"/>
        <w:ind w:left="0" w:right="0" w:firstLine="0"/>
        <w:jc w:val="left"/>
        <w:rPr>
          <w:sz w:val="22"/>
          <w:szCs w:val="22"/>
        </w:rPr>
      </w:pPr>
      <w:bookmarkStart w:id="1956" w:name="bookmark1956"/>
      <w:r>
        <w:rPr>
          <w:color w:val="000000"/>
          <w:spacing w:val="0"/>
          <w:w w:val="100"/>
          <w:position w:val="0"/>
          <w:sz w:val="22"/>
          <w:szCs w:val="22"/>
        </w:rPr>
        <w:t xml:space="preserve">一、载有公司法定代表人、主管会计工作的负责人、会计机构负责人签名并盖章 </w:t>
      </w:r>
      <w:bookmarkEnd w:id="1956"/>
      <w:r>
        <w:rPr>
          <w:color w:val="000000"/>
          <w:spacing w:val="0"/>
          <w:w w:val="100"/>
          <w:position w:val="0"/>
          <w:sz w:val="22"/>
          <w:szCs w:val="22"/>
        </w:rPr>
        <w:t>的财务报表。</w:t>
      </w:r>
    </w:p>
    <w:p>
      <w:pPr>
        <w:pStyle w:val="Style16"/>
        <w:keepNext w:val="0"/>
        <w:keepLines w:val="0"/>
        <w:widowControl w:val="0"/>
        <w:shd w:val="clear" w:color="auto" w:fill="auto"/>
        <w:tabs>
          <w:tab w:pos="507" w:val="left"/>
        </w:tabs>
        <w:bidi w:val="0"/>
        <w:spacing w:before="0" w:after="0" w:line="312" w:lineRule="exact"/>
        <w:ind w:left="0" w:right="0" w:firstLine="0"/>
        <w:jc w:val="left"/>
        <w:rPr>
          <w:sz w:val="22"/>
          <w:szCs w:val="22"/>
        </w:rPr>
      </w:pPr>
      <w:bookmarkStart w:id="1957" w:name="bookmark1957"/>
      <w:r>
        <w:rPr>
          <w:color w:val="000000"/>
          <w:spacing w:val="0"/>
          <w:w w:val="100"/>
          <w:position w:val="0"/>
          <w:sz w:val="22"/>
          <w:szCs w:val="22"/>
        </w:rPr>
        <w:t>二</w:t>
      </w:r>
      <w:bookmarkEnd w:id="1957"/>
      <w:r>
        <w:rPr>
          <w:color w:val="000000"/>
          <w:spacing w:val="0"/>
          <w:w w:val="100"/>
          <w:position w:val="0"/>
          <w:sz w:val="22"/>
          <w:szCs w:val="22"/>
        </w:rPr>
        <w:t>、</w:t>
        <w:tab/>
        <w:t>载有会计师事务所盖章、注册会计师签名并盖章的审计报告原件。</w:t>
      </w:r>
    </w:p>
    <w:p>
      <w:pPr>
        <w:pStyle w:val="Style16"/>
        <w:keepNext w:val="0"/>
        <w:keepLines w:val="0"/>
        <w:widowControl w:val="0"/>
        <w:shd w:val="clear" w:color="auto" w:fill="auto"/>
        <w:tabs>
          <w:tab w:pos="512" w:val="left"/>
        </w:tabs>
        <w:bidi w:val="0"/>
        <w:spacing w:before="0" w:after="0" w:line="312" w:lineRule="exact"/>
        <w:ind w:left="0" w:right="0" w:firstLine="0"/>
        <w:jc w:val="left"/>
        <w:rPr>
          <w:sz w:val="22"/>
          <w:szCs w:val="22"/>
        </w:rPr>
      </w:pPr>
      <w:bookmarkStart w:id="1958" w:name="bookmark1958"/>
      <w:r>
        <w:rPr>
          <w:color w:val="000000"/>
          <w:spacing w:val="0"/>
          <w:w w:val="100"/>
          <w:position w:val="0"/>
          <w:sz w:val="22"/>
          <w:szCs w:val="22"/>
        </w:rPr>
        <w:t>三</w:t>
      </w:r>
      <w:bookmarkEnd w:id="1958"/>
      <w:r>
        <w:rPr>
          <w:color w:val="000000"/>
          <w:spacing w:val="0"/>
          <w:w w:val="100"/>
          <w:position w:val="0"/>
          <w:sz w:val="22"/>
          <w:szCs w:val="22"/>
        </w:rPr>
        <w:t>、</w:t>
        <w:tab/>
        <w:t>报告期内在中国证监会指定网站上公开披露过的所有公司文件的正本及公告 的原稿。</w:t>
      </w:r>
    </w:p>
    <w:p>
      <w:pPr>
        <w:pStyle w:val="Style16"/>
        <w:keepNext w:val="0"/>
        <w:keepLines w:val="0"/>
        <w:widowControl w:val="0"/>
        <w:shd w:val="clear" w:color="auto" w:fill="auto"/>
        <w:tabs>
          <w:tab w:pos="512" w:val="left"/>
        </w:tabs>
        <w:bidi w:val="0"/>
        <w:spacing w:before="0" w:after="1740" w:line="312" w:lineRule="exact"/>
        <w:ind w:left="0" w:right="0" w:firstLine="0"/>
        <w:jc w:val="left"/>
        <w:rPr>
          <w:sz w:val="22"/>
          <w:szCs w:val="22"/>
        </w:rPr>
      </w:pPr>
      <w:bookmarkStart w:id="1959" w:name="bookmark1959"/>
      <w:r>
        <w:rPr>
          <w:color w:val="000000"/>
          <w:spacing w:val="0"/>
          <w:w w:val="100"/>
          <w:position w:val="0"/>
          <w:sz w:val="22"/>
          <w:szCs w:val="22"/>
        </w:rPr>
        <w:t>四</w:t>
      </w:r>
      <w:bookmarkEnd w:id="1959"/>
      <w:r>
        <w:rPr>
          <w:color w:val="000000"/>
          <w:spacing w:val="0"/>
          <w:w w:val="100"/>
          <w:position w:val="0"/>
          <w:sz w:val="22"/>
          <w:szCs w:val="22"/>
        </w:rPr>
        <w:t>、</w:t>
        <w:tab/>
        <w:t>其他有关资料。</w:t>
      </w:r>
    </w:p>
    <w:p>
      <w:pPr>
        <w:pStyle w:val="Style29"/>
        <w:keepNext/>
        <w:keepLines/>
        <w:widowControl w:val="0"/>
        <w:shd w:val="clear" w:color="auto" w:fill="auto"/>
        <w:bidi w:val="0"/>
        <w:spacing w:before="0" w:after="320" w:line="240" w:lineRule="auto"/>
        <w:ind w:left="0" w:right="260" w:firstLine="0"/>
        <w:jc w:val="right"/>
      </w:pPr>
      <w:bookmarkStart w:id="1960" w:name="bookmark1960"/>
      <w:bookmarkStart w:id="1961" w:name="bookmark1961"/>
      <w:bookmarkStart w:id="1962" w:name="bookmark1962"/>
      <w:r>
        <w:rPr>
          <w:color w:val="000000"/>
          <w:spacing w:val="0"/>
          <w:w w:val="100"/>
          <w:position w:val="0"/>
          <w:sz w:val="24"/>
          <w:szCs w:val="24"/>
        </w:rPr>
        <w:t>国盛金融控股集团股份有限公司</w:t>
      </w:r>
      <w:bookmarkEnd w:id="1960"/>
      <w:bookmarkEnd w:id="1961"/>
      <w:bookmarkEnd w:id="1962"/>
    </w:p>
    <w:p>
      <w:pPr>
        <w:pStyle w:val="Style29"/>
        <w:keepNext/>
        <w:keepLines/>
        <w:widowControl w:val="0"/>
        <w:shd w:val="clear" w:color="auto" w:fill="auto"/>
        <w:bidi w:val="0"/>
        <w:spacing w:before="0" w:after="320" w:line="240" w:lineRule="auto"/>
        <w:ind w:left="0" w:right="260" w:firstLine="0"/>
        <w:jc w:val="right"/>
      </w:pPr>
      <w:bookmarkStart w:id="1963" w:name="bookmark1963"/>
      <w:bookmarkStart w:id="1964" w:name="bookmark1964"/>
      <w:bookmarkStart w:id="1965" w:name="bookmark1965"/>
      <w:r>
        <w:rPr>
          <w:color w:val="000000"/>
          <w:spacing w:val="0"/>
          <w:w w:val="100"/>
          <w:position w:val="0"/>
          <w:sz w:val="24"/>
          <w:szCs w:val="24"/>
        </w:rPr>
        <w:t>董事长：杜力</w:t>
      </w:r>
      <w:bookmarkEnd w:id="1963"/>
      <w:bookmarkEnd w:id="1964"/>
      <w:bookmarkEnd w:id="1965"/>
    </w:p>
    <w:p>
      <w:pPr>
        <w:pStyle w:val="Style29"/>
        <w:keepNext/>
        <w:keepLines/>
        <w:widowControl w:val="0"/>
        <w:shd w:val="clear" w:color="auto" w:fill="auto"/>
        <w:bidi w:val="0"/>
        <w:spacing w:before="0" w:after="0" w:line="240" w:lineRule="auto"/>
        <w:ind w:left="0" w:right="260" w:firstLine="0"/>
        <w:jc w:val="right"/>
      </w:pPr>
      <w:bookmarkStart w:id="1963" w:name="bookmark1963"/>
      <w:bookmarkStart w:id="1964" w:name="bookmark1964"/>
      <w:r>
        <w:rPr>
          <w:color w:val="000000"/>
          <w:spacing w:val="0"/>
          <w:w w:val="100"/>
          <w:position w:val="0"/>
          <w:sz w:val="24"/>
          <w:szCs w:val="24"/>
        </w:rPr>
        <w:t>二。二一年四月二十三日</w:t>
      </w:r>
      <w:bookmarkEnd w:id="1963"/>
      <w:bookmarkEnd w:id="1964"/>
    </w:p>
    <w:sectPr>
      <w:headerReference w:type="default" r:id="rId67"/>
      <w:footerReference w:type="default" r:id="rId68"/>
      <w:footnotePr>
        <w:pos w:val="pageBottom"/>
        <w:numFmt w:val="decimal"/>
        <w:numRestart w:val="continuous"/>
      </w:footnotePr>
      <w:pgSz w:w="11900" w:h="16840"/>
      <w:pgMar w:top="1340" w:right="1664" w:bottom="1508" w:left="1677"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6734810</wp:posOffset>
              </wp:positionH>
              <wp:positionV relativeFrom="page">
                <wp:posOffset>9958070</wp:posOffset>
              </wp:positionV>
              <wp:extent cx="103505" cy="79375"/>
              <wp:wrapNone/>
              <wp:docPr id="6" name="Shape 6"/>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2" type="#_x0000_t202" style="position:absolute;margin-left:530.29999999999995pt;margin-top:784.10000000000002pt;width:8.1500000000000004pt;height:6.25pt;z-index:-188744061;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7" behindDoc="1" locked="0" layoutInCell="1" allowOverlap="1">
              <wp:simplePos x="0" y="0"/>
              <wp:positionH relativeFrom="page">
                <wp:posOffset>6734810</wp:posOffset>
              </wp:positionH>
              <wp:positionV relativeFrom="page">
                <wp:posOffset>9980930</wp:posOffset>
              </wp:positionV>
              <wp:extent cx="106680" cy="79375"/>
              <wp:wrapNone/>
              <wp:docPr id="66" name="Shape 66"/>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092" type="#_x0000_t202" style="position:absolute;margin-left:530.29999999999995pt;margin-top:785.89999999999998pt;width:8.4000000000000004pt;height:6.25pt;z-index:-188744026;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1" behindDoc="1" locked="0" layoutInCell="1" allowOverlap="1">
              <wp:simplePos x="0" y="0"/>
              <wp:positionH relativeFrom="page">
                <wp:posOffset>6529705</wp:posOffset>
              </wp:positionH>
              <wp:positionV relativeFrom="page">
                <wp:posOffset>9810750</wp:posOffset>
              </wp:positionV>
              <wp:extent cx="94615" cy="79375"/>
              <wp:wrapNone/>
              <wp:docPr id="86" name="Shape 86"/>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12" type="#_x0000_t202" style="position:absolute;margin-left:514.14999999999998pt;margin-top:772.5pt;width:7.4500000000000002pt;height:6.25pt;z-index:-188744022;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5" behindDoc="1" locked="0" layoutInCell="1" allowOverlap="1">
              <wp:simplePos x="0" y="0"/>
              <wp:positionH relativeFrom="page">
                <wp:posOffset>9559925</wp:posOffset>
              </wp:positionH>
              <wp:positionV relativeFrom="page">
                <wp:posOffset>6678930</wp:posOffset>
              </wp:positionV>
              <wp:extent cx="155575" cy="79375"/>
              <wp:wrapNone/>
              <wp:docPr id="127" name="Shape 127"/>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53" type="#_x0000_t202" style="position:absolute;margin-left:752.75pt;margin-top:525.89999999999998pt;width:12.25pt;height:6.25pt;z-index:-188744018;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9" behindDoc="1" locked="0" layoutInCell="1" allowOverlap="1">
              <wp:simplePos x="0" y="0"/>
              <wp:positionH relativeFrom="page">
                <wp:posOffset>6261100</wp:posOffset>
              </wp:positionH>
              <wp:positionV relativeFrom="page">
                <wp:posOffset>9815195</wp:posOffset>
              </wp:positionV>
              <wp:extent cx="155575" cy="79375"/>
              <wp:wrapNone/>
              <wp:docPr id="132" name="Shape 132"/>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58" type="#_x0000_t202" style="position:absolute;margin-left:493.pt;margin-top:772.85000000000002pt;width:12.25pt;height:6.25pt;z-index:-188744014;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7" behindDoc="1" locked="0" layoutInCell="1" allowOverlap="1">
              <wp:simplePos x="0" y="0"/>
              <wp:positionH relativeFrom="page">
                <wp:posOffset>6261100</wp:posOffset>
              </wp:positionH>
              <wp:positionV relativeFrom="page">
                <wp:posOffset>9815195</wp:posOffset>
              </wp:positionV>
              <wp:extent cx="155575" cy="79375"/>
              <wp:wrapNone/>
              <wp:docPr id="145" name="Shape 145"/>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71" type="#_x0000_t202" style="position:absolute;margin-left:493.pt;margin-top:772.85000000000002pt;width:12.25pt;height:6.25pt;z-index:-188744006;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3" behindDoc="1" locked="0" layoutInCell="1" allowOverlap="1">
              <wp:simplePos x="0" y="0"/>
              <wp:positionH relativeFrom="page">
                <wp:posOffset>6252210</wp:posOffset>
              </wp:positionH>
              <wp:positionV relativeFrom="page">
                <wp:posOffset>9625330</wp:posOffset>
              </wp:positionV>
              <wp:extent cx="155575" cy="79375"/>
              <wp:wrapNone/>
              <wp:docPr id="152" name="Shape 152"/>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78" type="#_x0000_t202" style="position:absolute;margin-left:492.30000000000001pt;margin-top:757.89999999999998pt;width:12.25pt;height:6.25pt;z-index:-188744000;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7" behindDoc="1" locked="0" layoutInCell="1" allowOverlap="1">
              <wp:simplePos x="0" y="0"/>
              <wp:positionH relativeFrom="page">
                <wp:posOffset>1667510</wp:posOffset>
              </wp:positionH>
              <wp:positionV relativeFrom="page">
                <wp:posOffset>9598660</wp:posOffset>
              </wp:positionV>
              <wp:extent cx="4678680" cy="164465"/>
              <wp:wrapNone/>
              <wp:docPr id="165" name="Shape 165"/>
              <a:graphic xmlns:a="http://schemas.openxmlformats.org/drawingml/2006/main">
                <a:graphicData uri="http://schemas.microsoft.com/office/word/2010/wordprocessingShape">
                  <wps:wsp>
                    <wps:cNvSpPr txBox="1"/>
                    <wps:spPr>
                      <a:xfrm>
                        <a:ext cx="4678680" cy="164465"/>
                      </a:xfrm>
                      <a:prstGeom prst="rect"/>
                      <a:noFill/>
                    </wps:spPr>
                    <wps:txbx>
                      <w:txbxContent>
                        <w:p>
                          <w:pPr>
                            <w:pStyle w:val="Style69"/>
                            <w:keepNext w:val="0"/>
                            <w:keepLines w:val="0"/>
                            <w:widowControl w:val="0"/>
                            <w:shd w:val="clear" w:color="auto" w:fill="auto"/>
                            <w:tabs>
                              <w:tab w:pos="2270" w:val="right"/>
                              <w:tab w:pos="4987" w:val="right"/>
                              <w:tab w:pos="7368" w:val="right"/>
                            </w:tabs>
                            <w:bidi w:val="0"/>
                            <w:spacing w:before="0" w:after="0" w:line="240" w:lineRule="auto"/>
                            <w:ind w:left="0" w:right="0" w:firstLine="0"/>
                            <w:jc w:val="left"/>
                          </w:pPr>
                          <w:r>
                            <w:rPr>
                              <w:color w:val="000000"/>
                              <w:spacing w:val="0"/>
                              <w:w w:val="100"/>
                              <w:position w:val="0"/>
                            </w:rPr>
                            <w:t>类别</w:t>
                            <w:tab/>
                            <w:t>|期初余额</w:t>
                            <w:tab/>
                            <w:t>本期变动金额</w:t>
                            <w:tab/>
                            <w:t>期末余额</w:t>
                          </w:r>
                        </w:p>
                      </w:txbxContent>
                    </wps:txbx>
                    <wps:bodyPr lIns="0" tIns="0" rIns="0" bIns="0">
                      <a:spAutoFit/>
                    </wps:bodyPr>
                  </wps:wsp>
                </a:graphicData>
              </a:graphic>
            </wp:anchor>
          </w:drawing>
        </mc:Choice>
        <mc:Fallback>
          <w:pict>
            <v:shape id="_x0000_s1191" type="#_x0000_t202" style="position:absolute;margin-left:131.30000000000001pt;margin-top:755.80000000000007pt;width:368.40000000000003pt;height:12.950000000000001pt;z-index:-188743996;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tabs>
                        <w:tab w:pos="2270" w:val="right"/>
                        <w:tab w:pos="4987" w:val="right"/>
                        <w:tab w:pos="7368" w:val="right"/>
                      </w:tabs>
                      <w:bidi w:val="0"/>
                      <w:spacing w:before="0" w:after="0" w:line="240" w:lineRule="auto"/>
                      <w:ind w:left="0" w:right="0" w:firstLine="0"/>
                      <w:jc w:val="left"/>
                    </w:pPr>
                    <w:r>
                      <w:rPr>
                        <w:color w:val="000000"/>
                        <w:spacing w:val="0"/>
                        <w:w w:val="100"/>
                        <w:position w:val="0"/>
                      </w:rPr>
                      <w:t>类别</w:t>
                      <w:tab/>
                      <w:t>|期初余额</w:t>
                      <w:tab/>
                      <w:t>本期变动金额</w:t>
                      <w:tab/>
                      <w:t>期末余额</w:t>
                    </w:r>
                  </w:p>
                </w:txbxContent>
              </v:textbox>
              <w10:wrap anchorx="page" anchory="page"/>
            </v:shape>
          </w:pict>
        </mc:Fallback>
      </mc:AlternateContent>
    </w:r>
    <w:r>
      <mc:AlternateContent>
        <mc:Choice Requires="wps">
          <w:drawing>
            <wp:anchor distT="0" distB="0" distL="0" distR="0" simplePos="0" relativeHeight="62914759" behindDoc="1" locked="0" layoutInCell="1" allowOverlap="1">
              <wp:simplePos x="0" y="0"/>
              <wp:positionH relativeFrom="page">
                <wp:posOffset>6248400</wp:posOffset>
              </wp:positionH>
              <wp:positionV relativeFrom="page">
                <wp:posOffset>9952355</wp:posOffset>
              </wp:positionV>
              <wp:extent cx="155575" cy="79375"/>
              <wp:wrapNone/>
              <wp:docPr id="167" name="Shape 167"/>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93" type="#_x0000_t202" style="position:absolute;margin-left:492.pt;margin-top:783.64999999999998pt;width:12.25pt;height:6.25pt;z-index:-188743994;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1069975</wp:posOffset>
              </wp:positionH>
              <wp:positionV relativeFrom="page">
                <wp:posOffset>9548495</wp:posOffset>
              </wp:positionV>
              <wp:extent cx="5471160" cy="0"/>
              <wp:wrapNone/>
              <wp:docPr id="169" name="Shape 169"/>
              <a:graphic xmlns:a="http://schemas.openxmlformats.org/drawingml/2006/main">
                <a:graphicData uri="http://schemas.microsoft.com/office/word/2010/wordprocessingShape">
                  <wps:wsp>
                    <wps:cNvCnPr/>
                    <wps:spPr>
                      <a:xfrm>
                        <a:ext cx="5471160" cy="0"/>
                      </a:xfrm>
                      <a:prstGeom prst="straightConnector1"/>
                      <a:ln w="12700">
                        <a:solidFill/>
                      </a:ln>
                    </wps:spPr>
                    <wps:bodyPr/>
                  </wps:wsp>
                </a:graphicData>
              </a:graphic>
            </wp:anchor>
          </w:drawing>
        </mc:Choice>
        <mc:Fallback>
          <w:pict>
            <v:shape o:spt="32" o:oned="true" path="m,l21600,21600e" style="position:absolute;margin-left:84.25pt;margin-top:751.85000000000002pt;width:430.80000000000001pt;height:0;z-index:-251658240;mso-position-horizontal-relative:page;mso-position-vertical-relative:page">
              <v:stroke weight="1.pt"/>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3" behindDoc="1" locked="0" layoutInCell="1" allowOverlap="1">
              <wp:simplePos x="0" y="0"/>
              <wp:positionH relativeFrom="page">
                <wp:posOffset>1753870</wp:posOffset>
              </wp:positionH>
              <wp:positionV relativeFrom="page">
                <wp:posOffset>9574530</wp:posOffset>
              </wp:positionV>
              <wp:extent cx="3142615" cy="106680"/>
              <wp:wrapNone/>
              <wp:docPr id="173" name="Shape 173"/>
              <a:graphic xmlns:a="http://schemas.openxmlformats.org/drawingml/2006/main">
                <a:graphicData uri="http://schemas.microsoft.com/office/word/2010/wordprocessingShape">
                  <wps:wsp>
                    <wps:cNvSpPr txBox="1"/>
                    <wps:spPr>
                      <a:xfrm>
                        <a:ext cx="3142615" cy="106680"/>
                      </a:xfrm>
                      <a:prstGeom prst="rect"/>
                      <a:noFill/>
                    </wps:spPr>
                    <wps:txbx>
                      <w:txbxContent>
                        <w:p>
                          <w:pPr>
                            <w:pStyle w:val="Style69"/>
                            <w:keepNext w:val="0"/>
                            <w:keepLines w:val="0"/>
                            <w:widowControl w:val="0"/>
                            <w:shd w:val="clear" w:color="auto" w:fill="auto"/>
                            <w:tabs>
                              <w:tab w:pos="4949" w:val="right"/>
                            </w:tabs>
                            <w:bidi w:val="0"/>
                            <w:spacing w:before="0" w:after="0" w:line="240" w:lineRule="auto"/>
                            <w:ind w:left="0" w:right="0" w:firstLine="0"/>
                            <w:jc w:val="left"/>
                          </w:pPr>
                          <w:r>
                            <w:rPr>
                              <w:color w:val="000000"/>
                              <w:spacing w:val="0"/>
                              <w:w w:val="100"/>
                              <w:position w:val="0"/>
                            </w:rPr>
                            <w:t>单位名称</w:t>
                            <w:tab/>
                            <w:t>期末余额</w:t>
                          </w:r>
                        </w:p>
                      </w:txbxContent>
                    </wps:txbx>
                    <wps:bodyPr lIns="0" tIns="0" rIns="0" bIns="0">
                      <a:spAutoFit/>
                    </wps:bodyPr>
                  </wps:wsp>
                </a:graphicData>
              </a:graphic>
            </wp:anchor>
          </w:drawing>
        </mc:Choice>
        <mc:Fallback>
          <w:pict>
            <v:shape id="_x0000_s1199" type="#_x0000_t202" style="position:absolute;margin-left:138.09999999999999pt;margin-top:753.89999999999998pt;width:247.45000000000002pt;height:8.4000000000000004pt;z-index:-188743990;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tabs>
                        <w:tab w:pos="4949" w:val="right"/>
                      </w:tabs>
                      <w:bidi w:val="0"/>
                      <w:spacing w:before="0" w:after="0" w:line="240" w:lineRule="auto"/>
                      <w:ind w:left="0" w:right="0" w:firstLine="0"/>
                      <w:jc w:val="left"/>
                    </w:pPr>
                    <w:r>
                      <w:rPr>
                        <w:color w:val="000000"/>
                        <w:spacing w:val="0"/>
                        <w:w w:val="100"/>
                        <w:position w:val="0"/>
                      </w:rPr>
                      <w:t>单位名称</w:t>
                      <w:tab/>
                      <w:t>期末余额</w:t>
                    </w:r>
                  </w:p>
                </w:txbxContent>
              </v:textbox>
              <w10:wrap anchorx="page" anchory="page"/>
            </v:shape>
          </w:pict>
        </mc:Fallback>
      </mc:AlternateContent>
    </w:r>
    <w:r>
      <mc:AlternateContent>
        <mc:Choice Requires="wps">
          <w:drawing>
            <wp:anchor distT="0" distB="0" distL="0" distR="0" simplePos="0" relativeHeight="62914765" behindDoc="1" locked="0" layoutInCell="1" allowOverlap="1">
              <wp:simplePos x="0" y="0"/>
              <wp:positionH relativeFrom="page">
                <wp:posOffset>6247130</wp:posOffset>
              </wp:positionH>
              <wp:positionV relativeFrom="page">
                <wp:posOffset>9976485</wp:posOffset>
              </wp:positionV>
              <wp:extent cx="152400" cy="79375"/>
              <wp:wrapNone/>
              <wp:docPr id="175" name="Shape 175"/>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201" type="#_x0000_t202" style="position:absolute;margin-left:491.90000000000003pt;margin-top:785.55000000000007pt;width:12.pt;height:6.25pt;z-index:-188743988;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1113790</wp:posOffset>
              </wp:positionH>
              <wp:positionV relativeFrom="page">
                <wp:posOffset>9478645</wp:posOffset>
              </wp:positionV>
              <wp:extent cx="5388610" cy="0"/>
              <wp:wrapNone/>
              <wp:docPr id="177" name="Shape 177"/>
              <a:graphic xmlns:a="http://schemas.openxmlformats.org/drawingml/2006/main">
                <a:graphicData uri="http://schemas.microsoft.com/office/word/2010/wordprocessingShape">
                  <wps:wsp>
                    <wps:cNvCnPr/>
                    <wps:spPr>
                      <a:xfrm>
                        <a:ext cx="5388610" cy="0"/>
                      </a:xfrm>
                      <a:prstGeom prst="straightConnector1"/>
                      <a:ln w="12700">
                        <a:solidFill/>
                      </a:ln>
                    </wps:spPr>
                    <wps:bodyPr/>
                  </wps:wsp>
                </a:graphicData>
              </a:graphic>
            </wp:anchor>
          </w:drawing>
        </mc:Choice>
        <mc:Fallback>
          <w:pict>
            <v:shape o:spt="32" o:oned="true" path="m,l21600,21600e" style="position:absolute;margin-left:87.700000000000003pt;margin-top:746.35000000000002pt;width:424.30000000000001pt;height:0;z-index:-251658240;mso-position-horizontal-relative:page;mso-position-vertical-relative:page">
              <v:stroke weight="1.pt"/>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9" behindDoc="1" locked="0" layoutInCell="1" allowOverlap="1">
              <wp:simplePos x="0" y="0"/>
              <wp:positionH relativeFrom="page">
                <wp:posOffset>6261100</wp:posOffset>
              </wp:positionH>
              <wp:positionV relativeFrom="page">
                <wp:posOffset>9815195</wp:posOffset>
              </wp:positionV>
              <wp:extent cx="155575" cy="79375"/>
              <wp:wrapNone/>
              <wp:docPr id="181" name="Shape 181"/>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207" type="#_x0000_t202" style="position:absolute;margin-left:493.pt;margin-top:772.85000000000002pt;width:12.25pt;height:6.25pt;z-index:-188743984;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3" behindDoc="1" locked="0" layoutInCell="1" allowOverlap="1">
              <wp:simplePos x="0" y="0"/>
              <wp:positionH relativeFrom="page">
                <wp:posOffset>9576435</wp:posOffset>
              </wp:positionH>
              <wp:positionV relativeFrom="page">
                <wp:posOffset>6677025</wp:posOffset>
              </wp:positionV>
              <wp:extent cx="146050" cy="79375"/>
              <wp:wrapNone/>
              <wp:docPr id="186" name="Shape 186"/>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212" type="#_x0000_t202" style="position:absolute;margin-left:754.05000000000007pt;margin-top:525.75pt;width:11.5pt;height:6.25pt;z-index:-188743980;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6795770</wp:posOffset>
              </wp:positionH>
              <wp:positionV relativeFrom="page">
                <wp:posOffset>10132060</wp:posOffset>
              </wp:positionV>
              <wp:extent cx="30480" cy="79375"/>
              <wp:wrapNone/>
              <wp:docPr id="11" name="Shape 11"/>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7" type="#_x0000_t202" style="position:absolute;margin-left:535.10000000000002pt;margin-top:797.80000000000007pt;width:2.3999999999999999pt;height:6.25pt;z-index:-188744057;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7" behindDoc="1" locked="0" layoutInCell="1" allowOverlap="1">
              <wp:simplePos x="0" y="0"/>
              <wp:positionH relativeFrom="page">
                <wp:posOffset>6261100</wp:posOffset>
              </wp:positionH>
              <wp:positionV relativeFrom="page">
                <wp:posOffset>9815195</wp:posOffset>
              </wp:positionV>
              <wp:extent cx="155575" cy="79375"/>
              <wp:wrapNone/>
              <wp:docPr id="191" name="Shape 191"/>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217" type="#_x0000_t202" style="position:absolute;margin-left:493.pt;margin-top:772.85000000000002pt;width:12.25pt;height:6.25pt;z-index:-188743976;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1" behindDoc="1" locked="0" layoutInCell="1" allowOverlap="1">
              <wp:simplePos x="0" y="0"/>
              <wp:positionH relativeFrom="page">
                <wp:posOffset>9168765</wp:posOffset>
              </wp:positionH>
              <wp:positionV relativeFrom="page">
                <wp:posOffset>6677025</wp:posOffset>
              </wp:positionV>
              <wp:extent cx="158750" cy="79375"/>
              <wp:wrapNone/>
              <wp:docPr id="196" name="Shape 196"/>
              <a:graphic xmlns:a="http://schemas.openxmlformats.org/drawingml/2006/main">
                <a:graphicData uri="http://schemas.microsoft.com/office/word/2010/wordprocessingShape">
                  <wps:wsp>
                    <wps:cNvSpPr txBox="1"/>
                    <wps:spPr>
                      <a:xfrm>
                        <a:ext cx="158750" cy="79375"/>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222" type="#_x0000_t202" style="position:absolute;margin-left:721.95000000000005pt;margin-top:525.75pt;width:12.5pt;height:6.25pt;z-index:-188743972;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5" behindDoc="1" locked="0" layoutInCell="1" allowOverlap="1">
              <wp:simplePos x="0" y="0"/>
              <wp:positionH relativeFrom="page">
                <wp:posOffset>6261100</wp:posOffset>
              </wp:positionH>
              <wp:positionV relativeFrom="page">
                <wp:posOffset>9815195</wp:posOffset>
              </wp:positionV>
              <wp:extent cx="155575" cy="79375"/>
              <wp:wrapNone/>
              <wp:docPr id="201" name="Shape 201"/>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227" type="#_x0000_t202" style="position:absolute;margin-left:493.pt;margin-top:772.85000000000002pt;width:12.25pt;height:6.25pt;z-index:-188743968;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9" behindDoc="1" locked="0" layoutInCell="1" allowOverlap="1">
              <wp:simplePos x="0" y="0"/>
              <wp:positionH relativeFrom="page">
                <wp:posOffset>9168765</wp:posOffset>
              </wp:positionH>
              <wp:positionV relativeFrom="page">
                <wp:posOffset>6677025</wp:posOffset>
              </wp:positionV>
              <wp:extent cx="158750" cy="79375"/>
              <wp:wrapNone/>
              <wp:docPr id="206" name="Shape 206"/>
              <a:graphic xmlns:a="http://schemas.openxmlformats.org/drawingml/2006/main">
                <a:graphicData uri="http://schemas.microsoft.com/office/word/2010/wordprocessingShape">
                  <wps:wsp>
                    <wps:cNvSpPr txBox="1"/>
                    <wps:spPr>
                      <a:xfrm>
                        <a:ext cx="158750" cy="79375"/>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232" type="#_x0000_t202" style="position:absolute;margin-left:721.95000000000005pt;margin-top:525.75pt;width:12.5pt;height:6.25pt;z-index:-188743964;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3" behindDoc="1" locked="0" layoutInCell="1" allowOverlap="1">
              <wp:simplePos x="0" y="0"/>
              <wp:positionH relativeFrom="page">
                <wp:posOffset>6261100</wp:posOffset>
              </wp:positionH>
              <wp:positionV relativeFrom="page">
                <wp:posOffset>9815195</wp:posOffset>
              </wp:positionV>
              <wp:extent cx="155575" cy="79375"/>
              <wp:wrapNone/>
              <wp:docPr id="217" name="Shape 217"/>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243" type="#_x0000_t202" style="position:absolute;margin-left:493.pt;margin-top:772.85000000000002pt;width:12.25pt;height:6.25pt;z-index:-188743960;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7" behindDoc="1" locked="0" layoutInCell="1" allowOverlap="1">
              <wp:simplePos x="0" y="0"/>
              <wp:positionH relativeFrom="page">
                <wp:posOffset>9156700</wp:posOffset>
              </wp:positionH>
              <wp:positionV relativeFrom="page">
                <wp:posOffset>6677025</wp:posOffset>
              </wp:positionV>
              <wp:extent cx="167640" cy="79375"/>
              <wp:wrapNone/>
              <wp:docPr id="222" name="Shape 222"/>
              <a:graphic xmlns:a="http://schemas.openxmlformats.org/drawingml/2006/main">
                <a:graphicData uri="http://schemas.microsoft.com/office/word/2010/wordprocessingShape">
                  <wps:wsp>
                    <wps:cNvSpPr txBox="1"/>
                    <wps:spPr>
                      <a:xfrm>
                        <a:ext cx="167640" cy="79375"/>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248" type="#_x0000_t202" style="position:absolute;margin-left:721.pt;margin-top:525.75pt;width:13.200000000000001pt;height:6.25pt;z-index:-188743956;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1" behindDoc="1" locked="0" layoutInCell="1" allowOverlap="1">
              <wp:simplePos x="0" y="0"/>
              <wp:positionH relativeFrom="page">
                <wp:posOffset>3810000</wp:posOffset>
              </wp:positionH>
              <wp:positionV relativeFrom="page">
                <wp:posOffset>6677025</wp:posOffset>
              </wp:positionV>
              <wp:extent cx="170815" cy="79375"/>
              <wp:wrapNone/>
              <wp:docPr id="227" name="Shape 227"/>
              <a:graphic xmlns:a="http://schemas.openxmlformats.org/drawingml/2006/main">
                <a:graphicData uri="http://schemas.microsoft.com/office/word/2010/wordprocessingShape">
                  <wps:wsp>
                    <wps:cNvSpPr txBox="1"/>
                    <wps:spPr>
                      <a:xfrm>
                        <a:ext cx="170815" cy="79375"/>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253" type="#_x0000_t202" style="position:absolute;margin-left:300.pt;margin-top:525.75pt;width:13.450000000000001pt;height:6.25pt;z-index:-188743952;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5" behindDoc="1" locked="0" layoutInCell="1" allowOverlap="1">
              <wp:simplePos x="0" y="0"/>
              <wp:positionH relativeFrom="page">
                <wp:posOffset>6254750</wp:posOffset>
              </wp:positionH>
              <wp:positionV relativeFrom="page">
                <wp:posOffset>9808845</wp:posOffset>
              </wp:positionV>
              <wp:extent cx="167640" cy="79375"/>
              <wp:wrapNone/>
              <wp:docPr id="232" name="Shape 232"/>
              <a:graphic xmlns:a="http://schemas.openxmlformats.org/drawingml/2006/main">
                <a:graphicData uri="http://schemas.microsoft.com/office/word/2010/wordprocessingShape">
                  <wps:wsp>
                    <wps:cNvSpPr txBox="1"/>
                    <wps:spPr>
                      <a:xfrm>
                        <a:ext cx="167640" cy="79375"/>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258" type="#_x0000_t202" style="position:absolute;margin-left:492.5pt;margin-top:772.35000000000002pt;width:13.200000000000001pt;height:6.25pt;z-index:-188743948;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9" behindDoc="1" locked="0" layoutInCell="1" allowOverlap="1">
              <wp:simplePos x="0" y="0"/>
              <wp:positionH relativeFrom="page">
                <wp:posOffset>9156700</wp:posOffset>
              </wp:positionH>
              <wp:positionV relativeFrom="page">
                <wp:posOffset>6677025</wp:posOffset>
              </wp:positionV>
              <wp:extent cx="167640" cy="79375"/>
              <wp:wrapNone/>
              <wp:docPr id="237" name="Shape 237"/>
              <a:graphic xmlns:a="http://schemas.openxmlformats.org/drawingml/2006/main">
                <a:graphicData uri="http://schemas.microsoft.com/office/word/2010/wordprocessingShape">
                  <wps:wsp>
                    <wps:cNvSpPr txBox="1"/>
                    <wps:spPr>
                      <a:xfrm>
                        <a:ext cx="167640" cy="79375"/>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263" type="#_x0000_t202" style="position:absolute;margin-left:721.pt;margin-top:525.75pt;width:13.200000000000001pt;height:6.25pt;z-index:-188743944;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1" behindDoc="1" locked="0" layoutInCell="1" allowOverlap="1">
              <wp:simplePos x="0" y="0"/>
              <wp:positionH relativeFrom="page">
                <wp:posOffset>9668510</wp:posOffset>
              </wp:positionH>
              <wp:positionV relativeFrom="page">
                <wp:posOffset>6839585</wp:posOffset>
              </wp:positionV>
              <wp:extent cx="106680" cy="79375"/>
              <wp:wrapNone/>
              <wp:docPr id="26" name="Shape 26"/>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2" type="#_x0000_t202" style="position:absolute;margin-left:761.30000000000007pt;margin-top:538.54999999999995pt;width:8.4000000000000004pt;height:6.25pt;z-index:-188744052;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3" behindDoc="1" locked="0" layoutInCell="1" allowOverlap="1">
              <wp:simplePos x="0" y="0"/>
              <wp:positionH relativeFrom="page">
                <wp:posOffset>6254750</wp:posOffset>
              </wp:positionH>
              <wp:positionV relativeFrom="page">
                <wp:posOffset>9808845</wp:posOffset>
              </wp:positionV>
              <wp:extent cx="167640" cy="79375"/>
              <wp:wrapNone/>
              <wp:docPr id="250" name="Shape 250"/>
              <a:graphic xmlns:a="http://schemas.openxmlformats.org/drawingml/2006/main">
                <a:graphicData uri="http://schemas.microsoft.com/office/word/2010/wordprocessingShape">
                  <wps:wsp>
                    <wps:cNvSpPr txBox="1"/>
                    <wps:spPr>
                      <a:xfrm>
                        <a:ext cx="167640" cy="79375"/>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276" type="#_x0000_t202" style="position:absolute;margin-left:492.5pt;margin-top:772.35000000000002pt;width:13.200000000000001pt;height:6.25pt;z-index:-188743940;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5" behindDoc="1" locked="0" layoutInCell="1" allowOverlap="1">
              <wp:simplePos x="0" y="0"/>
              <wp:positionH relativeFrom="page">
                <wp:posOffset>6734810</wp:posOffset>
              </wp:positionH>
              <wp:positionV relativeFrom="page">
                <wp:posOffset>9958070</wp:posOffset>
              </wp:positionV>
              <wp:extent cx="103505" cy="79375"/>
              <wp:wrapNone/>
              <wp:docPr id="31" name="Shape 31"/>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7" type="#_x0000_t202" style="position:absolute;margin-left:530.29999999999995pt;margin-top:784.10000000000002pt;width:8.1500000000000004pt;height:6.25pt;z-index:-188744048;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9" behindDoc="1" locked="0" layoutInCell="1" allowOverlap="1">
              <wp:simplePos x="0" y="0"/>
              <wp:positionH relativeFrom="page">
                <wp:posOffset>9668510</wp:posOffset>
              </wp:positionH>
              <wp:positionV relativeFrom="page">
                <wp:posOffset>6839585</wp:posOffset>
              </wp:positionV>
              <wp:extent cx="106680" cy="79375"/>
              <wp:wrapNone/>
              <wp:docPr id="40" name="Shape 40"/>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6" type="#_x0000_t202" style="position:absolute;margin-left:761.30000000000007pt;margin-top:538.54999999999995pt;width:8.4000000000000004pt;height:6.25pt;z-index:-188744044;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3" behindDoc="1" locked="0" layoutInCell="1" allowOverlap="1">
              <wp:simplePos x="0" y="0"/>
              <wp:positionH relativeFrom="page">
                <wp:posOffset>6734810</wp:posOffset>
              </wp:positionH>
              <wp:positionV relativeFrom="page">
                <wp:posOffset>9958070</wp:posOffset>
              </wp:positionV>
              <wp:extent cx="103505" cy="79375"/>
              <wp:wrapNone/>
              <wp:docPr id="45" name="Shape 45"/>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1" type="#_x0000_t202" style="position:absolute;margin-left:530.29999999999995pt;margin-top:784.10000000000002pt;width:8.1500000000000004pt;height:6.25pt;z-index:-188744040;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7" behindDoc="1" locked="0" layoutInCell="1" allowOverlap="1">
              <wp:simplePos x="0" y="0"/>
              <wp:positionH relativeFrom="page">
                <wp:posOffset>9668510</wp:posOffset>
              </wp:positionH>
              <wp:positionV relativeFrom="page">
                <wp:posOffset>6839585</wp:posOffset>
              </wp:positionV>
              <wp:extent cx="106680" cy="79375"/>
              <wp:wrapNone/>
              <wp:docPr id="50" name="Shape 50"/>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6" type="#_x0000_t202" style="position:absolute;margin-left:761.30000000000007pt;margin-top:538.54999999999995pt;width:8.4000000000000004pt;height:6.25pt;z-index:-188744036;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1" behindDoc="1" locked="0" layoutInCell="1" allowOverlap="1">
              <wp:simplePos x="0" y="0"/>
              <wp:positionH relativeFrom="page">
                <wp:posOffset>6734810</wp:posOffset>
              </wp:positionH>
              <wp:positionV relativeFrom="page">
                <wp:posOffset>9980930</wp:posOffset>
              </wp:positionV>
              <wp:extent cx="106680" cy="79375"/>
              <wp:wrapNone/>
              <wp:docPr id="55" name="Shape 55"/>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081" type="#_x0000_t202" style="position:absolute;margin-left:530.29999999999995pt;margin-top:785.89999999999998pt;width:8.4000000000000004pt;height:6.25pt;z-index:-188744032;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3" behindDoc="1" locked="0" layoutInCell="1" allowOverlap="1">
              <wp:simplePos x="0" y="0"/>
              <wp:positionH relativeFrom="page">
                <wp:posOffset>9663430</wp:posOffset>
              </wp:positionH>
              <wp:positionV relativeFrom="page">
                <wp:posOffset>6826250</wp:posOffset>
              </wp:positionV>
              <wp:extent cx="113030" cy="79375"/>
              <wp:wrapNone/>
              <wp:docPr id="61" name="Shape 61"/>
              <a:graphic xmlns:a="http://schemas.openxmlformats.org/drawingml/2006/main">
                <a:graphicData uri="http://schemas.microsoft.com/office/word/2010/wordprocessingShape">
                  <wps:wsp>
                    <wps:cNvSpPr txBox="1"/>
                    <wps:spPr>
                      <a:xfrm>
                        <a:ext cx="113030" cy="79375"/>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087" type="#_x0000_t202" style="position:absolute;margin-left:760.89999999999998pt;margin-top:537.5pt;width:8.9000000000000004pt;height:6.25pt;z-index:-188744030;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4281170</wp:posOffset>
              </wp:positionH>
              <wp:positionV relativeFrom="page">
                <wp:posOffset>558165</wp:posOffset>
              </wp:positionV>
              <wp:extent cx="2557145" cy="106680"/>
              <wp:wrapNone/>
              <wp:docPr id="3" name="Shape 3"/>
              <a:graphic xmlns:a="http://schemas.openxmlformats.org/drawingml/2006/main">
                <a:graphicData uri="http://schemas.microsoft.com/office/word/2010/wordprocessingShape">
                  <wps:wsp>
                    <wps:cNvSpPr txBox="1"/>
                    <wps:spPr>
                      <a:xfrm>
                        <a:ext cx="2557145"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国盛金融控股集团股份有限公司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年度报告全文</w:t>
                          </w:r>
                        </w:p>
                      </w:txbxContent>
                    </wps:txbx>
                    <wps:bodyPr wrap="none" lIns="0" tIns="0" rIns="0" bIns="0">
                      <a:spAutoFit/>
                    </wps:bodyPr>
                  </wps:wsp>
                </a:graphicData>
              </a:graphic>
            </wp:anchor>
          </w:drawing>
        </mc:Choice>
        <mc:Fallback>
          <w:pict>
            <v:shape id="_x0000_s1029" type="#_x0000_t202" style="position:absolute;margin-left:337.10000000000002pt;margin-top:43.950000000000003pt;width:201.34999999999999pt;height:8.4000000000000004pt;z-index:-188744063;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国盛金融控股集团股份有限公司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699770</wp:posOffset>
              </wp:positionH>
              <wp:positionV relativeFrom="page">
                <wp:posOffset>707390</wp:posOffset>
              </wp:positionV>
              <wp:extent cx="6160135" cy="0"/>
              <wp:wrapNone/>
              <wp:docPr id="5" name="Shape 5"/>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100000000000001pt;margin-top:55.700000000000003pt;width:485.05000000000001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5" behindDoc="1" locked="0" layoutInCell="1" allowOverlap="1">
              <wp:simplePos x="0" y="0"/>
              <wp:positionH relativeFrom="page">
                <wp:posOffset>4284345</wp:posOffset>
              </wp:positionH>
              <wp:positionV relativeFrom="page">
                <wp:posOffset>553720</wp:posOffset>
              </wp:positionV>
              <wp:extent cx="2557145" cy="106680"/>
              <wp:wrapNone/>
              <wp:docPr id="63" name="Shape 63"/>
              <a:graphic xmlns:a="http://schemas.openxmlformats.org/drawingml/2006/main">
                <a:graphicData uri="http://schemas.microsoft.com/office/word/2010/wordprocessingShape">
                  <wps:wsp>
                    <wps:cNvSpPr txBox="1"/>
                    <wps:spPr>
                      <a:xfrm>
                        <a:ext cx="2557145" cy="10668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国盛金融控股集团股份有限公司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089" type="#_x0000_t202" style="position:absolute;margin-left:337.35000000000002pt;margin-top:43.600000000000001pt;width:201.34999999999999pt;height:8.4000000000000004pt;z-index:-188744028;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国盛金融控股集团股份有限公司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702945</wp:posOffset>
              </wp:positionH>
              <wp:positionV relativeFrom="page">
                <wp:posOffset>707390</wp:posOffset>
              </wp:positionV>
              <wp:extent cx="6160135" cy="0"/>
              <wp:wrapNone/>
              <wp:docPr id="65" name="Shape 65"/>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350000000000001pt;margin-top:55.700000000000003pt;width:485.05000000000001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9" behindDoc="1" locked="0" layoutInCell="1" allowOverlap="1">
              <wp:simplePos x="0" y="0"/>
              <wp:positionH relativeFrom="page">
                <wp:posOffset>4076065</wp:posOffset>
              </wp:positionH>
              <wp:positionV relativeFrom="page">
                <wp:posOffset>530225</wp:posOffset>
              </wp:positionV>
              <wp:extent cx="2557145" cy="106680"/>
              <wp:wrapNone/>
              <wp:docPr id="83" name="Shape 83"/>
              <a:graphic xmlns:a="http://schemas.openxmlformats.org/drawingml/2006/main">
                <a:graphicData uri="http://schemas.microsoft.com/office/word/2010/wordprocessingShape">
                  <wps:wsp>
                    <wps:cNvSpPr txBox="1"/>
                    <wps:spPr>
                      <a:xfrm>
                        <a:ext cx="2557145" cy="10668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国盛金融控股集团股份有限公司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109" type="#_x0000_t202" style="position:absolute;margin-left:320.94999999999999pt;margin-top:41.75pt;width:201.34999999999999pt;height:8.4000000000000004pt;z-index:-188744024;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国盛金融控股集团股份有限公司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1244600</wp:posOffset>
              </wp:positionH>
              <wp:positionV relativeFrom="page">
                <wp:posOffset>709295</wp:posOffset>
              </wp:positionV>
              <wp:extent cx="5410200" cy="0"/>
              <wp:wrapNone/>
              <wp:docPr id="85" name="Shape 85"/>
              <a:graphic xmlns:a="http://schemas.openxmlformats.org/drawingml/2006/main">
                <a:graphicData uri="http://schemas.microsoft.com/office/word/2010/wordprocessingShape">
                  <wps:wsp>
                    <wps:cNvCnPr/>
                    <wps:spPr>
                      <a:xfrm>
                        <a:ext cx="5410200" cy="0"/>
                      </a:xfrm>
                      <a:prstGeom prst="straightConnector1"/>
                      <a:ln w="12700">
                        <a:solidFill/>
                      </a:ln>
                    </wps:spPr>
                    <wps:bodyPr/>
                  </wps:wsp>
                </a:graphicData>
              </a:graphic>
            </wp:anchor>
          </w:drawing>
        </mc:Choice>
        <mc:Fallback>
          <w:pict>
            <v:shape o:spt="32" o:oned="true" path="m,l21600,21600e" style="position:absolute;margin-left:98.pt;margin-top:55.850000000000001pt;width:426.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3" behindDoc="1" locked="0" layoutInCell="1" allowOverlap="1">
              <wp:simplePos x="0" y="0"/>
              <wp:positionH relativeFrom="page">
                <wp:posOffset>7157720</wp:posOffset>
              </wp:positionH>
              <wp:positionV relativeFrom="page">
                <wp:posOffset>549910</wp:posOffset>
              </wp:positionV>
              <wp:extent cx="2553970" cy="106680"/>
              <wp:wrapNone/>
              <wp:docPr id="124" name="Shape 124"/>
              <a:graphic xmlns:a="http://schemas.openxmlformats.org/drawingml/2006/main">
                <a:graphicData uri="http://schemas.microsoft.com/office/word/2010/wordprocessingShape">
                  <wps:wsp>
                    <wps:cNvSpPr txBox="1"/>
                    <wps:spPr>
                      <a:xfrm>
                        <a:ext cx="2553970" cy="10668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国盛金融控股集团股份有限公司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150" type="#_x0000_t202" style="position:absolute;margin-left:563.60000000000002pt;margin-top:43.300000000000004pt;width:201.09999999999999pt;height:8.4000000000000004pt;z-index:-188744020;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国盛金融控股集团股份有限公司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829945</wp:posOffset>
              </wp:positionH>
              <wp:positionV relativeFrom="page">
                <wp:posOffset>699135</wp:posOffset>
              </wp:positionV>
              <wp:extent cx="8903335" cy="0"/>
              <wp:wrapNone/>
              <wp:docPr id="126" name="Shape 126"/>
              <a:graphic xmlns:a="http://schemas.openxmlformats.org/drawingml/2006/main">
                <a:graphicData uri="http://schemas.microsoft.com/office/word/2010/wordprocessingShape">
                  <wps:wsp>
                    <wps:cNvCnPr/>
                    <wps:spPr>
                      <a:xfrm>
                        <a:ext cx="8903335" cy="0"/>
                      </a:xfrm>
                      <a:prstGeom prst="straightConnector1"/>
                      <a:ln w="12700">
                        <a:solidFill/>
                      </a:ln>
                    </wps:spPr>
                    <wps:bodyPr/>
                  </wps:wsp>
                </a:graphicData>
              </a:graphic>
            </wp:anchor>
          </w:drawing>
        </mc:Choice>
        <mc:Fallback>
          <w:pict>
            <v:shape o:spt="32" o:oned="true" path="m,l21600,21600e" style="position:absolute;margin-left:65.349999999999994pt;margin-top:55.050000000000004pt;width:701.05000000000007pt;height:0;z-index:-251658240;mso-position-horizontal-relative:page;mso-position-vertical-relative:page">
              <v:stroke weight="1.pt"/>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7" behindDoc="1" locked="0" layoutInCell="1" allowOverlap="1">
              <wp:simplePos x="0" y="0"/>
              <wp:positionH relativeFrom="page">
                <wp:posOffset>3859530</wp:posOffset>
              </wp:positionH>
              <wp:positionV relativeFrom="page">
                <wp:posOffset>480695</wp:posOffset>
              </wp:positionV>
              <wp:extent cx="2557145" cy="106680"/>
              <wp:wrapNone/>
              <wp:docPr id="129" name="Shape 129"/>
              <a:graphic xmlns:a="http://schemas.openxmlformats.org/drawingml/2006/main">
                <a:graphicData uri="http://schemas.microsoft.com/office/word/2010/wordprocessingShape">
                  <wps:wsp>
                    <wps:cNvSpPr txBox="1"/>
                    <wps:spPr>
                      <a:xfrm>
                        <a:ext cx="2557145" cy="10668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国盛金融控股集团股份有限公司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155" type="#_x0000_t202" style="position:absolute;margin-left:303.90000000000003pt;margin-top:37.850000000000001pt;width:201.34999999999999pt;height:8.4000000000000004pt;z-index:-188744016;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国盛金融控股集团股份有限公司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1118870</wp:posOffset>
              </wp:positionH>
              <wp:positionV relativeFrom="page">
                <wp:posOffset>713740</wp:posOffset>
              </wp:positionV>
              <wp:extent cx="5318760" cy="0"/>
              <wp:wrapNone/>
              <wp:docPr id="131" name="Shape 131"/>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8.100000000000009pt;margin-top:56.200000000000003pt;width:418.80000000000001pt;height:0;z-index:-251658240;mso-position-horizontal-relative:page;mso-position-vertical-relative:page">
              <v:stroke weight="1.pt"/>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5" behindDoc="1" locked="0" layoutInCell="1" allowOverlap="1">
              <wp:simplePos x="0" y="0"/>
              <wp:positionH relativeFrom="page">
                <wp:posOffset>3859530</wp:posOffset>
              </wp:positionH>
              <wp:positionV relativeFrom="page">
                <wp:posOffset>480695</wp:posOffset>
              </wp:positionV>
              <wp:extent cx="2557145" cy="106680"/>
              <wp:wrapNone/>
              <wp:docPr id="142" name="Shape 142"/>
              <a:graphic xmlns:a="http://schemas.openxmlformats.org/drawingml/2006/main">
                <a:graphicData uri="http://schemas.microsoft.com/office/word/2010/wordprocessingShape">
                  <wps:wsp>
                    <wps:cNvSpPr txBox="1"/>
                    <wps:spPr>
                      <a:xfrm>
                        <a:ext cx="2557145" cy="10668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国盛金融控股集团股份有限公司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168" type="#_x0000_t202" style="position:absolute;margin-left:303.90000000000003pt;margin-top:37.850000000000001pt;width:201.34999999999999pt;height:8.4000000000000004pt;z-index:-188744008;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国盛金融控股集团股份有限公司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1118870</wp:posOffset>
              </wp:positionH>
              <wp:positionV relativeFrom="page">
                <wp:posOffset>713740</wp:posOffset>
              </wp:positionV>
              <wp:extent cx="5318760" cy="0"/>
              <wp:wrapNone/>
              <wp:docPr id="144" name="Shape 144"/>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8.100000000000009pt;margin-top:56.200000000000003pt;width:418.80000000000001pt;height:0;z-index:-251658240;mso-position-horizontal-relative:page;mso-position-vertical-relative:page">
              <v:stroke weight="1.pt"/>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9" behindDoc="1" locked="0" layoutInCell="1" allowOverlap="1">
              <wp:simplePos x="0" y="0"/>
              <wp:positionH relativeFrom="page">
                <wp:posOffset>3850005</wp:posOffset>
              </wp:positionH>
              <wp:positionV relativeFrom="page">
                <wp:posOffset>374650</wp:posOffset>
              </wp:positionV>
              <wp:extent cx="2557145" cy="106680"/>
              <wp:wrapNone/>
              <wp:docPr id="147" name="Shape 147"/>
              <a:graphic xmlns:a="http://schemas.openxmlformats.org/drawingml/2006/main">
                <a:graphicData uri="http://schemas.microsoft.com/office/word/2010/wordprocessingShape">
                  <wps:wsp>
                    <wps:cNvSpPr txBox="1"/>
                    <wps:spPr>
                      <a:xfrm>
                        <a:ext cx="2557145" cy="10668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国盛金融控股集团股份有限公司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173" type="#_x0000_t202" style="position:absolute;margin-left:303.15000000000003pt;margin-top:29.5pt;width:201.34999999999999pt;height:8.4000000000000004pt;z-index:-188744004;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国盛金融控股集团股份有限公司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年度报告全文</w:t>
                    </w:r>
                  </w:p>
                </w:txbxContent>
              </v:textbox>
              <w10:wrap anchorx="page" anchory="page"/>
            </v:shape>
          </w:pict>
        </mc:Fallback>
      </mc:AlternateContent>
    </w:r>
    <w:r>
      <mc:AlternateContent>
        <mc:Choice Requires="wps">
          <w:drawing>
            <wp:anchor distT="0" distB="0" distL="0" distR="0" simplePos="0" relativeHeight="62914751" behindDoc="1" locked="0" layoutInCell="1" allowOverlap="1">
              <wp:simplePos x="0" y="0"/>
              <wp:positionH relativeFrom="page">
                <wp:posOffset>1134110</wp:posOffset>
              </wp:positionH>
              <wp:positionV relativeFrom="page">
                <wp:posOffset>795020</wp:posOffset>
              </wp:positionV>
              <wp:extent cx="676910" cy="106680"/>
              <wp:wrapNone/>
              <wp:docPr id="149" name="Shape 149"/>
              <a:graphic xmlns:a="http://schemas.openxmlformats.org/drawingml/2006/main">
                <a:graphicData uri="http://schemas.microsoft.com/office/word/2010/wordprocessingShape">
                  <wps:wsp>
                    <wps:cNvSpPr txBox="1"/>
                    <wps:spPr>
                      <a:xfrm>
                        <a:ext cx="676910" cy="10668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备的计提方法</w:t>
                          </w:r>
                        </w:p>
                      </w:txbxContent>
                    </wps:txbx>
                    <wps:bodyPr wrap="none" lIns="0" tIns="0" rIns="0" bIns="0">
                      <a:spAutoFit/>
                    </wps:bodyPr>
                  </wps:wsp>
                </a:graphicData>
              </a:graphic>
            </wp:anchor>
          </w:drawing>
        </mc:Choice>
        <mc:Fallback>
          <w:pict>
            <v:shape id="_x0000_s1175" type="#_x0000_t202" style="position:absolute;margin-left:89.299999999999997pt;margin-top:62.600000000000001pt;width:53.300000000000004pt;height:8.4000000000000004pt;z-index:-188744002;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备的计提方法</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1109980</wp:posOffset>
              </wp:positionH>
              <wp:positionV relativeFrom="page">
                <wp:posOffset>523875</wp:posOffset>
              </wp:positionV>
              <wp:extent cx="5318760" cy="0"/>
              <wp:wrapNone/>
              <wp:docPr id="151" name="Shape 151"/>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7.400000000000006pt;margin-top:41.25pt;width:418.80000000000001pt;height:0;z-index:-251658240;mso-position-horizontal-relative:page;mso-position-vertical-relative:page">
              <v:stroke weight="1.pt"/>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5" behindDoc="1" locked="0" layoutInCell="1" allowOverlap="1">
              <wp:simplePos x="0" y="0"/>
              <wp:positionH relativeFrom="page">
                <wp:posOffset>3846830</wp:posOffset>
              </wp:positionH>
              <wp:positionV relativeFrom="page">
                <wp:posOffset>701675</wp:posOffset>
              </wp:positionV>
              <wp:extent cx="2557145" cy="106680"/>
              <wp:wrapNone/>
              <wp:docPr id="162" name="Shape 162"/>
              <a:graphic xmlns:a="http://schemas.openxmlformats.org/drawingml/2006/main">
                <a:graphicData uri="http://schemas.microsoft.com/office/word/2010/wordprocessingShape">
                  <wps:wsp>
                    <wps:cNvSpPr txBox="1"/>
                    <wps:spPr>
                      <a:xfrm>
                        <a:ext cx="2557145" cy="10668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国盛金融控股集团股份有限公司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188" type="#_x0000_t202" style="position:absolute;margin-left:302.90000000000003pt;margin-top:55.25pt;width:201.34999999999999pt;height:8.4000000000000004pt;z-index:-188743998;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国盛金融控股集团股份有限公司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1106170</wp:posOffset>
              </wp:positionH>
              <wp:positionV relativeFrom="page">
                <wp:posOffset>850265</wp:posOffset>
              </wp:positionV>
              <wp:extent cx="5318760" cy="0"/>
              <wp:wrapNone/>
              <wp:docPr id="164" name="Shape 164"/>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7.100000000000009pt;margin-top:66.950000000000003pt;width:418.80000000000001pt;height:0;z-index:-251658240;mso-position-horizontal-relative:page;mso-position-vertical-relative:page">
              <v:stroke weight="1.pt"/>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1" behindDoc="1" locked="0" layoutInCell="1" allowOverlap="1">
              <wp:simplePos x="0" y="0"/>
              <wp:positionH relativeFrom="page">
                <wp:posOffset>3844925</wp:posOffset>
              </wp:positionH>
              <wp:positionV relativeFrom="page">
                <wp:posOffset>725805</wp:posOffset>
              </wp:positionV>
              <wp:extent cx="2557145" cy="106680"/>
              <wp:wrapNone/>
              <wp:docPr id="170" name="Shape 170"/>
              <a:graphic xmlns:a="http://schemas.openxmlformats.org/drawingml/2006/main">
                <a:graphicData uri="http://schemas.microsoft.com/office/word/2010/wordprocessingShape">
                  <wps:wsp>
                    <wps:cNvSpPr txBox="1"/>
                    <wps:spPr>
                      <a:xfrm>
                        <a:ext cx="2557145" cy="10668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国盛金融控股集团股份有限公司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196" type="#_x0000_t202" style="position:absolute;margin-left:302.75pt;margin-top:57.149999999999999pt;width:201.34999999999999pt;height:8.4000000000000004pt;z-index:-188743992;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国盛金融控股集团股份有限公司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1104900</wp:posOffset>
              </wp:positionH>
              <wp:positionV relativeFrom="page">
                <wp:posOffset>875030</wp:posOffset>
              </wp:positionV>
              <wp:extent cx="5318760" cy="0"/>
              <wp:wrapNone/>
              <wp:docPr id="172" name="Shape 172"/>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7.pt;margin-top:68.900000000000006pt;width:418.80000000000001pt;height:0;z-index:-251658240;mso-position-horizontal-relative:page;mso-position-vertical-relative:page">
              <v:stroke weight="1.pt"/>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7" behindDoc="1" locked="0" layoutInCell="1" allowOverlap="1">
              <wp:simplePos x="0" y="0"/>
              <wp:positionH relativeFrom="page">
                <wp:posOffset>3859530</wp:posOffset>
              </wp:positionH>
              <wp:positionV relativeFrom="page">
                <wp:posOffset>480695</wp:posOffset>
              </wp:positionV>
              <wp:extent cx="2557145" cy="106680"/>
              <wp:wrapNone/>
              <wp:docPr id="178" name="Shape 178"/>
              <a:graphic xmlns:a="http://schemas.openxmlformats.org/drawingml/2006/main">
                <a:graphicData uri="http://schemas.microsoft.com/office/word/2010/wordprocessingShape">
                  <wps:wsp>
                    <wps:cNvSpPr txBox="1"/>
                    <wps:spPr>
                      <a:xfrm>
                        <a:ext cx="2557145" cy="10668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国盛金融控股集团股份有限公司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204" type="#_x0000_t202" style="position:absolute;margin-left:303.90000000000003pt;margin-top:37.850000000000001pt;width:201.34999999999999pt;height:8.4000000000000004pt;z-index:-188743986;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国盛金融控股集团股份有限公司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1118870</wp:posOffset>
              </wp:positionH>
              <wp:positionV relativeFrom="page">
                <wp:posOffset>713740</wp:posOffset>
              </wp:positionV>
              <wp:extent cx="5318760" cy="0"/>
              <wp:wrapNone/>
              <wp:docPr id="180" name="Shape 180"/>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8.100000000000009pt;margin-top:56.200000000000003pt;width:418.80000000000001pt;height:0;z-index:-251658240;mso-position-horizontal-relative:page;mso-position-vertical-relative:page">
              <v:stroke weight="1.pt"/>
            </v:shape>
          </w:pict>
        </mc:Fallback>
      </mc:AlternateContent>
    </w: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1" behindDoc="1" locked="0" layoutInCell="1" allowOverlap="1">
              <wp:simplePos x="0" y="0"/>
              <wp:positionH relativeFrom="page">
                <wp:posOffset>7178040</wp:posOffset>
              </wp:positionH>
              <wp:positionV relativeFrom="page">
                <wp:posOffset>556895</wp:posOffset>
              </wp:positionV>
              <wp:extent cx="2553970" cy="106680"/>
              <wp:wrapNone/>
              <wp:docPr id="183" name="Shape 183"/>
              <a:graphic xmlns:a="http://schemas.openxmlformats.org/drawingml/2006/main">
                <a:graphicData uri="http://schemas.microsoft.com/office/word/2010/wordprocessingShape">
                  <wps:wsp>
                    <wps:cNvSpPr txBox="1"/>
                    <wps:spPr>
                      <a:xfrm>
                        <a:ext cx="2553970" cy="10668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国盛金融控股集团股份有限公司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209" type="#_x0000_t202" style="position:absolute;margin-left:565.20000000000005pt;margin-top:43.850000000000001pt;width:201.09999999999999pt;height:8.4000000000000004pt;z-index:-188743982;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国盛金融控股集团股份有限公司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850265</wp:posOffset>
              </wp:positionH>
              <wp:positionV relativeFrom="page">
                <wp:posOffset>705485</wp:posOffset>
              </wp:positionV>
              <wp:extent cx="8903335" cy="0"/>
              <wp:wrapNone/>
              <wp:docPr id="185" name="Shape 185"/>
              <a:graphic xmlns:a="http://schemas.openxmlformats.org/drawingml/2006/main">
                <a:graphicData uri="http://schemas.microsoft.com/office/word/2010/wordprocessingShape">
                  <wps:wsp>
                    <wps:cNvCnPr/>
                    <wps:spPr>
                      <a:xfrm>
                        <a:ext cx="8903335" cy="0"/>
                      </a:xfrm>
                      <a:prstGeom prst="straightConnector1"/>
                      <a:ln w="12700">
                        <a:solidFill/>
                      </a:ln>
                    </wps:spPr>
                    <wps:bodyPr/>
                  </wps:wsp>
                </a:graphicData>
              </a:graphic>
            </wp:anchor>
          </w:drawing>
        </mc:Choice>
        <mc:Fallback>
          <w:pict>
            <v:shape o:spt="32" o:oned="true" path="m,l21600,21600e" style="position:absolute;margin-left:66.950000000000003pt;margin-top:55.550000000000004pt;width:701.05000000000007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4281170</wp:posOffset>
              </wp:positionH>
              <wp:positionV relativeFrom="page">
                <wp:posOffset>476250</wp:posOffset>
              </wp:positionV>
              <wp:extent cx="2557145" cy="106680"/>
              <wp:wrapNone/>
              <wp:docPr id="8" name="Shape 8"/>
              <a:graphic xmlns:a="http://schemas.openxmlformats.org/drawingml/2006/main">
                <a:graphicData uri="http://schemas.microsoft.com/office/word/2010/wordprocessingShape">
                  <wps:wsp>
                    <wps:cNvSpPr txBox="1"/>
                    <wps:spPr>
                      <a:xfrm>
                        <a:ext cx="2557145"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国盛金融控股集团股份有限公司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年度报告全文</w:t>
                          </w:r>
                        </w:p>
                      </w:txbxContent>
                    </wps:txbx>
                    <wps:bodyPr wrap="none" lIns="0" tIns="0" rIns="0" bIns="0">
                      <a:spAutoFit/>
                    </wps:bodyPr>
                  </wps:wsp>
                </a:graphicData>
              </a:graphic>
            </wp:anchor>
          </w:drawing>
        </mc:Choice>
        <mc:Fallback>
          <w:pict>
            <v:shape id="_x0000_s1034" type="#_x0000_t202" style="position:absolute;margin-left:337.10000000000002pt;margin-top:37.5pt;width:201.34999999999999pt;height:8.4000000000000004pt;z-index:-188744059;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国盛金融控股集团股份有限公司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699770</wp:posOffset>
              </wp:positionH>
              <wp:positionV relativeFrom="page">
                <wp:posOffset>624840</wp:posOffset>
              </wp:positionV>
              <wp:extent cx="6160135" cy="0"/>
              <wp:wrapNone/>
              <wp:docPr id="10" name="Shape 10"/>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100000000000001pt;margin-top:49.200000000000003pt;width:485.05000000000001pt;height:0;z-index:-251658240;mso-position-horizontal-relative:page;mso-position-vertical-relative:page">
              <v:stroke weight="1.pt"/>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5" behindDoc="1" locked="0" layoutInCell="1" allowOverlap="1">
              <wp:simplePos x="0" y="0"/>
              <wp:positionH relativeFrom="page">
                <wp:posOffset>3859530</wp:posOffset>
              </wp:positionH>
              <wp:positionV relativeFrom="page">
                <wp:posOffset>480695</wp:posOffset>
              </wp:positionV>
              <wp:extent cx="2557145" cy="106680"/>
              <wp:wrapNone/>
              <wp:docPr id="188" name="Shape 188"/>
              <a:graphic xmlns:a="http://schemas.openxmlformats.org/drawingml/2006/main">
                <a:graphicData uri="http://schemas.microsoft.com/office/word/2010/wordprocessingShape">
                  <wps:wsp>
                    <wps:cNvSpPr txBox="1"/>
                    <wps:spPr>
                      <a:xfrm>
                        <a:ext cx="2557145" cy="10668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国盛金融控股集团股份有限公司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214" type="#_x0000_t202" style="position:absolute;margin-left:303.90000000000003pt;margin-top:37.850000000000001pt;width:201.34999999999999pt;height:8.4000000000000004pt;z-index:-188743978;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国盛金融控股集团股份有限公司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1118870</wp:posOffset>
              </wp:positionH>
              <wp:positionV relativeFrom="page">
                <wp:posOffset>713740</wp:posOffset>
              </wp:positionV>
              <wp:extent cx="5318760" cy="0"/>
              <wp:wrapNone/>
              <wp:docPr id="190" name="Shape 190"/>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8.100000000000009pt;margin-top:56.200000000000003pt;width:418.80000000000001pt;height:0;z-index:-251658240;mso-position-horizontal-relative:page;mso-position-vertical-relative:page">
              <v:stroke weight="1.pt"/>
            </v:shape>
          </w:pict>
        </mc:Fallback>
      </mc:AlternateContent>
    </w: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9" behindDoc="1" locked="0" layoutInCell="1" allowOverlap="1">
              <wp:simplePos x="0" y="0"/>
              <wp:positionH relativeFrom="page">
                <wp:posOffset>6770370</wp:posOffset>
              </wp:positionH>
              <wp:positionV relativeFrom="page">
                <wp:posOffset>556895</wp:posOffset>
              </wp:positionV>
              <wp:extent cx="2553970" cy="106680"/>
              <wp:wrapNone/>
              <wp:docPr id="193" name="Shape 193"/>
              <a:graphic xmlns:a="http://schemas.openxmlformats.org/drawingml/2006/main">
                <a:graphicData uri="http://schemas.microsoft.com/office/word/2010/wordprocessingShape">
                  <wps:wsp>
                    <wps:cNvSpPr txBox="1"/>
                    <wps:spPr>
                      <a:xfrm>
                        <a:ext cx="2553970" cy="10668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国盛金融控股集团股份有限公司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219" type="#_x0000_t202" style="position:absolute;margin-left:533.10000000000002pt;margin-top:43.850000000000001pt;width:201.09999999999999pt;height:8.4000000000000004pt;z-index:-188743974;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国盛金融控股集团股份有限公司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896620</wp:posOffset>
              </wp:positionH>
              <wp:positionV relativeFrom="page">
                <wp:posOffset>705485</wp:posOffset>
              </wp:positionV>
              <wp:extent cx="8449310" cy="0"/>
              <wp:wrapNone/>
              <wp:docPr id="195" name="Shape 195"/>
              <a:graphic xmlns:a="http://schemas.openxmlformats.org/drawingml/2006/main">
                <a:graphicData uri="http://schemas.microsoft.com/office/word/2010/wordprocessingShape">
                  <wps:wsp>
                    <wps:cNvCnPr/>
                    <wps:spPr>
                      <a:xfrm>
                        <a:ext cx="8449310" cy="0"/>
                      </a:xfrm>
                      <a:prstGeom prst="straightConnector1"/>
                      <a:ln w="12700">
                        <a:solidFill/>
                      </a:ln>
                    </wps:spPr>
                    <wps:bodyPr/>
                  </wps:wsp>
                </a:graphicData>
              </a:graphic>
            </wp:anchor>
          </w:drawing>
        </mc:Choice>
        <mc:Fallback>
          <w:pict>
            <v:shape o:spt="32" o:oned="true" path="m,l21600,21600e" style="position:absolute;margin-left:70.600000000000009pt;margin-top:55.550000000000004pt;width:665.30000000000007pt;height:0;z-index:-251658240;mso-position-horizontal-relative:page;mso-position-vertical-relative:page">
              <v:stroke weight="1.pt"/>
            </v:shape>
          </w:pict>
        </mc:Fallback>
      </mc:AlternateContent>
    </w: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3" behindDoc="1" locked="0" layoutInCell="1" allowOverlap="1">
              <wp:simplePos x="0" y="0"/>
              <wp:positionH relativeFrom="page">
                <wp:posOffset>3859530</wp:posOffset>
              </wp:positionH>
              <wp:positionV relativeFrom="page">
                <wp:posOffset>480695</wp:posOffset>
              </wp:positionV>
              <wp:extent cx="2557145" cy="106680"/>
              <wp:wrapNone/>
              <wp:docPr id="198" name="Shape 198"/>
              <a:graphic xmlns:a="http://schemas.openxmlformats.org/drawingml/2006/main">
                <a:graphicData uri="http://schemas.microsoft.com/office/word/2010/wordprocessingShape">
                  <wps:wsp>
                    <wps:cNvSpPr txBox="1"/>
                    <wps:spPr>
                      <a:xfrm>
                        <a:ext cx="2557145" cy="10668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国盛金融控股集团股份有限公司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224" type="#_x0000_t202" style="position:absolute;margin-left:303.90000000000003pt;margin-top:37.850000000000001pt;width:201.34999999999999pt;height:8.4000000000000004pt;z-index:-188743970;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国盛金融控股集团股份有限公司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1118870</wp:posOffset>
              </wp:positionH>
              <wp:positionV relativeFrom="page">
                <wp:posOffset>713740</wp:posOffset>
              </wp:positionV>
              <wp:extent cx="5318760" cy="0"/>
              <wp:wrapNone/>
              <wp:docPr id="200" name="Shape 200"/>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8.100000000000009pt;margin-top:56.200000000000003pt;width:418.80000000000001pt;height:0;z-index:-251658240;mso-position-horizontal-relative:page;mso-position-vertical-relative:page">
              <v:stroke weight="1.pt"/>
            </v:shape>
          </w:pict>
        </mc:Fallback>
      </mc:AlternateContent>
    </w: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7" behindDoc="1" locked="0" layoutInCell="1" allowOverlap="1">
              <wp:simplePos x="0" y="0"/>
              <wp:positionH relativeFrom="page">
                <wp:posOffset>6770370</wp:posOffset>
              </wp:positionH>
              <wp:positionV relativeFrom="page">
                <wp:posOffset>556895</wp:posOffset>
              </wp:positionV>
              <wp:extent cx="2553970" cy="106680"/>
              <wp:wrapNone/>
              <wp:docPr id="203" name="Shape 203"/>
              <a:graphic xmlns:a="http://schemas.openxmlformats.org/drawingml/2006/main">
                <a:graphicData uri="http://schemas.microsoft.com/office/word/2010/wordprocessingShape">
                  <wps:wsp>
                    <wps:cNvSpPr txBox="1"/>
                    <wps:spPr>
                      <a:xfrm>
                        <a:ext cx="2553970" cy="10668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国盛金融控股集团股份有限公司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229" type="#_x0000_t202" style="position:absolute;margin-left:533.10000000000002pt;margin-top:43.850000000000001pt;width:201.09999999999999pt;height:8.4000000000000004pt;z-index:-188743966;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国盛金融控股集团股份有限公司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896620</wp:posOffset>
              </wp:positionH>
              <wp:positionV relativeFrom="page">
                <wp:posOffset>705485</wp:posOffset>
              </wp:positionV>
              <wp:extent cx="8449310" cy="0"/>
              <wp:wrapNone/>
              <wp:docPr id="205" name="Shape 205"/>
              <a:graphic xmlns:a="http://schemas.openxmlformats.org/drawingml/2006/main">
                <a:graphicData uri="http://schemas.microsoft.com/office/word/2010/wordprocessingShape">
                  <wps:wsp>
                    <wps:cNvCnPr/>
                    <wps:spPr>
                      <a:xfrm>
                        <a:ext cx="8449310" cy="0"/>
                      </a:xfrm>
                      <a:prstGeom prst="straightConnector1"/>
                      <a:ln w="12700">
                        <a:solidFill/>
                      </a:ln>
                    </wps:spPr>
                    <wps:bodyPr/>
                  </wps:wsp>
                </a:graphicData>
              </a:graphic>
            </wp:anchor>
          </w:drawing>
        </mc:Choice>
        <mc:Fallback>
          <w:pict>
            <v:shape o:spt="32" o:oned="true" path="m,l21600,21600e" style="position:absolute;margin-left:70.600000000000009pt;margin-top:55.550000000000004pt;width:665.30000000000007pt;height:0;z-index:-251658240;mso-position-horizontal-relative:page;mso-position-vertical-relative:page">
              <v:stroke weight="1.pt"/>
            </v:shape>
          </w:pict>
        </mc:Fallback>
      </mc:AlternateContent>
    </w:r>
  </w:p>
</w:hdr>
</file>

<file path=word/header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1" behindDoc="1" locked="0" layoutInCell="1" allowOverlap="1">
              <wp:simplePos x="0" y="0"/>
              <wp:positionH relativeFrom="page">
                <wp:posOffset>3859530</wp:posOffset>
              </wp:positionH>
              <wp:positionV relativeFrom="page">
                <wp:posOffset>480695</wp:posOffset>
              </wp:positionV>
              <wp:extent cx="2557145" cy="106680"/>
              <wp:wrapNone/>
              <wp:docPr id="214" name="Shape 214"/>
              <a:graphic xmlns:a="http://schemas.openxmlformats.org/drawingml/2006/main">
                <a:graphicData uri="http://schemas.microsoft.com/office/word/2010/wordprocessingShape">
                  <wps:wsp>
                    <wps:cNvSpPr txBox="1"/>
                    <wps:spPr>
                      <a:xfrm>
                        <a:ext cx="2557145" cy="10668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国盛金融控股集团股份有限公司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240" type="#_x0000_t202" style="position:absolute;margin-left:303.90000000000003pt;margin-top:37.850000000000001pt;width:201.34999999999999pt;height:8.4000000000000004pt;z-index:-188743962;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国盛金融控股集团股份有限公司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1118870</wp:posOffset>
              </wp:positionH>
              <wp:positionV relativeFrom="page">
                <wp:posOffset>713740</wp:posOffset>
              </wp:positionV>
              <wp:extent cx="5318760" cy="0"/>
              <wp:wrapNone/>
              <wp:docPr id="216" name="Shape 216"/>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8.100000000000009pt;margin-top:56.200000000000003pt;width:418.80000000000001pt;height:0;z-index:-251658240;mso-position-horizontal-relative:page;mso-position-vertical-relative:page">
              <v:stroke weight="1.pt"/>
            </v:shape>
          </w:pict>
        </mc:Fallback>
      </mc:AlternateContent>
    </w:r>
  </w:p>
</w:hdr>
</file>

<file path=word/header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5" behindDoc="1" locked="0" layoutInCell="1" allowOverlap="1">
              <wp:simplePos x="0" y="0"/>
              <wp:positionH relativeFrom="page">
                <wp:posOffset>6770370</wp:posOffset>
              </wp:positionH>
              <wp:positionV relativeFrom="page">
                <wp:posOffset>556895</wp:posOffset>
              </wp:positionV>
              <wp:extent cx="2553970" cy="106680"/>
              <wp:wrapNone/>
              <wp:docPr id="219" name="Shape 219"/>
              <a:graphic xmlns:a="http://schemas.openxmlformats.org/drawingml/2006/main">
                <a:graphicData uri="http://schemas.microsoft.com/office/word/2010/wordprocessingShape">
                  <wps:wsp>
                    <wps:cNvSpPr txBox="1"/>
                    <wps:spPr>
                      <a:xfrm>
                        <a:ext cx="2553970" cy="10668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国盛金融控股集团股份有限公司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245" type="#_x0000_t202" style="position:absolute;margin-left:533.10000000000002pt;margin-top:43.850000000000001pt;width:201.09999999999999pt;height:8.4000000000000004pt;z-index:-188743958;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国盛金融控股集团股份有限公司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896620</wp:posOffset>
              </wp:positionH>
              <wp:positionV relativeFrom="page">
                <wp:posOffset>705485</wp:posOffset>
              </wp:positionV>
              <wp:extent cx="8449310" cy="0"/>
              <wp:wrapNone/>
              <wp:docPr id="221" name="Shape 221"/>
              <a:graphic xmlns:a="http://schemas.openxmlformats.org/drawingml/2006/main">
                <a:graphicData uri="http://schemas.microsoft.com/office/word/2010/wordprocessingShape">
                  <wps:wsp>
                    <wps:cNvCnPr/>
                    <wps:spPr>
                      <a:xfrm>
                        <a:ext cx="8449310" cy="0"/>
                      </a:xfrm>
                      <a:prstGeom prst="straightConnector1"/>
                      <a:ln w="12700">
                        <a:solidFill/>
                      </a:ln>
                    </wps:spPr>
                    <wps:bodyPr/>
                  </wps:wsp>
                </a:graphicData>
              </a:graphic>
            </wp:anchor>
          </w:drawing>
        </mc:Choice>
        <mc:Fallback>
          <w:pict>
            <v:shape o:spt="32" o:oned="true" path="m,l21600,21600e" style="position:absolute;margin-left:70.600000000000009pt;margin-top:55.550000000000004pt;width:665.30000000000007pt;height:0;z-index:-251658240;mso-position-horizontal-relative:page;mso-position-vertical-relative:page">
              <v:stroke weight="1.pt"/>
            </v:shape>
          </w:pict>
        </mc:Fallback>
      </mc:AlternateContent>
    </w:r>
  </w:p>
</w:hdr>
</file>

<file path=word/header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9" behindDoc="1" locked="0" layoutInCell="1" allowOverlap="1">
              <wp:simplePos x="0" y="0"/>
              <wp:positionH relativeFrom="page">
                <wp:posOffset>1423670</wp:posOffset>
              </wp:positionH>
              <wp:positionV relativeFrom="page">
                <wp:posOffset>556895</wp:posOffset>
              </wp:positionV>
              <wp:extent cx="2553970" cy="106680"/>
              <wp:wrapNone/>
              <wp:docPr id="224" name="Shape 224"/>
              <a:graphic xmlns:a="http://schemas.openxmlformats.org/drawingml/2006/main">
                <a:graphicData uri="http://schemas.microsoft.com/office/word/2010/wordprocessingShape">
                  <wps:wsp>
                    <wps:cNvSpPr txBox="1"/>
                    <wps:spPr>
                      <a:xfrm>
                        <a:ext cx="2553970" cy="10668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国盛金融控股集团股份有限公司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250" type="#_x0000_t202" style="position:absolute;margin-left:112.10000000000001pt;margin-top:43.850000000000001pt;width:201.09999999999999pt;height:8.4000000000000004pt;z-index:-188743954;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国盛金融控股集团股份有限公司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0</wp:posOffset>
              </wp:positionH>
              <wp:positionV relativeFrom="page">
                <wp:posOffset>705485</wp:posOffset>
              </wp:positionV>
              <wp:extent cx="3999230" cy="0"/>
              <wp:wrapNone/>
              <wp:docPr id="226" name="Shape 226"/>
              <a:graphic xmlns:a="http://schemas.openxmlformats.org/drawingml/2006/main">
                <a:graphicData uri="http://schemas.microsoft.com/office/word/2010/wordprocessingShape">
                  <wps:wsp>
                    <wps:cNvCnPr/>
                    <wps:spPr>
                      <a:xfrm>
                        <a:ext cx="3999230" cy="0"/>
                      </a:xfrm>
                      <a:prstGeom prst="straightConnector1"/>
                      <a:ln w="12700">
                        <a:solidFill/>
                      </a:ln>
                    </wps:spPr>
                    <wps:bodyPr/>
                  </wps:wsp>
                </a:graphicData>
              </a:graphic>
            </wp:anchor>
          </w:drawing>
        </mc:Choice>
        <mc:Fallback>
          <w:pict>
            <v:shape o:spt="32" o:oned="true" path="m,l21600,21600e" style="position:absolute;margin-left:0;margin-top:55.550000000000004pt;width:314.90000000000003pt;height:0;z-index:-251658240;mso-position-horizontal-relative:page;mso-position-vertical-relative:page">
              <v:stroke weight="1.pt"/>
            </v:shape>
          </w:pict>
        </mc:Fallback>
      </mc:AlternateContent>
    </w:r>
  </w:p>
</w:hdr>
</file>

<file path=word/header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3" behindDoc="1" locked="0" layoutInCell="1" allowOverlap="1">
              <wp:simplePos x="0" y="0"/>
              <wp:positionH relativeFrom="page">
                <wp:posOffset>3865245</wp:posOffset>
              </wp:positionH>
              <wp:positionV relativeFrom="page">
                <wp:posOffset>558165</wp:posOffset>
              </wp:positionV>
              <wp:extent cx="2557145" cy="106680"/>
              <wp:wrapNone/>
              <wp:docPr id="229" name="Shape 229"/>
              <a:graphic xmlns:a="http://schemas.openxmlformats.org/drawingml/2006/main">
                <a:graphicData uri="http://schemas.microsoft.com/office/word/2010/wordprocessingShape">
                  <wps:wsp>
                    <wps:cNvSpPr txBox="1"/>
                    <wps:spPr>
                      <a:xfrm>
                        <a:ext cx="2557145" cy="10668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国盛金融控股集团股份有限公司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255" type="#_x0000_t202" style="position:absolute;margin-left:304.35000000000002pt;margin-top:43.950000000000003pt;width:201.34999999999999pt;height:8.4000000000000004pt;z-index:-188743950;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国盛金融控股集团股份有限公司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1125220</wp:posOffset>
              </wp:positionH>
              <wp:positionV relativeFrom="page">
                <wp:posOffset>707390</wp:posOffset>
              </wp:positionV>
              <wp:extent cx="5318760" cy="0"/>
              <wp:wrapNone/>
              <wp:docPr id="231" name="Shape 231"/>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8.600000000000009pt;margin-top:55.700000000000003pt;width:418.80000000000001pt;height:0;z-index:-251658240;mso-position-horizontal-relative:page;mso-position-vertical-relative:page">
              <v:stroke weight="1.pt"/>
            </v:shape>
          </w:pict>
        </mc:Fallback>
      </mc:AlternateContent>
    </w:r>
  </w:p>
</w:hdr>
</file>

<file path=word/header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7" behindDoc="1" locked="0" layoutInCell="1" allowOverlap="1">
              <wp:simplePos x="0" y="0"/>
              <wp:positionH relativeFrom="page">
                <wp:posOffset>6770370</wp:posOffset>
              </wp:positionH>
              <wp:positionV relativeFrom="page">
                <wp:posOffset>556895</wp:posOffset>
              </wp:positionV>
              <wp:extent cx="2553970" cy="106680"/>
              <wp:wrapNone/>
              <wp:docPr id="234" name="Shape 234"/>
              <a:graphic xmlns:a="http://schemas.openxmlformats.org/drawingml/2006/main">
                <a:graphicData uri="http://schemas.microsoft.com/office/word/2010/wordprocessingShape">
                  <wps:wsp>
                    <wps:cNvSpPr txBox="1"/>
                    <wps:spPr>
                      <a:xfrm>
                        <a:ext cx="2553970" cy="10668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国盛金融控股集团股份有限公司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260" type="#_x0000_t202" style="position:absolute;margin-left:533.10000000000002pt;margin-top:43.850000000000001pt;width:201.09999999999999pt;height:8.4000000000000004pt;z-index:-188743946;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国盛金融控股集团股份有限公司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896620</wp:posOffset>
              </wp:positionH>
              <wp:positionV relativeFrom="page">
                <wp:posOffset>705485</wp:posOffset>
              </wp:positionV>
              <wp:extent cx="8449310" cy="0"/>
              <wp:wrapNone/>
              <wp:docPr id="236" name="Shape 236"/>
              <a:graphic xmlns:a="http://schemas.openxmlformats.org/drawingml/2006/main">
                <a:graphicData uri="http://schemas.microsoft.com/office/word/2010/wordprocessingShape">
                  <wps:wsp>
                    <wps:cNvCnPr/>
                    <wps:spPr>
                      <a:xfrm>
                        <a:ext cx="8449310" cy="0"/>
                      </a:xfrm>
                      <a:prstGeom prst="straightConnector1"/>
                      <a:ln w="12700">
                        <a:solidFill/>
                      </a:ln>
                    </wps:spPr>
                    <wps:bodyPr/>
                  </wps:wsp>
                </a:graphicData>
              </a:graphic>
            </wp:anchor>
          </w:drawing>
        </mc:Choice>
        <mc:Fallback>
          <w:pict>
            <v:shape o:spt="32" o:oned="true" path="m,l21600,21600e" style="position:absolute;margin-left:70.600000000000009pt;margin-top:55.550000000000004pt;width:665.30000000000007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9" behindDoc="1" locked="0" layoutInCell="1" allowOverlap="1">
              <wp:simplePos x="0" y="0"/>
              <wp:positionH relativeFrom="page">
                <wp:posOffset>7224395</wp:posOffset>
              </wp:positionH>
              <wp:positionV relativeFrom="page">
                <wp:posOffset>542925</wp:posOffset>
              </wp:positionV>
              <wp:extent cx="2553970" cy="106680"/>
              <wp:wrapNone/>
              <wp:docPr id="23" name="Shape 23"/>
              <a:graphic xmlns:a="http://schemas.openxmlformats.org/drawingml/2006/main">
                <a:graphicData uri="http://schemas.microsoft.com/office/word/2010/wordprocessingShape">
                  <wps:wsp>
                    <wps:cNvSpPr txBox="1"/>
                    <wps:spPr>
                      <a:xfrm>
                        <a:ext cx="255397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u w:val="single"/>
                            </w:rPr>
                            <w:t>国盛金融控股集团股份有限公司</w:t>
                          </w:r>
                          <w:r>
                            <w:rPr>
                              <w:color w:val="000000"/>
                              <w:spacing w:val="0"/>
                              <w:w w:val="100"/>
                              <w:position w:val="0"/>
                              <w:sz w:val="18"/>
                              <w:szCs w:val="18"/>
                              <w:u w:val="single"/>
                            </w:rPr>
                            <w:t>2020</w:t>
                          </w:r>
                          <w:r>
                            <w:rPr>
                              <w:rFonts w:ascii="SimSun" w:eastAsia="SimSun" w:hAnsi="SimSun" w:cs="SimSun"/>
                              <w:color w:val="000000"/>
                              <w:spacing w:val="0"/>
                              <w:w w:val="100"/>
                              <w:position w:val="0"/>
                              <w:sz w:val="18"/>
                              <w:szCs w:val="18"/>
                              <w:u w:val="single"/>
                            </w:rPr>
                            <w:t>年度报告全文</w:t>
                          </w:r>
                        </w:p>
                      </w:txbxContent>
                    </wps:txbx>
                    <wps:bodyPr wrap="none" lIns="0" tIns="0" rIns="0" bIns="0">
                      <a:spAutoFit/>
                    </wps:bodyPr>
                  </wps:wsp>
                </a:graphicData>
              </a:graphic>
            </wp:anchor>
          </w:drawing>
        </mc:Choice>
        <mc:Fallback>
          <w:pict>
            <v:shape id="_x0000_s1049" type="#_x0000_t202" style="position:absolute;margin-left:568.85000000000002pt;margin-top:42.75pt;width:201.09999999999999pt;height:8.4000000000000004pt;z-index:-188744054;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u w:val="single"/>
                      </w:rPr>
                      <w:t>国盛金融控股集团股份有限公司</w:t>
                    </w:r>
                    <w:r>
                      <w:rPr>
                        <w:color w:val="000000"/>
                        <w:spacing w:val="0"/>
                        <w:w w:val="100"/>
                        <w:position w:val="0"/>
                        <w:sz w:val="18"/>
                        <w:szCs w:val="18"/>
                        <w:u w:val="single"/>
                      </w:rPr>
                      <w:t>2020</w:t>
                    </w:r>
                    <w:r>
                      <w:rPr>
                        <w:rFonts w:ascii="SimSun" w:eastAsia="SimSun" w:hAnsi="SimSun" w:cs="SimSun"/>
                        <w:color w:val="000000"/>
                        <w:spacing w:val="0"/>
                        <w:w w:val="100"/>
                        <w:position w:val="0"/>
                        <w:sz w:val="18"/>
                        <w:szCs w:val="18"/>
                        <w:u w:val="single"/>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896620</wp:posOffset>
              </wp:positionH>
              <wp:positionV relativeFrom="page">
                <wp:posOffset>705485</wp:posOffset>
              </wp:positionV>
              <wp:extent cx="8903335" cy="0"/>
              <wp:wrapNone/>
              <wp:docPr id="25" name="Shape 25"/>
              <a:graphic xmlns:a="http://schemas.openxmlformats.org/drawingml/2006/main">
                <a:graphicData uri="http://schemas.microsoft.com/office/word/2010/wordprocessingShape">
                  <wps:wsp>
                    <wps:cNvCnPr/>
                    <wps:spPr>
                      <a:xfrm>
                        <a:ext cx="8903335" cy="0"/>
                      </a:xfrm>
                      <a:prstGeom prst="straightConnector1"/>
                      <a:ln w="12700">
                        <a:solidFill/>
                      </a:ln>
                    </wps:spPr>
                    <wps:bodyPr/>
                  </wps:wsp>
                </a:graphicData>
              </a:graphic>
            </wp:anchor>
          </w:drawing>
        </mc:Choice>
        <mc:Fallback>
          <w:pict>
            <v:shape o:spt="32" o:oned="true" path="m,l21600,21600e" style="position:absolute;margin-left:70.600000000000009pt;margin-top:55.550000000000004pt;width:701.05000000000007pt;height:0;z-index:-251658240;mso-position-horizontal-relative:page;mso-position-vertical-relative:page">
              <v:stroke weight="1.pt"/>
            </v:shape>
          </w:pict>
        </mc:Fallback>
      </mc:AlternateContent>
    </w:r>
  </w:p>
</w:hdr>
</file>

<file path=word/header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1" behindDoc="1" locked="0" layoutInCell="1" allowOverlap="1">
              <wp:simplePos x="0" y="0"/>
              <wp:positionH relativeFrom="page">
                <wp:posOffset>3865245</wp:posOffset>
              </wp:positionH>
              <wp:positionV relativeFrom="page">
                <wp:posOffset>558165</wp:posOffset>
              </wp:positionV>
              <wp:extent cx="2557145" cy="106680"/>
              <wp:wrapNone/>
              <wp:docPr id="247" name="Shape 247"/>
              <a:graphic xmlns:a="http://schemas.openxmlformats.org/drawingml/2006/main">
                <a:graphicData uri="http://schemas.microsoft.com/office/word/2010/wordprocessingShape">
                  <wps:wsp>
                    <wps:cNvSpPr txBox="1"/>
                    <wps:spPr>
                      <a:xfrm>
                        <a:ext cx="2557145" cy="10668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国盛金融控股集团股份有限公司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273" type="#_x0000_t202" style="position:absolute;margin-left:304.35000000000002pt;margin-top:43.950000000000003pt;width:201.34999999999999pt;height:8.4000000000000004pt;z-index:-188743942;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国盛金融控股集团股份有限公司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1125220</wp:posOffset>
              </wp:positionH>
              <wp:positionV relativeFrom="page">
                <wp:posOffset>707390</wp:posOffset>
              </wp:positionV>
              <wp:extent cx="5318760" cy="0"/>
              <wp:wrapNone/>
              <wp:docPr id="249" name="Shape 249"/>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8.600000000000009pt;margin-top:55.700000000000003pt;width:418.80000000000001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3" behindDoc="1" locked="0" layoutInCell="1" allowOverlap="1">
              <wp:simplePos x="0" y="0"/>
              <wp:positionH relativeFrom="page">
                <wp:posOffset>4281170</wp:posOffset>
              </wp:positionH>
              <wp:positionV relativeFrom="page">
                <wp:posOffset>558165</wp:posOffset>
              </wp:positionV>
              <wp:extent cx="2557145" cy="106680"/>
              <wp:wrapNone/>
              <wp:docPr id="28" name="Shape 28"/>
              <a:graphic xmlns:a="http://schemas.openxmlformats.org/drawingml/2006/main">
                <a:graphicData uri="http://schemas.microsoft.com/office/word/2010/wordprocessingShape">
                  <wps:wsp>
                    <wps:cNvSpPr txBox="1"/>
                    <wps:spPr>
                      <a:xfrm>
                        <a:ext cx="2557145"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国盛金融控股集团股份有限公司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年度报告全文</w:t>
                          </w:r>
                        </w:p>
                      </w:txbxContent>
                    </wps:txbx>
                    <wps:bodyPr wrap="none" lIns="0" tIns="0" rIns="0" bIns="0">
                      <a:spAutoFit/>
                    </wps:bodyPr>
                  </wps:wsp>
                </a:graphicData>
              </a:graphic>
            </wp:anchor>
          </w:drawing>
        </mc:Choice>
        <mc:Fallback>
          <w:pict>
            <v:shape id="_x0000_s1054" type="#_x0000_t202" style="position:absolute;margin-left:337.10000000000002pt;margin-top:43.950000000000003pt;width:201.34999999999999pt;height:8.4000000000000004pt;z-index:-188744050;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国盛金融控股集团股份有限公司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699770</wp:posOffset>
              </wp:positionH>
              <wp:positionV relativeFrom="page">
                <wp:posOffset>707390</wp:posOffset>
              </wp:positionV>
              <wp:extent cx="6160135" cy="0"/>
              <wp:wrapNone/>
              <wp:docPr id="30" name="Shape 30"/>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100000000000001pt;margin-top:55.700000000000003pt;width:485.05000000000001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7" behindDoc="1" locked="0" layoutInCell="1" allowOverlap="1">
              <wp:simplePos x="0" y="0"/>
              <wp:positionH relativeFrom="page">
                <wp:posOffset>7224395</wp:posOffset>
              </wp:positionH>
              <wp:positionV relativeFrom="page">
                <wp:posOffset>542925</wp:posOffset>
              </wp:positionV>
              <wp:extent cx="2553970" cy="106680"/>
              <wp:wrapNone/>
              <wp:docPr id="37" name="Shape 37"/>
              <a:graphic xmlns:a="http://schemas.openxmlformats.org/drawingml/2006/main">
                <a:graphicData uri="http://schemas.microsoft.com/office/word/2010/wordprocessingShape">
                  <wps:wsp>
                    <wps:cNvSpPr txBox="1"/>
                    <wps:spPr>
                      <a:xfrm>
                        <a:ext cx="255397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u w:val="single"/>
                            </w:rPr>
                            <w:t>国盛金融控股集团股份有限公司</w:t>
                          </w:r>
                          <w:r>
                            <w:rPr>
                              <w:color w:val="000000"/>
                              <w:spacing w:val="0"/>
                              <w:w w:val="100"/>
                              <w:position w:val="0"/>
                              <w:sz w:val="18"/>
                              <w:szCs w:val="18"/>
                              <w:u w:val="single"/>
                            </w:rPr>
                            <w:t>2020</w:t>
                          </w:r>
                          <w:r>
                            <w:rPr>
                              <w:rFonts w:ascii="SimSun" w:eastAsia="SimSun" w:hAnsi="SimSun" w:cs="SimSun"/>
                              <w:color w:val="000000"/>
                              <w:spacing w:val="0"/>
                              <w:w w:val="100"/>
                              <w:position w:val="0"/>
                              <w:sz w:val="18"/>
                              <w:szCs w:val="18"/>
                              <w:u w:val="single"/>
                            </w:rPr>
                            <w:t>年度报告全文</w:t>
                          </w:r>
                        </w:p>
                      </w:txbxContent>
                    </wps:txbx>
                    <wps:bodyPr wrap="none" lIns="0" tIns="0" rIns="0" bIns="0">
                      <a:spAutoFit/>
                    </wps:bodyPr>
                  </wps:wsp>
                </a:graphicData>
              </a:graphic>
            </wp:anchor>
          </w:drawing>
        </mc:Choice>
        <mc:Fallback>
          <w:pict>
            <v:shape id="_x0000_s1063" type="#_x0000_t202" style="position:absolute;margin-left:568.85000000000002pt;margin-top:42.75pt;width:201.09999999999999pt;height:8.4000000000000004pt;z-index:-188744046;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u w:val="single"/>
                      </w:rPr>
                      <w:t>国盛金融控股集团股份有限公司</w:t>
                    </w:r>
                    <w:r>
                      <w:rPr>
                        <w:color w:val="000000"/>
                        <w:spacing w:val="0"/>
                        <w:w w:val="100"/>
                        <w:position w:val="0"/>
                        <w:sz w:val="18"/>
                        <w:szCs w:val="18"/>
                        <w:u w:val="single"/>
                      </w:rPr>
                      <w:t>2020</w:t>
                    </w:r>
                    <w:r>
                      <w:rPr>
                        <w:rFonts w:ascii="SimSun" w:eastAsia="SimSun" w:hAnsi="SimSun" w:cs="SimSun"/>
                        <w:color w:val="000000"/>
                        <w:spacing w:val="0"/>
                        <w:w w:val="100"/>
                        <w:position w:val="0"/>
                        <w:sz w:val="18"/>
                        <w:szCs w:val="18"/>
                        <w:u w:val="single"/>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896620</wp:posOffset>
              </wp:positionH>
              <wp:positionV relativeFrom="page">
                <wp:posOffset>705485</wp:posOffset>
              </wp:positionV>
              <wp:extent cx="8903335" cy="0"/>
              <wp:wrapNone/>
              <wp:docPr id="39" name="Shape 39"/>
              <a:graphic xmlns:a="http://schemas.openxmlformats.org/drawingml/2006/main">
                <a:graphicData uri="http://schemas.microsoft.com/office/word/2010/wordprocessingShape">
                  <wps:wsp>
                    <wps:cNvCnPr/>
                    <wps:spPr>
                      <a:xfrm>
                        <a:ext cx="8903335" cy="0"/>
                      </a:xfrm>
                      <a:prstGeom prst="straightConnector1"/>
                      <a:ln w="12700">
                        <a:solidFill/>
                      </a:ln>
                    </wps:spPr>
                    <wps:bodyPr/>
                  </wps:wsp>
                </a:graphicData>
              </a:graphic>
            </wp:anchor>
          </w:drawing>
        </mc:Choice>
        <mc:Fallback>
          <w:pict>
            <v:shape o:spt="32" o:oned="true" path="m,l21600,21600e" style="position:absolute;margin-left:70.600000000000009pt;margin-top:55.550000000000004pt;width:701.05000000000007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1" behindDoc="1" locked="0" layoutInCell="1" allowOverlap="1">
              <wp:simplePos x="0" y="0"/>
              <wp:positionH relativeFrom="page">
                <wp:posOffset>4281170</wp:posOffset>
              </wp:positionH>
              <wp:positionV relativeFrom="page">
                <wp:posOffset>558165</wp:posOffset>
              </wp:positionV>
              <wp:extent cx="2557145" cy="106680"/>
              <wp:wrapNone/>
              <wp:docPr id="42" name="Shape 42"/>
              <a:graphic xmlns:a="http://schemas.openxmlformats.org/drawingml/2006/main">
                <a:graphicData uri="http://schemas.microsoft.com/office/word/2010/wordprocessingShape">
                  <wps:wsp>
                    <wps:cNvSpPr txBox="1"/>
                    <wps:spPr>
                      <a:xfrm>
                        <a:ext cx="2557145"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国盛金融控股集团股份有限公司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年度报告全文</w:t>
                          </w:r>
                        </w:p>
                      </w:txbxContent>
                    </wps:txbx>
                    <wps:bodyPr wrap="none" lIns="0" tIns="0" rIns="0" bIns="0">
                      <a:spAutoFit/>
                    </wps:bodyPr>
                  </wps:wsp>
                </a:graphicData>
              </a:graphic>
            </wp:anchor>
          </w:drawing>
        </mc:Choice>
        <mc:Fallback>
          <w:pict>
            <v:shape id="_x0000_s1068" type="#_x0000_t202" style="position:absolute;margin-left:337.10000000000002pt;margin-top:43.950000000000003pt;width:201.34999999999999pt;height:8.4000000000000004pt;z-index:-188744042;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国盛金融控股集团股份有限公司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699770</wp:posOffset>
              </wp:positionH>
              <wp:positionV relativeFrom="page">
                <wp:posOffset>707390</wp:posOffset>
              </wp:positionV>
              <wp:extent cx="6160135" cy="0"/>
              <wp:wrapNone/>
              <wp:docPr id="44" name="Shape 44"/>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100000000000001pt;margin-top:55.700000000000003pt;width:485.05000000000001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5" behindDoc="1" locked="0" layoutInCell="1" allowOverlap="1">
              <wp:simplePos x="0" y="0"/>
              <wp:positionH relativeFrom="page">
                <wp:posOffset>7224395</wp:posOffset>
              </wp:positionH>
              <wp:positionV relativeFrom="page">
                <wp:posOffset>542925</wp:posOffset>
              </wp:positionV>
              <wp:extent cx="2553970" cy="106680"/>
              <wp:wrapNone/>
              <wp:docPr id="47" name="Shape 47"/>
              <a:graphic xmlns:a="http://schemas.openxmlformats.org/drawingml/2006/main">
                <a:graphicData uri="http://schemas.microsoft.com/office/word/2010/wordprocessingShape">
                  <wps:wsp>
                    <wps:cNvSpPr txBox="1"/>
                    <wps:spPr>
                      <a:xfrm>
                        <a:ext cx="255397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u w:val="single"/>
                            </w:rPr>
                            <w:t>国盛金融控股集团股份有限公司</w:t>
                          </w:r>
                          <w:r>
                            <w:rPr>
                              <w:color w:val="000000"/>
                              <w:spacing w:val="0"/>
                              <w:w w:val="100"/>
                              <w:position w:val="0"/>
                              <w:sz w:val="18"/>
                              <w:szCs w:val="18"/>
                              <w:u w:val="single"/>
                            </w:rPr>
                            <w:t>2020</w:t>
                          </w:r>
                          <w:r>
                            <w:rPr>
                              <w:rFonts w:ascii="SimSun" w:eastAsia="SimSun" w:hAnsi="SimSun" w:cs="SimSun"/>
                              <w:color w:val="000000"/>
                              <w:spacing w:val="0"/>
                              <w:w w:val="100"/>
                              <w:position w:val="0"/>
                              <w:sz w:val="18"/>
                              <w:szCs w:val="18"/>
                              <w:u w:val="single"/>
                            </w:rPr>
                            <w:t>年度报告全文</w:t>
                          </w:r>
                        </w:p>
                      </w:txbxContent>
                    </wps:txbx>
                    <wps:bodyPr wrap="none" lIns="0" tIns="0" rIns="0" bIns="0">
                      <a:spAutoFit/>
                    </wps:bodyPr>
                  </wps:wsp>
                </a:graphicData>
              </a:graphic>
            </wp:anchor>
          </w:drawing>
        </mc:Choice>
        <mc:Fallback>
          <w:pict>
            <v:shape id="_x0000_s1073" type="#_x0000_t202" style="position:absolute;margin-left:568.85000000000002pt;margin-top:42.75pt;width:201.09999999999999pt;height:8.4000000000000004pt;z-index:-188744038;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u w:val="single"/>
                      </w:rPr>
                      <w:t>国盛金融控股集团股份有限公司</w:t>
                    </w:r>
                    <w:r>
                      <w:rPr>
                        <w:color w:val="000000"/>
                        <w:spacing w:val="0"/>
                        <w:w w:val="100"/>
                        <w:position w:val="0"/>
                        <w:sz w:val="18"/>
                        <w:szCs w:val="18"/>
                        <w:u w:val="single"/>
                      </w:rPr>
                      <w:t>2020</w:t>
                    </w:r>
                    <w:r>
                      <w:rPr>
                        <w:rFonts w:ascii="SimSun" w:eastAsia="SimSun" w:hAnsi="SimSun" w:cs="SimSun"/>
                        <w:color w:val="000000"/>
                        <w:spacing w:val="0"/>
                        <w:w w:val="100"/>
                        <w:position w:val="0"/>
                        <w:sz w:val="18"/>
                        <w:szCs w:val="18"/>
                        <w:u w:val="single"/>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896620</wp:posOffset>
              </wp:positionH>
              <wp:positionV relativeFrom="page">
                <wp:posOffset>705485</wp:posOffset>
              </wp:positionV>
              <wp:extent cx="8903335" cy="0"/>
              <wp:wrapNone/>
              <wp:docPr id="49" name="Shape 49"/>
              <a:graphic xmlns:a="http://schemas.openxmlformats.org/drawingml/2006/main">
                <a:graphicData uri="http://schemas.microsoft.com/office/word/2010/wordprocessingShape">
                  <wps:wsp>
                    <wps:cNvCnPr/>
                    <wps:spPr>
                      <a:xfrm>
                        <a:ext cx="8903335" cy="0"/>
                      </a:xfrm>
                      <a:prstGeom prst="straightConnector1"/>
                      <a:ln w="12700">
                        <a:solidFill/>
                      </a:ln>
                    </wps:spPr>
                    <wps:bodyPr/>
                  </wps:wsp>
                </a:graphicData>
              </a:graphic>
            </wp:anchor>
          </w:drawing>
        </mc:Choice>
        <mc:Fallback>
          <w:pict>
            <v:shape o:spt="32" o:oned="true" path="m,l21600,21600e" style="position:absolute;margin-left:70.600000000000009pt;margin-top:55.550000000000004pt;width:701.05000000000007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9" behindDoc="1" locked="0" layoutInCell="1" allowOverlap="1">
              <wp:simplePos x="0" y="0"/>
              <wp:positionH relativeFrom="page">
                <wp:posOffset>4284345</wp:posOffset>
              </wp:positionH>
              <wp:positionV relativeFrom="page">
                <wp:posOffset>553720</wp:posOffset>
              </wp:positionV>
              <wp:extent cx="2557145" cy="106680"/>
              <wp:wrapNone/>
              <wp:docPr id="52" name="Shape 52"/>
              <a:graphic xmlns:a="http://schemas.openxmlformats.org/drawingml/2006/main">
                <a:graphicData uri="http://schemas.microsoft.com/office/word/2010/wordprocessingShape">
                  <wps:wsp>
                    <wps:cNvSpPr txBox="1"/>
                    <wps:spPr>
                      <a:xfrm>
                        <a:ext cx="2557145" cy="10668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国盛金融控股集团股份有限公司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078" type="#_x0000_t202" style="position:absolute;margin-left:337.35000000000002pt;margin-top:43.600000000000001pt;width:201.34999999999999pt;height:8.4000000000000004pt;z-index:-188744034;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国盛金融控股集团股份有限公司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702945</wp:posOffset>
              </wp:positionH>
              <wp:positionV relativeFrom="page">
                <wp:posOffset>707390</wp:posOffset>
              </wp:positionV>
              <wp:extent cx="6160135" cy="0"/>
              <wp:wrapNone/>
              <wp:docPr id="54" name="Shape 54"/>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350000000000001pt;margin-top:55.700000000000003pt;width:485.05000000000001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
      <w:lvlText w:val="%1."/>
      <w:rPr>
        <w:rFonts w:ascii="Arial Narrow" w:eastAsia="Arial Narrow" w:hAnsi="Arial Narrow" w:cs="Arial Narrow"/>
        <w:b/>
        <w:bCs/>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upperLetter"/>
      <w:lvlText w:val="%1."/>
      <w:rPr>
        <w:rFonts w:ascii="Arial" w:eastAsia="Arial" w:hAnsi="Arial" w:cs="Arial"/>
        <w:b w:val="0"/>
        <w:bCs w:val="0"/>
        <w:i w:val="0"/>
        <w:iCs w:val="0"/>
        <w:smallCaps w:val="0"/>
        <w:strike w:val="0"/>
        <w:color w:val="000000"/>
        <w:spacing w:val="0"/>
        <w:w w:val="100"/>
        <w:position w:val="0"/>
        <w:sz w:val="17"/>
        <w:szCs w:val="17"/>
        <w:u w:val="none"/>
        <w:shd w:val="clear" w:color="auto" w:fill="auto"/>
      </w:rPr>
    </w:lvl>
  </w:abstractNum>
  <w:abstractNum w:abstractNumId="2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2">
    <w:multiLevelType w:val="multilevel"/>
    <w:lvl w:ilvl="0">
      <w:start w:val="1"/>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6">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0">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rPr>
    </w:lvl>
  </w:abstractNum>
  <w:abstractNum w:abstractNumId="92">
    <w:multiLevelType w:val="multilevel"/>
    <w:lvl w:ilvl="0">
      <w:start w:val="3"/>
      <w:numFmt w:val="decimal"/>
      <w:lvlText w:val="%1."/>
      <w:rPr>
        <w:rFonts w:ascii="Arial Narrow" w:eastAsia="Arial Narrow" w:hAnsi="Arial Narrow" w:cs="Arial Narrow"/>
        <w:b/>
        <w:bCs/>
        <w:i w:val="0"/>
        <w:iCs w:val="0"/>
        <w:smallCaps w:val="0"/>
        <w:strike w:val="0"/>
        <w:color w:val="000000"/>
        <w:spacing w:val="0"/>
        <w:w w:val="100"/>
        <w:position w:val="0"/>
        <w:sz w:val="20"/>
        <w:szCs w:val="20"/>
        <w:u w:val="none"/>
        <w:shd w:val="clear" w:color="auto" w:fill="auto"/>
      </w:rPr>
    </w:lvl>
  </w:abstractNum>
  <w:abstractNum w:abstractNumId="9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0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2">
    <w:multiLevelType w:val="multilevel"/>
    <w:lvl w:ilvl="0">
      <w:start w:val="2"/>
      <w:numFmt w:val="ideographDigit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04">
    <w:multiLevelType w:val="multilevel"/>
    <w:lvl w:ilvl="0">
      <w:start w:val="1"/>
      <w:numFmt w:val="decimal"/>
      <w:lvlText w:val="%1."/>
      <w:rPr>
        <w:rFonts w:ascii="Arial" w:eastAsia="Arial" w:hAnsi="Arial" w:cs="Arial"/>
        <w:b/>
        <w:bCs/>
        <w:i w:val="0"/>
        <w:iCs w:val="0"/>
        <w:smallCaps w:val="0"/>
        <w:strike w:val="0"/>
        <w:color w:val="000000"/>
        <w:spacing w:val="0"/>
        <w:w w:val="100"/>
        <w:position w:val="0"/>
        <w:sz w:val="20"/>
        <w:szCs w:val="20"/>
        <w:u w:val="none"/>
        <w:shd w:val="clear" w:color="auto" w:fill="auto"/>
      </w:rPr>
    </w:lvl>
  </w:abstractNum>
  <w:abstractNum w:abstractNumId="106">
    <w:multiLevelType w:val="multilevel"/>
    <w:lvl w:ilvl="0">
      <w:start w:val="3"/>
      <w:numFmt w:val="decimal"/>
      <w:lvlText w:val="%1."/>
      <w:rPr>
        <w:rFonts w:ascii="Arial" w:eastAsia="Arial" w:hAnsi="Arial" w:cs="Arial"/>
        <w:b/>
        <w:bCs/>
        <w:i w:val="0"/>
        <w:iCs w:val="0"/>
        <w:smallCaps w:val="0"/>
        <w:strike w:val="0"/>
        <w:color w:val="000000"/>
        <w:spacing w:val="0"/>
        <w:w w:val="100"/>
        <w:position w:val="0"/>
        <w:sz w:val="20"/>
        <w:szCs w:val="20"/>
        <w:u w:val="none"/>
        <w:shd w:val="clear" w:color="auto" w:fill="auto"/>
      </w:rPr>
    </w:lvl>
  </w:abstractNum>
  <w:abstractNum w:abstractNumId="108">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10">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1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4">
    <w:multiLevelType w:val="multilevel"/>
    <w:lvl w:ilvl="0">
      <w:start w:val="4"/>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18">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20">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其他_"/>
    <w:basedOn w:val="DefaultParagraphFont"/>
    <w:link w:val="Style2"/>
    <w:rPr>
      <w:rFonts w:ascii="SimSun" w:eastAsia="SimSun" w:hAnsi="SimSun" w:cs="SimSun"/>
      <w:b w:val="0"/>
      <w:bCs w:val="0"/>
      <w:i w:val="0"/>
      <w:iCs w:val="0"/>
      <w:smallCaps w:val="0"/>
      <w:strike w:val="0"/>
      <w:sz w:val="20"/>
      <w:szCs w:val="20"/>
      <w:u w:val="none"/>
      <w:shd w:val="clear" w:color="auto" w:fill="auto"/>
    </w:rPr>
  </w:style>
  <w:style w:type="character" w:customStyle="1" w:styleId="CharStyle7">
    <w:name w:val="页眉或页脚 (2)_"/>
    <w:basedOn w:val="DefaultParagraphFont"/>
    <w:link w:val="Style6"/>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5">
    <w:name w:val="标题 #1_"/>
    <w:basedOn w:val="DefaultParagraphFont"/>
    <w:link w:val="Style14"/>
    <w:rPr>
      <w:rFonts w:ascii="SimSun" w:eastAsia="SimSun" w:hAnsi="SimSun" w:cs="SimSun"/>
      <w:b/>
      <w:bCs/>
      <w:i w:val="0"/>
      <w:iCs w:val="0"/>
      <w:smallCaps w:val="0"/>
      <w:strike w:val="0"/>
      <w:sz w:val="32"/>
      <w:szCs w:val="32"/>
      <w:u w:val="none"/>
      <w:shd w:val="clear" w:color="auto" w:fill="auto"/>
    </w:rPr>
  </w:style>
  <w:style w:type="character" w:customStyle="1" w:styleId="CharStyle17">
    <w:name w:val="正文文本_"/>
    <w:basedOn w:val="DefaultParagraphFont"/>
    <w:link w:val="Style16"/>
    <w:rPr>
      <w:rFonts w:ascii="SimSun" w:eastAsia="SimSun" w:hAnsi="SimSun" w:cs="SimSun"/>
      <w:b w:val="0"/>
      <w:bCs w:val="0"/>
      <w:i w:val="0"/>
      <w:iCs w:val="0"/>
      <w:smallCaps w:val="0"/>
      <w:strike w:val="0"/>
      <w:sz w:val="20"/>
      <w:szCs w:val="20"/>
      <w:u w:val="none"/>
      <w:shd w:val="clear" w:color="auto" w:fill="auto"/>
    </w:rPr>
  </w:style>
  <w:style w:type="character" w:customStyle="1" w:styleId="CharStyle22">
    <w:name w:val="目录_"/>
    <w:basedOn w:val="DefaultParagraphFont"/>
    <w:link w:val="Style21"/>
    <w:rPr>
      <w:rFonts w:ascii="SimSun" w:eastAsia="SimSun" w:hAnsi="SimSun" w:cs="SimSun"/>
      <w:b w:val="0"/>
      <w:bCs w:val="0"/>
      <w:i w:val="0"/>
      <w:iCs w:val="0"/>
      <w:smallCaps w:val="0"/>
      <w:strike w:val="0"/>
      <w:sz w:val="22"/>
      <w:szCs w:val="22"/>
      <w:u w:val="none"/>
      <w:shd w:val="clear" w:color="auto" w:fill="auto"/>
    </w:rPr>
  </w:style>
  <w:style w:type="character" w:customStyle="1" w:styleId="CharStyle30">
    <w:name w:val="标题 #2_"/>
    <w:basedOn w:val="DefaultParagraphFont"/>
    <w:link w:val="Style29"/>
    <w:rPr>
      <w:rFonts w:ascii="SimSun" w:eastAsia="SimSun" w:hAnsi="SimSun" w:cs="SimSun"/>
      <w:b/>
      <w:bCs/>
      <w:i w:val="0"/>
      <w:iCs w:val="0"/>
      <w:smallCaps w:val="0"/>
      <w:strike w:val="0"/>
      <w:u w:val="none"/>
      <w:shd w:val="clear" w:color="auto" w:fill="auto"/>
    </w:rPr>
  </w:style>
  <w:style w:type="character" w:customStyle="1" w:styleId="CharStyle38">
    <w:name w:val="标题 #3_"/>
    <w:basedOn w:val="DefaultParagraphFont"/>
    <w:link w:val="Style37"/>
    <w:rPr>
      <w:rFonts w:ascii="SimSun" w:eastAsia="SimSun" w:hAnsi="SimSun" w:cs="SimSun"/>
      <w:b/>
      <w:bCs/>
      <w:i w:val="0"/>
      <w:iCs w:val="0"/>
      <w:smallCaps w:val="0"/>
      <w:strike w:val="0"/>
      <w:sz w:val="20"/>
      <w:szCs w:val="20"/>
      <w:u w:val="none"/>
      <w:shd w:val="clear" w:color="auto" w:fill="auto"/>
    </w:rPr>
  </w:style>
  <w:style w:type="character" w:customStyle="1" w:styleId="CharStyle41">
    <w:name w:val="表格标题_"/>
    <w:basedOn w:val="DefaultParagraphFont"/>
    <w:link w:val="Style40"/>
    <w:rPr>
      <w:rFonts w:ascii="SimSun" w:eastAsia="SimSun" w:hAnsi="SimSun" w:cs="SimSun"/>
      <w:b w:val="0"/>
      <w:bCs w:val="0"/>
      <w:i w:val="0"/>
      <w:iCs w:val="0"/>
      <w:smallCaps w:val="0"/>
      <w:strike w:val="0"/>
      <w:sz w:val="20"/>
      <w:szCs w:val="20"/>
      <w:u w:val="none"/>
      <w:shd w:val="clear" w:color="auto" w:fill="auto"/>
    </w:rPr>
  </w:style>
  <w:style w:type="character" w:customStyle="1" w:styleId="CharStyle52">
    <w:name w:val="标题 #4_"/>
    <w:basedOn w:val="DefaultParagraphFont"/>
    <w:link w:val="Style51"/>
    <w:rPr>
      <w:rFonts w:ascii="SimSun" w:eastAsia="SimSun" w:hAnsi="SimSun" w:cs="SimSun"/>
      <w:b/>
      <w:bCs/>
      <w:i w:val="0"/>
      <w:iCs w:val="0"/>
      <w:smallCaps w:val="0"/>
      <w:strike w:val="0"/>
      <w:sz w:val="20"/>
      <w:szCs w:val="20"/>
      <w:u w:val="none"/>
      <w:shd w:val="clear" w:color="auto" w:fill="auto"/>
    </w:rPr>
  </w:style>
  <w:style w:type="character" w:customStyle="1" w:styleId="CharStyle70">
    <w:name w:val="页眉或页脚_"/>
    <w:basedOn w:val="DefaultParagraphFont"/>
    <w:link w:val="Style69"/>
    <w:rPr>
      <w:rFonts w:ascii="SimSun" w:eastAsia="SimSun" w:hAnsi="SimSun" w:cs="SimSun"/>
      <w:b w:val="0"/>
      <w:bCs w:val="0"/>
      <w:i w:val="0"/>
      <w:iCs w:val="0"/>
      <w:smallCaps w:val="0"/>
      <w:strike w:val="0"/>
      <w:sz w:val="18"/>
      <w:szCs w:val="18"/>
      <w:u w:val="none"/>
      <w:shd w:val="clear" w:color="auto" w:fill="auto"/>
    </w:rPr>
  </w:style>
  <w:style w:type="character" w:customStyle="1" w:styleId="CharStyle76">
    <w:name w:val="正文文本 (4)_"/>
    <w:basedOn w:val="DefaultParagraphFont"/>
    <w:link w:val="Style75"/>
    <w:rPr>
      <w:rFonts w:ascii="SimSun" w:eastAsia="SimSun" w:hAnsi="SimSun" w:cs="SimSun"/>
      <w:b/>
      <w:bCs/>
      <w:i w:val="0"/>
      <w:iCs w:val="0"/>
      <w:smallCaps w:val="0"/>
      <w:strike w:val="0"/>
      <w:u w:val="none"/>
      <w:shd w:val="clear" w:color="auto" w:fill="auto"/>
    </w:rPr>
  </w:style>
  <w:style w:type="character" w:customStyle="1" w:styleId="CharStyle90">
    <w:name w:val="图片标题_"/>
    <w:basedOn w:val="DefaultParagraphFont"/>
    <w:link w:val="Style89"/>
    <w:rPr>
      <w:rFonts w:ascii="SimSun" w:eastAsia="SimSun" w:hAnsi="SimSun" w:cs="SimSun"/>
      <w:b w:val="0"/>
      <w:bCs w:val="0"/>
      <w:i w:val="0"/>
      <w:iCs w:val="0"/>
      <w:smallCaps w:val="0"/>
      <w:strike w:val="0"/>
      <w:sz w:val="20"/>
      <w:szCs w:val="20"/>
      <w:u w:val="none"/>
      <w:shd w:val="clear" w:color="auto" w:fill="auto"/>
    </w:rPr>
  </w:style>
  <w:style w:type="character" w:customStyle="1" w:styleId="CharStyle98">
    <w:name w:val="正文文本 (6)_"/>
    <w:basedOn w:val="DefaultParagraphFont"/>
    <w:link w:val="Style97"/>
    <w:rPr>
      <w:rFonts w:ascii="Times New Roman" w:eastAsia="Times New Roman" w:hAnsi="Times New Roman" w:cs="Times New Roman"/>
      <w:b/>
      <w:bCs/>
      <w:i w:val="0"/>
      <w:iCs w:val="0"/>
      <w:smallCaps w:val="0"/>
      <w:strike w:val="0"/>
      <w:sz w:val="20"/>
      <w:szCs w:val="20"/>
      <w:u w:val="none"/>
      <w:shd w:val="clear" w:color="auto" w:fill="auto"/>
    </w:rPr>
  </w:style>
  <w:style w:type="character" w:customStyle="1" w:styleId="CharStyle101">
    <w:name w:val="正文文本 (5)_"/>
    <w:basedOn w:val="DefaultParagraphFont"/>
    <w:link w:val="Style100"/>
    <w:rPr>
      <w:rFonts w:ascii="SimSun" w:eastAsia="SimSun" w:hAnsi="SimSun" w:cs="SimSun"/>
      <w:b w:val="0"/>
      <w:bCs w:val="0"/>
      <w:i w:val="0"/>
      <w:iCs w:val="0"/>
      <w:smallCaps w:val="0"/>
      <w:strike w:val="0"/>
      <w:sz w:val="18"/>
      <w:szCs w:val="18"/>
      <w:u w:val="none"/>
      <w:shd w:val="clear" w:color="auto" w:fill="auto"/>
    </w:rPr>
  </w:style>
  <w:style w:type="character" w:customStyle="1" w:styleId="CharStyle104">
    <w:name w:val="正文文本 (7)_"/>
    <w:basedOn w:val="DefaultParagraphFont"/>
    <w:link w:val="Style103"/>
    <w:rPr>
      <w:rFonts w:ascii="SimSun" w:eastAsia="SimSun" w:hAnsi="SimSun" w:cs="SimSun"/>
      <w:b w:val="0"/>
      <w:bCs w:val="0"/>
      <w:i w:val="0"/>
      <w:iCs w:val="0"/>
      <w:smallCaps w:val="0"/>
      <w:strike w:val="0"/>
      <w:sz w:val="13"/>
      <w:szCs w:val="13"/>
      <w:u w:val="none"/>
      <w:shd w:val="clear" w:color="auto" w:fill="auto"/>
    </w:rPr>
  </w:style>
  <w:style w:type="character" w:customStyle="1" w:styleId="CharStyle117">
    <w:name w:val="正文文本 (8)_"/>
    <w:basedOn w:val="DefaultParagraphFont"/>
    <w:link w:val="Style116"/>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127">
    <w:name w:val="标题 #5_"/>
    <w:basedOn w:val="DefaultParagraphFont"/>
    <w:link w:val="Style126"/>
    <w:rPr>
      <w:rFonts w:ascii="SimSun" w:eastAsia="SimSun" w:hAnsi="SimSun" w:cs="SimSun"/>
      <w:b/>
      <w:bCs/>
      <w:i w:val="0"/>
      <w:iCs w:val="0"/>
      <w:smallCaps w:val="0"/>
      <w:strike w:val="0"/>
      <w:sz w:val="20"/>
      <w:szCs w:val="20"/>
      <w:u w:val="none"/>
      <w:shd w:val="clear" w:color="auto" w:fill="auto"/>
    </w:rPr>
  </w:style>
  <w:style w:type="paragraph" w:customStyle="1" w:styleId="Style2">
    <w:name w:val="其他"/>
    <w:basedOn w:val="Normal"/>
    <w:link w:val="CharStyle3"/>
    <w:pPr>
      <w:widowControl w:val="0"/>
      <w:shd w:val="clear" w:color="auto" w:fill="auto"/>
      <w:spacing w:line="326"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6">
    <w:name w:val="页眉或页脚 (2)"/>
    <w:basedOn w:val="Normal"/>
    <w:link w:val="CharStyle7"/>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4">
    <w:name w:val="标题 #1"/>
    <w:basedOn w:val="Normal"/>
    <w:link w:val="CharStyle15"/>
    <w:pPr>
      <w:widowControl w:val="0"/>
      <w:shd w:val="clear" w:color="auto" w:fill="auto"/>
      <w:spacing w:before="260" w:after="53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6">
    <w:name w:val="正文文本"/>
    <w:basedOn w:val="Normal"/>
    <w:link w:val="CharStyle17"/>
    <w:pPr>
      <w:widowControl w:val="0"/>
      <w:shd w:val="clear" w:color="auto" w:fill="auto"/>
      <w:spacing w:line="326"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21">
    <w:name w:val="目录"/>
    <w:basedOn w:val="Normal"/>
    <w:link w:val="CharStyle22"/>
    <w:pPr>
      <w:widowControl w:val="0"/>
      <w:shd w:val="clear" w:color="auto" w:fill="auto"/>
      <w:spacing w:after="200"/>
      <w:ind w:firstLine="680"/>
    </w:pPr>
    <w:rPr>
      <w:rFonts w:ascii="SimSun" w:eastAsia="SimSun" w:hAnsi="SimSun" w:cs="SimSun"/>
      <w:b w:val="0"/>
      <w:bCs w:val="0"/>
      <w:i w:val="0"/>
      <w:iCs w:val="0"/>
      <w:smallCaps w:val="0"/>
      <w:strike w:val="0"/>
      <w:sz w:val="22"/>
      <w:szCs w:val="22"/>
      <w:u w:val="none"/>
      <w:shd w:val="clear" w:color="auto" w:fill="auto"/>
    </w:rPr>
  </w:style>
  <w:style w:type="paragraph" w:customStyle="1" w:styleId="Style29">
    <w:name w:val="标题 #2"/>
    <w:basedOn w:val="Normal"/>
    <w:link w:val="CharStyle30"/>
    <w:pPr>
      <w:widowControl w:val="0"/>
      <w:shd w:val="clear" w:color="auto" w:fill="auto"/>
      <w:spacing w:after="300"/>
      <w:ind w:firstLine="620"/>
      <w:outlineLvl w:val="1"/>
    </w:pPr>
    <w:rPr>
      <w:rFonts w:ascii="SimSun" w:eastAsia="SimSun" w:hAnsi="SimSun" w:cs="SimSun"/>
      <w:b/>
      <w:bCs/>
      <w:i w:val="0"/>
      <w:iCs w:val="0"/>
      <w:smallCaps w:val="0"/>
      <w:strike w:val="0"/>
      <w:u w:val="none"/>
      <w:shd w:val="clear" w:color="auto" w:fill="auto"/>
    </w:rPr>
  </w:style>
  <w:style w:type="paragraph" w:customStyle="1" w:styleId="Style37">
    <w:name w:val="标题 #3"/>
    <w:basedOn w:val="Normal"/>
    <w:link w:val="CharStyle38"/>
    <w:pPr>
      <w:widowControl w:val="0"/>
      <w:shd w:val="clear" w:color="auto" w:fill="auto"/>
      <w:spacing w:after="290" w:line="310" w:lineRule="auto"/>
      <w:ind w:firstLine="31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40">
    <w:name w:val="表格标题"/>
    <w:basedOn w:val="Normal"/>
    <w:link w:val="CharStyle41"/>
    <w:pPr>
      <w:widowControl w:val="0"/>
      <w:shd w:val="clear" w:color="auto" w:fill="auto"/>
    </w:pPr>
    <w:rPr>
      <w:rFonts w:ascii="SimSun" w:eastAsia="SimSun" w:hAnsi="SimSun" w:cs="SimSun"/>
      <w:b w:val="0"/>
      <w:bCs w:val="0"/>
      <w:i w:val="0"/>
      <w:iCs w:val="0"/>
      <w:smallCaps w:val="0"/>
      <w:strike w:val="0"/>
      <w:sz w:val="20"/>
      <w:szCs w:val="20"/>
      <w:u w:val="none"/>
      <w:shd w:val="clear" w:color="auto" w:fill="auto"/>
    </w:rPr>
  </w:style>
  <w:style w:type="paragraph" w:customStyle="1" w:styleId="Style51">
    <w:name w:val="标题 #4"/>
    <w:basedOn w:val="Normal"/>
    <w:link w:val="CharStyle52"/>
    <w:pPr>
      <w:widowControl w:val="0"/>
      <w:shd w:val="clear" w:color="auto" w:fill="auto"/>
      <w:spacing w:after="350" w:line="430" w:lineRule="auto"/>
      <w:ind w:firstLine="22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69">
    <w:name w:val="页眉或页脚"/>
    <w:basedOn w:val="Normal"/>
    <w:link w:val="CharStyle70"/>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75">
    <w:name w:val="正文文本 (4)"/>
    <w:basedOn w:val="Normal"/>
    <w:link w:val="CharStyle76"/>
    <w:pPr>
      <w:widowControl w:val="0"/>
      <w:shd w:val="clear" w:color="auto" w:fill="auto"/>
      <w:spacing w:after="300"/>
    </w:pPr>
    <w:rPr>
      <w:rFonts w:ascii="SimSun" w:eastAsia="SimSun" w:hAnsi="SimSun" w:cs="SimSun"/>
      <w:b/>
      <w:bCs/>
      <w:i w:val="0"/>
      <w:iCs w:val="0"/>
      <w:smallCaps w:val="0"/>
      <w:strike w:val="0"/>
      <w:u w:val="none"/>
      <w:shd w:val="clear" w:color="auto" w:fill="auto"/>
    </w:rPr>
  </w:style>
  <w:style w:type="paragraph" w:customStyle="1" w:styleId="Style89">
    <w:name w:val="图片标题"/>
    <w:basedOn w:val="Normal"/>
    <w:link w:val="CharStyle90"/>
    <w:pPr>
      <w:widowControl w:val="0"/>
      <w:shd w:val="clear" w:color="auto" w:fill="auto"/>
      <w:jc w:val="center"/>
    </w:pPr>
    <w:rPr>
      <w:rFonts w:ascii="SimSun" w:eastAsia="SimSun" w:hAnsi="SimSun" w:cs="SimSun"/>
      <w:b w:val="0"/>
      <w:bCs w:val="0"/>
      <w:i w:val="0"/>
      <w:iCs w:val="0"/>
      <w:smallCaps w:val="0"/>
      <w:strike w:val="0"/>
      <w:sz w:val="20"/>
      <w:szCs w:val="20"/>
      <w:u w:val="none"/>
      <w:shd w:val="clear" w:color="auto" w:fill="auto"/>
    </w:rPr>
  </w:style>
  <w:style w:type="paragraph" w:customStyle="1" w:styleId="Style97">
    <w:name w:val="正文文本 (6)"/>
    <w:basedOn w:val="Normal"/>
    <w:link w:val="CharStyle98"/>
    <w:pPr>
      <w:widowControl w:val="0"/>
      <w:shd w:val="clear" w:color="auto" w:fill="auto"/>
      <w:jc w:val="center"/>
    </w:pPr>
    <w:rPr>
      <w:rFonts w:ascii="Times New Roman" w:eastAsia="Times New Roman" w:hAnsi="Times New Roman" w:cs="Times New Roman"/>
      <w:b/>
      <w:bCs/>
      <w:i w:val="0"/>
      <w:iCs w:val="0"/>
      <w:smallCaps w:val="0"/>
      <w:strike w:val="0"/>
      <w:sz w:val="20"/>
      <w:szCs w:val="20"/>
      <w:u w:val="none"/>
      <w:shd w:val="clear" w:color="auto" w:fill="auto"/>
    </w:rPr>
  </w:style>
  <w:style w:type="paragraph" w:customStyle="1" w:styleId="Style100">
    <w:name w:val="正文文本 (5)"/>
    <w:basedOn w:val="Normal"/>
    <w:link w:val="CharStyle101"/>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103">
    <w:name w:val="正文文本 (7)"/>
    <w:basedOn w:val="Normal"/>
    <w:link w:val="CharStyle104"/>
    <w:pPr>
      <w:widowControl w:val="0"/>
      <w:shd w:val="clear" w:color="auto" w:fill="auto"/>
      <w:spacing w:after="120"/>
      <w:ind w:left="3930"/>
      <w:jc w:val="center"/>
    </w:pPr>
    <w:rPr>
      <w:rFonts w:ascii="SimSun" w:eastAsia="SimSun" w:hAnsi="SimSun" w:cs="SimSun"/>
      <w:b w:val="0"/>
      <w:bCs w:val="0"/>
      <w:i w:val="0"/>
      <w:iCs w:val="0"/>
      <w:smallCaps w:val="0"/>
      <w:strike w:val="0"/>
      <w:sz w:val="13"/>
      <w:szCs w:val="13"/>
      <w:u w:val="none"/>
      <w:shd w:val="clear" w:color="auto" w:fill="auto"/>
    </w:rPr>
  </w:style>
  <w:style w:type="paragraph" w:customStyle="1" w:styleId="Style116">
    <w:name w:val="正文文本 (8)"/>
    <w:basedOn w:val="Normal"/>
    <w:link w:val="CharStyle117"/>
    <w:pPr>
      <w:widowControl w:val="0"/>
      <w:shd w:val="clear" w:color="auto" w:fill="auto"/>
      <w:spacing w:line="408" w:lineRule="exact"/>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126">
    <w:name w:val="标题 #5"/>
    <w:basedOn w:val="Normal"/>
    <w:link w:val="CharStyle127"/>
    <w:pPr>
      <w:widowControl w:val="0"/>
      <w:shd w:val="clear" w:color="auto" w:fill="auto"/>
      <w:spacing w:line="413" w:lineRule="exact"/>
      <w:ind w:firstLine="480"/>
      <w:outlineLvl w:val="4"/>
    </w:pPr>
    <w:rPr>
      <w:rFonts w:ascii="SimSun" w:eastAsia="SimSun" w:hAnsi="SimSun" w:cs="SimSun"/>
      <w:b/>
      <w:bCs/>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image" Target="media/image1.jpeg"/><Relationship Id="rId10" Type="http://schemas.openxmlformats.org/officeDocument/2006/relationships/image" Target="media/image1.jpeg" TargetMode="Externa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header" Target="header4.xml"/><Relationship Id="rId14" Type="http://schemas.openxmlformats.org/officeDocument/2006/relationships/footer" Target="footer4.xml"/><Relationship Id="rId15" Type="http://schemas.openxmlformats.org/officeDocument/2006/relationships/header" Target="header5.xml"/><Relationship Id="rId16" Type="http://schemas.openxmlformats.org/officeDocument/2006/relationships/footer" Target="footer5.xml"/><Relationship Id="rId17" Type="http://schemas.openxmlformats.org/officeDocument/2006/relationships/header" Target="header6.xml"/><Relationship Id="rId18" Type="http://schemas.openxmlformats.org/officeDocument/2006/relationships/footer" Target="footer6.xml"/><Relationship Id="rId19" Type="http://schemas.openxmlformats.org/officeDocument/2006/relationships/header" Target="header7.xml"/><Relationship Id="rId20" Type="http://schemas.openxmlformats.org/officeDocument/2006/relationships/footer" Target="footer7.xml"/><Relationship Id="rId21" Type="http://schemas.openxmlformats.org/officeDocument/2006/relationships/header" Target="header8.xml"/><Relationship Id="rId22" Type="http://schemas.openxmlformats.org/officeDocument/2006/relationships/footer" Target="footer8.xml"/><Relationship Id="rId23" Type="http://schemas.openxmlformats.org/officeDocument/2006/relationships/header" Target="header9.xml"/><Relationship Id="rId24" Type="http://schemas.openxmlformats.org/officeDocument/2006/relationships/footer" Target="footer9.xml"/><Relationship Id="rId25" Type="http://schemas.openxmlformats.org/officeDocument/2006/relationships/header" Target="header10.xml"/><Relationship Id="rId26" Type="http://schemas.openxmlformats.org/officeDocument/2006/relationships/footer" Target="footer10.xml"/><Relationship Id="rId27" Type="http://schemas.openxmlformats.org/officeDocument/2006/relationships/image" Target="media/image2.jpeg"/><Relationship Id="rId28" Type="http://schemas.openxmlformats.org/officeDocument/2006/relationships/image" Target="media/image2.jpeg" TargetMode="External"/><Relationship Id="rId29" Type="http://schemas.openxmlformats.org/officeDocument/2006/relationships/header" Target="header11.xml"/><Relationship Id="rId30" Type="http://schemas.openxmlformats.org/officeDocument/2006/relationships/footer" Target="footer11.xml"/><Relationship Id="rId31" Type="http://schemas.openxmlformats.org/officeDocument/2006/relationships/header" Target="header12.xml"/><Relationship Id="rId32" Type="http://schemas.openxmlformats.org/officeDocument/2006/relationships/footer" Target="footer12.xml"/><Relationship Id="rId33" Type="http://schemas.openxmlformats.org/officeDocument/2006/relationships/header" Target="header13.xml"/><Relationship Id="rId34" Type="http://schemas.openxmlformats.org/officeDocument/2006/relationships/footer" Target="footer13.xml"/><Relationship Id="rId35" Type="http://schemas.openxmlformats.org/officeDocument/2006/relationships/header" Target="header14.xml"/><Relationship Id="rId36" Type="http://schemas.openxmlformats.org/officeDocument/2006/relationships/footer" Target="footer14.xml"/><Relationship Id="rId37" Type="http://schemas.openxmlformats.org/officeDocument/2006/relationships/header" Target="header15.xml"/><Relationship Id="rId38" Type="http://schemas.openxmlformats.org/officeDocument/2006/relationships/footer" Target="footer15.xml"/><Relationship Id="rId39" Type="http://schemas.openxmlformats.org/officeDocument/2006/relationships/header" Target="header16.xml"/><Relationship Id="rId40" Type="http://schemas.openxmlformats.org/officeDocument/2006/relationships/footer" Target="footer16.xml"/><Relationship Id="rId41" Type="http://schemas.openxmlformats.org/officeDocument/2006/relationships/header" Target="header17.xml"/><Relationship Id="rId42" Type="http://schemas.openxmlformats.org/officeDocument/2006/relationships/footer" Target="footer17.xml"/><Relationship Id="rId43" Type="http://schemas.openxmlformats.org/officeDocument/2006/relationships/header" Target="header18.xml"/><Relationship Id="rId44" Type="http://schemas.openxmlformats.org/officeDocument/2006/relationships/footer" Target="footer18.xml"/><Relationship Id="rId45" Type="http://schemas.openxmlformats.org/officeDocument/2006/relationships/header" Target="header19.xml"/><Relationship Id="rId46" Type="http://schemas.openxmlformats.org/officeDocument/2006/relationships/footer" Target="footer19.xml"/><Relationship Id="rId47" Type="http://schemas.openxmlformats.org/officeDocument/2006/relationships/header" Target="header20.xml"/><Relationship Id="rId48" Type="http://schemas.openxmlformats.org/officeDocument/2006/relationships/footer" Target="footer20.xml"/><Relationship Id="rId49" Type="http://schemas.openxmlformats.org/officeDocument/2006/relationships/header" Target="header21.xml"/><Relationship Id="rId50" Type="http://schemas.openxmlformats.org/officeDocument/2006/relationships/footer" Target="footer21.xml"/><Relationship Id="rId51" Type="http://schemas.openxmlformats.org/officeDocument/2006/relationships/header" Target="header22.xml"/><Relationship Id="rId52" Type="http://schemas.openxmlformats.org/officeDocument/2006/relationships/footer" Target="footer22.xml"/><Relationship Id="rId53" Type="http://schemas.openxmlformats.org/officeDocument/2006/relationships/header" Target="header23.xml"/><Relationship Id="rId54" Type="http://schemas.openxmlformats.org/officeDocument/2006/relationships/footer" Target="footer23.xml"/><Relationship Id="rId55" Type="http://schemas.openxmlformats.org/officeDocument/2006/relationships/header" Target="header24.xml"/><Relationship Id="rId56" Type="http://schemas.openxmlformats.org/officeDocument/2006/relationships/footer" Target="footer24.xml"/><Relationship Id="rId57" Type="http://schemas.openxmlformats.org/officeDocument/2006/relationships/header" Target="header25.xml"/><Relationship Id="rId58" Type="http://schemas.openxmlformats.org/officeDocument/2006/relationships/footer" Target="footer25.xml"/><Relationship Id="rId59" Type="http://schemas.openxmlformats.org/officeDocument/2006/relationships/header" Target="header26.xml"/><Relationship Id="rId60" Type="http://schemas.openxmlformats.org/officeDocument/2006/relationships/footer" Target="footer26.xml"/><Relationship Id="rId61" Type="http://schemas.openxmlformats.org/officeDocument/2006/relationships/header" Target="header27.xml"/><Relationship Id="rId62" Type="http://schemas.openxmlformats.org/officeDocument/2006/relationships/footer" Target="footer27.xml"/><Relationship Id="rId63" Type="http://schemas.openxmlformats.org/officeDocument/2006/relationships/header" Target="header28.xml"/><Relationship Id="rId64" Type="http://schemas.openxmlformats.org/officeDocument/2006/relationships/footer" Target="footer28.xml"/><Relationship Id="rId65" Type="http://schemas.openxmlformats.org/officeDocument/2006/relationships/header" Target="header29.xml"/><Relationship Id="rId66" Type="http://schemas.openxmlformats.org/officeDocument/2006/relationships/footer" Target="footer29.xml"/><Relationship Id="rId67" Type="http://schemas.openxmlformats.org/officeDocument/2006/relationships/header" Target="header30.xml"/><Relationship Id="rId68" Type="http://schemas.openxmlformats.org/officeDocument/2006/relationships/footer" Target="footer30.xml"/></Relationships>
</file>

<file path=docProps/core.xml><?xml version="1.0" encoding="utf-8"?>
<cp:coreProperties xmlns:cp="http://schemas.openxmlformats.org/package/2006/metadata/core-properties" xmlns:dc="http://purl.org/dc/elements/1.1/">
  <dc:title>国盛金融控股集团股份有限公司2019年年度报告全文</dc:title>
  <dc:subject/>
  <dc:creator>国盛金融控股集团股份有限公司</dc:creator>
  <cp:keywords/>
</cp:coreProperties>
</file>