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16" w:lineRule="exact"/>
        <w:ind w:left="327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2149433" cy="7086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49433" cy="708659"/>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spacing w:line="580" w:lineRule="exact" w:before="0"/>
        <w:ind w:left="0" w:right="986" w:firstLine="0"/>
        <w:jc w:val="center"/>
        <w:rPr>
          <w:rFonts w:ascii="宋体" w:hAnsi="宋体" w:cs="宋体" w:eastAsia="宋体" w:hint="default"/>
          <w:sz w:val="48"/>
          <w:szCs w:val="48"/>
        </w:rPr>
      </w:pPr>
      <w:r>
        <w:rPr>
          <w:rFonts w:ascii="宋体" w:hAnsi="宋体" w:cs="宋体" w:eastAsia="宋体" w:hint="default"/>
          <w:b/>
          <w:bCs/>
          <w:sz w:val="48"/>
          <w:szCs w:val="48"/>
        </w:rPr>
        <w:t>美盛文化创意股份有限公司</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7"/>
        <w:rPr>
          <w:rFonts w:ascii="宋体" w:hAnsi="宋体" w:cs="宋体" w:eastAsia="宋体" w:hint="default"/>
          <w:b/>
          <w:bCs/>
          <w:sz w:val="39"/>
          <w:szCs w:val="39"/>
        </w:rPr>
      </w:pPr>
    </w:p>
    <w:p>
      <w:pPr>
        <w:spacing w:before="0"/>
        <w:ind w:left="0" w:right="978"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2012 </w:t>
      </w:r>
      <w:r>
        <w:rPr>
          <w:rFonts w:ascii="宋体" w:hAnsi="宋体" w:cs="宋体" w:eastAsia="宋体" w:hint="default"/>
          <w:b/>
          <w:bCs/>
          <w:sz w:val="48"/>
          <w:szCs w:val="48"/>
        </w:rPr>
        <w:t>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2"/>
        <w:rPr>
          <w:rFonts w:ascii="宋体" w:hAnsi="宋体" w:cs="宋体" w:eastAsia="宋体" w:hint="default"/>
          <w:b/>
          <w:bCs/>
          <w:sz w:val="57"/>
          <w:szCs w:val="57"/>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公司负责人赵小强、主管会计工作负责人俞锦洪及会计机构负责人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石军龙声明：保证年度报告中财务报告的真实、准确、完整。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982"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6"/>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line="475" w:lineRule="auto" w:before="236"/>
        <w:ind w:left="714" w:right="982" w:hanging="563"/>
        <w:jc w:val="left"/>
        <w:rPr>
          <w:rFonts w:ascii="宋体" w:hAnsi="宋体" w:cs="宋体" w:eastAsia="宋体" w:hint="default"/>
          <w:sz w:val="28"/>
          <w:szCs w:val="28"/>
        </w:rPr>
      </w:pPr>
      <w:r>
        <w:rPr>
          <w:rFonts w:ascii="宋体" w:hAnsi="宋体" w:cs="宋体" w:eastAsia="宋体" w:hint="default"/>
          <w:b/>
          <w:bCs/>
          <w:spacing w:val="-10"/>
          <w:w w:val="99"/>
          <w:sz w:val="28"/>
          <w:szCs w:val="28"/>
        </w:rPr>
        <w:t>（含税），不以公积金转增股本。</w:t>
      </w:r>
      <w:r>
        <w:rPr>
          <w:rFonts w:ascii="宋体" w:hAnsi="宋体" w:cs="宋体" w:eastAsia="宋体" w:hint="default"/>
          <w:b/>
          <w:bCs/>
          <w:spacing w:val="-127"/>
          <w:w w:val="99"/>
          <w:sz w:val="28"/>
          <w:szCs w:val="28"/>
        </w:rPr>
        <w:t> </w:t>
      </w:r>
      <w:r>
        <w:rPr>
          <w:rFonts w:ascii="宋体" w:hAnsi="宋体" w:cs="宋体" w:eastAsia="宋体" w:hint="default"/>
          <w:b/>
          <w:bCs/>
          <w:spacing w:val="-127"/>
          <w:w w:val="99"/>
          <w:sz w:val="28"/>
          <w:szCs w:val="28"/>
        </w:rPr>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350" w:lineRule="exact" w:before="0"/>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8"/>
          <w:pgSz w:w="11910" w:h="16840"/>
          <w:pgMar w:footer="1301" w:header="745" w:top="1060" w:bottom="150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8">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 董事、监事、高级管理人员和员工情况</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公司治理</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TOC_250002">
            <w:r>
              <w:rPr/>
              <w:t>第九节 内部控制</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6"/>
              </w:rPr>
              <w:t>113</w:t>
            </w:r>
            <w:r>
              <w:rPr>
                <w:rFonts w:ascii="Times New Roman" w:hAnsi="Times New Roman" w:cs="Times New Roman" w:eastAsia="Times New Roman" w:hint="default"/>
                <w:b w:val="0"/>
                <w:bCs w:val="0"/>
                <w:spacing w:val="-6"/>
              </w:rPr>
            </w:r>
          </w:hyperlink>
        </w:p>
        <w:p>
          <w:pPr/>
          <w:r>
            <w:fldChar w:fldCharType="end"/>
          </w:r>
        </w:p>
      </w:sdtContent>
    </w:sdt>
    <w:p>
      <w:pPr>
        <w:spacing w:after="0"/>
        <w:sectPr>
          <w:pgSz w:w="11910" w:h="16840"/>
          <w:pgMar w:header="745" w:footer="1301" w:top="1060" w:bottom="154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莱盛童话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荣盛文化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保荐人、平安证券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301"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986" w:firstLine="562"/>
        <w:jc w:val="left"/>
        <w:rPr>
          <w:rFonts w:ascii="宋体" w:hAnsi="宋体" w:cs="宋体" w:eastAsia="宋体" w:hint="default"/>
          <w:sz w:val="28"/>
          <w:szCs w:val="28"/>
        </w:rPr>
      </w:pPr>
      <w:r>
        <w:rPr>
          <w:rFonts w:ascii="宋体" w:hAnsi="宋体" w:cs="宋体" w:eastAsia="宋体" w:hint="default"/>
          <w:b/>
          <w:bCs/>
          <w:spacing w:val="2"/>
          <w:sz w:val="28"/>
          <w:szCs w:val="28"/>
        </w:rPr>
        <w:t>可能存在国际经济形势变化，国际需求下降，市场需求变化，行业竞争加</w:t>
      </w:r>
      <w:r>
        <w:rPr>
          <w:rFonts w:ascii="宋体" w:hAnsi="宋体" w:cs="宋体" w:eastAsia="宋体" w:hint="default"/>
          <w:b/>
          <w:bCs/>
          <w:w w:val="99"/>
          <w:sz w:val="28"/>
          <w:szCs w:val="28"/>
        </w:rPr>
        <w:t> </w:t>
      </w:r>
      <w:r>
        <w:rPr>
          <w:rFonts w:ascii="宋体" w:hAnsi="宋体" w:cs="宋体" w:eastAsia="宋体" w:hint="default"/>
          <w:b/>
          <w:bCs/>
          <w:spacing w:val="-2"/>
          <w:sz w:val="28"/>
          <w:szCs w:val="28"/>
        </w:rPr>
        <w:t>剧，原材料价格波动，劳动力成本上升，出口退税政策变化，汇率波动等风险，</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1301"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663400"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663376"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97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002699</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Meisheng Cultural &amp; Creative Corp.,</w:t>
            </w:r>
            <w:r>
              <w:rPr>
                <w:rFonts w:ascii="Times New Roman"/>
                <w:spacing w:val="-11"/>
                <w:sz w:val="18"/>
              </w:rPr>
              <w:t> </w:t>
            </w:r>
            <w:r>
              <w:rPr>
                <w:rFonts w:ascii="Times New Roman"/>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4"/>
                <w:sz w:val="18"/>
              </w:rPr>
              <w:t> </w:t>
            </w:r>
            <w:r>
              <w:rPr>
                <w:rFonts w:ascii="Times New Roman"/>
                <w:sz w:val="18"/>
              </w:rPr>
              <w:t>Culture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赵小强</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浙江省工商行政管理局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310000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www.chinarising.com.cn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张雅各</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0575-86226885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0575-86226885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0575-86288588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0575-86288588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gr@chinarising.com.cn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5" w:footer="1301"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绍兴市工商行政管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330600400009081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330624738428492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73842849-2</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330600400009081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330624738428492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73842849-2</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赵海荣、周小民</w:t>
            </w:r>
          </w:p>
        </w:tc>
      </w:tr>
    </w:tbl>
    <w:p>
      <w:pPr>
        <w:pStyle w:val="BodyText"/>
        <w:spacing w:line="240" w:lineRule="auto" w:before="49"/>
        <w:ind w:right="1123"/>
        <w:jc w:val="left"/>
      </w:pPr>
      <w:r>
        <w:rPr/>
        <w:t>公司聘请的报告期内履行持续督导职责的保荐机构</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深圳市福田区金田路大中华 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吕佳、叶贤萍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2012.9.21-2014.12.31</w:t>
            </w:r>
          </w:p>
        </w:tc>
      </w:tr>
    </w:tbl>
    <w:p>
      <w:pPr>
        <w:pStyle w:val="BodyText"/>
        <w:spacing w:line="240" w:lineRule="auto" w:before="49"/>
        <w:ind w:right="1123"/>
        <w:jc w:val="left"/>
      </w:pPr>
      <w:r>
        <w:rPr/>
        <w:t>公司聘请的报告期内履行持续督导职责的财务顾问</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01"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公司是否因会计政策变更及会计差错更正等追溯调整或重述以前年度会计数据</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205,049,310.68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217,471,406.94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190,698,119.32</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48,296,434.90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46,787,255.19</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37,308,708.20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47,073,246.25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46,560,432.39</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64,977,252.40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44,651,224.62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24,200,150.17</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0.67</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47.48%</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682,370,627.61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216,154,746.61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181,718,444.45</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649,822,631.77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174,525,519.38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121,926,441.45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-28,786.29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-118,859.08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17,303,616.67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4,967,940.00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103,582.74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详见本财务报表附 注：营业外收入之说 明</w:t>
            </w:r>
          </w:p>
        </w:tc>
      </w:tr>
      <w:tr>
        <w:trPr>
          <w:trHeight w:val="129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-1,209,248.60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2,462,701.55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远期外汇套期保值合 同盈亏</w:t>
            </w:r>
          </w:p>
        </w:tc>
      </w:tr>
    </w:tbl>
    <w:p>
      <w:pPr>
        <w:spacing w:after="0" w:line="314" w:lineRule="auto"/>
        <w:jc w:val="left"/>
        <w:rPr>
          <w:rFonts w:ascii="宋体" w:hAnsi="宋体" w:cs="宋体" w:eastAsia="宋体" w:hint="default"/>
          <w:sz w:val="18"/>
          <w:szCs w:val="18"/>
        </w:rPr>
        <w:sectPr>
          <w:pgSz w:w="11910" w:h="16840"/>
          <w:pgMar w:header="745" w:footer="1301"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-339,406.72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55,993.10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其中：捐赠支出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-4,302,643.03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4,019,043.77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1,841,943.89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75,940.93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11,707,131.29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1,223,188.65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226,822.80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01"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4"/>
        <w:jc w:val="both"/>
      </w:pPr>
      <w:r>
        <w:rPr>
          <w:rFonts w:ascii="Times New Roman" w:hAnsi="Times New Roman" w:cs="Times New Roman" w:eastAsia="Times New Roman" w:hint="default"/>
          <w:spacing w:val="-2"/>
        </w:rPr>
        <w:t>2012</w:t>
      </w:r>
      <w:r>
        <w:rPr>
          <w:spacing w:val="-2"/>
        </w:rPr>
        <w:t>年国内外经济形势较为复杂。全球经济缓慢复苏，需求不振；国内经济增长软着陆、经济增长率回落，人民币汇率持续</w:t>
      </w:r>
      <w:r>
        <w:rPr>
          <w:spacing w:val="-65"/>
        </w:rPr>
        <w:t> </w:t>
      </w:r>
      <w:r>
        <w:rPr>
          <w:spacing w:val="-65"/>
        </w:rPr>
      </w:r>
      <w:r>
        <w:rPr>
          <w:spacing w:val="-2"/>
        </w:rPr>
        <w:t>上升，出口疲软、劳动力成本持续上升、原材料价格波动；行业内，规模企业增多，市场竞争日趋激烈。复杂的内外部环境</w:t>
      </w:r>
      <w:r>
        <w:rPr>
          <w:spacing w:val="-73"/>
        </w:rPr>
        <w:t> </w:t>
      </w:r>
      <w:r>
        <w:rPr>
          <w:spacing w:val="-73"/>
        </w:rPr>
      </w:r>
      <w:r>
        <w:rPr/>
        <w:t>给企业的生产经营带来了诸多困难。</w:t>
      </w:r>
    </w:p>
    <w:p>
      <w:pPr>
        <w:pStyle w:val="BodyText"/>
        <w:spacing w:line="240" w:lineRule="auto" w:before="65"/>
        <w:ind w:right="1123"/>
        <w:jc w:val="left"/>
      </w:pPr>
      <w:r>
        <w:rPr>
          <w:rFonts w:ascii="Times New Roman" w:hAnsi="Times New Roman" w:cs="Times New Roman" w:eastAsia="Times New Roman" w:hint="default"/>
        </w:rPr>
        <w:t>2012</w:t>
      </w:r>
      <w:r>
        <w:rPr/>
        <w:t>年度，公司重点开展了以下工作：</w:t>
      </w:r>
    </w:p>
    <w:p>
      <w:pPr>
        <w:pStyle w:val="BodyText"/>
        <w:spacing w:line="321" w:lineRule="auto" w:before="101"/>
        <w:ind w:right="112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IPO</w:t>
      </w:r>
      <w:r>
        <w:rPr/>
        <w:t>首发上市 本报告期内，公司通过证监会审核批准，并于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日在深圳证券交易所中小板挂牌上市，首次公开发行股票</w:t>
      </w:r>
      <w:r>
        <w:rPr>
          <w:rFonts w:ascii="Times New Roman" w:hAnsi="Times New Roman" w:cs="Times New Roman" w:eastAsia="Times New Roman" w:hint="default"/>
        </w:rPr>
        <w:t>2350</w:t>
      </w:r>
      <w:r>
        <w:rPr/>
        <w:t>万 </w:t>
      </w:r>
      <w:r>
        <w:rPr>
          <w:spacing w:val="-1"/>
        </w:rPr>
        <w:t>股，募集资金净额</w:t>
      </w:r>
      <w:r>
        <w:rPr>
          <w:rFonts w:ascii="Times New Roman" w:hAnsi="Times New Roman" w:cs="Times New Roman" w:eastAsia="Times New Roman" w:hint="default"/>
          <w:spacing w:val="-1"/>
        </w:rPr>
        <w:t>4.26</w:t>
      </w:r>
      <w:r>
        <w:rPr>
          <w:spacing w:val="-1"/>
        </w:rPr>
        <w:t>亿元。成功登陆资本市场，是公司实现战略目标的重要一步，进一步提升了公司的行业地位，增强了</w:t>
      </w:r>
    </w:p>
    <w:p>
      <w:pPr>
        <w:pStyle w:val="BodyText"/>
        <w:spacing w:line="316" w:lineRule="auto" w:before="0"/>
        <w:ind w:right="1123"/>
        <w:jc w:val="left"/>
      </w:pPr>
      <w:r>
        <w:rPr>
          <w:spacing w:val="-2"/>
        </w:rPr>
        <w:t>公司核心竞争力，推动了公司的规范化运作，为公司募投项目的建设提供了资金保障，也为企业持续做强做大提供了新的平</w:t>
      </w:r>
      <w:r>
        <w:rPr>
          <w:spacing w:val="-63"/>
        </w:rPr>
        <w:t> </w:t>
      </w:r>
      <w:r>
        <w:rPr>
          <w:spacing w:val="-63"/>
        </w:rPr>
      </w:r>
      <w:r>
        <w:rPr/>
        <w:t>台。</w:t>
      </w:r>
    </w:p>
    <w:p>
      <w:pPr>
        <w:pStyle w:val="BodyText"/>
        <w:spacing w:line="319" w:lineRule="auto" w:before="59"/>
        <w:ind w:right="1131"/>
        <w:jc w:val="left"/>
      </w:pPr>
      <w:r>
        <w:rPr>
          <w:rFonts w:ascii="Times New Roman" w:hAnsi="Times New Roman" w:cs="Times New Roman" w:eastAsia="Times New Roman" w:hint="default"/>
        </w:rPr>
        <w:t>2</w:t>
      </w:r>
      <w:r>
        <w:rPr/>
        <w:t>、维护老客户、开发新客户加大文化出口 本报告期内公司结合资本优势，加快自身发展，积极维护老客户关系，开发新客户，在文化出口领域取得重大突破。</w:t>
      </w:r>
      <w:r>
        <w:rPr>
          <w:rFonts w:ascii="Times New Roman" w:hAnsi="Times New Roman" w:cs="Times New Roman" w:eastAsia="Times New Roman" w:hint="default"/>
        </w:rPr>
        <w:t>2012 </w:t>
      </w:r>
      <w:r>
        <w:rPr>
          <w:spacing w:val="-2"/>
        </w:rPr>
        <w:t>年公司被评为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-2012</w:t>
      </w:r>
      <w:r>
        <w:rPr>
          <w:spacing w:val="-2"/>
        </w:rPr>
        <w:t>年度国家文化出口重点企业</w:t>
      </w:r>
      <w:r>
        <w:rPr>
          <w:rFonts w:ascii="Times New Roman" w:hAnsi="Times New Roman" w:cs="Times New Roman" w:eastAsia="Times New Roman" w:hint="default"/>
          <w:spacing w:val="-2"/>
        </w:rPr>
        <w:t>”</w:t>
      </w:r>
      <w:r>
        <w:rPr>
          <w:spacing w:val="-2"/>
        </w:rPr>
        <w:t>；公司《美盛动漫文化创意出口基地》被评为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-2012</w:t>
      </w:r>
      <w:r>
        <w:rPr>
          <w:spacing w:val="-2"/>
        </w:rPr>
        <w:t>年度国家文化</w:t>
      </w:r>
    </w:p>
    <w:p>
      <w:pPr>
        <w:pStyle w:val="BodyText"/>
        <w:spacing w:line="246" w:lineRule="exact" w:before="0"/>
        <w:ind w:right="1123"/>
        <w:jc w:val="left"/>
      </w:pPr>
      <w:r>
        <w:rPr/>
        <w:t>出口重点项目</w:t>
      </w:r>
      <w:r>
        <w:rPr>
          <w:rFonts w:ascii="Times New Roman" w:hAnsi="Times New Roman" w:cs="Times New Roman" w:eastAsia="Times New Roman" w:hint="default"/>
        </w:rPr>
        <w:t>”</w:t>
      </w:r>
      <w:r>
        <w:rPr/>
        <w:t>；公司取得中国海关</w:t>
      </w:r>
      <w:r>
        <w:rPr>
          <w:rFonts w:ascii="Times New Roman" w:hAnsi="Times New Roman" w:cs="Times New Roman" w:eastAsia="Times New Roman" w:hint="default"/>
        </w:rPr>
        <w:t>AA</w:t>
      </w:r>
      <w:r>
        <w:rPr/>
        <w:t>类企业认证。</w:t>
      </w:r>
    </w:p>
    <w:p>
      <w:pPr>
        <w:pStyle w:val="BodyText"/>
        <w:spacing w:line="319" w:lineRule="auto" w:before="103"/>
        <w:ind w:right="1124"/>
        <w:jc w:val="left"/>
      </w:pPr>
      <w:r>
        <w:rPr>
          <w:rFonts w:ascii="Times New Roman" w:hAnsi="Times New Roman" w:cs="Times New Roman" w:eastAsia="Times New Roman" w:hint="default"/>
        </w:rPr>
        <w:t>3</w:t>
      </w:r>
      <w:r>
        <w:rPr/>
        <w:t>、推进募投项目建设，加快培育新的增长点 公司募投项目动漫服饰扩产项目将是公司未来增长点，动漫服饰扩产项目一期完工于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月投入使用，二期尚处于建设 期，尚未产生收益；研发设计中心项目尚处于建设期，尚未产生收益。</w:t>
      </w:r>
    </w:p>
    <w:p>
      <w:pPr>
        <w:spacing w:line="240" w:lineRule="auto" w:before="7"/>
        <w:rPr>
          <w:rFonts w:ascii="宋体" w:hAnsi="宋体" w:cs="宋体" w:eastAsia="宋体" w:hint="default"/>
          <w:sz w:val="20"/>
          <w:szCs w:val="20"/>
        </w:rPr>
      </w:pPr>
    </w:p>
    <w:p>
      <w:pPr>
        <w:pStyle w:val="Heading2"/>
        <w:spacing w:line="240" w:lineRule="auto"/>
        <w:ind w:right="112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8"/>
        <w:jc w:val="both"/>
      </w:pPr>
      <w:r>
        <w:rPr>
          <w:rFonts w:ascii="Times New Roman" w:hAnsi="Times New Roman" w:cs="Times New Roman" w:eastAsia="Times New Roman" w:hint="default"/>
        </w:rPr>
        <w:t>2012</w:t>
      </w:r>
      <w:r>
        <w:rPr/>
        <w:t>年度公司实现营业收入</w:t>
      </w:r>
      <w:r>
        <w:rPr>
          <w:rFonts w:ascii="Times New Roman" w:hAnsi="Times New Roman" w:cs="Times New Roman" w:eastAsia="Times New Roman" w:hint="default"/>
        </w:rPr>
        <w:t>20504.93</w:t>
      </w:r>
      <w:r>
        <w:rPr/>
        <w:t>万元，比上年下降</w:t>
      </w:r>
      <w:r>
        <w:rPr>
          <w:rFonts w:ascii="Times New Roman" w:hAnsi="Times New Roman" w:cs="Times New Roman" w:eastAsia="Times New Roman" w:hint="default"/>
        </w:rPr>
        <w:t>5.71%</w:t>
      </w:r>
      <w:r>
        <w:rPr/>
        <w:t>，营业收入的下降，主要是因为国内外经济形势较为严峻，人 民币较大幅度升值，营业收入折算同期下降。营业成本</w:t>
      </w:r>
      <w:r>
        <w:rPr>
          <w:rFonts w:ascii="Times New Roman" w:hAnsi="Times New Roman" w:cs="Times New Roman" w:eastAsia="Times New Roman" w:hint="default"/>
        </w:rPr>
        <w:t>15411.75</w:t>
      </w:r>
      <w:r>
        <w:rPr/>
        <w:t>万元，比上年下降</w:t>
      </w:r>
      <w:r>
        <w:rPr>
          <w:rFonts w:ascii="Times New Roman" w:hAnsi="Times New Roman" w:cs="Times New Roman" w:eastAsia="Times New Roman" w:hint="default"/>
        </w:rPr>
        <w:t>2.35%</w:t>
      </w:r>
      <w:r>
        <w:rPr/>
        <w:t>，营业成本的下降主要是本年度加 </w:t>
      </w:r>
      <w:r>
        <w:rPr>
          <w:spacing w:val="-1"/>
        </w:rPr>
        <w:t>强了对生产和供应链的管理，降低了采购成本和费用开支；销售费用为</w:t>
      </w:r>
      <w:r>
        <w:rPr>
          <w:rFonts w:ascii="Times New Roman" w:hAnsi="Times New Roman" w:cs="Times New Roman" w:eastAsia="Times New Roman" w:hint="default"/>
          <w:spacing w:val="-1"/>
        </w:rPr>
        <w:t>691.81</w:t>
      </w:r>
      <w:r>
        <w:rPr>
          <w:spacing w:val="-1"/>
        </w:rPr>
        <w:t>万元，比上年同期增长</w:t>
      </w:r>
      <w:r>
        <w:rPr>
          <w:rFonts w:ascii="Times New Roman" w:hAnsi="Times New Roman" w:cs="Times New Roman" w:eastAsia="Times New Roman" w:hint="default"/>
          <w:spacing w:val="-1"/>
        </w:rPr>
        <w:t>13.69%</w:t>
      </w:r>
      <w:r>
        <w:rPr>
          <w:spacing w:val="-1"/>
        </w:rPr>
        <w:t>，主要是人员工</w:t>
      </w:r>
      <w:r>
        <w:rPr>
          <w:spacing w:val="-87"/>
        </w:rPr>
        <w:t> </w:t>
      </w:r>
      <w:r>
        <w:rPr>
          <w:spacing w:val="-87"/>
        </w:rPr>
      </w:r>
      <w:r>
        <w:rPr>
          <w:spacing w:val="-2"/>
        </w:rPr>
        <w:t>作增加所致；管理费用为</w:t>
      </w:r>
      <w:r>
        <w:rPr>
          <w:rFonts w:ascii="Times New Roman" w:hAnsi="Times New Roman" w:cs="Times New Roman" w:eastAsia="Times New Roman" w:hint="default"/>
          <w:spacing w:val="-2"/>
        </w:rPr>
        <w:t>2289.45</w:t>
      </w:r>
      <w:r>
        <w:rPr>
          <w:spacing w:val="-2"/>
        </w:rPr>
        <w:t>万元，比上年下降</w:t>
      </w:r>
      <w:r>
        <w:rPr>
          <w:rFonts w:ascii="Times New Roman" w:hAnsi="Times New Roman" w:cs="Times New Roman" w:eastAsia="Times New Roman" w:hint="default"/>
          <w:spacing w:val="-2"/>
        </w:rPr>
        <w:t>4.47%</w:t>
      </w:r>
      <w:r>
        <w:rPr>
          <w:spacing w:val="-2"/>
        </w:rPr>
        <w:t>；财务费用为</w:t>
      </w:r>
      <w:r>
        <w:rPr>
          <w:rFonts w:ascii="Times New Roman" w:hAnsi="Times New Roman" w:cs="Times New Roman" w:eastAsia="Times New Roman" w:hint="default"/>
          <w:spacing w:val="-2"/>
        </w:rPr>
        <w:t>-205.85</w:t>
      </w:r>
      <w:r>
        <w:rPr>
          <w:spacing w:val="-2"/>
        </w:rPr>
        <w:t>万元；归属于上市公司股东的净利润为</w:t>
      </w:r>
      <w:r>
        <w:rPr>
          <w:rFonts w:ascii="Times New Roman" w:hAnsi="Times New Roman" w:cs="Times New Roman" w:eastAsia="Times New Roman" w:hint="default"/>
          <w:spacing w:val="-2"/>
        </w:rPr>
        <w:t>4901.58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万元，比上年同期增长了</w:t>
      </w:r>
      <w:r>
        <w:rPr>
          <w:rFonts w:ascii="Times New Roman" w:hAnsi="Times New Roman" w:cs="Times New Roman" w:eastAsia="Times New Roman" w:hint="default"/>
          <w:spacing w:val="-2"/>
        </w:rPr>
        <w:t>1.49%</w:t>
      </w:r>
      <w:r>
        <w:rPr>
          <w:spacing w:val="-2"/>
        </w:rPr>
        <w:t>。经营活动产生的现金流量净额为</w:t>
      </w:r>
      <w:r>
        <w:rPr>
          <w:rFonts w:ascii="Times New Roman" w:hAnsi="Times New Roman" w:cs="Times New Roman" w:eastAsia="Times New Roman" w:hint="default"/>
          <w:spacing w:val="-2"/>
        </w:rPr>
        <w:t>6497.72</w:t>
      </w:r>
      <w:r>
        <w:rPr>
          <w:spacing w:val="-2"/>
        </w:rPr>
        <w:t>万元，比上年增长</w:t>
      </w:r>
      <w:r>
        <w:rPr>
          <w:rFonts w:ascii="Times New Roman" w:hAnsi="Times New Roman" w:cs="Times New Roman" w:eastAsia="Times New Roman" w:hint="default"/>
          <w:spacing w:val="-2"/>
        </w:rPr>
        <w:t>45.52%</w:t>
      </w:r>
      <w:r>
        <w:rPr>
          <w:spacing w:val="-2"/>
        </w:rPr>
        <w:t>，变动较大的原因是公司</w:t>
      </w:r>
      <w:r>
        <w:rPr>
          <w:spacing w:val="-36"/>
        </w:rPr>
        <w:t> </w:t>
      </w:r>
      <w:r>
        <w:rPr>
          <w:spacing w:val="-36"/>
        </w:rPr>
      </w:r>
      <w:r>
        <w:rPr/>
        <w:t>加大了对客户欠款的催收力度，同时通过采购计划管理减少现金流的支出；投资活动产生的现金流量净额为</w:t>
      </w:r>
      <w:r>
        <w:rPr>
          <w:rFonts w:ascii="Times New Roman" w:hAnsi="Times New Roman" w:cs="Times New Roman" w:eastAsia="Times New Roman" w:hint="default"/>
        </w:rPr>
        <w:t>-38423.71</w:t>
      </w:r>
      <w:r>
        <w:rPr/>
        <w:t>万元</w:t>
      </w:r>
      <w:r>
        <w:rPr>
          <w:rFonts w:ascii="Times New Roman" w:hAnsi="Times New Roman" w:cs="Times New Roman" w:eastAsia="Times New Roman" w:hint="default"/>
        </w:rPr>
        <w:t>, </w:t>
      </w:r>
      <w:r>
        <w:rPr/>
        <w:t>主要是新增定期存款</w:t>
      </w:r>
      <w:r>
        <w:rPr>
          <w:rFonts w:ascii="Times New Roman" w:hAnsi="Times New Roman" w:cs="Times New Roman" w:eastAsia="Times New Roman" w:hint="default"/>
        </w:rPr>
        <w:t>(</w:t>
      </w:r>
      <w:r>
        <w:rPr/>
        <w:t>会计处理视为投资支出</w:t>
      </w:r>
      <w:r>
        <w:rPr>
          <w:rFonts w:ascii="Times New Roman" w:hAnsi="Times New Roman" w:cs="Times New Roman" w:eastAsia="Times New Roman" w:hint="default"/>
        </w:rPr>
        <w:t>)</w:t>
      </w:r>
      <w:r>
        <w:rPr/>
        <w:t>；筹资活动产生的现金流量净额为</w:t>
      </w:r>
      <w:r>
        <w:rPr>
          <w:rFonts w:ascii="Times New Roman" w:hAnsi="Times New Roman" w:cs="Times New Roman" w:eastAsia="Times New Roman" w:hint="default"/>
        </w:rPr>
        <w:t>40585.24</w:t>
      </w:r>
      <w:r>
        <w:rPr/>
        <w:t>万元，变动较大的原因是公司上市 取得募集资金。</w:t>
      </w:r>
    </w:p>
    <w:p>
      <w:pPr>
        <w:pStyle w:val="BodyText"/>
        <w:spacing w:line="338" w:lineRule="auto" w:before="72"/>
        <w:ind w:right="1034"/>
        <w:jc w:val="left"/>
      </w:pPr>
      <w:r>
        <w:rPr/>
        <w:t>公司回顾总结前期披露的发展战略和经营计划在报告期内的进展情况 </w:t>
      </w:r>
      <w:r>
        <w:rPr>
          <w:spacing w:val="-2"/>
        </w:rPr>
        <w:t>公司发展战略为本公司专注于动漫服饰行业，致力于成为一家全球知名的文化创意类动漫衍生品生产企业。公司将依靠多年</w:t>
      </w:r>
      <w:r>
        <w:rPr>
          <w:spacing w:val="-64"/>
        </w:rPr>
        <w:t> </w:t>
      </w:r>
      <w:r>
        <w:rPr>
          <w:spacing w:val="-64"/>
        </w:rPr>
      </w:r>
      <w:r>
        <w:rPr/>
        <w:t>积累的动漫服饰开发生产经验，以国家大力发展文化产业为契机，基于自身的创意、产品开发、生产规模及经营管理优势，</w:t>
      </w:r>
    </w:p>
    <w:p>
      <w:pPr>
        <w:pStyle w:val="BodyText"/>
        <w:spacing w:line="316" w:lineRule="auto" w:before="2"/>
        <w:ind w:right="1034"/>
        <w:jc w:val="left"/>
      </w:pPr>
      <w:r>
        <w:rPr/>
        <w:t>充分整合社会资源，在巩固和拓展海外市场销售规模的同时，引领国内动漫服饰市场的流行趋势，提升公司品牌的知名度， </w:t>
      </w:r>
      <w:r>
        <w:rPr>
          <w:spacing w:val="-2"/>
        </w:rPr>
        <w:t>扩大国内外动漫服饰消费市场的占有率，致力于成为全球知名的动漫服饰供应商。面对复杂的国内外环境，在公司董事会领</w:t>
      </w:r>
      <w:r>
        <w:rPr>
          <w:spacing w:val="-63"/>
        </w:rPr>
        <w:t> </w:t>
      </w:r>
      <w:r>
        <w:rPr>
          <w:spacing w:val="-63"/>
        </w:rPr>
      </w:r>
      <w:r>
        <w:rPr/>
        <w:t>导下，公司管理层团结一致，迎难而上，充分整合资源，有序进行品牌建设提升公司综合实力。</w:t>
      </w:r>
    </w:p>
    <w:p>
      <w:pPr>
        <w:pStyle w:val="BodyText"/>
        <w:spacing w:line="240" w:lineRule="auto" w:before="59"/>
        <w:ind w:right="1123"/>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1123"/>
        <w:jc w:val="left"/>
      </w:pPr>
      <w:r>
        <w:rPr/>
        <w:t>□ 适用 √</w:t>
      </w:r>
      <w:r>
        <w:rPr>
          <w:spacing w:val="3"/>
        </w:rPr>
        <w:t> </w:t>
      </w:r>
      <w:r>
        <w:rPr/>
        <w:t>不适用</w:t>
      </w:r>
    </w:p>
    <w:p>
      <w:pPr>
        <w:spacing w:after="0" w:line="240" w:lineRule="auto"/>
        <w:jc w:val="left"/>
        <w:sectPr>
          <w:pgSz w:w="11910" w:h="16840"/>
          <w:pgMar w:header="745" w:footer="1301"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说明</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023"/>
        <w:gridCol w:w="2811"/>
        <w:gridCol w:w="2808"/>
      </w:tblGrid>
      <w:tr>
        <w:trPr>
          <w:trHeight w:val="348" w:hRule="exact"/>
        </w:trPr>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9"/>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7" w:hRule="exact"/>
        </w:trPr>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203,875,960.65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214,250,283.76</w:t>
            </w:r>
          </w:p>
        </w:tc>
      </w:tr>
      <w:tr>
        <w:trPr>
          <w:trHeight w:val="427" w:hRule="exact"/>
        </w:trPr>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1,173,350.03</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3,221,123.18</w:t>
            </w:r>
          </w:p>
        </w:tc>
      </w:tr>
      <w:tr>
        <w:trPr>
          <w:trHeight w:val="427" w:hRule="exact"/>
        </w:trPr>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124,479,317.96</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120,692,099.71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ind w:right="1123"/>
        <w:jc w:val="left"/>
      </w:pPr>
      <w:r>
        <w:rPr/>
        <w:t>公司实物销售收入是否大于劳务收入</w:t>
      </w:r>
    </w:p>
    <w:p>
      <w:pPr>
        <w:pStyle w:val="BodyText"/>
        <w:spacing w:line="240" w:lineRule="auto" w:before="11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文教体育用品制造</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-78.16%</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50" w:lineRule="auto" w:before="10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期末产成品库存下降 公司重大的在手订单情况</w:t>
      </w:r>
    </w:p>
    <w:p>
      <w:pPr>
        <w:pStyle w:val="BodyText"/>
        <w:spacing w:line="360" w:lineRule="auto" w:before="32"/>
        <w:ind w:right="6434"/>
        <w:jc w:val="left"/>
      </w:pPr>
      <w:r>
        <w:rPr/>
        <w:t>□ 适用 √</w:t>
      </w:r>
      <w:r>
        <w:rPr>
          <w:spacing w:val="3"/>
        </w:rPr>
        <w:t> </w:t>
      </w:r>
      <w:r>
        <w:rPr/>
        <w:t>不适用</w:t>
      </w:r>
      <w:r>
        <w:rPr/>
        <w:t> 公司报告期内产品或服务发生重大变化或调整有关情况</w:t>
      </w:r>
    </w:p>
    <w:p>
      <w:pPr>
        <w:pStyle w:val="BodyText"/>
        <w:spacing w:line="357" w:lineRule="auto" w:before="27"/>
        <w:ind w:right="8954"/>
        <w:jc w:val="left"/>
      </w:pPr>
      <w:r>
        <w:rPr/>
        <w:t>□ 适用 √</w:t>
      </w:r>
      <w:r>
        <w:rPr>
          <w:spacing w:val="3"/>
        </w:rPr>
        <w:t> </w:t>
      </w:r>
      <w:r>
        <w:rPr/>
        <w:t>不适用</w:t>
      </w:r>
      <w:r>
        <w:rPr/>
        <w:t>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154,405,141.29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75.3%</w:t>
            </w:r>
          </w:p>
        </w:tc>
      </w:tr>
    </w:tbl>
    <w:p>
      <w:pPr>
        <w:pStyle w:val="BodyText"/>
        <w:spacing w:line="240" w:lineRule="auto" w:before="70"/>
        <w:ind w:right="112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123"/>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91,568,973.23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44.66%</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26,603,737.16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16,564,430.40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10,481,486.60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9,186,513.90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154,405,141.29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01"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left="292"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292" w:right="0"/>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文教体育用品制 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124,479,317.96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120,692,099.71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3.14%</w:t>
            </w:r>
          </w:p>
        </w:tc>
      </w:tr>
    </w:tbl>
    <w:p>
      <w:pPr>
        <w:pStyle w:val="BodyText"/>
        <w:spacing w:line="240" w:lineRule="auto" w:before="49"/>
        <w:ind w:left="292" w:right="0"/>
        <w:jc w:val="left"/>
      </w:pPr>
      <w:r>
        <w:rPr/>
        <w:t>产品分类</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103,457,124.63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87,601,771.17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20,248,976.12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31,390,098.98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-35.49%</w:t>
            </w:r>
          </w:p>
        </w:tc>
      </w:tr>
    </w:tbl>
    <w:p>
      <w:pPr>
        <w:pStyle w:val="BodyText"/>
        <w:spacing w:line="357" w:lineRule="auto" w:before="49"/>
        <w:ind w:left="292" w:right="10394"/>
        <w:jc w:val="left"/>
      </w:pPr>
      <w:r>
        <w:rPr/>
        <w:t>说明 无</w:t>
      </w:r>
    </w:p>
    <w:p>
      <w:pPr>
        <w:pStyle w:val="BodyText"/>
        <w:spacing w:line="240" w:lineRule="auto" w:before="29"/>
        <w:ind w:left="292"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21,296,119.06</w:t>
            </w:r>
          </w:p>
        </w:tc>
      </w:tr>
      <w:tr>
        <w:trPr>
          <w:trHeight w:val="404"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19.29%</w:t>
            </w:r>
          </w:p>
        </w:tc>
      </w:tr>
    </w:tbl>
    <w:p>
      <w:pPr>
        <w:pStyle w:val="BodyText"/>
        <w:spacing w:line="240" w:lineRule="auto" w:before="49"/>
        <w:ind w:left="292" w:right="0"/>
        <w:jc w:val="left"/>
      </w:pPr>
      <w:r>
        <w:rPr/>
        <w:pict>
          <v:shape style="position:absolute;margin-left:263.570007pt;margin-top:-20.182293pt;width:270.2pt;height:19.6pt;mso-position-horizontal-relative:page;mso-position-vertical-relative:paragraph;z-index:-66335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82293pt;width:262.75pt;height:19.6pt;mso-position-horizontal-relative:page;mso-position-vertical-relative:paragraph;z-index:-663328" coordorigin="5420,-404" coordsize="5255,392">
            <v:shape style="position:absolute;left:5420;top:-404;width:5255;height:392" coordorigin="5420,-404" coordsize="5255,392" path="m5420,-12l10675,-12,10675,-404,5420,-404,5420,-12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left="2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30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7,867,901.28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4,212,346.03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3,354,146.92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3,164,267.30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2,697,457.53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21,296,119.06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19.29%</w:t>
            </w:r>
          </w:p>
        </w:tc>
      </w:tr>
    </w:tbl>
    <w:p>
      <w:pPr>
        <w:spacing w:line="240" w:lineRule="auto" w:before="3"/>
        <w:rPr>
          <w:rFonts w:ascii="宋体" w:hAnsi="宋体" w:cs="宋体" w:eastAsia="宋体" w:hint="default"/>
          <w:sz w:val="19"/>
          <w:szCs w:val="19"/>
        </w:rPr>
      </w:pPr>
    </w:p>
    <w:p>
      <w:pPr>
        <w:pStyle w:val="Heading4"/>
        <w:spacing w:line="240" w:lineRule="auto" w:before="36"/>
        <w:ind w:left="292"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1550"/>
        <w:gridCol w:w="2048"/>
        <w:gridCol w:w="1980"/>
        <w:gridCol w:w="2293"/>
      </w:tblGrid>
      <w:tr>
        <w:trPr>
          <w:trHeight w:val="301" w:hRule="exact"/>
        </w:trPr>
        <w:tc>
          <w:tcPr>
            <w:tcW w:w="1550" w:type="dxa"/>
            <w:tcBorders>
              <w:top w:val="nil" w:sz="6" w:space="0" w:color="auto"/>
              <w:left w:val="nil" w:sz="6" w:space="0" w:color="auto"/>
              <w:bottom w:val="nil" w:sz="6" w:space="0" w:color="auto"/>
              <w:right w:val="nil" w:sz="6" w:space="0" w:color="auto"/>
            </w:tcBorders>
          </w:tcPr>
          <w:p>
            <w:pPr>
              <w:pStyle w:val="TableParagraph"/>
              <w:tabs>
                <w:tab w:pos="668"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48" w:type="dxa"/>
            <w:tcBorders>
              <w:top w:val="nil" w:sz="6" w:space="0" w:color="auto"/>
              <w:left w:val="nil" w:sz="6" w:space="0" w:color="auto"/>
              <w:bottom w:val="nil" w:sz="6" w:space="0" w:color="auto"/>
              <w:right w:val="nil" w:sz="6" w:space="0" w:color="auto"/>
            </w:tcBorders>
          </w:tcPr>
          <w:p>
            <w:pPr>
              <w:pStyle w:val="TableParagraph"/>
              <w:spacing w:line="180" w:lineRule="exact"/>
              <w:ind w:left="63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980" w:type="dxa"/>
            <w:tcBorders>
              <w:top w:val="nil" w:sz="6" w:space="0" w:color="auto"/>
              <w:left w:val="nil" w:sz="6" w:space="0" w:color="auto"/>
              <w:bottom w:val="nil" w:sz="6" w:space="0" w:color="auto"/>
              <w:right w:val="nil" w:sz="6" w:space="0" w:color="auto"/>
            </w:tcBorders>
          </w:tcPr>
          <w:p>
            <w:pPr>
              <w:pStyle w:val="TableParagraph"/>
              <w:spacing w:line="180" w:lineRule="exact"/>
              <w:ind w:left="38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293" w:type="dxa"/>
            <w:tcBorders>
              <w:top w:val="nil" w:sz="6" w:space="0" w:color="auto"/>
              <w:left w:val="nil" w:sz="6" w:space="0" w:color="auto"/>
              <w:bottom w:val="nil" w:sz="6" w:space="0" w:color="auto"/>
              <w:right w:val="nil" w:sz="6" w:space="0" w:color="auto"/>
            </w:tcBorders>
          </w:tcPr>
          <w:p>
            <w:pPr>
              <w:pStyle w:val="TableParagraph"/>
              <w:spacing w:line="194" w:lineRule="exact"/>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比上年同期增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p>
        </w:tc>
      </w:tr>
      <w:tr>
        <w:trPr>
          <w:trHeight w:val="412"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30" w:right="0"/>
              <w:jc w:val="left"/>
              <w:rPr>
                <w:rFonts w:ascii="Times New Roman" w:hAnsi="Times New Roman" w:cs="Times New Roman" w:eastAsia="Times New Roman" w:hint="default"/>
                <w:sz w:val="18"/>
                <w:szCs w:val="18"/>
              </w:rPr>
            </w:pPr>
            <w:r>
              <w:rPr>
                <w:rFonts w:ascii="Times New Roman"/>
                <w:sz w:val="18"/>
              </w:rPr>
              <w:t>6,918,087.33</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83" w:right="0"/>
              <w:jc w:val="left"/>
              <w:rPr>
                <w:rFonts w:ascii="Times New Roman" w:hAnsi="Times New Roman" w:cs="Times New Roman" w:eastAsia="Times New Roman" w:hint="default"/>
                <w:sz w:val="18"/>
                <w:szCs w:val="18"/>
              </w:rPr>
            </w:pPr>
            <w:r>
              <w:rPr>
                <w:rFonts w:ascii="Times New Roman"/>
                <w:sz w:val="18"/>
              </w:rPr>
              <w:t>6,085,027.42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3" w:right="0"/>
              <w:jc w:val="left"/>
              <w:rPr>
                <w:rFonts w:ascii="Times New Roman" w:hAnsi="Times New Roman" w:cs="Times New Roman" w:eastAsia="Times New Roman" w:hint="default"/>
                <w:sz w:val="18"/>
                <w:szCs w:val="18"/>
              </w:rPr>
            </w:pPr>
            <w:r>
              <w:rPr>
                <w:rFonts w:ascii="Times New Roman"/>
                <w:sz w:val="18"/>
              </w:rPr>
              <w:t>13.69%</w:t>
            </w:r>
          </w:p>
        </w:tc>
      </w:tr>
      <w:tr>
        <w:trPr>
          <w:trHeight w:val="412"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30" w:right="0"/>
              <w:jc w:val="left"/>
              <w:rPr>
                <w:rFonts w:ascii="Times New Roman" w:hAnsi="Times New Roman" w:cs="Times New Roman" w:eastAsia="Times New Roman" w:hint="default"/>
                <w:sz w:val="18"/>
                <w:szCs w:val="18"/>
              </w:rPr>
            </w:pPr>
            <w:r>
              <w:rPr>
                <w:rFonts w:ascii="Times New Roman"/>
                <w:sz w:val="18"/>
              </w:rPr>
              <w:t>22,894,546.48</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3" w:right="0"/>
              <w:jc w:val="left"/>
              <w:rPr>
                <w:rFonts w:ascii="Times New Roman" w:hAnsi="Times New Roman" w:cs="Times New Roman" w:eastAsia="Times New Roman" w:hint="default"/>
                <w:sz w:val="18"/>
                <w:szCs w:val="18"/>
              </w:rPr>
            </w:pPr>
            <w:r>
              <w:rPr>
                <w:rFonts w:ascii="Times New Roman"/>
                <w:sz w:val="18"/>
              </w:rPr>
              <w:t>23,966,394.43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3" w:right="0"/>
              <w:jc w:val="left"/>
              <w:rPr>
                <w:rFonts w:ascii="Times New Roman" w:hAnsi="Times New Roman" w:cs="Times New Roman" w:eastAsia="Times New Roman" w:hint="default"/>
                <w:sz w:val="18"/>
                <w:szCs w:val="18"/>
              </w:rPr>
            </w:pPr>
            <w:r>
              <w:rPr>
                <w:rFonts w:ascii="Times New Roman"/>
                <w:sz w:val="18"/>
              </w:rPr>
              <w:t>-4.47%</w:t>
            </w:r>
          </w:p>
        </w:tc>
      </w:tr>
      <w:tr>
        <w:trPr>
          <w:trHeight w:val="301"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30" w:right="0"/>
              <w:jc w:val="left"/>
              <w:rPr>
                <w:rFonts w:ascii="Times New Roman" w:hAnsi="Times New Roman" w:cs="Times New Roman" w:eastAsia="Times New Roman" w:hint="default"/>
                <w:sz w:val="18"/>
                <w:szCs w:val="18"/>
              </w:rPr>
            </w:pPr>
            <w:r>
              <w:rPr>
                <w:rFonts w:ascii="Times New Roman"/>
                <w:sz w:val="18"/>
              </w:rPr>
              <w:t>-2,058,529.55</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83" w:right="0"/>
              <w:jc w:val="left"/>
              <w:rPr>
                <w:rFonts w:ascii="Times New Roman" w:hAnsi="Times New Roman" w:cs="Times New Roman" w:eastAsia="Times New Roman" w:hint="default"/>
                <w:sz w:val="18"/>
                <w:szCs w:val="18"/>
              </w:rPr>
            </w:pPr>
            <w:r>
              <w:rPr>
                <w:rFonts w:ascii="Times New Roman"/>
                <w:sz w:val="18"/>
              </w:rPr>
              <w:t>4,427,604.71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3" w:right="0"/>
              <w:jc w:val="left"/>
              <w:rPr>
                <w:rFonts w:ascii="Times New Roman" w:hAnsi="Times New Roman" w:cs="Times New Roman" w:eastAsia="Times New Roman" w:hint="default"/>
                <w:sz w:val="18"/>
                <w:szCs w:val="18"/>
              </w:rPr>
            </w:pPr>
            <w:r>
              <w:rPr>
                <w:rFonts w:ascii="Times New Roman"/>
                <w:sz w:val="18"/>
              </w:rPr>
              <w:t>-146.49%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01" w:top="1060" w:bottom="1500" w:left="84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1478"/>
        <w:gridCol w:w="2119"/>
        <w:gridCol w:w="1980"/>
        <w:gridCol w:w="1381"/>
      </w:tblGrid>
      <w:tr>
        <w:trPr>
          <w:trHeight w:val="190" w:hRule="exact"/>
        </w:trPr>
        <w:tc>
          <w:tcPr>
            <w:tcW w:w="1478" w:type="dxa"/>
            <w:tcBorders>
              <w:top w:val="nil" w:sz="6" w:space="0" w:color="auto"/>
              <w:left w:val="nil" w:sz="6" w:space="0" w:color="auto"/>
              <w:bottom w:val="nil" w:sz="6" w:space="0" w:color="auto"/>
              <w:right w:val="nil" w:sz="6" w:space="0" w:color="auto"/>
            </w:tcBorders>
          </w:tcPr>
          <w:p>
            <w:pPr>
              <w:pStyle w:val="TableParagraph"/>
              <w:tabs>
                <w:tab w:pos="596"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19" w:type="dxa"/>
            <w:tcBorders>
              <w:top w:val="nil" w:sz="6" w:space="0" w:color="auto"/>
              <w:left w:val="nil" w:sz="6" w:space="0" w:color="auto"/>
              <w:bottom w:val="nil" w:sz="6" w:space="0" w:color="auto"/>
              <w:right w:val="nil" w:sz="6" w:space="0" w:color="auto"/>
            </w:tcBorders>
          </w:tcPr>
          <w:p>
            <w:pPr>
              <w:pStyle w:val="TableParagraph"/>
              <w:spacing w:line="194" w:lineRule="exact"/>
              <w:ind w:left="701" w:right="0"/>
              <w:jc w:val="left"/>
              <w:rPr>
                <w:rFonts w:ascii="Times New Roman" w:hAnsi="Times New Roman" w:cs="Times New Roman" w:eastAsia="Times New Roman" w:hint="default"/>
                <w:sz w:val="18"/>
                <w:szCs w:val="18"/>
              </w:rPr>
            </w:pPr>
            <w:r>
              <w:rPr>
                <w:rFonts w:ascii="Times New Roman"/>
                <w:sz w:val="18"/>
              </w:rPr>
              <w:t>27,754,104.26</w:t>
            </w:r>
          </w:p>
        </w:tc>
        <w:tc>
          <w:tcPr>
            <w:tcW w:w="1980" w:type="dxa"/>
            <w:tcBorders>
              <w:top w:val="nil" w:sz="6" w:space="0" w:color="auto"/>
              <w:left w:val="nil" w:sz="6" w:space="0" w:color="auto"/>
              <w:bottom w:val="nil" w:sz="6" w:space="0" w:color="auto"/>
              <w:right w:val="nil" w:sz="6" w:space="0" w:color="auto"/>
            </w:tcBorders>
          </w:tcPr>
          <w:p>
            <w:pPr>
              <w:pStyle w:val="TableParagraph"/>
              <w:spacing w:line="194" w:lineRule="exact"/>
              <w:ind w:left="383" w:right="0"/>
              <w:jc w:val="left"/>
              <w:rPr>
                <w:rFonts w:ascii="Times New Roman" w:hAnsi="Times New Roman" w:cs="Times New Roman" w:eastAsia="Times New Roman" w:hint="default"/>
                <w:sz w:val="18"/>
                <w:szCs w:val="18"/>
              </w:rPr>
            </w:pPr>
            <w:r>
              <w:rPr>
                <w:rFonts w:ascii="Times New Roman"/>
                <w:sz w:val="18"/>
              </w:rPr>
              <w:t>34,479,026.56</w:t>
            </w:r>
          </w:p>
        </w:tc>
        <w:tc>
          <w:tcPr>
            <w:tcW w:w="1381" w:type="dxa"/>
            <w:tcBorders>
              <w:top w:val="nil" w:sz="6" w:space="0" w:color="auto"/>
              <w:left w:val="nil" w:sz="6" w:space="0" w:color="auto"/>
              <w:bottom w:val="nil" w:sz="6" w:space="0" w:color="auto"/>
              <w:right w:val="nil" w:sz="6" w:space="0" w:color="auto"/>
            </w:tcBorders>
          </w:tcPr>
          <w:p>
            <w:pPr>
              <w:pStyle w:val="TableParagraph"/>
              <w:spacing w:line="194" w:lineRule="exact"/>
              <w:ind w:left="563" w:right="0"/>
              <w:jc w:val="left"/>
              <w:rPr>
                <w:rFonts w:ascii="Times New Roman" w:hAnsi="Times New Roman" w:cs="Times New Roman" w:eastAsia="Times New Roman" w:hint="default"/>
                <w:sz w:val="18"/>
                <w:szCs w:val="18"/>
              </w:rPr>
            </w:pPr>
            <w:r>
              <w:rPr>
                <w:rFonts w:ascii="Times New Roman"/>
                <w:sz w:val="18"/>
              </w:rPr>
              <w:t>-19.50%</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40" w:lineRule="auto"/>
        <w:ind w:left="292" w:right="0"/>
        <w:jc w:val="left"/>
      </w:pPr>
      <w:r>
        <w:rPr/>
        <w:t>营业费用比上年同期增加的主要原因是职工薪酬增加</w:t>
      </w:r>
      <w:r>
        <w:rPr>
          <w:rFonts w:ascii="Times New Roman" w:hAnsi="Times New Roman" w:cs="Times New Roman" w:eastAsia="Times New Roman" w:hint="default"/>
        </w:rPr>
        <w:t>67</w:t>
      </w:r>
      <w:r>
        <w:rPr/>
        <w:t>万元。</w:t>
      </w:r>
      <w:r>
        <w:rPr>
          <w:spacing w:val="-3"/>
        </w:rPr>
        <w:t> </w:t>
      </w:r>
      <w:r>
        <w:rPr/>
        <w:t>管理费用减少主要是上年管理层持股会计股份支付处理，故本期计入管理费用职工薪酬减少所致。</w:t>
      </w:r>
    </w:p>
    <w:p>
      <w:pPr>
        <w:pStyle w:val="BodyText"/>
        <w:spacing w:line="300" w:lineRule="auto" w:before="39"/>
        <w:ind w:left="292" w:right="0"/>
        <w:jc w:val="left"/>
      </w:pPr>
      <w:r>
        <w:rPr>
          <w:spacing w:val="-1"/>
        </w:rPr>
        <w:t>财务费用比上年同期减少的原因是公司首发股票净募集资金</w:t>
      </w:r>
      <w:r>
        <w:rPr>
          <w:rFonts w:ascii="Times New Roman" w:hAnsi="Times New Roman" w:cs="Times New Roman" w:eastAsia="Times New Roman" w:hint="default"/>
          <w:spacing w:val="-1"/>
        </w:rPr>
        <w:t>4.26</w:t>
      </w:r>
      <w:r>
        <w:rPr>
          <w:spacing w:val="-1"/>
        </w:rPr>
        <w:t>亿元，增加了银行存款带来利息收入增加，而超募资金置换</w:t>
      </w:r>
      <w:r>
        <w:rPr>
          <w:spacing w:val="-73"/>
        </w:rPr>
        <w:t> </w:t>
      </w:r>
      <w:r>
        <w:rPr>
          <w:spacing w:val="-73"/>
        </w:rPr>
      </w:r>
      <w:r>
        <w:rPr/>
        <w:t>银行借款减少利息支出。</w:t>
      </w:r>
    </w:p>
    <w:p>
      <w:pPr>
        <w:spacing w:line="240" w:lineRule="auto" w:before="10"/>
        <w:rPr>
          <w:rFonts w:ascii="宋体" w:hAnsi="宋体" w:cs="宋体" w:eastAsia="宋体" w:hint="default"/>
          <w:sz w:val="23"/>
          <w:szCs w:val="23"/>
        </w:rPr>
      </w:pPr>
    </w:p>
    <w:p>
      <w:pPr>
        <w:pStyle w:val="Heading4"/>
        <w:spacing w:line="240" w:lineRule="auto"/>
        <w:ind w:left="292"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292" w:right="1169"/>
        <w:jc w:val="left"/>
      </w:pPr>
      <w:r>
        <w:rPr/>
        <w:t>公司围绕市场需求和公司发展战略，为增加公司核心竞争力，提高公司附加价值，公司</w:t>
      </w:r>
      <w:r>
        <w:rPr>
          <w:rFonts w:ascii="Times New Roman" w:hAnsi="Times New Roman" w:cs="Times New Roman" w:eastAsia="Times New Roman" w:hint="default"/>
        </w:rPr>
        <w:t>2012</w:t>
      </w:r>
      <w:r>
        <w:rPr/>
        <w:t>年投入研发费用为</w:t>
      </w:r>
      <w:r>
        <w:rPr>
          <w:rFonts w:ascii="Times New Roman" w:hAnsi="Times New Roman" w:cs="Times New Roman" w:eastAsia="Times New Roman" w:hint="default"/>
        </w:rPr>
        <w:t>3,598,450.29 </w:t>
      </w:r>
      <w:r>
        <w:rPr/>
        <w:t>元，占本期营业收入的</w:t>
      </w:r>
      <w:r>
        <w:rPr>
          <w:rFonts w:ascii="Times New Roman" w:hAnsi="Times New Roman" w:cs="Times New Roman" w:eastAsia="Times New Roman" w:hint="default"/>
        </w:rPr>
        <w:t>1.76%</w:t>
      </w:r>
      <w:r>
        <w:rPr/>
        <w:t>，净资产的</w:t>
      </w:r>
      <w:r>
        <w:rPr>
          <w:rFonts w:ascii="Times New Roman" w:hAnsi="Times New Roman" w:cs="Times New Roman" w:eastAsia="Times New Roman" w:hint="default"/>
        </w:rPr>
        <w:t>0.55%</w:t>
      </w:r>
      <w:r>
        <w:rPr/>
        <w:t>。</w:t>
      </w:r>
    </w:p>
    <w:p>
      <w:pPr>
        <w:spacing w:line="240" w:lineRule="auto" w:before="5"/>
        <w:rPr>
          <w:rFonts w:ascii="宋体" w:hAnsi="宋体" w:cs="宋体" w:eastAsia="宋体" w:hint="default"/>
          <w:sz w:val="22"/>
          <w:szCs w:val="22"/>
        </w:rPr>
      </w:pPr>
    </w:p>
    <w:p>
      <w:pPr>
        <w:pStyle w:val="Heading4"/>
        <w:spacing w:line="240" w:lineRule="auto"/>
        <w:ind w:left="292"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247,499,122.64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240,335,042.89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182,521,870.24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195,683,818.27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64,977,252.40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44,651,224.62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3,026,570.19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384,263,628.09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39,121,395.03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882.23%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-384,237,138.78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-36,094,824.84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964.52%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468,531,272.90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123,145,075.00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62,678,910.31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139,170,623.35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-54.96%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405,852,362.59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-16,025,548.35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2,632.53%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86,208,522.16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-7,487,365.25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1,251.39%</w:t>
            </w:r>
          </w:p>
        </w:tc>
      </w:tr>
    </w:tbl>
    <w:p>
      <w:pPr>
        <w:pStyle w:val="BodyText"/>
        <w:spacing w:line="240" w:lineRule="auto" w:before="49"/>
        <w:ind w:left="292" w:right="0"/>
        <w:jc w:val="both"/>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left="292" w:right="0"/>
        <w:jc w:val="both"/>
      </w:pPr>
      <w:r>
        <w:rPr/>
        <w:t>√ 适用 □</w:t>
      </w:r>
      <w:r>
        <w:rPr>
          <w:spacing w:val="3"/>
        </w:rPr>
        <w:t> </w:t>
      </w:r>
      <w:r>
        <w:rPr/>
        <w:t>不适用</w:t>
      </w:r>
    </w:p>
    <w:p>
      <w:pPr>
        <w:pStyle w:val="BodyText"/>
        <w:spacing w:line="300" w:lineRule="auto" w:before="118"/>
        <w:ind w:left="292" w:right="1131"/>
        <w:jc w:val="both"/>
      </w:pPr>
      <w:r>
        <w:rPr>
          <w:rFonts w:ascii="Times New Roman" w:hAnsi="Times New Roman" w:cs="Times New Roman" w:eastAsia="Times New Roman" w:hint="default"/>
          <w:spacing w:val="-2"/>
        </w:rPr>
        <w:t>2012</w:t>
      </w:r>
      <w:r>
        <w:rPr>
          <w:spacing w:val="-2"/>
        </w:rPr>
        <w:t>年公司现金净增加额</w:t>
      </w:r>
      <w:r>
        <w:rPr>
          <w:rFonts w:ascii="Times New Roman" w:hAnsi="Times New Roman" w:cs="Times New Roman" w:eastAsia="Times New Roman" w:hint="default"/>
          <w:spacing w:val="-2"/>
        </w:rPr>
        <w:t>86,208,522.16</w:t>
      </w:r>
      <w:r>
        <w:rPr>
          <w:spacing w:val="-2"/>
        </w:rPr>
        <w:t>元。现金流量增减的主要项目为：（</w:t>
      </w:r>
      <w:r>
        <w:rPr>
          <w:rFonts w:ascii="Times New Roman" w:hAnsi="Times New Roman" w:cs="Times New Roman" w:eastAsia="Times New Roman" w:hint="default"/>
          <w:spacing w:val="-2"/>
        </w:rPr>
        <w:t>1</w:t>
      </w:r>
      <w:r>
        <w:rPr>
          <w:spacing w:val="-2"/>
        </w:rPr>
        <w:t>）经营活动现金流量净额</w:t>
      </w:r>
      <w:r>
        <w:rPr>
          <w:rFonts w:ascii="Times New Roman" w:hAnsi="Times New Roman" w:cs="Times New Roman" w:eastAsia="Times New Roman" w:hint="default"/>
          <w:spacing w:val="-2"/>
        </w:rPr>
        <w:t>64,977,252.40</w:t>
      </w:r>
      <w:r>
        <w:rPr>
          <w:spacing w:val="-2"/>
        </w:rPr>
        <w:t>元，经营</w:t>
      </w:r>
      <w:r>
        <w:rPr>
          <w:spacing w:val="-42"/>
        </w:rPr>
        <w:t> </w:t>
      </w:r>
      <w:r>
        <w:rPr>
          <w:spacing w:val="-42"/>
        </w:rPr>
      </w:r>
      <w:r>
        <w:rPr/>
        <w:t>现金情况良好。（</w:t>
      </w:r>
      <w:r>
        <w:rPr>
          <w:rFonts w:ascii="Times New Roman" w:hAnsi="Times New Roman" w:cs="Times New Roman" w:eastAsia="Times New Roman" w:hint="default"/>
        </w:rPr>
        <w:t>2</w:t>
      </w:r>
      <w:r>
        <w:rPr/>
        <w:t>）投资活动现金流量净额</w:t>
      </w:r>
      <w:r>
        <w:rPr>
          <w:rFonts w:ascii="Times New Roman" w:hAnsi="Times New Roman" w:cs="Times New Roman" w:eastAsia="Times New Roman" w:hint="default"/>
        </w:rPr>
        <w:t>-384,237,138.78</w:t>
      </w:r>
      <w:r>
        <w:rPr/>
        <w:t>万元，主要原因是定期存款增加</w:t>
      </w:r>
      <w:r>
        <w:rPr>
          <w:rFonts w:ascii="Times New Roman" w:hAnsi="Times New Roman" w:cs="Times New Roman" w:eastAsia="Times New Roman" w:hint="default"/>
        </w:rPr>
        <w:t>343,999,980.00</w:t>
      </w:r>
      <w:r>
        <w:rPr/>
        <w:t>元（会计视为投 资支出）；</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筹资活动现金流量净额</w:t>
      </w:r>
      <w:r>
        <w:rPr>
          <w:rFonts w:ascii="Times New Roman" w:hAnsi="Times New Roman" w:cs="Times New Roman" w:eastAsia="Times New Roman" w:hint="default"/>
        </w:rPr>
        <w:t>405,852,362.59</w:t>
      </w:r>
      <w:r>
        <w:rPr/>
        <w:t>元，是公司首发新股募集资金所致。</w:t>
      </w:r>
    </w:p>
    <w:p>
      <w:pPr>
        <w:pStyle w:val="BodyText"/>
        <w:spacing w:line="240" w:lineRule="auto" w:before="51"/>
        <w:ind w:left="292" w:right="0"/>
        <w:jc w:val="both"/>
      </w:pPr>
      <w:r>
        <w:rPr/>
        <w:t>报告期内公司经营活动的现金流量与本年度净利润存在重大差异的原因说明</w:t>
      </w:r>
    </w:p>
    <w:p>
      <w:pPr>
        <w:pStyle w:val="BodyText"/>
        <w:spacing w:line="240" w:lineRule="auto" w:before="117"/>
        <w:ind w:left="292"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292" w:right="0"/>
        <w:jc w:val="both"/>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after="0" w:line="240" w:lineRule="auto"/>
        <w:jc w:val="right"/>
        <w:sectPr>
          <w:pgSz w:w="11910" w:h="16840"/>
          <w:pgMar w:header="745" w:footer="1301" w:top="1060" w:bottom="1500" w:left="84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文教体育用品制 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203,875,960.65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123,706,100.75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175,400,380.05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103,457,124.63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28,475,580.60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20,248,976.12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198,792,588.32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120,875,538.81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5,083,372.33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2,830,561.94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17.51%</w:t>
            </w:r>
          </w:p>
        </w:tc>
      </w:tr>
    </w:tbl>
    <w:p>
      <w:pPr>
        <w:pStyle w:val="BodyText"/>
        <w:spacing w:line="240" w:lineRule="auto" w:before="49"/>
        <w:ind w:right="112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456,390,662.7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66.88%</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26,182,160.58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12.11%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54.77%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首发新股收到募集资金</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33,942,628.66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37,686,780.20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26,763,778.28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20,465,571.01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126,590,596.3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18.55%</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48,731,494.08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22.54%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-3.99%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47,792,561.28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募投项目一期交付使用</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0"/>
        <w:gridCol w:w="1164"/>
        <w:gridCol w:w="1052"/>
        <w:gridCol w:w="1206"/>
        <w:gridCol w:w="1040"/>
        <w:gridCol w:w="810"/>
        <w:gridCol w:w="2919"/>
      </w:tblGrid>
      <w:tr>
        <w:trPr>
          <w:trHeight w:val="206" w:hRule="exact"/>
        </w:trPr>
        <w:tc>
          <w:tcPr>
            <w:tcW w:w="1380" w:type="dxa"/>
            <w:vMerge w:val="restart"/>
            <w:tcBorders>
              <w:top w:val="single" w:sz="4" w:space="0" w:color="000000"/>
              <w:left w:val="single" w:sz="4" w:space="0" w:color="000000"/>
              <w:right w:val="single" w:sz="4" w:space="0" w:color="000000"/>
            </w:tcBorders>
            <w:shd w:val="clear" w:color="auto" w:fill="D2D2D2"/>
          </w:tcPr>
          <w:p>
            <w:pPr/>
          </w:p>
        </w:tc>
        <w:tc>
          <w:tcPr>
            <w:tcW w:w="22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2216" w:type="dxa"/>
            <w:gridSpan w:val="2"/>
            <w:vMerge/>
            <w:tcBorders>
              <w:left w:val="single" w:sz="4" w:space="0" w:color="000000"/>
              <w:bottom w:val="single" w:sz="4" w:space="0" w:color="000000"/>
              <w:right w:val="single" w:sz="4" w:space="0" w:color="000000"/>
            </w:tcBorders>
            <w:shd w:val="clear" w:color="auto" w:fill="D2D2D2"/>
          </w:tcPr>
          <w:p>
            <w:pPr/>
          </w:p>
        </w:tc>
        <w:tc>
          <w:tcPr>
            <w:tcW w:w="2246"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80"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63"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80"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80"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20,000,000.00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9.25%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超募资金置换归还银行借款</w:t>
            </w:r>
          </w:p>
        </w:tc>
      </w:tr>
    </w:tbl>
    <w:p>
      <w:pPr>
        <w:spacing w:after="0" w:line="240" w:lineRule="auto"/>
        <w:jc w:val="left"/>
        <w:rPr>
          <w:rFonts w:ascii="宋体" w:hAnsi="宋体" w:cs="宋体" w:eastAsia="宋体" w:hint="default"/>
          <w:sz w:val="18"/>
          <w:szCs w:val="18"/>
        </w:rPr>
        <w:sectPr>
          <w:pgSz w:w="11910" w:h="16840"/>
          <w:pgMar w:header="745" w:footer="1301"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204"/>
        <w:gridCol w:w="1190"/>
        <w:gridCol w:w="1195"/>
        <w:gridCol w:w="1191"/>
        <w:gridCol w:w="1201"/>
        <w:gridCol w:w="1196"/>
        <w:gridCol w:w="1195"/>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373,498.45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1,259,897.05</w:t>
            </w:r>
          </w:p>
        </w:tc>
      </w:tr>
    </w:tbl>
    <w:p>
      <w:pPr>
        <w:pStyle w:val="BodyText"/>
        <w:spacing w:line="240" w:lineRule="auto" w:before="49"/>
        <w:ind w:right="1123"/>
        <w:jc w:val="left"/>
      </w:pPr>
      <w:r>
        <w:rPr/>
        <w:t>报告期内公司主要资产计量属性是否发生重大变化</w:t>
      </w:r>
    </w:p>
    <w:p>
      <w:pPr>
        <w:pStyle w:val="BodyText"/>
        <w:spacing w:line="240" w:lineRule="auto" w:before="117"/>
        <w:ind w:right="1123"/>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26" w:lineRule="auto" w:before="0"/>
        <w:ind w:right="982"/>
        <w:jc w:val="left"/>
      </w:pPr>
      <w:r>
        <w:rPr>
          <w:rFonts w:ascii="Times New Roman" w:hAnsi="Times New Roman" w:cs="Times New Roman" w:eastAsia="Times New Roman" w:hint="default"/>
        </w:rPr>
        <w:t>1</w:t>
      </w:r>
      <w:r>
        <w:rPr/>
        <w:t>、行业地位和市场领先优势 </w:t>
      </w:r>
      <w:r>
        <w:rPr>
          <w:spacing w:val="-2"/>
        </w:rPr>
        <w:t>动漫服饰是动漫与服饰的结合，辅以配饰和配件，准确再现动漫形象，传递动漫理念，并赋予特定的文化内涵。公司动漫服</w:t>
      </w:r>
      <w:r>
        <w:rPr>
          <w:spacing w:val="-66"/>
        </w:rPr>
        <w:t> </w:t>
      </w:r>
      <w:r>
        <w:rPr>
          <w:spacing w:val="-66"/>
        </w:rPr>
      </w:r>
      <w:r>
        <w:rPr>
          <w:spacing w:val="-2"/>
        </w:rPr>
        <w:t>饰产品明确定位为迪士尼形象动漫服饰、电影形象动漫服饰、传统节日动漫服饰等市场畅销产品。主要客户均为全球主流动</w:t>
      </w:r>
      <w:r>
        <w:rPr>
          <w:spacing w:val="-63"/>
        </w:rPr>
        <w:t> </w:t>
      </w:r>
      <w:r>
        <w:rPr>
          <w:spacing w:val="-63"/>
        </w:rPr>
      </w:r>
      <w:r>
        <w:rPr>
          <w:spacing w:val="-4"/>
        </w:rPr>
        <w:t>漫服饰供应商，通过优化设计及实现更好的产品搭配为客户提供良好的服务和产品。公司是国内主要的动漫服饰制造商之一，</w:t>
      </w:r>
    </w:p>
    <w:p>
      <w:pPr>
        <w:pStyle w:val="BodyText"/>
        <w:spacing w:line="338" w:lineRule="auto" w:before="11"/>
        <w:ind w:right="1123"/>
        <w:jc w:val="left"/>
      </w:pPr>
      <w:r>
        <w:rPr/>
        <w:t>在动漫服饰的研发、设计和生产上具备领先优势。 </w:t>
      </w:r>
      <w:r>
        <w:rPr>
          <w:spacing w:val="-2"/>
        </w:rPr>
        <w:t>在欧盟和美国不断提高进口服饰的门槛、国内原材料及人力成本不断上涨的情况下，我国动漫服饰行业销售生产逐步向设计</w:t>
      </w:r>
      <w:r>
        <w:rPr>
          <w:spacing w:val="-64"/>
        </w:rPr>
        <w:t> </w:t>
      </w:r>
      <w:r>
        <w:rPr>
          <w:spacing w:val="-64"/>
        </w:rPr>
      </w:r>
      <w:r>
        <w:rPr>
          <w:spacing w:val="-2"/>
        </w:rPr>
        <w:t>能力强、规模大、产品品质优良的企业集中。公司的行业地位使得公司具备较大的市场开拓空间和议价能力，客户数量和客</w:t>
      </w:r>
    </w:p>
    <w:p>
      <w:pPr>
        <w:pStyle w:val="BodyText"/>
        <w:spacing w:line="319" w:lineRule="auto" w:before="2"/>
        <w:ind w:right="1123"/>
        <w:jc w:val="left"/>
      </w:pPr>
      <w:r>
        <w:rPr>
          <w:spacing w:val="-2"/>
        </w:rPr>
        <w:t>户需求规模逐年增长；</w:t>
      </w:r>
      <w:r>
        <w:rPr>
          <w:rFonts w:ascii="Times New Roman" w:hAnsi="Times New Roman" w:cs="Times New Roman" w:eastAsia="Times New Roman" w:hint="default"/>
          <w:spacing w:val="-2"/>
        </w:rPr>
        <w:t>2010</w:t>
      </w:r>
      <w:r>
        <w:rPr>
          <w:spacing w:val="-2"/>
        </w:rPr>
        <w:t>年公司一方面取得迪士尼的授权开始自主设计产品进行国内销售，另一方面自主研发设计的非授</w:t>
      </w:r>
      <w:r>
        <w:rPr>
          <w:spacing w:val="-62"/>
        </w:rPr>
        <w:t> </w:t>
      </w:r>
      <w:r>
        <w:rPr>
          <w:spacing w:val="-62"/>
        </w:rPr>
      </w:r>
      <w:r>
        <w:rPr/>
        <w:t>权产品也为海外客户如德国</w:t>
      </w:r>
      <w:r>
        <w:rPr>
          <w:rFonts w:ascii="Times New Roman" w:hAnsi="Times New Roman" w:cs="Times New Roman" w:eastAsia="Times New Roman" w:hint="default"/>
        </w:rPr>
        <w:t>Keller</w:t>
      </w:r>
      <w:r>
        <w:rPr/>
        <w:t>公司所接受并实现销售，公司的自主设计能力和业务空间得到提升。 </w:t>
      </w:r>
      <w:r>
        <w:rPr>
          <w:rFonts w:ascii="Times New Roman" w:hAnsi="Times New Roman" w:cs="Times New Roman" w:eastAsia="Times New Roman" w:hint="default"/>
        </w:rPr>
        <w:t>2</w:t>
      </w:r>
      <w:r>
        <w:rPr/>
        <w:t>、快速组织设计和生产的优势</w:t>
      </w:r>
    </w:p>
    <w:p>
      <w:pPr>
        <w:pStyle w:val="BodyText"/>
        <w:spacing w:line="316" w:lineRule="auto" w:before="38"/>
        <w:ind w:right="982"/>
        <w:jc w:val="left"/>
      </w:pPr>
      <w:r>
        <w:rPr>
          <w:spacing w:val="-4"/>
        </w:rPr>
        <w:t>公司客户提供的样品主要是基于平面形象的初步设计图稿，公司根据生产经验，凭借对流行设计理念及服饰搭配效果的理解，</w:t>
      </w:r>
      <w:r>
        <w:rPr>
          <w:spacing w:val="-44"/>
        </w:rPr>
        <w:t> </w:t>
      </w:r>
      <w:r>
        <w:rPr>
          <w:spacing w:val="-44"/>
        </w:rPr>
      </w:r>
      <w:r>
        <w:rPr>
          <w:spacing w:val="-4"/>
        </w:rPr>
        <w:t>将平面图稿转化为生产样衣，并从成本节约、生产效率等方面向客户提出改进意见，并经客户确认后，最终形成成熟的产品。</w:t>
      </w:r>
      <w:r>
        <w:rPr>
          <w:spacing w:val="-46"/>
        </w:rPr>
        <w:t> </w:t>
      </w:r>
      <w:r>
        <w:rPr>
          <w:spacing w:val="-46"/>
        </w:rPr>
      </w:r>
      <w:r>
        <w:rPr>
          <w:spacing w:val="-2"/>
        </w:rPr>
        <w:t>动漫服饰属于快速消费品，时效性强，产品品种丰富，各年的流行形象和款式均有较大变化，作为动漫服饰的制造商必须能</w:t>
      </w:r>
      <w:r>
        <w:rPr>
          <w:spacing w:val="-64"/>
        </w:rPr>
        <w:t> </w:t>
      </w:r>
      <w:r>
        <w:rPr>
          <w:spacing w:val="-64"/>
        </w:rPr>
      </w:r>
      <w:r>
        <w:rPr/>
        <w:t>够快速应对需求变化，在较短时间内完成样品交互设计并组织生产。</w:t>
      </w:r>
    </w:p>
    <w:p>
      <w:pPr>
        <w:pStyle w:val="BodyText"/>
        <w:spacing w:line="316" w:lineRule="auto" w:before="59"/>
        <w:ind w:right="1043"/>
        <w:jc w:val="both"/>
      </w:pPr>
      <w:r>
        <w:rPr>
          <w:spacing w:val="-2"/>
        </w:rPr>
        <w:t>公司高度重视客户对交货的时间要求以及二次设计为客户创造的价值，近年来，通过不断引进设计人员，通过深度参与产品</w:t>
      </w:r>
      <w:r>
        <w:rPr>
          <w:spacing w:val="-66"/>
        </w:rPr>
        <w:t> </w:t>
      </w:r>
      <w:r>
        <w:rPr>
          <w:spacing w:val="-66"/>
        </w:rPr>
      </w:r>
      <w:r>
        <w:rPr>
          <w:spacing w:val="-2"/>
        </w:rPr>
        <w:t>的款式和面料选择、配饰搭配等环节参与产品设计，在满足质量和使用要求的前提下，降低客户的采购成本。为使得设计理</w:t>
      </w:r>
      <w:r>
        <w:rPr>
          <w:spacing w:val="-65"/>
        </w:rPr>
        <w:t> </w:t>
      </w:r>
      <w:r>
        <w:rPr>
          <w:spacing w:val="-65"/>
        </w:rPr>
      </w:r>
      <w:r>
        <w:rPr>
          <w:spacing w:val="-2"/>
        </w:rPr>
        <w:t>念更接近客户需求并提升设计效率，公司从香港聘请了资深设计团队，重点培养锻炼年轻专业设计人员，定期组织员工培训</w:t>
      </w:r>
      <w:r>
        <w:rPr>
          <w:spacing w:val="-63"/>
        </w:rPr>
        <w:t> </w:t>
      </w:r>
      <w:r>
        <w:rPr>
          <w:spacing w:val="-63"/>
        </w:rPr>
      </w:r>
      <w:r>
        <w:rPr/>
        <w:t>和学习。公司产品的更新速度和创新能力得到了明显的提高和改善。</w:t>
      </w:r>
    </w:p>
    <w:p>
      <w:pPr>
        <w:pStyle w:val="BodyText"/>
        <w:spacing w:line="304" w:lineRule="auto" w:before="57"/>
        <w:ind w:right="982"/>
        <w:jc w:val="left"/>
      </w:pPr>
      <w:r>
        <w:rPr>
          <w:spacing w:val="-2"/>
        </w:rPr>
        <w:t>公司严格按照订单组织生产，通过以下措施提高生产效率：（</w:t>
      </w:r>
      <w:r>
        <w:rPr>
          <w:rFonts w:ascii="Times New Roman" w:hAnsi="Times New Roman" w:cs="Times New Roman" w:eastAsia="Times New Roman" w:hint="default"/>
          <w:spacing w:val="-2"/>
        </w:rPr>
        <w:t>1</w:t>
      </w:r>
      <w:r>
        <w:rPr>
          <w:spacing w:val="-2"/>
        </w:rPr>
        <w:t>）动漫服饰所需的原料和供应商较多，组织采购的难度较大，</w:t>
      </w:r>
      <w:r>
        <w:rPr>
          <w:spacing w:val="-63"/>
        </w:rPr>
        <w:t> </w:t>
      </w:r>
      <w:r>
        <w:rPr>
          <w:spacing w:val="-63"/>
        </w:rPr>
      </w:r>
      <w:r>
        <w:rPr>
          <w:spacing w:val="-2"/>
        </w:rPr>
        <w:t>公司熟悉客户各类产品的原辅料和配饰构成，在客户提供样品图样时，对所需的各类主要原辅料可以提前安排采购，缩短采</w:t>
      </w:r>
      <w:r>
        <w:rPr>
          <w:spacing w:val="-63"/>
        </w:rPr>
        <w:t> </w:t>
      </w:r>
      <w:r>
        <w:rPr>
          <w:spacing w:val="-63"/>
        </w:rPr>
      </w:r>
      <w:r>
        <w:rPr/>
        <w:t>购周期；（</w:t>
      </w:r>
      <w:r>
        <w:rPr>
          <w:rFonts w:ascii="Times New Roman" w:hAnsi="Times New Roman" w:cs="Times New Roman" w:eastAsia="Times New Roman" w:hint="default"/>
        </w:rPr>
        <w:t>2</w:t>
      </w:r>
      <w:r>
        <w:rPr/>
        <w:t>）公司专注于动漫服饰生产，已经制定了稳定有效的检测流程，公司熟悉客户产品进口质量检测标准并从采购 环节实施质量控制，确保交货质量；（</w:t>
      </w:r>
      <w:r>
        <w:rPr>
          <w:rFonts w:ascii="Times New Roman" w:hAnsi="Times New Roman" w:cs="Times New Roman" w:eastAsia="Times New Roman" w:hint="default"/>
        </w:rPr>
        <w:t>3</w:t>
      </w:r>
      <w:r>
        <w:rPr/>
        <w:t>）公司形成了规范的生产流程，员工稳定熟练，培育了一批合格的原材料供应商和 外协厂商，有利于快速组织生产。</w:t>
      </w:r>
    </w:p>
    <w:p>
      <w:pPr>
        <w:pStyle w:val="BodyText"/>
        <w:spacing w:line="328" w:lineRule="auto" w:before="68"/>
        <w:ind w:right="98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、稳定的核心客户及同步客户需求的优势 </w:t>
      </w:r>
      <w:r>
        <w:rPr>
          <w:spacing w:val="-4"/>
        </w:rPr>
        <w:t>公司的反应能力和产品质量得到众多客户的认可，公司在动漫服饰行业中的市场份额逐年提高。公司产品销往美国、加拿大、</w:t>
      </w:r>
      <w:r>
        <w:rPr>
          <w:spacing w:val="-44"/>
        </w:rPr>
        <w:t> </w:t>
      </w:r>
      <w:r>
        <w:rPr>
          <w:spacing w:val="-44"/>
        </w:rPr>
      </w:r>
      <w:r>
        <w:rPr/>
        <w:t>欧洲，涵盖动漫服饰贸易批发商、专卖连锁店、大型超市、百货商店等终端渠道。全球主要动漫服饰供应商</w:t>
      </w:r>
      <w:r>
        <w:rPr>
          <w:rFonts w:ascii="Times New Roman" w:hAnsi="Times New Roman" w:cs="Times New Roman" w:eastAsia="Times New Roman" w:hint="default"/>
        </w:rPr>
        <w:t>Disguise</w:t>
      </w:r>
      <w:r>
        <w:rPr/>
        <w:t>、</w:t>
      </w:r>
      <w:r>
        <w:rPr>
          <w:rFonts w:ascii="Times New Roman" w:hAnsi="Times New Roman" w:cs="Times New Roman" w:eastAsia="Times New Roman" w:hint="default"/>
        </w:rPr>
        <w:t>Paper</w:t>
      </w:r>
    </w:p>
    <w:p>
      <w:pPr>
        <w:pStyle w:val="BodyText"/>
        <w:spacing w:line="300" w:lineRule="auto" w:before="0"/>
        <w:ind w:right="1123"/>
        <w:jc w:val="left"/>
      </w:pPr>
      <w:r>
        <w:rPr>
          <w:rFonts w:ascii="Times New Roman" w:hAnsi="Times New Roman" w:cs="Times New Roman" w:eastAsia="Times New Roman" w:hint="default"/>
          <w:spacing w:val="-3"/>
        </w:rPr>
        <w:t>Magic</w:t>
      </w:r>
      <w:r>
        <w:rPr>
          <w:spacing w:val="-3"/>
        </w:rPr>
        <w:t>、</w:t>
      </w:r>
      <w:r>
        <w:rPr>
          <w:rFonts w:ascii="Times New Roman" w:hAnsi="Times New Roman" w:cs="Times New Roman" w:eastAsia="Times New Roman" w:hint="default"/>
          <w:spacing w:val="-3"/>
        </w:rPr>
        <w:t>Mega</w:t>
      </w:r>
      <w:r>
        <w:rPr>
          <w:rFonts w:ascii="Times New Roman" w:hAnsi="Times New Roman" w:cs="Times New Roman" w:eastAsia="Times New Roman" w:hint="default"/>
        </w:rPr>
        <w:t> </w:t>
      </w:r>
      <w:r>
        <w:rPr>
          <w:rFonts w:ascii="Times New Roman" w:hAnsi="Times New Roman" w:cs="Times New Roman" w:eastAsia="Times New Roman" w:hint="default"/>
          <w:spacing w:val="-2"/>
        </w:rPr>
        <w:t>Toys</w:t>
      </w:r>
      <w:r>
        <w:rPr>
          <w:spacing w:val="-2"/>
        </w:rPr>
        <w:t>、</w:t>
      </w:r>
      <w:r>
        <w:rPr>
          <w:rFonts w:ascii="Times New Roman" w:hAnsi="Times New Roman" w:cs="Times New Roman" w:eastAsia="Times New Roman" w:hint="default"/>
          <w:spacing w:val="-2"/>
        </w:rPr>
        <w:t>Christy</w:t>
      </w:r>
      <w:r>
        <w:rPr>
          <w:spacing w:val="-2"/>
        </w:rPr>
        <w:t>等均为公司稳定的核心客户，其产品呈多样化，并主导全球流行动漫服饰需求。因此公司产品结</w:t>
      </w:r>
      <w:r>
        <w:rPr>
          <w:spacing w:val="-46"/>
        </w:rPr>
        <w:t> </w:t>
      </w:r>
      <w:r>
        <w:rPr>
          <w:spacing w:val="-46"/>
        </w:rPr>
      </w:r>
      <w:r>
        <w:rPr>
          <w:spacing w:val="-2"/>
        </w:rPr>
        <w:t>构也较为丰富，包括各类迪士尼形象动漫服饰、电影形象动漫服饰和传统节日动漫服饰等，公司经过和客户的多年合作，能</w:t>
      </w:r>
    </w:p>
    <w:p>
      <w:pPr>
        <w:spacing w:after="0" w:line="300" w:lineRule="auto"/>
        <w:jc w:val="left"/>
        <w:sectPr>
          <w:pgSz w:w="11910" w:h="16840"/>
          <w:pgMar w:header="745" w:footer="1301" w:top="1060" w:bottom="1500" w:left="980" w:right="0"/>
        </w:sectPr>
      </w:pPr>
    </w:p>
    <w:p>
      <w:pPr>
        <w:spacing w:line="240" w:lineRule="auto" w:before="9"/>
        <w:rPr>
          <w:rFonts w:ascii="宋体" w:hAnsi="宋体" w:cs="宋体" w:eastAsia="宋体" w:hint="default"/>
          <w:sz w:val="25"/>
          <w:szCs w:val="25"/>
        </w:rPr>
      </w:pPr>
    </w:p>
    <w:p>
      <w:pPr>
        <w:pStyle w:val="BodyText"/>
        <w:spacing w:line="319" w:lineRule="auto"/>
        <w:ind w:right="1123"/>
        <w:jc w:val="left"/>
      </w:pPr>
      <w:r>
        <w:rPr>
          <w:spacing w:val="-2"/>
        </w:rPr>
        <w:t>较好理解各类动漫服饰的主题概念和表现方式，并较快设计出满足客户要求的样品。多样化产品结构积累的设计和生产能力</w:t>
      </w:r>
      <w:r>
        <w:rPr>
          <w:spacing w:val="-64"/>
        </w:rPr>
        <w:t> </w:t>
      </w:r>
      <w:r>
        <w:rPr>
          <w:spacing w:val="-64"/>
        </w:rPr>
      </w:r>
      <w:r>
        <w:rPr/>
        <w:t>使得公司一方面能够满足既有客户的需求，另一方面也有利于公司开拓其他差异化需求的客户。</w:t>
      </w:r>
    </w:p>
    <w:p>
      <w:pPr>
        <w:pStyle w:val="BodyText"/>
        <w:spacing w:line="324" w:lineRule="auto" w:before="58"/>
        <w:ind w:right="1123"/>
        <w:jc w:val="left"/>
      </w:pPr>
      <w:r>
        <w:rPr>
          <w:rFonts w:ascii="Times New Roman" w:hAnsi="Times New Roman" w:cs="Times New Roman" w:eastAsia="Times New Roman" w:hint="default"/>
        </w:rPr>
        <w:t>4</w:t>
      </w:r>
      <w:r>
        <w:rPr/>
        <w:t>、规模化的生产优势 </w:t>
      </w:r>
      <w:r>
        <w:rPr>
          <w:spacing w:val="-2"/>
        </w:rPr>
        <w:t>动漫服饰不同于传统服饰，动漫服饰属于非标准化产品，生产方式通常为小批量多品种，各个客户的需求差异较大，生产自</w:t>
      </w:r>
      <w:r>
        <w:rPr>
          <w:spacing w:val="-65"/>
        </w:rPr>
        <w:t> </w:t>
      </w:r>
      <w:r>
        <w:rPr>
          <w:spacing w:val="-65"/>
        </w:rPr>
      </w:r>
      <w:r>
        <w:rPr>
          <w:spacing w:val="-2"/>
        </w:rPr>
        <w:t>动化程度较低，生产组织难度大。在原材料需求上，传统服装一般仅需若干种面料，而一套动漫服饰如迪士尼公主裙所需原</w:t>
      </w:r>
      <w:r>
        <w:rPr>
          <w:spacing w:val="-64"/>
        </w:rPr>
        <w:t> </w:t>
      </w:r>
      <w:r>
        <w:rPr>
          <w:spacing w:val="-64"/>
        </w:rPr>
      </w:r>
      <w:r>
        <w:rPr/>
        <w:t>辅料多达约</w:t>
      </w:r>
      <w:r>
        <w:rPr>
          <w:rFonts w:ascii="Times New Roman" w:hAnsi="Times New Roman" w:cs="Times New Roman" w:eastAsia="Times New Roman" w:hint="default"/>
        </w:rPr>
        <w:t>20</w:t>
      </w:r>
      <w:r>
        <w:rPr/>
        <w:t>种，并还需各类配饰，各种原辅材料采购协调难度较大。 </w:t>
      </w:r>
      <w:r>
        <w:rPr>
          <w:spacing w:val="-2"/>
        </w:rPr>
        <w:t>动漫服饰主要应用于国外传统节日，需求集中并呈刚性，时效性强，因此国际上各主要动漫服饰供应商销售规模都较大，为</w:t>
      </w:r>
      <w:r>
        <w:rPr>
          <w:spacing w:val="-65"/>
        </w:rPr>
        <w:t> </w:t>
      </w:r>
      <w:r>
        <w:rPr>
          <w:spacing w:val="-65"/>
        </w:rPr>
      </w:r>
      <w:r>
        <w:rPr>
          <w:spacing w:val="-2"/>
        </w:rPr>
        <w:t>保证供货的及时和稳定的品质，供应商趋向于选择规模较大、生产能力强的企业作为其重要产品制造商，从而减少管理难度</w:t>
      </w:r>
      <w:r>
        <w:rPr>
          <w:spacing w:val="-63"/>
        </w:rPr>
        <w:t> </w:t>
      </w:r>
      <w:r>
        <w:rPr>
          <w:spacing w:val="-63"/>
        </w:rPr>
      </w:r>
      <w:r>
        <w:rPr>
          <w:spacing w:val="-2"/>
        </w:rPr>
        <w:t>和易于控制风险。报告期内公司的供货能力不断扩大，为国内主要的动漫服饰制造商之一，规模化的生产优势有利于公司快</w:t>
      </w:r>
      <w:r>
        <w:rPr>
          <w:spacing w:val="-63"/>
        </w:rPr>
        <w:t> </w:t>
      </w:r>
      <w:r>
        <w:rPr>
          <w:spacing w:val="-63"/>
        </w:rPr>
      </w:r>
      <w:r>
        <w:rPr/>
        <w:t>速得到新客户认同和拓展业务。</w:t>
      </w:r>
    </w:p>
    <w:p>
      <w:pPr>
        <w:pStyle w:val="BodyText"/>
        <w:spacing w:line="328" w:lineRule="auto" w:before="54"/>
        <w:ind w:right="1123"/>
        <w:jc w:val="left"/>
      </w:pPr>
      <w:r>
        <w:rPr>
          <w:rFonts w:ascii="Times New Roman" w:hAnsi="Times New Roman" w:cs="Times New Roman" w:eastAsia="Times New Roman" w:hint="default"/>
        </w:rPr>
        <w:t>5</w:t>
      </w:r>
      <w:r>
        <w:rPr/>
        <w:t>、区位优势 </w:t>
      </w:r>
      <w:r>
        <w:rPr>
          <w:spacing w:val="-2"/>
        </w:rPr>
        <w:t>公司地处浙江省绍兴市，紧邻宁波港、杭州萧山国际机场、绍兴柯桥中国轻纺城、义乌中国小商品城等，地理位置优越。区</w:t>
      </w:r>
      <w:r>
        <w:rPr>
          <w:spacing w:val="-70"/>
        </w:rPr>
        <w:t> </w:t>
      </w:r>
      <w:r>
        <w:rPr>
          <w:spacing w:val="-70"/>
        </w:rPr>
      </w:r>
      <w:r>
        <w:rPr/>
        <w:t>域经济优势和产业集群优势使得公司在整体资源汲取方面具有得天独厚的优势。</w:t>
      </w:r>
    </w:p>
    <w:p>
      <w:pPr>
        <w:pStyle w:val="BodyText"/>
        <w:spacing w:line="316" w:lineRule="auto" w:before="50"/>
        <w:ind w:right="982"/>
        <w:jc w:val="left"/>
      </w:pPr>
      <w:r>
        <w:rPr>
          <w:spacing w:val="-2"/>
        </w:rPr>
        <w:t>公司区域经济优势集中体现在原材料采购上。动漫服饰面料主要包括化纤面料、天然面料、功能面料及复合面料等；配饰辅</w:t>
      </w:r>
      <w:r>
        <w:rPr>
          <w:spacing w:val="-64"/>
        </w:rPr>
        <w:t> </w:t>
      </w:r>
      <w:r>
        <w:rPr>
          <w:spacing w:val="-64"/>
        </w:rPr>
      </w:r>
      <w:r>
        <w:rPr>
          <w:spacing w:val="-2"/>
        </w:rPr>
        <w:t>料主要包括拉链、衬类、纽扣、饰品花边、织带、配件、缝纫线等。绍兴市是中国著名的纺织服装产业集群地之一，位于绍</w:t>
      </w:r>
      <w:r>
        <w:rPr>
          <w:spacing w:val="-65"/>
        </w:rPr>
        <w:t> </w:t>
      </w:r>
      <w:r>
        <w:rPr>
          <w:spacing w:val="-65"/>
        </w:rPr>
      </w:r>
      <w:r>
        <w:rPr>
          <w:spacing w:val="-4"/>
        </w:rPr>
        <w:t>兴柯桥的中国轻纺城是亚洲最大的纺织面料集散地，而紧邻的温州和义乌又是世界小商品集散地，各类纺织辅配料品种丰富、</w:t>
      </w:r>
      <w:r>
        <w:rPr>
          <w:spacing w:val="-44"/>
        </w:rPr>
        <w:t> </w:t>
      </w:r>
      <w:r>
        <w:rPr>
          <w:spacing w:val="-44"/>
        </w:rPr>
      </w:r>
      <w:r>
        <w:rPr/>
        <w:t>种类齐全、供应充足，公司周边应用于动漫服饰的面料和辅料已形成完整的供应体系。</w:t>
      </w:r>
    </w:p>
    <w:p>
      <w:pPr>
        <w:pStyle w:val="BodyText"/>
        <w:spacing w:line="316" w:lineRule="auto" w:before="59"/>
        <w:ind w:right="1123"/>
        <w:jc w:val="left"/>
      </w:pPr>
      <w:r>
        <w:rPr>
          <w:spacing w:val="-2"/>
        </w:rPr>
        <w:t>动漫服饰属于动漫衍生品，但其生产过程又具服装产业的特性。除原材料采购优势外，公司还充分利用服装产业集群所带来</w:t>
      </w:r>
      <w:r>
        <w:rPr>
          <w:spacing w:val="-66"/>
        </w:rPr>
        <w:t> </w:t>
      </w:r>
      <w:r>
        <w:rPr>
          <w:spacing w:val="-66"/>
        </w:rPr>
      </w:r>
      <w:r>
        <w:rPr/>
        <w:t>的专业人才和熟练劳动力集中的优势。</w:t>
      </w:r>
    </w:p>
    <w:p>
      <w:pPr>
        <w:pStyle w:val="BodyText"/>
        <w:spacing w:line="319" w:lineRule="auto" w:before="57"/>
        <w:ind w:right="1034"/>
        <w:jc w:val="left"/>
      </w:pPr>
      <w:r>
        <w:rPr>
          <w:rFonts w:ascii="Times New Roman" w:hAnsi="Times New Roman" w:cs="Times New Roman" w:eastAsia="Times New Roman" w:hint="default"/>
        </w:rPr>
        <w:t>6</w:t>
      </w:r>
      <w:r>
        <w:rPr/>
        <w:t>、产品质量优势 公司通过严密实施科学化的管理系统和质量保障体系，保证优质和稳定的产品质量。公司形成了完善的工艺研发设计流程， </w:t>
      </w:r>
      <w:r>
        <w:rPr>
          <w:spacing w:val="-2"/>
        </w:rPr>
        <w:t>制定相应的内部技术标准以保证生产工艺的严格执行，从而保证产品质量的一致性及稳定性。此外，公司还拥有专门的试验</w:t>
      </w:r>
      <w:r>
        <w:rPr>
          <w:spacing w:val="-66"/>
        </w:rPr>
        <w:t> </w:t>
      </w:r>
      <w:r>
        <w:rPr>
          <w:spacing w:val="-66"/>
        </w:rPr>
      </w:r>
      <w:r>
        <w:rPr>
          <w:spacing w:val="-2"/>
        </w:rPr>
        <w:t>检测室，原料、样品、半成品、产品均需经过多道物理和化学检验。通过严格的检测程序，产品达到欧美对服装和玩具的相</w:t>
      </w:r>
      <w:r>
        <w:rPr>
          <w:spacing w:val="-70"/>
        </w:rPr>
        <w:t> </w:t>
      </w:r>
      <w:r>
        <w:rPr>
          <w:spacing w:val="-70"/>
        </w:rPr>
      </w:r>
      <w:r>
        <w:rPr/>
        <w:t>关质量要求标准。公司通过了</w:t>
      </w:r>
      <w:r>
        <w:rPr>
          <w:rFonts w:ascii="Times New Roman" w:hAnsi="Times New Roman" w:cs="Times New Roman" w:eastAsia="Times New Roman" w:hint="default"/>
        </w:rPr>
        <w:t>ICTI</w:t>
      </w:r>
      <w:r>
        <w:rPr/>
        <w:t>验证、</w:t>
      </w:r>
      <w:r>
        <w:rPr>
          <w:rFonts w:ascii="Times New Roman" w:hAnsi="Times New Roman" w:cs="Times New Roman" w:eastAsia="Times New Roman" w:hint="default"/>
        </w:rPr>
        <w:t>GSV</w:t>
      </w:r>
      <w:r>
        <w:rPr/>
        <w:t>反恐认证以及</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质量体系认证，规范了公司研发、生产、销售全 流程作业，公司将质量意识体现在经营管理的每个细节，以优质的产品质量赢得客户的信任。</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6"/>
              <w:jc w:val="right"/>
              <w:rPr>
                <w:rFonts w:ascii="宋体" w:hAnsi="宋体" w:cs="宋体" w:eastAsia="宋体" w:hint="default"/>
                <w:sz w:val="18"/>
                <w:szCs w:val="18"/>
              </w:rPr>
            </w:pPr>
            <w:r>
              <w:rPr>
                <w:rFonts w:ascii="宋体" w:hAnsi="宋体" w:cs="宋体" w:eastAsia="宋体" w:hint="default"/>
                <w:sz w:val="18"/>
                <w:szCs w:val="18"/>
              </w:rPr>
              <w:t>服装、动漫衍生产品开发设计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01" w:top="1060" w:bottom="150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pict>
          <v:shape style="position:absolute;margin-left:146.179993pt;margin-top:51.1637pt;width:84.3pt;height:17.650pt;mso-position-horizontal-relative:page;mso-position-vertical-relative:paragraph;z-index:-663304"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1.1637pt;width:84.15pt;height:17.650pt;mso-position-horizontal-relative:page;mso-position-vertical-relative:paragraph;z-index:-663280"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312.649994pt;margin-top:51.1637pt;width:48.05pt;height:17.650pt;mso-position-horizontal-relative:page;mso-position-vertical-relative:paragraph;z-index:-663256" type="#_x0000_t202" filled="false" stroked="false">
            <v:textbox inset="0,0,0,0">
              <w:txbxContent>
                <w:p>
                  <w:pPr>
                    <w:pStyle w:val="BodyText"/>
                    <w:spacing w:line="240" w:lineRule="auto" w:before="8"/>
                    <w:ind w:left="0" w:right="0"/>
                    <w:jc w:val="left"/>
                  </w:pPr>
                  <w:r>
                    <w:rPr/>
                    <w:t>）</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81"/>
        <w:gridCol w:w="869"/>
        <w:gridCol w:w="872"/>
        <w:gridCol w:w="866"/>
        <w:gridCol w:w="869"/>
        <w:gridCol w:w="869"/>
        <w:gridCol w:w="866"/>
        <w:gridCol w:w="869"/>
        <w:gridCol w:w="869"/>
        <w:gridCol w:w="854"/>
      </w:tblGrid>
      <w:tr>
        <w:trPr>
          <w:trHeight w:val="713"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37"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65"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5"/>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1" w:right="6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9"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认购</w:t>
            </w:r>
          </w:p>
        </w:tc>
      </w:tr>
      <w:tr>
        <w:trPr>
          <w:trHeight w:val="713"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823"/>
        <w:gridCol w:w="789"/>
        <w:gridCol w:w="797"/>
        <w:gridCol w:w="799"/>
        <w:gridCol w:w="797"/>
        <w:gridCol w:w="799"/>
        <w:gridCol w:w="797"/>
        <w:gridCol w:w="800"/>
        <w:gridCol w:w="796"/>
        <w:gridCol w:w="785"/>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33" w:firstLine="12"/>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22" w:right="39"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32" w:right="3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pict>
          <v:shape style="position:absolute;margin-left:192.863007pt;margin-top:-38.158279pt;width:62.45pt;height:17.55pt;mso-position-horizontal-relative:page;mso-position-vertical-relative:paragraph;z-index:-663232" type="#_x0000_t202" filled="false" stroked="false">
            <v:textbox inset="0,0,0,0">
              <w:txbxContent>
                <w:p>
                  <w:pPr>
                    <w:pStyle w:val="BodyText"/>
                    <w:spacing w:line="240" w:lineRule="auto" w:before="8"/>
                    <w:ind w:left="0" w:right="0"/>
                    <w:jc w:val="left"/>
                  </w:pPr>
                  <w:r>
                    <w:rPr/>
                    <w:t>（元）</w:t>
                  </w:r>
                </w:p>
              </w:txbxContent>
            </v:textbox>
            <w10:wrap type="none"/>
          </v:shape>
        </w:pict>
      </w:r>
      <w:r>
        <w:rPr/>
        <w:pict>
          <v:shape style="position:absolute;margin-left:232.727005pt;margin-top:-38.158279pt;width:62.55pt;height:17.55pt;mso-position-horizontal-relative:page;mso-position-vertical-relative:paragraph;z-index:-663208"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290.690002pt;margin-top:-38.158279pt;width:44.45pt;height:17.55pt;mso-position-horizontal-relative:page;mso-position-vertical-relative:paragraph;z-index:-663184"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312.527008pt;margin-top:-38.158279pt;width:62.55pt;height:17.55pt;mso-position-horizontal-relative:page;mso-position-vertical-relative:paragraph;z-index:-663160"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370.51001pt;margin-top:-38.158279pt;width:44.4pt;height:17.55pt;mso-position-horizontal-relative:page;mso-position-vertical-relative:paragraph;z-index:-663136" type="#_x0000_t202" filled="false" stroked="false">
            <v:textbox inset="0,0,0,0">
              <w:txbxContent>
                <w:p>
                  <w:pPr>
                    <w:pStyle w:val="BodyText"/>
                    <w:spacing w:line="240" w:lineRule="auto" w:before="8"/>
                    <w:ind w:left="0" w:right="0"/>
                    <w:jc w:val="left"/>
                  </w:pPr>
                  <w:r>
                    <w:rPr/>
                    <w:t>）</w:t>
                  </w:r>
                </w:p>
              </w:txbxContent>
            </v:textbox>
            <w10:wrap type="none"/>
          </v:shape>
        </w:pict>
      </w:r>
      <w:r>
        <w:rPr/>
        <w:t>持有其他上市公司股权情况的说明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0" w:right="1142"/>
        <w:jc w:val="right"/>
      </w:pPr>
      <w:r>
        <w:rPr/>
        <w:pict>
          <v:shape style="position:absolute;margin-left:56.400002pt;margin-top:-190.358276pt;width:479.3pt;height:257.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42,628.13</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7,790.44</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12,520.68</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
                          <w:jc w:val="both"/>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经公司第一届董事会第十次会议决议审议通过，公司使用超额募集资金归还银行借款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万元。研发设计中心项目： 公司研发设计中心项目原实施地点是上海黄浦区，公司本次拟将此项目的实施地点变更为浙江省杭州市滨江区。杭州市滨 江区为国家级高新技术产业开发区，交通便利，文化创意产业发达，有利于公司引进研发设计相关人才；同时，杭州市滨 江区与公司地理位置较近，便于管理，与上海相比整体运营和管理的综合成本优势更为突出。基于公司长远发展的考虑， 杭州市滨江区更合适作为本次公司研发设计中心项目的实施地点；上述募集资金投资项目实施地点变更已经公司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第二次临时股东大会审议通过。研发设计中心项目：公司原在上海黄浦区计划购买的研发设计中心办公楼面积约为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平</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方米，此次公司拟在杭州市滨江区购买总面积约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平方米的办公场所，房屋含税总价款约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万元。办公场所面积增 </w:t>
                        </w:r>
                        <w:r>
                          <w:rPr>
                            <w:rFonts w:ascii="宋体" w:hAnsi="宋体" w:cs="宋体" w:eastAsia="宋体" w:hint="default"/>
                            <w:spacing w:val="-3"/>
                            <w:sz w:val="18"/>
                            <w:szCs w:val="18"/>
                          </w:rPr>
                          <w:t>加主要是公司近两年发展速度较快，原规划面积已不能满足公司战略发展需要。为保证研发设计中心项目的实施资金需求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公司拟使用部分超募资金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万元补充用于此次募投项目的实施；上述募集资金投资项目实施方式调整已经公司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第二次临时股东大会审议通过。截至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万元；经公司第一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届董事会第十次会议审议通过，以募集资金置换上述先期投入，本公司已于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月完成置换。</w:t>
                        </w:r>
                      </w:p>
                    </w:tc>
                  </w:tr>
                </w:tbl>
                <w:p>
                  <w:pPr/>
                </w:p>
              </w:txbxContent>
            </v:textbox>
            <w10:wrap type="none"/>
          </v:shape>
        </w:pict>
      </w:r>
      <w:r>
        <w:rPr/>
        <w:t>，</w:t>
      </w:r>
    </w:p>
    <w:p>
      <w:pPr>
        <w:spacing w:after="0" w:line="240" w:lineRule="auto"/>
        <w:jc w:val="right"/>
        <w:sectPr>
          <w:pgSz w:w="11910" w:h="16840"/>
          <w:pgMar w:header="745" w:footer="1301" w:top="1060" w:bottom="1500" w:left="980" w:right="0"/>
        </w:sectPr>
      </w:pPr>
    </w:p>
    <w:p>
      <w:pPr>
        <w:spacing w:line="240" w:lineRule="auto" w:before="10"/>
        <w:rPr>
          <w:rFonts w:ascii="宋体" w:hAnsi="宋体" w:cs="宋体" w:eastAsia="宋体" w:hint="default"/>
          <w:sz w:val="24"/>
          <w:szCs w:val="24"/>
        </w:rPr>
      </w:pPr>
      <w:r>
        <w:rPr/>
        <w:pict>
          <v:shape style="position:absolute;margin-left:67.103996pt;margin-top:350.569977pt;width:115.7pt;height:19.7pt;mso-position-horizontal-relative:page;mso-position-vertical-relative:page;z-index:-663088" type="#_x0000_t202" filled="false" stroked="false">
            <v:textbox inset="0,0,0,0">
              <w:txbxContent>
                <w:p>
                  <w:pPr>
                    <w:pStyle w:val="BodyText"/>
                    <w:spacing w:line="240" w:lineRule="auto" w:before="49"/>
                    <w:ind w:left="0" w:right="0"/>
                    <w:jc w:val="left"/>
                  </w:pPr>
                  <w:r>
                    <w:rPr/>
                    <w:t>还银行贷款（如有）</w:t>
                  </w:r>
                </w:p>
              </w:txbxContent>
            </v:textbox>
            <w10:wrap type="none"/>
          </v:shape>
        </w:pict>
      </w:r>
      <w:r>
        <w:rPr/>
        <w:pict>
          <v:group style="position:absolute;margin-left:460.320007pt;margin-top:764.919983pt;width:135pt;height:77pt;mso-position-horizontal-relative:page;mso-position-vertical-relative:page;z-index:145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0"/>
        <w:ind w:left="0" w:right="1136"/>
        <w:jc w:val="right"/>
      </w:pPr>
      <w:r>
        <w:rPr/>
        <w:pict>
          <v:shape style="position:absolute;margin-left:56.400002pt;margin-top:-400.178284pt;width:479.3pt;height:645.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4"/>
                    <w:gridCol w:w="784"/>
                    <w:gridCol w:w="780"/>
                    <w:gridCol w:w="780"/>
                    <w:gridCol w:w="784"/>
                    <w:gridCol w:w="776"/>
                    <w:gridCol w:w="776"/>
                    <w:gridCol w:w="789"/>
                    <w:gridCol w:w="776"/>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7"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动漫服饰扩产建设项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2,990.44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7,720.68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研发设计中心项目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3,690.44</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8,420.68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4,100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4,100</w:t>
                        </w:r>
                      </w:p>
                    </w:tc>
                    <w:tc>
                      <w:tcPr>
                        <w:tcW w:w="776" w:type="dxa"/>
                        <w:tcBorders>
                          <w:top w:val="single" w:sz="4" w:space="0" w:color="000000"/>
                          <w:left w:val="single" w:sz="4" w:space="0" w:color="000000"/>
                          <w:bottom w:val="single" w:sz="4" w:space="0" w:color="000000"/>
                          <w:right w:val="single" w:sz="10"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4,100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7,790.44</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12,520.68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8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89"/>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9" w:lineRule="auto" w:before="49"/>
                          <w:ind w:left="16" w:right="24"/>
                          <w:jc w:val="both"/>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研发设计中心项目：公司研发设计中心项目原实施地点是上海黄浦区，公司本次拟将此项目的实施 地点变更为浙江省杭州市滨江区。杭州市滨江区为国家级高新技术产业开发区，交通便利，文化创 意产业发达，有利于公司引进研发设计相关人才；同时，杭州市滨江区与公司地理位置较近，便于 管理，与上海相比整体运营和管理的综合成本优势更为突出。基于公司长远发展的考虑，杭州市滨 江区更合适作为本次公司研发设计中心项目的实施地点；上述募集资金投资项目实施地点变更已经 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right w:val="single" w:sz="4" w:space="0" w:color="000000"/>
                        </w:tcBorders>
                      </w:tcPr>
                      <w:p>
                        <w:pPr/>
                      </w:p>
                    </w:tc>
                  </w:tr>
                  <w:tr>
                    <w:trPr>
                      <w:trHeight w:val="103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62"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44"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平方米，此</w:t>
                        </w:r>
                      </w:p>
                      <w:p>
                        <w:pPr>
                          <w:pStyle w:val="TableParagraph"/>
                          <w:spacing w:line="300" w:lineRule="auto" w:before="62"/>
                          <w:ind w:left="16" w:right="19"/>
                          <w:jc w:val="left"/>
                          <w:rPr>
                            <w:rFonts w:ascii="宋体" w:hAnsi="宋体" w:cs="宋体" w:eastAsia="宋体" w:hint="default"/>
                            <w:sz w:val="18"/>
                            <w:szCs w:val="18"/>
                          </w:rPr>
                        </w:pPr>
                        <w:r>
                          <w:rPr>
                            <w:rFonts w:ascii="宋体" w:hAnsi="宋体" w:cs="宋体" w:eastAsia="宋体" w:hint="default"/>
                            <w:sz w:val="18"/>
                            <w:szCs w:val="18"/>
                          </w:rPr>
                          <w:t>次公司拟在杭州市滨江区购买总面积约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平方米的办公场所，房屋含税总价款约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万元。办 公场所面积增加主要是公司近两年发展速度较快，原规划面积已不能满足公司战略发展需要。为保</w:t>
                        </w:r>
                      </w:p>
                    </w:tc>
                  </w:tr>
                  <w:tr>
                    <w:trPr>
                      <w:trHeight w:val="54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13"/>
          <w:footerReference w:type="default" r:id="rId1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证研发设计中心项目的实施资金需求</w:t>
            </w:r>
            <w:r>
              <w:rPr>
                <w:rFonts w:ascii="宋体" w:hAnsi="宋体" w:cs="宋体" w:eastAsia="宋体" w:hint="default"/>
                <w:spacing w:val="-89"/>
                <w:sz w:val="18"/>
                <w:szCs w:val="18"/>
              </w:rPr>
              <w:t>，</w:t>
            </w:r>
            <w:r>
              <w:rPr>
                <w:rFonts w:ascii="宋体" w:hAnsi="宋体" w:cs="宋体" w:eastAsia="宋体" w:hint="default"/>
                <w:sz w:val="18"/>
                <w:szCs w:val="18"/>
              </w:rPr>
              <w:t>公司拟使用部分超募资金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万元补充用于此次募</w:t>
            </w:r>
            <w:r>
              <w:rPr>
                <w:rFonts w:ascii="宋体" w:hAnsi="宋体" w:cs="宋体" w:eastAsia="宋体" w:hint="default"/>
                <w:spacing w:val="-3"/>
                <w:sz w:val="18"/>
                <w:szCs w:val="18"/>
              </w:rPr>
              <w:t>投</w:t>
            </w:r>
            <w:r>
              <w:rPr>
                <w:rFonts w:ascii="宋体" w:hAnsi="宋体" w:cs="宋体" w:eastAsia="宋体" w:hint="default"/>
                <w:sz w:val="18"/>
                <w:szCs w:val="18"/>
              </w:rPr>
              <w:t>项目的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实施；上述募集资金投资项目实施方式调整已经公司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万元；经公司第一届董事会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第十次会议审议通过，以募集资金置换上述先期投入，本公司已于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月完成置换。</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30,142.45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万元，尚未使用的募集资金存放于公司募集 资金专户。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0" w:right="1131"/>
        <w:jc w:val="right"/>
      </w:pPr>
      <w:r>
        <w:rPr/>
        <w:pict>
          <v:shape style="position:absolute;margin-left:56.459999pt;margin-top:-217.108276pt;width:479.35pt;height:366.3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4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9.33%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14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both"/>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研发设计中心项目：公司研发设计中心项目原实施地点是上海黄浦区，公司本次拟将 此项目的实施地点变更为浙江省杭州市滨江区。杭州市滨江区为国家级高新技术产业 开发区，交通便利，文化创意产业发达，有利于公司引进研发设计相关人才；同时， 杭州市滨江区与公司地理位置较近，便于管理，与上海相比整体运营和管理的综合成 本优势更为突出。基于公司长远发展的考虑，杭州市滨江区更合适作为本次公司研发 设计中心项目的实施地点。公司原在上海黄浦区计划购买的研发设计中心办公楼面积 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3"/>
                            <w:sz w:val="18"/>
                            <w:szCs w:val="18"/>
                          </w:rPr>
                          <w:t>平方米，此次公司拟在杭州市滨江区购买总面积约</w:t>
                        </w:r>
                        <w:r>
                          <w:rPr>
                            <w:rFonts w:ascii="宋体" w:hAnsi="宋体" w:cs="宋体" w:eastAsia="宋体" w:hint="default"/>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平方米的办公场所</w:t>
                        </w:r>
                      </w:p>
                      <w:p>
                        <w:pPr>
                          <w:pStyle w:val="TableParagraph"/>
                          <w:spacing w:line="309" w:lineRule="auto"/>
                          <w:ind w:left="24" w:right="20"/>
                          <w:jc w:val="left"/>
                          <w:rPr>
                            <w:rFonts w:ascii="宋体" w:hAnsi="宋体" w:cs="宋体" w:eastAsia="宋体" w:hint="default"/>
                            <w:sz w:val="18"/>
                            <w:szCs w:val="18"/>
                          </w:rPr>
                        </w:pPr>
                        <w:r>
                          <w:rPr>
                            <w:rFonts w:ascii="宋体" w:hAnsi="宋体" w:cs="宋体" w:eastAsia="宋体" w:hint="default"/>
                            <w:sz w:val="18"/>
                            <w:szCs w:val="18"/>
                          </w:rPr>
                          <w:t>房屋含税总价款与装修费合约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万元。办公场所面积增加主要是公司近两年发展 </w:t>
                        </w:r>
                        <w:r>
                          <w:rPr>
                            <w:rFonts w:ascii="宋体" w:hAnsi="宋体" w:cs="宋体" w:eastAsia="宋体" w:hint="default"/>
                            <w:spacing w:val="-1"/>
                            <w:sz w:val="18"/>
                            <w:szCs w:val="18"/>
                          </w:rPr>
                          <w:t>速度较快，原规划面积已不能满足公司战略发展需要。为保证研发设计中心项目的实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施资金需求，公司拟使用部分超募资金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万元补充用于此次募投项目的实施。此 </w:t>
                        </w:r>
                        <w:r>
                          <w:rPr>
                            <w:rFonts w:ascii="宋体" w:hAnsi="宋体" w:cs="宋体" w:eastAsia="宋体" w:hint="default"/>
                            <w:spacing w:val="-1"/>
                            <w:sz w:val="18"/>
                            <w:szCs w:val="18"/>
                          </w:rPr>
                          <w:t>次变更后，研发设计中心项目实施地从上海黄浦区变为杭州市滨江区，计划投资总额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万元变为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万元。上述募集资金投资项目实施地点及投资总额变更已经公</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p>
              </w:txbxContent>
            </v:textbox>
            <w10:wrap type="none"/>
          </v:shape>
        </w:pict>
      </w:r>
      <w:r>
        <w:rPr/>
        <w:t>，</w:t>
      </w:r>
    </w:p>
    <w:p>
      <w:pPr>
        <w:spacing w:after="0" w:line="240" w:lineRule="auto"/>
        <w:jc w:val="right"/>
        <w:sectPr>
          <w:footerReference w:type="default" r:id="rId16"/>
          <w:pgSz w:w="11910" w:h="16840"/>
          <w:pgMar w:footer="1340" w:header="877" w:top="1060" w:bottom="1540" w:left="980" w:right="0"/>
          <w:pgNumType w:start="19"/>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73"/>
        <w:gridCol w:w="6699"/>
      </w:tblGrid>
      <w:tr>
        <w:trPr>
          <w:trHeight w:val="334" w:hRule="exact"/>
        </w:trPr>
        <w:tc>
          <w:tcPr>
            <w:tcW w:w="2873" w:type="dxa"/>
            <w:tcBorders>
              <w:top w:val="single" w:sz="6" w:space="0" w:color="000000"/>
              <w:left w:val="nil" w:sz="6" w:space="0" w:color="auto"/>
              <w:bottom w:val="single" w:sz="4" w:space="0" w:color="000000"/>
              <w:right w:val="nil" w:sz="6" w:space="0" w:color="auto"/>
            </w:tcBorders>
          </w:tcPr>
          <w:p>
            <w:pPr/>
          </w:p>
        </w:tc>
        <w:tc>
          <w:tcPr>
            <w:tcW w:w="6699"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3"/>
        <w:rPr>
          <w:rFonts w:ascii="宋体" w:hAnsi="宋体" w:cs="宋体" w:eastAsia="宋体" w:hint="default"/>
          <w:sz w:val="19"/>
          <w:szCs w:val="19"/>
        </w:rPr>
      </w:pPr>
    </w:p>
    <w:p>
      <w:pPr>
        <w:pStyle w:val="Heading4"/>
        <w:spacing w:line="240" w:lineRule="auto" w:before="36"/>
        <w:ind w:left="112" w:right="1124"/>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112" w:right="1124"/>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莱盛童话 服饰（上 </w:t>
            </w:r>
            <w:r>
              <w:rPr>
                <w:rFonts w:ascii="宋体" w:hAnsi="宋体" w:cs="宋体" w:eastAsia="宋体" w:hint="default"/>
                <w:spacing w:val="-3"/>
                <w:sz w:val="18"/>
                <w:szCs w:val="18"/>
              </w:rPr>
              <w:t>海）有限公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8"/>
              <w:jc w:val="left"/>
              <w:rPr>
                <w:rFonts w:ascii="宋体" w:hAnsi="宋体" w:cs="宋体" w:eastAsia="宋体" w:hint="default"/>
                <w:sz w:val="18"/>
                <w:szCs w:val="18"/>
              </w:rPr>
            </w:pPr>
            <w:r>
              <w:rPr>
                <w:rFonts w:ascii="宋体" w:hAnsi="宋体" w:cs="宋体" w:eastAsia="宋体" w:hint="default"/>
                <w:sz w:val="18"/>
                <w:szCs w:val="18"/>
              </w:rPr>
              <w:t>文教体育 用品制造</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服装、动漫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衍生产品 开发设计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92,958.65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-2,083,918.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854,755.28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-1,398,98</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2.11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-1,397,313.78</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嵊州市美 源饰品有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8"/>
              <w:jc w:val="left"/>
              <w:rPr>
                <w:rFonts w:ascii="宋体" w:hAnsi="宋体" w:cs="宋体" w:eastAsia="宋体" w:hint="default"/>
                <w:sz w:val="18"/>
                <w:szCs w:val="18"/>
              </w:rPr>
            </w:pPr>
            <w:r>
              <w:rPr>
                <w:rFonts w:ascii="宋体" w:hAnsi="宋体" w:cs="宋体" w:eastAsia="宋体" w:hint="default"/>
                <w:sz w:val="18"/>
                <w:szCs w:val="18"/>
              </w:rPr>
              <w:t>文教体育 用品制造</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服装、动漫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衍生产品 开发设计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7,843,218.6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7,442,656.8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-401,515.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-395,245.29</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内蒙古荣 盛文化传 媒股份有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8"/>
              <w:jc w:val="left"/>
              <w:rPr>
                <w:rFonts w:ascii="宋体" w:hAnsi="宋体" w:cs="宋体" w:eastAsia="宋体" w:hint="default"/>
                <w:sz w:val="18"/>
                <w:szCs w:val="18"/>
              </w:rPr>
            </w:pPr>
            <w:r>
              <w:rPr>
                <w:rFonts w:ascii="宋体" w:hAnsi="宋体" w:cs="宋体" w:eastAsia="宋体" w:hint="default"/>
                <w:sz w:val="18"/>
                <w:szCs w:val="18"/>
              </w:rPr>
              <w:t>文教体育 用品制造</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服装、动漫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衍生产品 开发设计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112" w:right="8054"/>
        <w:jc w:val="left"/>
      </w:pPr>
      <w:r>
        <w:rPr/>
        <w:t>主要子公司、参股公司情况说明 报告期内取得和处置子公司的情况</w:t>
      </w:r>
    </w:p>
    <w:p>
      <w:pPr>
        <w:pStyle w:val="BodyText"/>
        <w:spacing w:line="240" w:lineRule="auto" w:before="29"/>
        <w:ind w:left="112" w:right="1124"/>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left="112" w:right="1124"/>
        <w:jc w:val="left"/>
        <w:rPr>
          <w:b w:val="0"/>
          <w:bCs w:val="0"/>
        </w:rPr>
      </w:pP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112" w:right="1127"/>
        <w:jc w:val="both"/>
      </w:pPr>
      <w:r>
        <w:rPr>
          <w:spacing w:val="-2"/>
        </w:rPr>
        <w:t>从国家政策以及市场环境来看，未来十年，文化产业有着较好的发展机遇，政府提出的到</w:t>
      </w:r>
      <w:r>
        <w:rPr>
          <w:rFonts w:ascii="Times New Roman" w:hAnsi="Times New Roman" w:cs="Times New Roman" w:eastAsia="Times New Roman" w:hint="default"/>
          <w:spacing w:val="-2"/>
        </w:rPr>
        <w:t>2020</w:t>
      </w:r>
      <w:r>
        <w:rPr>
          <w:spacing w:val="-2"/>
        </w:rPr>
        <w:t>年国民收入倍增计划、文化产</w:t>
      </w:r>
      <w:r>
        <w:rPr>
          <w:spacing w:val="-62"/>
        </w:rPr>
        <w:t> </w:t>
      </w:r>
      <w:r>
        <w:rPr>
          <w:spacing w:val="-62"/>
        </w:rPr>
      </w:r>
      <w:r>
        <w:rPr>
          <w:spacing w:val="-5"/>
        </w:rPr>
        <w:t>业建设计划等都利好公司业务。</w:t>
      </w:r>
      <w:r>
        <w:rPr>
          <w:rFonts w:ascii="Times New Roman" w:hAnsi="Times New Roman" w:cs="Times New Roman" w:eastAsia="Times New Roman" w:hint="default"/>
          <w:spacing w:val="-5"/>
        </w:rPr>
        <w:t>2012</w:t>
      </w:r>
      <w:r>
        <w:rPr>
          <w:spacing w:val="-5"/>
        </w:rPr>
        <w:t>年公司首发上市是实现战略计划的重要一步，公司董事会围绕公司发展战略，提出了</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年为整合年，即管理整合、资源整合、国内外市场整合：</w:t>
      </w:r>
    </w:p>
    <w:p>
      <w:pPr>
        <w:pStyle w:val="BodyText"/>
        <w:spacing w:line="300" w:lineRule="auto" w:before="70"/>
        <w:ind w:left="112" w:right="1124"/>
        <w:jc w:val="left"/>
      </w:pPr>
      <w:r>
        <w:rPr>
          <w:rFonts w:ascii="Times New Roman" w:hAnsi="Times New Roman" w:cs="Times New Roman" w:eastAsia="Times New Roman" w:hint="default"/>
        </w:rPr>
        <w:t>1</w:t>
      </w:r>
      <w:r>
        <w:rPr/>
        <w:t>、管理整合，在公司范围内对生产管理、成本管理、财务管理、市场营销管理、技术研发管理、质量管理各个环节进行统 一整合，提升管理效率；实现公司成本控制，市场有效维护、有效开发的目标。</w:t>
      </w:r>
    </w:p>
    <w:p>
      <w:pPr>
        <w:pStyle w:val="BodyText"/>
        <w:spacing w:line="300" w:lineRule="auto" w:before="72"/>
        <w:ind w:left="112" w:right="804"/>
        <w:jc w:val="left"/>
      </w:pPr>
      <w:r>
        <w:rPr>
          <w:rFonts w:ascii="Times New Roman" w:hAnsi="Times New Roman" w:cs="Times New Roman" w:eastAsia="Times New Roman" w:hint="default"/>
        </w:rPr>
        <w:t>2</w:t>
      </w:r>
      <w:r>
        <w:rPr/>
        <w:t>、资源整合，充分利用好公司现有的产能优势、质量优势开发新客户；利用现有资本优势，整合市场资源，提升公司品牌 等。</w:t>
      </w:r>
    </w:p>
    <w:p>
      <w:pPr>
        <w:pStyle w:val="BodyText"/>
        <w:spacing w:line="300" w:lineRule="auto" w:before="72"/>
        <w:ind w:left="112" w:right="804"/>
        <w:jc w:val="left"/>
      </w:pPr>
      <w:r>
        <w:rPr>
          <w:rFonts w:ascii="Times New Roman" w:hAnsi="Times New Roman" w:cs="Times New Roman" w:eastAsia="Times New Roman" w:hint="default"/>
          <w:spacing w:val="-2"/>
        </w:rPr>
        <w:t>3</w:t>
      </w:r>
      <w:r>
        <w:rPr>
          <w:spacing w:val="-2"/>
        </w:rPr>
        <w:t>、国内外市场整合，公司将结合公司现有优势资源，开发国内市场，保持公司现有国际市场地位的同时转型开发国内市场，</w:t>
      </w:r>
      <w:r>
        <w:rPr>
          <w:spacing w:val="-63"/>
        </w:rPr>
        <w:t> </w:t>
      </w:r>
      <w:r>
        <w:rPr>
          <w:spacing w:val="-63"/>
        </w:rPr>
      </w:r>
      <w:r>
        <w:rPr/>
        <w:t>结合品牌运营开发国内市场。</w:t>
      </w:r>
    </w:p>
    <w:p>
      <w:pPr>
        <w:pStyle w:val="BodyText"/>
        <w:spacing w:line="240" w:lineRule="auto" w:before="70"/>
        <w:ind w:left="112" w:right="1124"/>
        <w:jc w:val="left"/>
      </w:pPr>
      <w:r>
        <w:rPr/>
        <w:t>为了贯彻公司的发展战略，顺利实现业务经营目标，公司制定了具体的业务发展规划，主要有：</w:t>
      </w:r>
    </w:p>
    <w:p>
      <w:pPr>
        <w:pStyle w:val="BodyText"/>
        <w:spacing w:line="338" w:lineRule="auto" w:before="117"/>
        <w:ind w:left="112" w:right="1124"/>
        <w:jc w:val="left"/>
      </w:pPr>
      <w:r>
        <w:rPr/>
        <w:t>（一）产品开发计划 </w:t>
      </w:r>
      <w:r>
        <w:rPr>
          <w:spacing w:val="-2"/>
        </w:rPr>
        <w:t>当前公司在动漫服饰行业中依靠产品质量优势、较强的开发能力以及行业的先发优势，取得了与全球主要动漫服饰供应商的</w:t>
      </w:r>
      <w:r>
        <w:rPr>
          <w:spacing w:val="-64"/>
        </w:rPr>
        <w:t> </w:t>
      </w:r>
      <w:r>
        <w:rPr>
          <w:spacing w:val="-64"/>
        </w:rPr>
      </w:r>
      <w:r>
        <w:rPr>
          <w:spacing w:val="-2"/>
        </w:rPr>
        <w:t>合作。未来公司将充分利用已经积累的各项竞争优势，把握行业潮流的导向，开发出更多潮流化、时尚化的产品。同时在产</w:t>
      </w:r>
    </w:p>
    <w:p>
      <w:pPr>
        <w:pStyle w:val="BodyText"/>
        <w:spacing w:line="240" w:lineRule="auto" w:before="2"/>
        <w:ind w:left="112" w:right="1124"/>
        <w:jc w:val="left"/>
      </w:pPr>
      <w:r>
        <w:rPr/>
        <w:t>品设计上通过减少原材料消耗降低产品成本，提高公司的盈利能力。</w:t>
      </w:r>
    </w:p>
    <w:p>
      <w:pPr>
        <w:pStyle w:val="BodyText"/>
        <w:spacing w:line="360" w:lineRule="auto" w:before="115"/>
        <w:ind w:left="112" w:right="1134"/>
        <w:jc w:val="left"/>
      </w:pPr>
      <w:r>
        <w:rPr/>
        <w:t>（二）市场拓展计划 目前公司产品主要销往海外。公司一直与全球主要动漫服饰供应商如</w:t>
      </w:r>
      <w:r>
        <w:rPr>
          <w:rFonts w:ascii="Times New Roman" w:hAnsi="Times New Roman" w:cs="Times New Roman" w:eastAsia="Times New Roman" w:hint="default"/>
        </w:rPr>
        <w:t>Disguise</w:t>
      </w:r>
      <w:r>
        <w:rPr/>
        <w:t>、</w:t>
      </w:r>
      <w:r>
        <w:rPr>
          <w:rFonts w:ascii="Times New Roman" w:hAnsi="Times New Roman" w:cs="Times New Roman" w:eastAsia="Times New Roman" w:hint="default"/>
        </w:rPr>
        <w:t>Christy</w:t>
      </w:r>
      <w:r>
        <w:rPr/>
        <w:t>等保持良好的合作关系，一方面这些</w:t>
      </w:r>
    </w:p>
    <w:p>
      <w:pPr>
        <w:spacing w:after="0" w:line="360" w:lineRule="auto"/>
        <w:jc w:val="left"/>
        <w:sectPr>
          <w:pgSz w:w="11910" w:h="16840"/>
          <w:pgMar w:header="877" w:footer="1340" w:top="1060" w:bottom="154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338" w:lineRule="auto"/>
        <w:ind w:right="1123"/>
        <w:jc w:val="left"/>
      </w:pPr>
      <w:r>
        <w:rPr/>
        <w:t>客户的合作相对稳定且需求量较大；同时通过与这些主流客户的合作，公司不断实现了自我完善。 </w:t>
      </w:r>
      <w:r>
        <w:rPr>
          <w:spacing w:val="-2"/>
        </w:rPr>
        <w:t>随着动漫产业的快速发展，公司未来将着眼于全球的动漫服饰市场，除海外市场外，公司同样加强对国内动漫服饰市场的拓</w:t>
      </w:r>
      <w:r>
        <w:rPr>
          <w:spacing w:val="-66"/>
        </w:rPr>
        <w:t> </w:t>
      </w:r>
      <w:r>
        <w:rPr>
          <w:spacing w:val="-66"/>
        </w:rPr>
      </w:r>
      <w:r>
        <w:rPr>
          <w:spacing w:val="-2"/>
        </w:rPr>
        <w:t>展。利用已有的竞争优势和生产经营，借助迪士尼形象授权的有利因素，以迪斯尼品牌的广泛认知度和受欢迎程度依托，带</w:t>
      </w:r>
    </w:p>
    <w:p>
      <w:pPr>
        <w:pStyle w:val="BodyText"/>
        <w:spacing w:line="300" w:lineRule="auto" w:before="2"/>
        <w:ind w:right="1123"/>
        <w:jc w:val="left"/>
      </w:pPr>
      <w:r>
        <w:rPr>
          <w:spacing w:val="-2"/>
        </w:rPr>
        <w:t>动子公司</w:t>
      </w:r>
      <w:r>
        <w:rPr>
          <w:rFonts w:ascii="Times New Roman" w:hAnsi="Times New Roman" w:cs="Times New Roman" w:eastAsia="Times New Roman" w:hint="default"/>
          <w:spacing w:val="-2"/>
        </w:rPr>
        <w:t>“</w:t>
      </w:r>
      <w:r>
        <w:rPr>
          <w:spacing w:val="-2"/>
        </w:rPr>
        <w:t>莱盛童话</w:t>
      </w:r>
      <w:r>
        <w:rPr>
          <w:rFonts w:ascii="Times New Roman" w:hAnsi="Times New Roman" w:cs="Times New Roman" w:eastAsia="Times New Roman" w:hint="default"/>
          <w:spacing w:val="-2"/>
        </w:rPr>
        <w:t>”</w:t>
      </w:r>
      <w:r>
        <w:rPr>
          <w:spacing w:val="-2"/>
        </w:rPr>
        <w:t>品牌的发展，通过开设自营店直接向市场和通过经销商、零售商等渠道间接面向终端市场的方式销售动</w:t>
      </w:r>
      <w:r>
        <w:rPr>
          <w:spacing w:val="-44"/>
        </w:rPr>
        <w:t> </w:t>
      </w:r>
      <w:r>
        <w:rPr>
          <w:spacing w:val="-44"/>
        </w:rPr>
      </w:r>
      <w:r>
        <w:rPr/>
        <w:t>漫服饰产品，不断拓展公司的国内动漫服饰产品市场，为公司增加新的利润增长点。</w:t>
      </w:r>
    </w:p>
    <w:p>
      <w:pPr>
        <w:pStyle w:val="BodyText"/>
        <w:spacing w:line="240" w:lineRule="auto" w:before="70"/>
        <w:ind w:right="0"/>
        <w:jc w:val="both"/>
      </w:pPr>
      <w:r>
        <w:rPr/>
        <w:t>（三）加强企业管理计划</w:t>
      </w:r>
    </w:p>
    <w:p>
      <w:pPr>
        <w:pStyle w:val="BodyText"/>
        <w:spacing w:line="300" w:lineRule="auto" w:before="117"/>
        <w:ind w:right="1124"/>
        <w:jc w:val="left"/>
      </w:pPr>
      <w:r>
        <w:rPr>
          <w:rFonts w:ascii="Times New Roman" w:hAnsi="Times New Roman" w:cs="Times New Roman" w:eastAsia="Times New Roman" w:hint="default"/>
        </w:rPr>
        <w:t>1</w:t>
      </w:r>
      <w:r>
        <w:rPr/>
        <w:t>、公司将按照《公司法》和上市公司的有关管理规范及要求，不断完善法人治理结构，继续加强股东大会、董事会和监事 会的规范运作，不断完善内部控制制度，提高决策水平，降低公司经营风险，切实维护公司全体股东的利益。</w:t>
      </w:r>
    </w:p>
    <w:p>
      <w:pPr>
        <w:pStyle w:val="BodyText"/>
        <w:spacing w:line="300" w:lineRule="auto" w:before="72"/>
        <w:ind w:right="1124"/>
        <w:jc w:val="left"/>
      </w:pPr>
      <w:r>
        <w:rPr>
          <w:rFonts w:ascii="Times New Roman" w:hAnsi="Times New Roman" w:cs="Times New Roman" w:eastAsia="Times New Roman" w:hint="default"/>
        </w:rPr>
        <w:t>2</w:t>
      </w:r>
      <w:r>
        <w:rPr/>
        <w:t>、不断完善公司薪酬体系及人事管理制度。探索和建立公司高管人员及核心技术人员的激励机制，提高公司经营骨干的工 作积极性。</w:t>
      </w:r>
    </w:p>
    <w:p>
      <w:pPr>
        <w:pStyle w:val="BodyText"/>
        <w:spacing w:line="300" w:lineRule="auto" w:before="70"/>
        <w:ind w:right="1124"/>
        <w:jc w:val="left"/>
      </w:pPr>
      <w:r>
        <w:rPr>
          <w:rFonts w:ascii="Times New Roman" w:hAnsi="Times New Roman" w:cs="Times New Roman" w:eastAsia="Times New Roman" w:hint="default"/>
        </w:rPr>
        <w:t>3</w:t>
      </w:r>
      <w:r>
        <w:rPr/>
        <w:t>、根据公司整体发展战略以及业务和市场发展状况，适时调整公司管理结构，及时建立和完善与市场发展相适应的研发、 生产、市场营销、技术支持与服务和管理体系，通过专业化、规范化、高效化的组织管理，适应现代企业发展的需要。</w:t>
      </w:r>
    </w:p>
    <w:p>
      <w:pPr>
        <w:pStyle w:val="BodyText"/>
        <w:spacing w:line="338" w:lineRule="auto" w:before="73"/>
        <w:ind w:right="1034"/>
        <w:jc w:val="left"/>
      </w:pPr>
      <w:r>
        <w:rPr/>
        <w:t>（四）人力资源发展计划 </w:t>
      </w:r>
      <w:r>
        <w:rPr>
          <w:spacing w:val="-2"/>
        </w:rPr>
        <w:t>公司在不断扩大规模和产能的同时，必然大力发展人力资源。公司高度重视人才，并注重引进人才、培养人才、开发人才相</w:t>
      </w:r>
      <w:r>
        <w:rPr>
          <w:spacing w:val="-67"/>
        </w:rPr>
        <w:t> </w:t>
      </w:r>
      <w:r>
        <w:rPr>
          <w:spacing w:val="-67"/>
        </w:rPr>
      </w:r>
      <w:r>
        <w:rPr/>
        <w:t>结合，创造良好的工作环境，激发人才活力，着力建设一支开拓进取、充满活力的管理队伍，不断提高企业的核心竞争力，</w:t>
      </w:r>
    </w:p>
    <w:p>
      <w:pPr>
        <w:pStyle w:val="BodyText"/>
        <w:spacing w:line="240" w:lineRule="auto" w:before="2"/>
        <w:ind w:right="0"/>
        <w:jc w:val="both"/>
      </w:pPr>
      <w:r>
        <w:rPr/>
        <w:t>满足企业可持续发展的需要。</w:t>
      </w:r>
    </w:p>
    <w:p>
      <w:pPr>
        <w:pStyle w:val="BodyText"/>
        <w:spacing w:line="300" w:lineRule="auto" w:before="115"/>
        <w:ind w:right="1130"/>
        <w:jc w:val="both"/>
      </w:pPr>
      <w:r>
        <w:rPr>
          <w:rFonts w:ascii="Times New Roman" w:hAnsi="Times New Roman" w:cs="Times New Roman" w:eastAsia="Times New Roman" w:hint="default"/>
        </w:rPr>
        <w:t>1</w:t>
      </w:r>
      <w:r>
        <w:rPr/>
        <w:t>、加强内部培训。公司将继续加强员工培训，加快培育出一批素质高，业务强的科技人才、营销人才和复合型管理人才； </w:t>
      </w:r>
      <w:r>
        <w:rPr>
          <w:spacing w:val="-2"/>
        </w:rPr>
        <w:t>对中层以上管理人员进行</w:t>
      </w:r>
      <w:r>
        <w:rPr>
          <w:rFonts w:ascii="Times New Roman" w:hAnsi="Times New Roman" w:cs="Times New Roman" w:eastAsia="Times New Roman" w:hint="default"/>
          <w:spacing w:val="-2"/>
        </w:rPr>
        <w:t>EMBA</w:t>
      </w:r>
      <w:r>
        <w:rPr>
          <w:spacing w:val="-2"/>
        </w:rPr>
        <w:t>工商管理知识教育；抓好技术人员新产品、新技术、新工艺的知识更新，做好特殊工种作业</w:t>
      </w:r>
      <w:r>
        <w:rPr>
          <w:spacing w:val="-44"/>
        </w:rPr>
        <w:t> </w:t>
      </w:r>
      <w:r>
        <w:rPr>
          <w:spacing w:val="-44"/>
        </w:rPr>
      </w:r>
      <w:r>
        <w:rPr/>
        <w:t>人员的岗位培训和考核工作，开展员工生产安全培训；</w:t>
      </w:r>
    </w:p>
    <w:p>
      <w:pPr>
        <w:pStyle w:val="BodyText"/>
        <w:spacing w:line="300" w:lineRule="auto" w:before="72"/>
        <w:ind w:right="1124"/>
        <w:jc w:val="left"/>
      </w:pPr>
      <w:r>
        <w:rPr>
          <w:rFonts w:ascii="Times New Roman" w:hAnsi="Times New Roman" w:cs="Times New Roman" w:eastAsia="Times New Roman" w:hint="default"/>
        </w:rPr>
        <w:t>2</w:t>
      </w:r>
      <w:r>
        <w:rPr/>
        <w:t>、不断引进外部人才。随着公司经营规模和业务的扩大，公司将向社会各界、优秀企业和各大院所招纳优秀的专业技术人 才和管理人才，壮大公司科研技术力量和管理队伍，优化人员结构；</w:t>
      </w:r>
    </w:p>
    <w:p>
      <w:pPr>
        <w:pStyle w:val="BodyText"/>
        <w:spacing w:line="309" w:lineRule="auto" w:before="72"/>
        <w:ind w:right="1135"/>
        <w:jc w:val="both"/>
      </w:pPr>
      <w:r>
        <w:rPr>
          <w:rFonts w:ascii="Times New Roman" w:hAnsi="Times New Roman" w:cs="Times New Roman" w:eastAsia="Times New Roman" w:hint="default"/>
        </w:rPr>
        <w:t>3</w:t>
      </w:r>
      <w:r>
        <w:rPr/>
        <w:t>、完善激励机制。公司将进一步完善内部经营业绩考核管理机制，建立健全各部门和子公司的激励机制。致力于加强企业 </w:t>
      </w:r>
      <w:r>
        <w:rPr>
          <w:spacing w:val="-2"/>
        </w:rPr>
        <w:t>文化建设，引进先进的人力资源管理模式和方法，进一步完善技术、管理人才激励机制和约束机制，做到体制留人，事业留</w:t>
      </w:r>
      <w:r>
        <w:rPr>
          <w:spacing w:val="-67"/>
        </w:rPr>
        <w:t> </w:t>
      </w:r>
      <w:r>
        <w:rPr>
          <w:spacing w:val="-67"/>
        </w:rPr>
      </w:r>
      <w:r>
        <w:rPr/>
        <w:t>人，待遇留人，感情留人。</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1"/>
        <w:jc w:val="both"/>
      </w:pPr>
      <w:r>
        <w:rPr>
          <w:spacing w:val="-2"/>
        </w:rPr>
        <w:t>本期公司与李学文共同出资设立内蒙古荣盛文化传媒股份有限公司，于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日办妥工商设立登记手续，并取得注册</w:t>
      </w:r>
      <w:r>
        <w:rPr>
          <w:spacing w:val="-59"/>
        </w:rPr>
        <w:t> </w:t>
      </w:r>
      <w:r>
        <w:rPr>
          <w:spacing w:val="-59"/>
        </w:rPr>
      </w:r>
      <w:r>
        <w:rPr/>
        <w:t>号为</w:t>
      </w:r>
      <w:r>
        <w:rPr>
          <w:rFonts w:ascii="Times New Roman" w:hAnsi="Times New Roman" w:cs="Times New Roman" w:eastAsia="Times New Roman" w:hint="default"/>
        </w:rPr>
        <w:t>152200000005394</w:t>
      </w:r>
      <w:r>
        <w:rPr/>
        <w:t>的《企业法人营业执照》。该公司注册资本</w:t>
      </w:r>
      <w:r>
        <w:rPr>
          <w:rFonts w:ascii="Times New Roman" w:hAnsi="Times New Roman" w:cs="Times New Roman" w:eastAsia="Times New Roman" w:hint="default"/>
        </w:rPr>
        <w:t>500</w:t>
      </w:r>
      <w:r>
        <w:rPr/>
        <w:t>万元，公司出资</w:t>
      </w:r>
      <w:r>
        <w:rPr>
          <w:rFonts w:ascii="Times New Roman" w:hAnsi="Times New Roman" w:cs="Times New Roman" w:eastAsia="Times New Roman" w:hint="default"/>
        </w:rPr>
        <w:t>375</w:t>
      </w:r>
      <w:r>
        <w:rPr/>
        <w:t>万元，占其注册资本的</w:t>
      </w:r>
      <w:r>
        <w:rPr>
          <w:rFonts w:ascii="Times New Roman" w:hAnsi="Times New Roman" w:cs="Times New Roman" w:eastAsia="Times New Roman" w:hint="default"/>
        </w:rPr>
        <w:t>75%</w:t>
      </w:r>
      <w:r>
        <w:rPr/>
        <w:t>，拥有 对其的实质控制权，故自该公司成立之日起，将其纳入合并财务报表范围。</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九、公司利润分配及分红派息情况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5354"/>
        <w:jc w:val="left"/>
      </w:pPr>
      <w:r>
        <w:rPr/>
        <w:t>报告期内利润分配政策特别是现金分红政策的制定、执行或调整情况 报告期内利润未分配。</w:t>
      </w:r>
    </w:p>
    <w:p>
      <w:pPr>
        <w:pStyle w:val="BodyText"/>
        <w:spacing w:line="240" w:lineRule="auto" w:before="29"/>
        <w:ind w:right="0"/>
        <w:jc w:val="both"/>
      </w:pPr>
      <w:r>
        <w:rPr/>
        <w:t>本年度利润分配及资本公积金转增股本预案</w:t>
      </w:r>
    </w:p>
    <w:p>
      <w:pPr>
        <w:pStyle w:val="BodyText"/>
        <w:spacing w:line="240" w:lineRule="auto" w:before="117"/>
        <w:ind w:right="0"/>
        <w:jc w:val="both"/>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133,035,692.89</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经天健会计师事务所审计，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50,653,005.07 </w:t>
            </w:r>
            <w:r>
              <w:rPr>
                <w:rFonts w:ascii="宋体" w:hAnsi="宋体" w:cs="宋体" w:eastAsia="宋体" w:hint="default"/>
                <w:sz w:val="18"/>
                <w:szCs w:val="18"/>
              </w:rPr>
              <w:t>元，根据公司章程及公司法规定，提取法定盈余公 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5,065,300.51</w:t>
            </w:r>
            <w:r>
              <w:rPr>
                <w:rFonts w:ascii="宋体" w:hAnsi="宋体" w:cs="宋体" w:eastAsia="宋体" w:hint="default"/>
                <w:sz w:val="18"/>
                <w:szCs w:val="18"/>
              </w:rPr>
              <w:t>，加年初未分配利润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87,447,988.33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133,035,692.89 </w:t>
            </w:r>
            <w:r>
              <w:rPr>
                <w:rFonts w:ascii="宋体" w:hAnsi="宋体" w:cs="宋体" w:eastAsia="宋体" w:hint="default"/>
                <w:sz w:val="18"/>
                <w:szCs w:val="18"/>
              </w:rPr>
              <w:t>元。本年度利润分 配预案为：以报告期末总股本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93,500,000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元（含税），共计</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46,750,000.00</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元。上述分配预案，需提交股东大会审议通过后方可实施。</w:t>
            </w:r>
          </w:p>
        </w:tc>
      </w:tr>
    </w:tbl>
    <w:p>
      <w:pPr>
        <w:spacing w:after="0" w:line="300" w:lineRule="auto"/>
        <w:jc w:val="left"/>
        <w:rPr>
          <w:rFonts w:ascii="宋体" w:hAnsi="宋体" w:cs="宋体" w:eastAsia="宋体" w:hint="default"/>
          <w:sz w:val="18"/>
          <w:szCs w:val="18"/>
        </w:rPr>
        <w:sectPr>
          <w:pgSz w:w="11910" w:h="16840"/>
          <w:pgMar w:header="877" w:footer="1340" w:top="1060" w:bottom="1540" w:left="980" w:right="0"/>
        </w:sectPr>
      </w:pPr>
    </w:p>
    <w:p>
      <w:pPr>
        <w:pStyle w:val="BodyText"/>
        <w:spacing w:line="338" w:lineRule="auto" w:before="49"/>
        <w:ind w:right="-1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近</w:t>
      </w:r>
      <w:r>
        <w:rPr>
          <w:rFonts w:ascii="Times New Roman" w:hAnsi="Times New Roman" w:cs="Times New Roman" w:eastAsia="Times New Roman" w:hint="default"/>
        </w:rPr>
        <w:t>3</w:t>
      </w:r>
      <w:r>
        <w:rPr/>
        <w:t>年（含报告期）利润未分配。</w:t>
      </w:r>
    </w:p>
    <w:p>
      <w:pPr>
        <w:pStyle w:val="BodyText"/>
        <w:spacing w:line="240" w:lineRule="auto" w:before="22"/>
        <w:ind w:right="-17"/>
        <w:jc w:val="left"/>
      </w:pPr>
      <w:r>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5914" w:space="3007"/>
            <w:col w:w="2009"/>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46,750,000.00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49,015,839.49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48,296,434.90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46,787,255.19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公司报告期内盈利且母公司未分配利润为正但未提出现金红利分配预案</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2"/>
        <w:jc w:val="left"/>
      </w:pPr>
      <w:r>
        <w:rPr>
          <w:spacing w:val="-7"/>
        </w:rPr>
        <w:t>作为一家上市公司，重视股东特别是中小股东的利益，维护股东的合法权益，是公司最基本的社会责任。公司根据《公司法》、</w:t>
      </w:r>
    </w:p>
    <w:p>
      <w:pPr>
        <w:pStyle w:val="BodyText"/>
        <w:spacing w:line="240" w:lineRule="auto" w:before="76"/>
        <w:ind w:right="1123"/>
        <w:jc w:val="left"/>
      </w:pPr>
      <w:r>
        <w:rPr/>
        <w:t>《证券法》、《上市公司治理准则》等法律法规，切实从全体股东利益出发，保障全体股东的权益。</w:t>
      </w:r>
    </w:p>
    <w:p>
      <w:pPr>
        <w:pStyle w:val="BodyText"/>
        <w:spacing w:line="240" w:lineRule="auto" w:before="115"/>
        <w:ind w:right="1123"/>
        <w:jc w:val="left"/>
      </w:pPr>
      <w:r>
        <w:rPr>
          <w:rFonts w:ascii="Times New Roman" w:hAnsi="Times New Roman" w:cs="Times New Roman" w:eastAsia="Times New Roman" w:hint="default"/>
        </w:rPr>
        <w:t>1</w:t>
      </w:r>
      <w:r>
        <w:rPr/>
        <w:t>、本报告期内，公司坚持为广大投资者服务，坚持对全体股民负责的理念，经营管理公司生产、销售。</w:t>
      </w:r>
    </w:p>
    <w:p>
      <w:pPr>
        <w:pStyle w:val="BodyText"/>
        <w:spacing w:line="300" w:lineRule="auto" w:before="103"/>
        <w:ind w:right="1124"/>
        <w:jc w:val="left"/>
      </w:pPr>
      <w:r>
        <w:rPr>
          <w:rFonts w:ascii="Times New Roman" w:hAnsi="Times New Roman" w:cs="Times New Roman" w:eastAsia="Times New Roman" w:hint="default"/>
        </w:rPr>
        <w:t>2</w:t>
      </w:r>
      <w:r>
        <w:rPr/>
        <w:t>、坚持以人为本，积极为员工提供现实服务，公司先后采购员工接送车四辆，保障员工上下班交通。公司先后建设员工宿 舍保证员工休息。给予员工五险一金的保障。本报告期内，公司先后组织全体员工旅游达到劳逸结合。</w:t>
      </w:r>
    </w:p>
    <w:p>
      <w:pPr>
        <w:pStyle w:val="BodyText"/>
        <w:spacing w:line="240" w:lineRule="auto" w:before="72"/>
        <w:ind w:right="1123"/>
        <w:jc w:val="left"/>
      </w:pPr>
      <w:r>
        <w:rPr>
          <w:rFonts w:ascii="Times New Roman" w:hAnsi="Times New Roman" w:cs="Times New Roman" w:eastAsia="Times New Roman" w:hint="default"/>
        </w:rPr>
        <w:t>3</w:t>
      </w:r>
      <w:r>
        <w:rPr/>
        <w:t>、诚信经营，依法纳税，吸纳社会就业，社会贡献值较高。公司连续多年被评为地方先进纳税企业。</w:t>
      </w:r>
    </w:p>
    <w:p>
      <w:pPr>
        <w:pStyle w:val="BodyText"/>
        <w:spacing w:line="240" w:lineRule="auto" w:before="101"/>
        <w:ind w:right="1123"/>
        <w:jc w:val="left"/>
      </w:pPr>
      <w:r>
        <w:rPr>
          <w:rFonts w:ascii="Times New Roman" w:hAnsi="Times New Roman" w:cs="Times New Roman" w:eastAsia="Times New Roman" w:hint="default"/>
        </w:rPr>
        <w:t>4</w:t>
      </w:r>
      <w:r>
        <w:rPr/>
        <w:t>、公司严格把守质量关，定期检查产品质量问题保障消费者安全。</w:t>
      </w:r>
    </w:p>
    <w:p>
      <w:pPr>
        <w:pStyle w:val="BodyText"/>
        <w:spacing w:line="240" w:lineRule="auto" w:before="103"/>
        <w:ind w:right="1123"/>
        <w:jc w:val="left"/>
      </w:pPr>
      <w:r>
        <w:rPr>
          <w:rFonts w:ascii="Times New Roman" w:hAnsi="Times New Roman" w:cs="Times New Roman" w:eastAsia="Times New Roman" w:hint="default"/>
        </w:rPr>
        <w:t>5</w:t>
      </w:r>
      <w:r>
        <w:rPr/>
        <w:t>、积极响应国家政策，降低能耗，提高生产效率，努力建设节约型企业。</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4" w:right="-32"/>
              <w:jc w:val="both"/>
              <w:rPr>
                <w:rFonts w:ascii="宋体" w:hAnsi="宋体" w:cs="宋体" w:eastAsia="宋体" w:hint="default"/>
                <w:sz w:val="18"/>
                <w:szCs w:val="18"/>
              </w:rPr>
            </w:pPr>
            <w:r>
              <w:rPr>
                <w:rFonts w:ascii="宋体" w:hAnsi="宋体" w:cs="宋体" w:eastAsia="宋体" w:hint="default"/>
                <w:spacing w:val="-7"/>
                <w:sz w:val="18"/>
                <w:szCs w:val="18"/>
              </w:rPr>
              <w:t>莱盛实业、宏盛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投资、赵小强、 石炜萍</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自公司股票在 证券交易所上 市交易之日起 三十六个月内， 不转让或者委 托他人管理其 直接或间接持 有的公司股份， 也不由公司收 购该部分股份。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5979"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7"/>
                <w:sz w:val="18"/>
                <w:szCs w:val="18"/>
              </w:rPr>
              <w:t>赵小强、石炜萍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上述锁定期满 </w:t>
            </w:r>
            <w:r>
              <w:rPr>
                <w:rFonts w:ascii="宋体" w:hAnsi="宋体" w:cs="宋体" w:eastAsia="宋体" w:hint="default"/>
                <w:spacing w:val="-6"/>
                <w:sz w:val="18"/>
                <w:szCs w:val="18"/>
              </w:rPr>
              <w:t>后，若本人仍担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任公司董事或 监事或高级管 </w:t>
            </w:r>
            <w:r>
              <w:rPr>
                <w:rFonts w:ascii="宋体" w:hAnsi="宋体" w:cs="宋体" w:eastAsia="宋体" w:hint="default"/>
                <w:spacing w:val="-6"/>
                <w:sz w:val="18"/>
                <w:szCs w:val="18"/>
              </w:rPr>
              <w:t>理人员，在任职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期间本人每年 转让股份不超 过直接或间接 所持公司股票 总数的百分之 </w:t>
            </w:r>
            <w:r>
              <w:rPr>
                <w:rFonts w:ascii="宋体" w:hAnsi="宋体" w:cs="宋体" w:eastAsia="宋体" w:hint="default"/>
                <w:spacing w:val="-6"/>
                <w:sz w:val="18"/>
                <w:szCs w:val="18"/>
              </w:rPr>
              <w:t>二十五。本人离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任后六个月内， 不转让直接或 间接所持公司 </w:t>
            </w:r>
            <w:r>
              <w:rPr>
                <w:rFonts w:ascii="宋体" w:hAnsi="宋体" w:cs="宋体" w:eastAsia="宋体" w:hint="default"/>
                <w:spacing w:val="-6"/>
                <w:sz w:val="18"/>
                <w:szCs w:val="18"/>
              </w:rPr>
              <w:t>的任何股份。本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人在申报离任 六个月后的十 二个月内通过 证券交易所挂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w:t>
            </w:r>
          </w:p>
        </w:tc>
      </w:tr>
    </w:tbl>
    <w:p>
      <w:pPr>
        <w:spacing w:after="0" w:line="240" w:lineRule="auto"/>
        <w:jc w:val="left"/>
        <w:rPr>
          <w:rFonts w:ascii="宋体" w:hAnsi="宋体" w:cs="宋体" w:eastAsia="宋体" w:hint="default"/>
          <w:sz w:val="18"/>
          <w:szCs w:val="18"/>
        </w:rPr>
        <w:sectPr>
          <w:pgSz w:w="11910" w:h="16840"/>
          <w:pgMar w:header="877" w:footer="1340" w:top="1060" w:bottom="162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2235"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牌交易出售公 司股票数量占 其所直接或间 接持有公司股 票总数的比例 不得超过百分 之五十。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赵海荣、周小民</w:t>
            </w:r>
          </w:p>
        </w:tc>
      </w:tr>
    </w:tbl>
    <w:p>
      <w:pPr>
        <w:pStyle w:val="BodyText"/>
        <w:spacing w:line="240" w:lineRule="auto" w:before="49"/>
        <w:ind w:right="0"/>
        <w:jc w:val="both"/>
      </w:pPr>
      <w:r>
        <w:rPr/>
        <w:t>当期是否改聘会计师事务所</w:t>
      </w:r>
    </w:p>
    <w:p>
      <w:pPr>
        <w:pStyle w:val="BodyText"/>
        <w:spacing w:line="360" w:lineRule="auto" w:before="115"/>
        <w:ind w:right="6254"/>
        <w:jc w:val="left"/>
      </w:pPr>
      <w:r>
        <w:rPr/>
        <w:t>□ 是 √</w:t>
      </w:r>
      <w:r>
        <w:rPr>
          <w:spacing w:val="3"/>
        </w:rPr>
        <w:t> </w:t>
      </w:r>
      <w:r>
        <w:rPr/>
        <w:t>否</w:t>
      </w:r>
      <w:r>
        <w:rPr/>
        <w:t> 聘请内部控制审计会计师事务所、财务顾问或保荐人情况</w:t>
      </w:r>
    </w:p>
    <w:p>
      <w:pPr>
        <w:pStyle w:val="BodyText"/>
        <w:spacing w:line="240" w:lineRule="auto" w:before="27"/>
        <w:ind w:right="0"/>
        <w:jc w:val="both"/>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月，公司与杭州浙大网新科技实业投资有限公司就位于杭州市滨江区</w:t>
      </w:r>
      <w:r>
        <w:rPr>
          <w:rFonts w:ascii="Times New Roman" w:hAnsi="Times New Roman" w:cs="Times New Roman" w:eastAsia="Times New Roman" w:hint="default"/>
        </w:rPr>
        <w:t>“</w:t>
      </w:r>
      <w:r>
        <w:rPr/>
        <w:t>网新双城大厦</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w:t>
      </w:r>
      <w:r>
        <w:rPr/>
        <w:t>幢第</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层签订房屋认 </w:t>
      </w:r>
      <w:r>
        <w:rPr>
          <w:spacing w:val="-3"/>
        </w:rPr>
        <w:t>购书，预付购房款</w:t>
      </w:r>
      <w:r>
        <w:rPr>
          <w:rFonts w:ascii="Times New Roman" w:hAnsi="Times New Roman" w:cs="Times New Roman" w:eastAsia="Times New Roman" w:hint="default"/>
          <w:spacing w:val="-3"/>
        </w:rPr>
        <w:t>700</w:t>
      </w:r>
      <w:r>
        <w:rPr>
          <w:spacing w:val="-3"/>
        </w:rPr>
        <w:t>万元。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4</w:t>
      </w:r>
      <w:r>
        <w:rPr>
          <w:spacing w:val="-3"/>
        </w:rPr>
        <w:t>日签订正式商品房买卖合同，房屋及地下车位总价款</w:t>
      </w:r>
      <w:r>
        <w:rPr>
          <w:rFonts w:ascii="Times New Roman" w:hAnsi="Times New Roman" w:cs="Times New Roman" w:eastAsia="Times New Roman" w:hint="default"/>
          <w:spacing w:val="-3"/>
        </w:rPr>
        <w:t>69,288,764.00</w:t>
      </w:r>
      <w:r>
        <w:rPr>
          <w:spacing w:val="-3"/>
        </w:rPr>
        <w:t>元，公司已于</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w:t>
      </w:r>
      <w:r>
        <w:rPr>
          <w:rFonts w:ascii="Times New Roman" w:hAnsi="Times New Roman" w:cs="Times New Roman" w:eastAsia="Times New Roman" w:hint="default"/>
        </w:rPr>
        <w:t>2</w:t>
      </w:r>
      <w:r>
        <w:rPr/>
        <w:t>月支付完毕。</w:t>
      </w:r>
    </w:p>
    <w:p>
      <w:pPr>
        <w:spacing w:after="0" w:line="300"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74.87%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74.87%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71.55%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53.57%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28.45%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21.3%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25.13%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25.13%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0" w:lineRule="auto" w:before="49"/>
        <w:ind w:right="982"/>
        <w:jc w:val="left"/>
      </w:pPr>
      <w:r>
        <w:rPr/>
        <w:t>股份变动的原因 </w:t>
      </w:r>
      <w:r>
        <w:rPr>
          <w:spacing w:val="-3"/>
        </w:rPr>
        <w:t>经中国证券监督管理委员会批准，公司于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日在深圳证券交易所正式挂牌上市，</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24</w:t>
      </w:r>
      <w:r>
        <w:rPr>
          <w:spacing w:val="-3"/>
        </w:rPr>
        <w:t>日完成工商变更登记。</w:t>
      </w:r>
      <w:r>
        <w:rPr>
          <w:spacing w:val="-80"/>
        </w:rPr>
        <w:t> </w:t>
      </w:r>
      <w:r>
        <w:rPr>
          <w:spacing w:val="-80"/>
        </w:rPr>
      </w:r>
      <w:r>
        <w:rPr/>
        <w:t>股份变动的批准情况</w:t>
      </w:r>
    </w:p>
    <w:p>
      <w:pPr>
        <w:pStyle w:val="BodyText"/>
        <w:spacing w:line="319" w:lineRule="auto" w:before="32"/>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经中国证券监督管理委员会《关于核准美盛文化创意股份有限公司首次公开发行股票的批复》（证监许可</w:t>
      </w:r>
      <w:r>
        <w:rPr>
          <w:rFonts w:ascii="Times New Roman" w:hAnsi="Times New Roman" w:cs="Times New Roman" w:eastAsia="Times New Roman" w:hint="default"/>
        </w:rPr>
        <w:t>[2012]983</w:t>
      </w:r>
      <w:r>
        <w:rPr/>
        <w:t>号）核 </w:t>
      </w:r>
      <w:r>
        <w:rPr>
          <w:spacing w:val="-1"/>
        </w:rPr>
        <w:t>准，本公司首次公开发行人民币普通股（</w:t>
      </w:r>
      <w:r>
        <w:rPr>
          <w:rFonts w:ascii="Times New Roman" w:hAnsi="Times New Roman" w:cs="Times New Roman" w:eastAsia="Times New Roman" w:hint="default"/>
          <w:spacing w:val="-1"/>
        </w:rPr>
        <w:t>A</w:t>
      </w:r>
      <w:r>
        <w:rPr>
          <w:spacing w:val="-1"/>
        </w:rPr>
        <w:t>股）不超过</w:t>
      </w:r>
      <w:r>
        <w:rPr>
          <w:rFonts w:ascii="Times New Roman" w:hAnsi="Times New Roman" w:cs="Times New Roman" w:eastAsia="Times New Roman" w:hint="default"/>
          <w:spacing w:val="-1"/>
        </w:rPr>
        <w:t>2350</w:t>
      </w:r>
      <w:r>
        <w:rPr>
          <w:spacing w:val="-1"/>
        </w:rPr>
        <w:t>万股。经深圳证券交易所《关于美盛文化创意股份有限公司人民</w:t>
      </w:r>
    </w:p>
    <w:p>
      <w:pPr>
        <w:pStyle w:val="BodyText"/>
        <w:spacing w:line="300" w:lineRule="auto" w:before="0"/>
        <w:ind w:right="1184"/>
        <w:jc w:val="left"/>
      </w:pPr>
      <w:r>
        <w:rPr/>
        <w:t>币普通股股票上市的通知》（深证上</w:t>
      </w:r>
      <w:r>
        <w:rPr>
          <w:rFonts w:ascii="Times New Roman" w:hAnsi="Times New Roman" w:cs="Times New Roman" w:eastAsia="Times New Roman" w:hint="default"/>
        </w:rPr>
        <w:t>[2012]295</w:t>
      </w:r>
      <w:r>
        <w:rPr/>
        <w:t>号）同意，公司发行的人民币普通股股票在深圳证券交易所上市，证券简称 为</w:t>
      </w:r>
      <w:r>
        <w:rPr>
          <w:rFonts w:ascii="Times New Roman" w:hAnsi="Times New Roman" w:cs="Times New Roman" w:eastAsia="Times New Roman" w:hint="default"/>
        </w:rPr>
        <w:t>“</w:t>
      </w:r>
      <w:r>
        <w:rPr/>
        <w:t>美盛文化</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“002699”</w:t>
      </w:r>
      <w:r>
        <w:rPr/>
        <w:t>。</w:t>
      </w:r>
    </w:p>
    <w:p>
      <w:pPr>
        <w:pStyle w:val="BodyText"/>
        <w:spacing w:line="357" w:lineRule="auto" w:before="54"/>
        <w:ind w:right="1394"/>
        <w:jc w:val="left"/>
      </w:pPr>
      <w:r>
        <w:rPr/>
        <w:t>股份变动的过户情况 股份变动对最近一年和最近一期基本每股收益和稀释每股收益、归属于公司普通股股东的每股净资产等财务指标的影响</w:t>
      </w:r>
    </w:p>
    <w:p>
      <w:pPr>
        <w:pStyle w:val="BodyText"/>
        <w:spacing w:line="357" w:lineRule="auto" w:before="29"/>
        <w:ind w:right="6794"/>
        <w:jc w:val="left"/>
      </w:pPr>
      <w:r>
        <w:rPr/>
        <w:t>□ 适用 √</w:t>
      </w:r>
      <w:r>
        <w:rPr>
          <w:spacing w:val="3"/>
        </w:rPr>
        <w:t> </w:t>
      </w:r>
      <w:r>
        <w:rPr/>
        <w:t>不适用</w:t>
      </w:r>
      <w:r>
        <w:rPr/>
        <w:t> 公司认为必要或证券监管机构要求披露的其他内容</w:t>
      </w:r>
    </w:p>
    <w:p>
      <w:pPr>
        <w:spacing w:after="0" w:line="357"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66292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w10:wrap type="none"/>
          </v:group>
        </w:pict>
      </w:r>
    </w:p>
    <w:p>
      <w:pPr>
        <w:pStyle w:val="Heading2"/>
        <w:spacing w:line="240" w:lineRule="auto" w:before="26"/>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首次公开发行股 票并上市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23,500,000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23,500,000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0"/>
        <w:jc w:val="both"/>
      </w:pPr>
      <w:r>
        <w:rPr/>
        <w:t>前三年历次证券发行情况的说明</w:t>
      </w:r>
    </w:p>
    <w:p>
      <w:pPr>
        <w:pStyle w:val="BodyText"/>
        <w:spacing w:line="300" w:lineRule="auto" w:before="115"/>
        <w:ind w:right="1138"/>
        <w:jc w:val="both"/>
      </w:pPr>
      <w:r>
        <w:rPr/>
        <w:t>经中国证券监督管理委员会批准，公司于日发行人民币普通股</w:t>
      </w:r>
      <w:r>
        <w:rPr>
          <w:rFonts w:ascii="Times New Roman" w:hAnsi="Times New Roman" w:cs="Times New Roman" w:eastAsia="Times New Roman" w:hint="default"/>
        </w:rPr>
        <w:t>2350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日在深圳证券交易所 正式挂牌上市，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日完成工商变更登记。</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8"/>
        <w:jc w:val="both"/>
      </w:pPr>
      <w:r>
        <w:rPr/>
        <w:t>经中国证券监督管理委员会《关于核准美盛文化创意股份有限公司首次公开发行股票的批复》（证监许可</w:t>
      </w:r>
      <w:r>
        <w:rPr>
          <w:rFonts w:ascii="Times New Roman" w:hAnsi="Times New Roman" w:cs="Times New Roman" w:eastAsia="Times New Roman" w:hint="default"/>
        </w:rPr>
        <w:t>[2012]983</w:t>
      </w:r>
      <w:r>
        <w:rPr/>
        <w:t>号）核 准，并经深圳证券交易所同意，公司首次公开发行人民币普通股（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2,350</w:t>
      </w:r>
      <w:r>
        <w:rPr/>
        <w:t>万股。发行价格为每股</w:t>
      </w:r>
      <w:r>
        <w:rPr>
          <w:rFonts w:ascii="Times New Roman" w:hAnsi="Times New Roman" w:cs="Times New Roman" w:eastAsia="Times New Roman" w:hint="default"/>
        </w:rPr>
        <w:t>20.19</w:t>
      </w:r>
      <w:r>
        <w:rPr/>
        <w:t>元，募集资金总 额人民币</w:t>
      </w:r>
      <w:r>
        <w:rPr>
          <w:rFonts w:ascii="Times New Roman" w:hAnsi="Times New Roman" w:cs="Times New Roman" w:eastAsia="Times New Roman" w:hint="default"/>
        </w:rPr>
        <w:t>474,465,000.00</w:t>
      </w:r>
      <w:r>
        <w:rPr/>
        <w:t>元。扣除承销费用、保荐费用及其他发行费用后募集资金净额为人民币</w:t>
      </w:r>
      <w:r>
        <w:rPr>
          <w:rFonts w:ascii="Times New Roman" w:hAnsi="Times New Roman" w:cs="Times New Roman" w:eastAsia="Times New Roman" w:hint="default"/>
        </w:rPr>
        <w:t>426,281,272.90</w:t>
      </w:r>
      <w:r>
        <w:rPr/>
        <w:t>元。发行后总 股本由</w:t>
      </w:r>
      <w:r>
        <w:rPr>
          <w:rFonts w:ascii="Times New Roman" w:hAnsi="Times New Roman" w:cs="Times New Roman" w:eastAsia="Times New Roman" w:hint="default"/>
        </w:rPr>
        <w:t>70,000,000</w:t>
      </w:r>
      <w:r>
        <w:rPr/>
        <w:t>股变更为</w:t>
      </w:r>
      <w:r>
        <w:rPr>
          <w:rFonts w:ascii="Times New Roman" w:hAnsi="Times New Roman" w:cs="Times New Roman" w:eastAsia="Times New Roman" w:hint="default"/>
        </w:rPr>
        <w:t>93,500,000</w:t>
      </w:r>
      <w:r>
        <w:rPr/>
        <w:t>股，其中无限售条件社会公众股</w:t>
      </w:r>
      <w:r>
        <w:rPr>
          <w:rFonts w:ascii="Times New Roman" w:hAnsi="Times New Roman" w:cs="Times New Roman" w:eastAsia="Times New Roman" w:hint="default"/>
        </w:rPr>
        <w:t>23,500,000</w:t>
      </w:r>
      <w:r>
        <w:rPr/>
        <w:t>股。资产总额大幅增长，资产负债率由年初 的</w:t>
      </w:r>
      <w:r>
        <w:rPr>
          <w:rFonts w:ascii="Times New Roman" w:hAnsi="Times New Roman" w:cs="Times New Roman" w:eastAsia="Times New Roman" w:hint="default"/>
        </w:rPr>
        <w:t>19.26%</w:t>
      </w:r>
      <w:r>
        <w:rPr/>
        <w:t>变为年末</w:t>
      </w:r>
      <w:r>
        <w:rPr>
          <w:rFonts w:ascii="Times New Roman" w:hAnsi="Times New Roman" w:cs="Times New Roman" w:eastAsia="Times New Roman" w:hint="default"/>
        </w:rPr>
        <w:t>4.59%</w:t>
      </w:r>
      <w:r>
        <w:rPr/>
        <w:t>。</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380"/>
        <w:gridCol w:w="678"/>
        <w:gridCol w:w="684"/>
        <w:gridCol w:w="684"/>
        <w:gridCol w:w="684"/>
        <w:gridCol w:w="1363"/>
        <w:gridCol w:w="1374"/>
      </w:tblGrid>
      <w:tr>
        <w:trPr>
          <w:trHeight w:val="408"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11,953</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836" w:right="0"/>
              <w:jc w:val="left"/>
              <w:rPr>
                <w:rFonts w:ascii="Times New Roman" w:hAnsi="Times New Roman" w:cs="Times New Roman" w:eastAsia="Times New Roman" w:hint="default"/>
                <w:sz w:val="18"/>
                <w:szCs w:val="18"/>
              </w:rPr>
            </w:pPr>
            <w:r>
              <w:rPr>
                <w:rFonts w:ascii="Times New Roman"/>
                <w:sz w:val="18"/>
              </w:rPr>
              <w:t>10,269</w:t>
            </w: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8"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5"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浙江莱盛实业有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46.38%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43,365,</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43,365,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7.19%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何晓玲</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6" w:right="0"/>
              <w:jc w:val="left"/>
              <w:rPr>
                <w:rFonts w:ascii="Times New Roman" w:hAnsi="Times New Roman" w:cs="Times New Roman" w:eastAsia="Times New Roman" w:hint="default"/>
                <w:sz w:val="18"/>
                <w:szCs w:val="18"/>
              </w:rPr>
            </w:pPr>
            <w:r>
              <w:rPr>
                <w:rFonts w:ascii="Times New Roman"/>
                <w:sz w:val="18"/>
              </w:rPr>
              <w:t>3,150,0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2" w:right="0"/>
              <w:jc w:val="left"/>
              <w:rPr>
                <w:rFonts w:ascii="Times New Roman" w:hAnsi="Times New Roman" w:cs="Times New Roman" w:eastAsia="Times New Roman" w:hint="default"/>
                <w:sz w:val="18"/>
                <w:szCs w:val="18"/>
              </w:rPr>
            </w:pPr>
            <w:r>
              <w:rPr>
                <w:rFonts w:ascii="Times New Roman"/>
                <w:sz w:val="18"/>
              </w:rPr>
              <w:t>3,150,0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7"/>
          <w:footerReference w:type="default" r:id="rId1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8.223007pt;margin-top:297.049988pt;width:355.55pt;height:22.05pt;mso-position-horizontal-relative:page;mso-position-vertical-relative:page;z-index:-66289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before="0"/>
                    <w:ind w:left="0" w:right="0"/>
                    <w:jc w:val="left"/>
                  </w:pPr>
                  <w:r>
                    <w:rPr/>
                    <w:t>有）</w:t>
                  </w:r>
                </w:p>
              </w:txbxContent>
            </v:textbox>
            <w10:wrap type="none"/>
          </v:shape>
        </w:pict>
      </w:r>
      <w:r>
        <w:rPr/>
        <w:pict>
          <v:group style="position:absolute;margin-left:193.369995pt;margin-top:296.449982pt;width:341.6pt;height:28pt;mso-position-horizontal-relative:page;mso-position-vertical-relative:page;z-index:-662872" coordorigin="3867,5929" coordsize="6832,560">
            <v:group style="position:absolute;left:3879;top:5941;width:2;height:392" coordorigin="3879,5941" coordsize="2,392">
              <v:shape style="position:absolute;left:3879;top:5941;width:2;height:392" coordorigin="3879,5941" coordsize="0,392" path="m3879,5941l3879,6332e" filled="false" stroked="true" strokeweight="1.2pt" strokecolor="#ffffff">
                <v:path arrowok="t"/>
              </v:shape>
            </v:group>
            <v:group style="position:absolute;left:3867;top:6332;width:6832;height:156" coordorigin="3867,6332" coordsize="6832,156">
              <v:shape style="position:absolute;left:3867;top:6332;width:6832;height:156" coordorigin="3867,6332" coordsize="6832,156" path="m3867,6488l10699,6488,10699,6332,3867,6332,3867,6488xe" filled="true" fillcolor="#ffffff" stroked="false">
                <v:path arrowok="t"/>
                <v:fill type="solid"/>
              </v:shape>
            </v:group>
            <v:group style="position:absolute;left:3891;top:5941;width:6784;height:392" coordorigin="3891,5941" coordsize="6784,392">
              <v:shape style="position:absolute;left:3891;top:5941;width:6784;height:392" coordorigin="3891,5941" coordsize="6784,392" path="m3891,6332l10675,6332,10675,5941,3891,5941,3891,63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胡丽娟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吕月贞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杨宗琳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212,670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212,670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中国银河证券股 份有限公司客户 信用交易担保证 券账户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0.2%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184,800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6" w:right="0"/>
              <w:jc w:val="center"/>
              <w:rPr>
                <w:rFonts w:ascii="Times New Roman" w:hAnsi="Times New Roman" w:cs="Times New Roman" w:eastAsia="Times New Roman" w:hint="default"/>
                <w:sz w:val="18"/>
                <w:szCs w:val="18"/>
              </w:rPr>
            </w:pPr>
            <w:r>
              <w:rPr>
                <w:rFonts w:ascii="Times New Roman"/>
                <w:sz w:val="18"/>
              </w:rPr>
              <w:t>184,800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柳向宇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36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9"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1" w:right="20"/>
              <w:jc w:val="left"/>
              <w:rPr>
                <w:rFonts w:ascii="宋体" w:hAnsi="宋体" w:cs="宋体" w:eastAsia="宋体" w:hint="default"/>
                <w:sz w:val="18"/>
                <w:szCs w:val="18"/>
              </w:rPr>
            </w:pPr>
            <w:r>
              <w:rPr>
                <w:rFonts w:ascii="宋体" w:hAnsi="宋体" w:cs="宋体" w:eastAsia="宋体" w:hint="default"/>
                <w:spacing w:val="-2"/>
                <w:sz w:val="18"/>
                <w:szCs w:val="18"/>
              </w:rPr>
              <w:t>赵小强为浙江莱盛实业有限公司和新昌县宏盛投资有限公司实际控制人，未知其他股东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是否有关联关系。</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杨宗琳</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张建成</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212,670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 信用交易担保证券账户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柳向宇</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华润深国投信托有限公司－赛福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期结构式证券投资集合资金信托</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143,817</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杨连连</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108,200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陈士海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柳琼</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99,000</w:t>
            </w:r>
          </w:p>
        </w:tc>
      </w:tr>
      <w:tr>
        <w:trPr>
          <w:trHeight w:val="40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黄晓燕</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98,297</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祁正志</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93,100</w:t>
            </w:r>
          </w:p>
        </w:tc>
      </w:tr>
      <w:tr>
        <w:trPr>
          <w:trHeight w:val="1339"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48"/>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 东之间关联关系或一致行动关系。</w:t>
            </w:r>
          </w:p>
        </w:tc>
      </w:tr>
    </w:tbl>
    <w:p>
      <w:pPr>
        <w:spacing w:after="0" w:line="300" w:lineRule="auto"/>
        <w:jc w:val="left"/>
        <w:rPr>
          <w:rFonts w:ascii="宋体" w:hAnsi="宋体" w:cs="宋体" w:eastAsia="宋体" w:hint="default"/>
          <w:sz w:val="18"/>
          <w:szCs w:val="18"/>
        </w:rPr>
        <w:sectPr>
          <w:footerReference w:type="default" r:id="rId19"/>
          <w:pgSz w:w="11910" w:h="16840"/>
          <w:pgMar w:footer="1303" w:header="877" w:top="1060" w:bottom="1500" w:left="980" w:right="0"/>
          <w:pgNumType w:start="27"/>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法人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668325905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697045312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760 </w:t>
            </w:r>
            <w:r>
              <w:rPr>
                <w:rFonts w:ascii="宋体" w:hAnsi="宋体" w:cs="宋体" w:eastAsia="宋体" w:hint="default"/>
                <w:sz w:val="18"/>
                <w:szCs w:val="18"/>
              </w:rPr>
              <w:t>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实业投资、投资管理、 投资咨询。</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年末总资产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9066.66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万元，净利润</w:t>
            </w:r>
            <w:r>
              <w:rPr>
                <w:rFonts w:ascii="Times New Roman" w:hAnsi="Times New Roman" w:cs="Times New Roman" w:eastAsia="Times New Roman" w:hint="default"/>
                <w:spacing w:val="-3"/>
                <w:sz w:val="18"/>
                <w:szCs w:val="18"/>
              </w:rPr>
              <w:t>-1291.01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万元，经营活动产生的</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现金流量</w:t>
            </w:r>
            <w:r>
              <w:rPr>
                <w:rFonts w:ascii="Times New Roman" w:hAnsi="Times New Roman" w:cs="Times New Roman" w:eastAsia="Times New Roman" w:hint="default"/>
                <w:sz w:val="18"/>
                <w:szCs w:val="18"/>
              </w:rPr>
              <w:t>-232.11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万元。新昌县宏盛投资有限公司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年末总资产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758.53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万元，净利润</w:t>
            </w:r>
            <w:r>
              <w:rPr>
                <w:rFonts w:ascii="Times New Roman" w:hAnsi="Times New Roman" w:cs="Times New Roman" w:eastAsia="Times New Roman" w:hint="default"/>
                <w:sz w:val="18"/>
                <w:szCs w:val="18"/>
              </w:rPr>
              <w:t>-0.08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万元，经营活动产生的现金流量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万元。两控股股东未来坚持以投资战略为主。</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报告期控股股东变更</w:t>
      </w:r>
    </w:p>
    <w:p>
      <w:pPr>
        <w:pStyle w:val="BodyText"/>
        <w:spacing w:line="240" w:lineRule="auto" w:before="115"/>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详见第七节</w:t>
            </w:r>
            <w:r>
              <w:rPr>
                <w:rFonts w:ascii="宋体" w:hAnsi="宋体" w:cs="宋体" w:eastAsia="宋体" w:hint="default"/>
                <w:spacing w:val="1"/>
                <w:sz w:val="18"/>
                <w:szCs w:val="18"/>
              </w:rPr>
              <w:t> </w:t>
            </w:r>
            <w:r>
              <w:rPr>
                <w:rFonts w:ascii="宋体" w:hAnsi="宋体" w:cs="宋体" w:eastAsia="宋体" w:hint="default"/>
                <w:sz w:val="18"/>
                <w:szCs w:val="18"/>
              </w:rPr>
              <w:t>董事、监事、高级管理人员和员工情况之任职情况。</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报告期实际控制人变更</w:t>
      </w:r>
    </w:p>
    <w:p>
      <w:pPr>
        <w:pStyle w:val="BodyText"/>
        <w:spacing w:line="360" w:lineRule="auto" w:before="115"/>
        <w:ind w:right="6794"/>
        <w:jc w:val="left"/>
      </w:pPr>
      <w:r>
        <w:rPr/>
        <w:t>□ 适用 √</w:t>
      </w:r>
      <w:r>
        <w:rPr>
          <w:spacing w:val="3"/>
        </w:rPr>
        <w:t> </w:t>
      </w:r>
      <w:r>
        <w:rPr/>
        <w:t>不适用</w:t>
      </w:r>
      <w:r>
        <w:rPr/>
        <w:t> 公司与实际控制人之间的产权及控制关系的方框图</w:t>
      </w:r>
    </w:p>
    <w:p>
      <w:pPr>
        <w:spacing w:after="0" w:line="360" w:lineRule="auto"/>
        <w:jc w:val="left"/>
        <w:sectPr>
          <w:pgSz w:w="11910" w:h="16840"/>
          <w:pgMar w:header="877" w:footer="1303" w:top="1060" w:bottom="154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5968" w:lineRule="exact"/>
        <w:ind w:left="798"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5281818" cy="3789997"/>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5281818" cy="3789997"/>
                    </a:xfrm>
                    <a:prstGeom prst="rect">
                      <a:avLst/>
                    </a:prstGeom>
                  </pic:spPr>
                </pic:pic>
              </a:graphicData>
            </a:graphic>
          </wp:inline>
        </w:drawing>
      </w:r>
      <w:r>
        <w:rPr>
          <w:rFonts w:ascii="宋体" w:hAnsi="宋体" w:cs="宋体" w:eastAsia="宋体" w:hint="default"/>
          <w:position w:val="-118"/>
          <w:sz w:val="20"/>
          <w:szCs w:val="20"/>
        </w:rPr>
      </w:r>
    </w:p>
    <w:p>
      <w:pPr>
        <w:spacing w:line="240" w:lineRule="auto" w:before="9"/>
        <w:rPr>
          <w:rFonts w:ascii="宋体" w:hAnsi="宋体" w:cs="宋体" w:eastAsia="宋体" w:hint="default"/>
          <w:sz w:val="21"/>
          <w:szCs w:val="21"/>
        </w:rPr>
      </w:pPr>
    </w:p>
    <w:p>
      <w:pPr>
        <w:pStyle w:val="Heading3"/>
        <w:spacing w:line="240" w:lineRule="auto" w:before="26"/>
        <w:ind w:right="1123"/>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8"/>
        <w:gridCol w:w="1803"/>
        <w:gridCol w:w="1801"/>
        <w:gridCol w:w="1802"/>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after="0" w:line="316" w:lineRule="auto"/>
        <w:jc w:val="left"/>
        <w:rPr>
          <w:rFonts w:ascii="宋体" w:hAnsi="宋体" w:cs="宋体" w:eastAsia="宋体" w:hint="default"/>
          <w:sz w:val="18"/>
          <w:szCs w:val="18"/>
        </w:rPr>
        <w:sectPr>
          <w:pgSz w:w="11910" w:h="16840"/>
          <w:pgMar w:header="877" w:footer="1303" w:top="1060" w:bottom="1540" w:left="980" w:right="0"/>
        </w:sectPr>
      </w:pPr>
    </w:p>
    <w:p>
      <w:pPr>
        <w:spacing w:line="240" w:lineRule="auto" w:before="0"/>
        <w:rPr>
          <w:rFonts w:ascii="宋体" w:hAnsi="宋体" w:cs="宋体" w:eastAsia="宋体" w:hint="default"/>
          <w:b/>
          <w:bCs/>
          <w:sz w:val="20"/>
          <w:szCs w:val="20"/>
        </w:rPr>
      </w:pPr>
      <w:r>
        <w:rPr/>
        <w:pict>
          <v:shape style="position:absolute;margin-left:101.660004pt;margin-top:652.059998pt;width:85.35pt;height:15.6pt;mso-position-horizontal-relative:page;mso-position-vertical-relative:page;z-index:-662824" type="#_x0000_t202" filled="false" stroked="false">
            <v:textbox inset="0,0,0,0">
              <w:txbxContent>
                <w:p>
                  <w:pPr>
                    <w:pStyle w:val="BodyText"/>
                    <w:spacing w:line="240" w:lineRule="auto" w:before="49"/>
                    <w:ind w:left="0" w:right="0"/>
                    <w:jc w:val="left"/>
                  </w:pPr>
                  <w:r>
                    <w:rPr/>
                    <w:t>副总经理、</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11,865,000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11,865,000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袁贤苗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朱力琼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吴玉妃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3"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俞锦洪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徐贤君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3"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363"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11,865,000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11,865,000</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123"/>
        <w:jc w:val="left"/>
      </w:pPr>
      <w:r>
        <w:rPr/>
        <w:t>公司现任董事、监事、高级管理人员最近</w:t>
      </w:r>
      <w:r>
        <w:rPr>
          <w:spacing w:val="-44"/>
        </w:rPr>
        <w:t> </w:t>
      </w:r>
      <w:r>
        <w:rPr>
          <w:rFonts w:ascii="Times New Roman" w:hAnsi="Times New Roman" w:cs="Times New Roman" w:eastAsia="Times New Roman" w:hint="default"/>
        </w:rPr>
        <w:t>5 </w:t>
      </w:r>
      <w:r>
        <w:rPr/>
        <w:t>年的主要工作经历 </w:t>
      </w:r>
      <w:r>
        <w:rPr>
          <w:spacing w:val="-5"/>
        </w:rPr>
        <w:t>赵小强先生，董事，</w:t>
      </w:r>
      <w:r>
        <w:rPr>
          <w:rFonts w:ascii="Times New Roman" w:hAnsi="Times New Roman" w:cs="Times New Roman" w:eastAsia="Times New Roman" w:hint="default"/>
          <w:spacing w:val="-5"/>
        </w:rPr>
        <w:t>1967</w:t>
      </w:r>
      <w:r>
        <w:rPr>
          <w:spacing w:val="-5"/>
        </w:rPr>
        <w:t>年出生，中国国籍，无永久境外居留权。浙江大学</w:t>
      </w:r>
      <w:r>
        <w:rPr>
          <w:rFonts w:ascii="Times New Roman" w:hAnsi="Times New Roman" w:cs="Times New Roman" w:eastAsia="Times New Roman" w:hint="default"/>
          <w:spacing w:val="-5"/>
        </w:rPr>
        <w:t>EMBA</w:t>
      </w:r>
      <w:r>
        <w:rPr>
          <w:spacing w:val="-5"/>
        </w:rPr>
        <w:t>，绍兴市第七届人大代表。赵小强先生</w:t>
      </w:r>
      <w:r>
        <w:rPr>
          <w:rFonts w:ascii="Times New Roman" w:hAnsi="Times New Roman" w:cs="Times New Roman" w:eastAsia="Times New Roman" w:hint="default"/>
          <w:spacing w:val="-5"/>
        </w:rPr>
        <w:t>1988</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年开始个人创业；先后创办新昌县通利针织制衣厂、新昌泰盛织造有限公司、新昌美盛饰品有限公司、新昌县万盛进出口有</w:t>
      </w:r>
      <w:r>
        <w:rPr>
          <w:spacing w:val="-65"/>
        </w:rPr>
        <w:t> </w:t>
      </w:r>
      <w:r>
        <w:rPr>
          <w:spacing w:val="-65"/>
        </w:rPr>
      </w:r>
      <w:r>
        <w:rPr>
          <w:spacing w:val="-2"/>
        </w:rPr>
        <w:t>限公司、新昌美源工艺有限公司、浙江莱盛实业有限公司。赵小强先生曾被评为浙江省中小企业优秀企业家，是本公司的主</w:t>
      </w:r>
    </w:p>
    <w:p>
      <w:pPr>
        <w:pStyle w:val="BodyText"/>
        <w:spacing w:line="348" w:lineRule="auto" w:before="17"/>
        <w:ind w:right="1123"/>
        <w:jc w:val="left"/>
      </w:pPr>
      <w:r>
        <w:rPr/>
        <w:t>要创立者之一、实际控制人，现任本公司董事长。 石炜萍女士，董事，</w:t>
      </w:r>
      <w:r>
        <w:rPr>
          <w:rFonts w:ascii="Times New Roman" w:hAnsi="Times New Roman" w:cs="Times New Roman" w:eastAsia="Times New Roman" w:hint="default"/>
        </w:rPr>
        <w:t>1973</w:t>
      </w:r>
      <w:r>
        <w:rPr/>
        <w:t>年出生，中国国籍，无永久境外居留权，为本公司主要创立者之一。 朱燕儀女士，董事，</w:t>
      </w:r>
      <w:r>
        <w:rPr>
          <w:rFonts w:ascii="Times New Roman" w:hAnsi="Times New Roman" w:cs="Times New Roman" w:eastAsia="Times New Roman" w:hint="default"/>
        </w:rPr>
        <w:t>1962</w:t>
      </w:r>
      <w:r>
        <w:rPr/>
        <w:t>年出生，中国香港籍，拥有香港居留权。毕业于英国普理蒂斯艺术学院服装设计专业。历任英国</w:t>
      </w:r>
    </w:p>
    <w:p>
      <w:pPr>
        <w:pStyle w:val="BodyText"/>
        <w:spacing w:line="223" w:lineRule="exact" w:before="0"/>
        <w:ind w:right="982"/>
        <w:jc w:val="left"/>
      </w:pPr>
      <w:r>
        <w:rPr>
          <w:rFonts w:ascii="Times New Roman" w:hAnsi="Times New Roman" w:cs="Times New Roman" w:eastAsia="Times New Roman" w:hint="default"/>
        </w:rPr>
        <w:t>Belker Spord Craff</w:t>
      </w:r>
      <w:r>
        <w:rPr/>
        <w:t>公司设计师，香港</w:t>
      </w:r>
      <w:r>
        <w:rPr>
          <w:rFonts w:ascii="Times New Roman" w:hAnsi="Times New Roman" w:cs="Times New Roman" w:eastAsia="Times New Roman" w:hint="default"/>
        </w:rPr>
        <w:t>Canberlay(HK)Ltd</w:t>
      </w:r>
      <w:r>
        <w:rPr/>
        <w:t>公司设计师、高级业务员，香港</w:t>
      </w:r>
      <w:r>
        <w:rPr>
          <w:rFonts w:ascii="Times New Roman" w:hAnsi="Times New Roman" w:cs="Times New Roman" w:eastAsia="Times New Roman" w:hint="default"/>
        </w:rPr>
        <w:t>Lingrade (HK)</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r>
        <w:rPr/>
        <w:t>公司高级贸易经理，</w:t>
      </w:r>
    </w:p>
    <w:p>
      <w:pPr>
        <w:pStyle w:val="BodyText"/>
        <w:spacing w:line="300" w:lineRule="auto" w:before="63"/>
        <w:ind w:right="1122"/>
        <w:jc w:val="left"/>
      </w:pPr>
      <w:r>
        <w:rPr/>
        <w:t>香港</w:t>
      </w:r>
      <w:r>
        <w:rPr>
          <w:rFonts w:ascii="Times New Roman" w:hAnsi="Times New Roman" w:cs="Times New Roman" w:eastAsia="Times New Roman" w:hint="default"/>
        </w:rPr>
        <w:t>OBS</w:t>
      </w: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Ltd</w:t>
      </w:r>
      <w:r>
        <w:rPr/>
        <w:t>公司高级贸易经理，香港</w:t>
      </w:r>
      <w:r>
        <w:rPr>
          <w:rFonts w:ascii="Times New Roman" w:hAnsi="Times New Roman" w:cs="Times New Roman" w:eastAsia="Times New Roman" w:hint="default"/>
        </w:rPr>
        <w:t>Gent</w:t>
      </w:r>
      <w:r>
        <w:rPr>
          <w:rFonts w:ascii="Times New Roman" w:hAnsi="Times New Roman" w:cs="Times New Roman" w:eastAsia="Times New Roman" w:hint="default"/>
          <w:spacing w:val="-20"/>
        </w:rPr>
        <w:t> </w:t>
      </w:r>
      <w:r>
        <w:rPr>
          <w:rFonts w:ascii="Times New Roman" w:hAnsi="Times New Roman" w:cs="Times New Roman" w:eastAsia="Times New Roman" w:hint="default"/>
        </w:rPr>
        <w:t>ledon</w:t>
      </w:r>
      <w:r>
        <w:rPr>
          <w:rFonts w:ascii="Times New Roman" w:hAnsi="Times New Roman" w:cs="Times New Roman" w:eastAsia="Times New Roman" w:hint="default"/>
          <w:spacing w:val="-20"/>
        </w:rPr>
        <w:t> </w:t>
      </w:r>
      <w:r>
        <w:rPr>
          <w:rFonts w:ascii="Times New Roman" w:hAnsi="Times New Roman" w:cs="Times New Roman" w:eastAsia="Times New Roman" w:hint="default"/>
        </w:rPr>
        <w:t>(HK)</w:t>
      </w:r>
      <w:r>
        <w:rPr>
          <w:rFonts w:ascii="Times New Roman" w:hAnsi="Times New Roman" w:cs="Times New Roman" w:eastAsia="Times New Roman" w:hint="default"/>
          <w:spacing w:val="-22"/>
        </w:rPr>
        <w:t> </w:t>
      </w:r>
      <w:r>
        <w:rPr>
          <w:rFonts w:ascii="Times New Roman" w:hAnsi="Times New Roman" w:cs="Times New Roman" w:eastAsia="Times New Roman" w:hint="default"/>
        </w:rPr>
        <w:t>Ltd</w:t>
      </w:r>
      <w:r>
        <w:rPr/>
        <w:t>公司贸易总监，香港</w:t>
      </w:r>
      <w:r>
        <w:rPr>
          <w:rFonts w:ascii="Times New Roman" w:hAnsi="Times New Roman" w:cs="Times New Roman" w:eastAsia="Times New Roman" w:hint="default"/>
        </w:rPr>
        <w:t>Marks&amp;Spencer(HK)</w:t>
      </w:r>
      <w:r>
        <w:rPr/>
        <w:t>公司贸易经理。现</w:t>
      </w:r>
      <w:r>
        <w:rPr>
          <w:w w:val="99"/>
        </w:rPr>
        <w:t> </w:t>
      </w:r>
      <w:r>
        <w:rPr/>
        <w:t>任公司总经理。</w:t>
      </w:r>
    </w:p>
    <w:p>
      <w:pPr>
        <w:pStyle w:val="BodyText"/>
        <w:spacing w:line="300" w:lineRule="auto" w:before="72"/>
        <w:ind w:right="1123"/>
        <w:jc w:val="left"/>
      </w:pPr>
      <w:r>
        <w:rPr>
          <w:spacing w:val="-2"/>
        </w:rPr>
        <w:t>袁贤苗先生，董事，</w:t>
      </w:r>
      <w:r>
        <w:rPr>
          <w:rFonts w:ascii="Times New Roman" w:hAnsi="Times New Roman" w:cs="Times New Roman" w:eastAsia="Times New Roman" w:hint="default"/>
          <w:spacing w:val="-2"/>
        </w:rPr>
        <w:t>1965</w:t>
      </w:r>
      <w:r>
        <w:rPr>
          <w:spacing w:val="-2"/>
        </w:rPr>
        <w:t>年出生，中国国籍，无永久境外居留权。大专学历。曾任职于新昌丝绸服装股份有限公司。现任公</w:t>
      </w:r>
      <w:r>
        <w:rPr>
          <w:spacing w:val="-69"/>
        </w:rPr>
        <w:t> </w:t>
      </w:r>
      <w:r>
        <w:rPr>
          <w:spacing w:val="-69"/>
        </w:rPr>
      </w:r>
      <w:r>
        <w:rPr/>
        <w:t>司副总经理。</w:t>
      </w:r>
    </w:p>
    <w:p>
      <w:pPr>
        <w:pStyle w:val="BodyText"/>
        <w:spacing w:line="309" w:lineRule="auto" w:before="70"/>
        <w:ind w:right="1130"/>
        <w:jc w:val="both"/>
      </w:pPr>
      <w:r>
        <w:rPr>
          <w:spacing w:val="-2"/>
        </w:rPr>
        <w:t>胡小平先生，独立董事，</w:t>
      </w:r>
      <w:r>
        <w:rPr>
          <w:rFonts w:ascii="Times New Roman" w:hAnsi="Times New Roman" w:cs="Times New Roman" w:eastAsia="Times New Roman" w:hint="default"/>
          <w:spacing w:val="-2"/>
        </w:rPr>
        <w:t>1962</w:t>
      </w:r>
      <w:r>
        <w:rPr>
          <w:spacing w:val="-2"/>
        </w:rPr>
        <w:t>年出生，中国国籍，无永久境外居留权。浙江大学经济系硕士研究生，高级国际商务师。历任</w:t>
      </w:r>
      <w:r>
        <w:rPr>
          <w:spacing w:val="-69"/>
        </w:rPr>
        <w:t> </w:t>
      </w:r>
      <w:r>
        <w:rPr>
          <w:spacing w:val="-69"/>
        </w:rPr>
      </w:r>
      <w:r>
        <w:rPr>
          <w:spacing w:val="-2"/>
        </w:rPr>
        <w:t>杭州师范大学讲师，浙江中大集团股份有限公司企管部主管，浙江中大期货经纪有限公司总经理。现任浙江物产中大元通集</w:t>
      </w:r>
      <w:r>
        <w:rPr>
          <w:spacing w:val="-63"/>
        </w:rPr>
        <w:t> </w:t>
      </w:r>
      <w:r>
        <w:rPr>
          <w:spacing w:val="-63"/>
        </w:rPr>
      </w:r>
      <w:r>
        <w:rPr/>
        <w:t>团股份有限公司副总经理，浙江中大集团投资有限公司董事长，三维通信股份有限公司独立董事。</w:t>
      </w:r>
    </w:p>
    <w:p>
      <w:pPr>
        <w:pStyle w:val="BodyText"/>
        <w:spacing w:line="312" w:lineRule="auto" w:before="65"/>
        <w:ind w:right="1126"/>
        <w:jc w:val="both"/>
      </w:pPr>
      <w:r>
        <w:rPr>
          <w:spacing w:val="-2"/>
        </w:rPr>
        <w:t>陈文女士，独立董事，</w:t>
      </w:r>
      <w:r>
        <w:rPr>
          <w:rFonts w:ascii="Times New Roman" w:hAnsi="Times New Roman" w:cs="Times New Roman" w:eastAsia="Times New Roman" w:hint="default"/>
          <w:spacing w:val="-2"/>
        </w:rPr>
        <w:t>1952</w:t>
      </w:r>
      <w:r>
        <w:rPr>
          <w:spacing w:val="-2"/>
        </w:rPr>
        <w:t>年出生，中国国籍，无永久境外居留权。复旦大学工商管理硕士，国家艺术系列一级编辑，全国</w:t>
      </w:r>
      <w:r>
        <w:rPr>
          <w:spacing w:val="-70"/>
        </w:rPr>
        <w:t> </w:t>
      </w:r>
      <w:r>
        <w:rPr>
          <w:spacing w:val="-70"/>
        </w:rPr>
      </w:r>
      <w:r>
        <w:rPr>
          <w:spacing w:val="-2"/>
        </w:rPr>
        <w:t>三八红旗手。原上海文广新闻传媒集团影视剧中心主任，上海炫动卡通卫视娱乐有限公司董事、常务副总裁，上海录像影视</w:t>
      </w:r>
      <w:r>
        <w:rPr>
          <w:spacing w:val="-63"/>
        </w:rPr>
        <w:t> </w:t>
      </w:r>
      <w:r>
        <w:rPr>
          <w:spacing w:val="-63"/>
        </w:rPr>
      </w:r>
      <w:r>
        <w:rPr>
          <w:spacing w:val="-2"/>
        </w:rPr>
        <w:t>公司总经理。现任中国动画学会常务理事，中国电视剧制片人协会常务理事，上海市数字内容产业促进中心理事，苏河当代</w:t>
      </w:r>
      <w:r>
        <w:rPr>
          <w:spacing w:val="-65"/>
        </w:rPr>
        <w:t> </w:t>
      </w:r>
      <w:r>
        <w:rPr>
          <w:spacing w:val="-65"/>
        </w:rPr>
      </w:r>
      <w:r>
        <w:rPr/>
        <w:t>艺术中心执行董事。</w:t>
      </w:r>
    </w:p>
    <w:p>
      <w:pPr>
        <w:pStyle w:val="BodyText"/>
        <w:spacing w:line="300" w:lineRule="auto" w:before="63"/>
        <w:ind w:right="1123"/>
        <w:jc w:val="left"/>
      </w:pPr>
      <w:r>
        <w:rPr>
          <w:spacing w:val="-5"/>
        </w:rPr>
        <w:t>舒敏先生，</w:t>
      </w:r>
      <w:r>
        <w:rPr>
          <w:rFonts w:ascii="Times New Roman" w:hAnsi="Times New Roman" w:cs="Times New Roman" w:eastAsia="Times New Roman" w:hint="default"/>
          <w:spacing w:val="-5"/>
        </w:rPr>
        <w:t>1962</w:t>
      </w:r>
      <w:r>
        <w:rPr>
          <w:spacing w:val="-5"/>
        </w:rPr>
        <w:t>年出生，中国国籍，民盟盟员，无永久境外居留权。中南财经大学硕士学历，中国注册会计师，副教授。</w:t>
      </w:r>
      <w:r>
        <w:rPr>
          <w:rFonts w:ascii="Times New Roman" w:hAnsi="Times New Roman" w:cs="Times New Roman" w:eastAsia="Times New Roman" w:hint="default"/>
          <w:spacing w:val="-5"/>
        </w:rPr>
        <w:t>1983</w:t>
      </w:r>
      <w:r>
        <w:rPr>
          <w:rFonts w:ascii="Times New Roman" w:hAnsi="Times New Roman" w:cs="Times New Roman" w:eastAsia="Times New Roman" w:hint="default"/>
          <w:spacing w:val="-11"/>
        </w:rPr>
        <w:t> </w:t>
      </w:r>
      <w:r>
        <w:rPr/>
        <w:t>年毕业于江西财经学院（现江西财经大学）会计系，获学士学位；</w:t>
      </w:r>
      <w:r>
        <w:rPr>
          <w:rFonts w:ascii="Times New Roman" w:hAnsi="Times New Roman" w:cs="Times New Roman" w:eastAsia="Times New Roman" w:hint="default"/>
        </w:rPr>
        <w:t>1991</w:t>
      </w:r>
      <w:r>
        <w:rPr/>
        <w:t>年结业于中南财经大学会计系，获硕士学位。</w:t>
      </w:r>
      <w:r>
        <w:rPr>
          <w:rFonts w:ascii="Times New Roman" w:hAnsi="Times New Roman" w:cs="Times New Roman" w:eastAsia="Times New Roman" w:hint="default"/>
        </w:rPr>
        <w:t>1983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月就职于江西财经学院，曾任会计系（现会计学院）财务管理教研室主任、会计系副主任、会计专业硕士研</w:t>
      </w:r>
      <w:r>
        <w:rPr>
          <w:spacing w:val="-63"/>
        </w:rPr>
        <w:t> </w:t>
      </w:r>
      <w:r>
        <w:rPr>
          <w:spacing w:val="-63"/>
        </w:rPr>
      </w:r>
      <w:r>
        <w:rPr/>
        <w:t>究生导师。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月至今在浙江财经学院任教。</w:t>
      </w:r>
    </w:p>
    <w:p>
      <w:pPr>
        <w:pStyle w:val="BodyText"/>
        <w:spacing w:line="300" w:lineRule="auto" w:before="51"/>
        <w:ind w:right="1123"/>
        <w:jc w:val="left"/>
      </w:pPr>
      <w:r>
        <w:rPr>
          <w:spacing w:val="-2"/>
        </w:rPr>
        <w:t>赵风云女士，</w:t>
      </w:r>
      <w:r>
        <w:rPr>
          <w:rFonts w:ascii="Times New Roman" w:hAnsi="Times New Roman" w:cs="Times New Roman" w:eastAsia="Times New Roman" w:hint="default"/>
          <w:spacing w:val="-2"/>
        </w:rPr>
        <w:t>1980</w:t>
      </w:r>
      <w:r>
        <w:rPr>
          <w:spacing w:val="-2"/>
        </w:rPr>
        <w:t>年出生，中国国籍，无永久镜外居留权。本科学历，毕业于青岛科技大学英语专业。先后任职于东莞晨光</w:t>
      </w:r>
      <w:r>
        <w:rPr>
          <w:spacing w:val="-64"/>
        </w:rPr>
        <w:t> </w:t>
      </w:r>
      <w:r>
        <w:rPr>
          <w:spacing w:val="-64"/>
        </w:rPr>
      </w:r>
      <w:r>
        <w:rPr/>
        <w:t>印刷有限公司、迪华商贸有限公司。现任公司行政经理。</w:t>
      </w:r>
    </w:p>
    <w:p>
      <w:pPr>
        <w:pStyle w:val="BodyText"/>
        <w:spacing w:line="309" w:lineRule="auto" w:before="72"/>
        <w:ind w:right="982"/>
        <w:jc w:val="left"/>
      </w:pPr>
      <w:r>
        <w:rPr>
          <w:spacing w:val="-4"/>
        </w:rPr>
        <w:t>吴玉妃女士，监事，</w:t>
      </w:r>
      <w:r>
        <w:rPr>
          <w:rFonts w:ascii="Times New Roman" w:hAnsi="Times New Roman" w:cs="Times New Roman" w:eastAsia="Times New Roman" w:hint="default"/>
          <w:spacing w:val="-4"/>
        </w:rPr>
        <w:t>1974</w:t>
      </w:r>
      <w:r>
        <w:rPr>
          <w:spacing w:val="-4"/>
        </w:rPr>
        <w:t>年出生，中国国籍，无永久境外居留权，大专学历。先后担任深圳蛇口佳利时装有限公司总检组长，</w:t>
      </w:r>
      <w:r>
        <w:rPr>
          <w:spacing w:val="-38"/>
        </w:rPr>
        <w:t> </w:t>
      </w:r>
      <w:r>
        <w:rPr>
          <w:spacing w:val="-38"/>
        </w:rPr>
      </w:r>
      <w:r>
        <w:rPr>
          <w:spacing w:val="-2"/>
        </w:rPr>
        <w:t>深圳双飞龙服装有限公司跟单经理、生产经理，新昌宏鑫实业有限公司生产厂长。加入本公司后曾任服装厂厂长，现任公司</w:t>
      </w:r>
      <w:r>
        <w:rPr>
          <w:spacing w:val="-64"/>
        </w:rPr>
        <w:t> </w:t>
      </w:r>
      <w:r>
        <w:rPr>
          <w:spacing w:val="-64"/>
        </w:rPr>
      </w:r>
      <w:r>
        <w:rPr/>
        <w:t>业务部经理。</w:t>
      </w:r>
    </w:p>
    <w:p>
      <w:pPr>
        <w:pStyle w:val="BodyText"/>
        <w:spacing w:line="300" w:lineRule="auto" w:before="65"/>
        <w:ind w:right="1123"/>
        <w:jc w:val="left"/>
      </w:pPr>
      <w:r>
        <w:rPr>
          <w:spacing w:val="-2"/>
        </w:rPr>
        <w:t>周晓东先生，监事，</w:t>
      </w:r>
      <w:r>
        <w:rPr>
          <w:rFonts w:ascii="Times New Roman" w:hAnsi="Times New Roman" w:cs="Times New Roman" w:eastAsia="Times New Roman" w:hint="default"/>
          <w:spacing w:val="-2"/>
        </w:rPr>
        <w:t>1971</w:t>
      </w:r>
      <w:r>
        <w:rPr>
          <w:spacing w:val="-2"/>
        </w:rPr>
        <w:t>年出生，中国国籍，无永久境外居留权。大专学历，毕业于杭州商学院财务管理专业。先后任职于</w:t>
      </w:r>
      <w:r>
        <w:rPr>
          <w:spacing w:val="-70"/>
        </w:rPr>
        <w:t> </w:t>
      </w:r>
      <w:r>
        <w:rPr>
          <w:spacing w:val="-70"/>
        </w:rPr>
      </w:r>
      <w:r>
        <w:rPr/>
        <w:t>绍兴易高倍得纺织有限公司、新昌泰盛织造有限公司。现任公司财务部经理助理。</w:t>
      </w:r>
    </w:p>
    <w:p>
      <w:pPr>
        <w:pStyle w:val="BodyText"/>
        <w:spacing w:line="300" w:lineRule="auto" w:before="70"/>
        <w:ind w:right="1123"/>
        <w:jc w:val="left"/>
      </w:pPr>
      <w:r>
        <w:rPr>
          <w:spacing w:val="-2"/>
        </w:rPr>
        <w:t>徐贤君先生，副总经理，</w:t>
      </w:r>
      <w:r>
        <w:rPr>
          <w:rFonts w:ascii="Times New Roman" w:hAnsi="Times New Roman" w:cs="Times New Roman" w:eastAsia="Times New Roman" w:hint="default"/>
          <w:spacing w:val="-2"/>
        </w:rPr>
        <w:t>1963</w:t>
      </w:r>
      <w:r>
        <w:rPr>
          <w:spacing w:val="-2"/>
        </w:rPr>
        <w:t>年出生，中国国籍，无永久境外居留权。曾先后任职于新昌通利针织制衣厂，新昌泰盛织造有</w:t>
      </w:r>
      <w:r>
        <w:rPr>
          <w:spacing w:val="-64"/>
        </w:rPr>
        <w:t> </w:t>
      </w:r>
      <w:r>
        <w:rPr>
          <w:spacing w:val="-64"/>
        </w:rPr>
      </w:r>
      <w:r>
        <w:rPr/>
        <w:t>限公司生产部经理。现任公司副总经理。</w:t>
      </w:r>
    </w:p>
    <w:p>
      <w:pPr>
        <w:pStyle w:val="BodyText"/>
        <w:spacing w:line="309" w:lineRule="auto" w:before="72"/>
        <w:ind w:right="1034"/>
        <w:jc w:val="left"/>
      </w:pPr>
      <w:r>
        <w:rPr>
          <w:spacing w:val="-2"/>
        </w:rPr>
        <w:t>郭瑞先生，副总经理、董事会秘书，</w:t>
      </w:r>
      <w:r>
        <w:rPr>
          <w:rFonts w:ascii="Times New Roman" w:hAnsi="Times New Roman" w:cs="Times New Roman" w:eastAsia="Times New Roman" w:hint="default"/>
          <w:spacing w:val="-2"/>
        </w:rPr>
        <w:t>1979</w:t>
      </w:r>
      <w:r>
        <w:rPr>
          <w:spacing w:val="-2"/>
        </w:rPr>
        <w:t>年出生，中国国籍，无永久境外居留权。本科学历，毕业于上海交通大学国际金融</w:t>
      </w:r>
      <w:r>
        <w:rPr>
          <w:spacing w:val="-69"/>
        </w:rPr>
        <w:t> </w:t>
      </w:r>
      <w:r>
        <w:rPr>
          <w:spacing w:val="-69"/>
        </w:rPr>
      </w:r>
      <w:r>
        <w:rPr/>
        <w:t>专业。曾供职于上海微创软件有限公司，明基逐鹿软件（苏州）有限公司，后担任浙江新和成股份有限公司证券事务代表。</w:t>
      </w:r>
      <w:r>
        <w:rPr/>
        <w:t> 现任公司副总经理、董事会秘书。</w:t>
      </w:r>
    </w:p>
    <w:p>
      <w:pPr>
        <w:pStyle w:val="BodyText"/>
        <w:spacing w:line="300" w:lineRule="auto" w:before="65"/>
        <w:ind w:right="1123"/>
        <w:jc w:val="left"/>
      </w:pPr>
      <w:r>
        <w:rPr>
          <w:spacing w:val="-2"/>
        </w:rPr>
        <w:t>俞锦洪先生，财务总监，</w:t>
      </w:r>
      <w:r>
        <w:rPr>
          <w:rFonts w:ascii="Times New Roman" w:hAnsi="Times New Roman" w:cs="Times New Roman" w:eastAsia="Times New Roman" w:hint="default"/>
          <w:spacing w:val="-2"/>
        </w:rPr>
        <w:t>1972</w:t>
      </w:r>
      <w:r>
        <w:rPr>
          <w:spacing w:val="-2"/>
        </w:rPr>
        <w:t>年出生，中国国籍，无永久境外居留权。本科学历，毕业于杭州商学院法学专业。先后任职于</w:t>
      </w:r>
      <w:r>
        <w:rPr>
          <w:spacing w:val="-69"/>
        </w:rPr>
        <w:t> </w:t>
      </w:r>
      <w:r>
        <w:rPr>
          <w:spacing w:val="-69"/>
        </w:rPr>
      </w:r>
      <w:r>
        <w:rPr/>
        <w:t>杭州制氧机集团，普天东方通信集团财务部经理。现任公司财务总监。</w:t>
      </w:r>
    </w:p>
    <w:p>
      <w:pPr>
        <w:spacing w:after="0" w:line="300" w:lineRule="auto"/>
        <w:jc w:val="left"/>
        <w:sectPr>
          <w:pgSz w:w="11910" w:h="16840"/>
          <w:pgMar w:header="877" w:footer="1303"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在股东单位任职情况</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浙江莱盛实业有限公司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徐贤君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3"/>
        <w:jc w:val="left"/>
      </w:pPr>
      <w:r>
        <w:rPr/>
        <w:t>在其他单位任职情况</w:t>
      </w:r>
    </w:p>
    <w:p>
      <w:pPr>
        <w:pStyle w:val="BodyText"/>
        <w:spacing w:line="240" w:lineRule="auto" w:before="118"/>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浙江新昌浦发村镇银行股份有限公司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浙江物产中大元通集团股份有限公司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浙江中大集团投资有限公司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浙江财经学院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莱盛童话服饰（上海）有限公司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123"/>
        <w:jc w:val="left"/>
      </w:pPr>
      <w:r>
        <w:rPr/>
        <w:t>董事、监事、高级管理人员报酬的决策程序、确定依据 </w:t>
      </w:r>
      <w:r>
        <w:rPr>
          <w:spacing w:val="-2"/>
        </w:rPr>
        <w:t>公司董事、监事的报酬是根据公司章程规定和经营情况，由董事会、监事会提出议案，股东大会批准决定，公司总经理、副</w:t>
      </w:r>
      <w:r>
        <w:rPr>
          <w:spacing w:val="-70"/>
        </w:rPr>
        <w:t> </w:t>
      </w:r>
      <w:r>
        <w:rPr>
          <w:spacing w:val="-70"/>
        </w:rPr>
      </w:r>
      <w:r>
        <w:rPr>
          <w:spacing w:val="-2"/>
        </w:rPr>
        <w:t>总经理、财务总监、董事会秘书等高级管理人员的报酬由公司董事会薪酬与考核委员会提出议案，报董事会批准决定。报告</w:t>
      </w:r>
    </w:p>
    <w:p>
      <w:pPr>
        <w:pStyle w:val="BodyText"/>
        <w:spacing w:line="319" w:lineRule="auto" w:before="2"/>
        <w:ind w:right="1123"/>
        <w:jc w:val="left"/>
      </w:pPr>
      <w:r>
        <w:rPr>
          <w:spacing w:val="-2"/>
        </w:rPr>
        <w:t>期，实际发放额的确定依据是根据公司总体发展战略和年度的经营目标、其在公司担任的职务以及行业平均标准，结合公司</w:t>
      </w:r>
      <w:r>
        <w:rPr>
          <w:spacing w:val="-63"/>
        </w:rPr>
        <w:t> </w:t>
      </w:r>
      <w:r>
        <w:rPr>
          <w:spacing w:val="-63"/>
        </w:rPr>
      </w:r>
      <w:r>
        <w:rPr/>
        <w:t>的工资制度、考核办法获而确定的。</w:t>
      </w:r>
    </w:p>
    <w:p>
      <w:pPr>
        <w:pStyle w:val="BodyText"/>
        <w:spacing w:line="240" w:lineRule="auto" w:before="58"/>
        <w:ind w:right="1123"/>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92,840.00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551,140.50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551,140.50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551,140.50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袁贤苗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朱力琼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吴玉妃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43,683.00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43,683.00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86,400.00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俞锦洪</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211,327.00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211,327.00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211,327.00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徐贤君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1,941,390.50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1,941,390.50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1,941,390.50</w:t>
            </w:r>
          </w:p>
        </w:tc>
      </w:tr>
    </w:tbl>
    <w:p>
      <w:pPr>
        <w:pStyle w:val="BodyText"/>
        <w:spacing w:line="240" w:lineRule="auto" w:before="50"/>
        <w:ind w:right="1123"/>
        <w:jc w:val="left"/>
      </w:pPr>
      <w:r>
        <w:rPr/>
        <w:t>公司董事、监事、高级管理人员报告期内被授予的股权激励情况</w:t>
      </w:r>
    </w:p>
    <w:p>
      <w:pPr>
        <w:pStyle w:val="BodyText"/>
        <w:spacing w:line="240" w:lineRule="auto" w:before="115"/>
        <w:ind w:right="1123"/>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朱力琼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报告期内，公司核心技术团队或关键技术人员无重大变动。</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rFonts w:ascii="Times New Roman" w:hAnsi="Times New Roman" w:cs="Times New Roman" w:eastAsia="Times New Roman" w:hint="default"/>
        </w:rPr>
        <w:t>1</w:t>
      </w:r>
      <w:r>
        <w:rPr/>
        <w:t>、专业结构</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89"/>
        <w:gridCol w:w="2340"/>
        <w:gridCol w:w="3060"/>
      </w:tblGrid>
      <w:tr>
        <w:trPr>
          <w:trHeight w:val="434" w:hRule="exact"/>
        </w:trPr>
        <w:tc>
          <w:tcPr>
            <w:tcW w:w="2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分工</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研发技术人员</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78</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9.39%</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35</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4.21%</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558</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67.15%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89"/>
        <w:gridCol w:w="2340"/>
        <w:gridCol w:w="3060"/>
      </w:tblGrid>
      <w:tr>
        <w:trPr>
          <w:trHeight w:val="435" w:hRule="exact"/>
        </w:trPr>
        <w:tc>
          <w:tcPr>
            <w:tcW w:w="2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管理及行政人员</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160</w:t>
            </w:r>
          </w:p>
        </w:tc>
        <w:tc>
          <w:tcPr>
            <w:tcW w:w="3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19.25%</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831</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123"/>
        <w:jc w:val="left"/>
      </w:pPr>
      <w:r>
        <w:rPr>
          <w:rFonts w:ascii="Times New Roman" w:hAnsi="Times New Roman" w:cs="Times New Roman" w:eastAsia="Times New Roman" w:hint="default"/>
        </w:rPr>
        <w:t>2</w:t>
      </w:r>
      <w:r>
        <w:rPr/>
        <w:t>、受教育程度</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89"/>
        <w:gridCol w:w="2340"/>
        <w:gridCol w:w="3060"/>
      </w:tblGrid>
      <w:tr>
        <w:trPr>
          <w:trHeight w:val="434" w:hRule="exact"/>
        </w:trPr>
        <w:tc>
          <w:tcPr>
            <w:tcW w:w="2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大专及以上学历</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269</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32.37%</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高中及中专</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228</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27.44%</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334</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40.19%</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831</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1123"/>
        <w:jc w:val="left"/>
      </w:pPr>
      <w:r>
        <w:rPr>
          <w:rFonts w:ascii="Times New Roman" w:hAnsi="Times New Roman" w:cs="Times New Roman" w:eastAsia="Times New Roman" w:hint="default"/>
        </w:rPr>
        <w:t>3</w:t>
      </w:r>
      <w:r>
        <w:rPr/>
        <w:t>、年龄分布</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89"/>
        <w:gridCol w:w="2340"/>
        <w:gridCol w:w="3060"/>
      </w:tblGrid>
      <w:tr>
        <w:trPr>
          <w:trHeight w:val="435" w:hRule="exact"/>
        </w:trPr>
        <w:tc>
          <w:tcPr>
            <w:tcW w:w="2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年龄区间</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0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352</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42.36%</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276</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33.21%</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184</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22.14%</w:t>
            </w:r>
          </w:p>
        </w:tc>
      </w:tr>
      <w:tr>
        <w:trPr>
          <w:trHeight w:val="432"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19</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2.29%</w:t>
            </w:r>
          </w:p>
        </w:tc>
      </w:tr>
      <w:tr>
        <w:trPr>
          <w:trHeight w:val="434" w:hRule="exact"/>
        </w:trPr>
        <w:tc>
          <w:tcPr>
            <w:tcW w:w="29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831</w:t>
            </w:r>
          </w:p>
        </w:tc>
        <w:tc>
          <w:tcPr>
            <w:tcW w:w="30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3"/>
              <w:ind w:left="4"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3"/>
        <w:jc w:val="both"/>
      </w:pPr>
      <w:r>
        <w:rPr>
          <w:spacing w:val="-2"/>
        </w:rPr>
        <w:t>报告期内，公司严格按照《公司法》、《证券法》、《上市公司治理准则》、《深圳证券交易所股票上市规则》、《中小板</w:t>
      </w:r>
      <w:r>
        <w:rPr>
          <w:spacing w:val="-70"/>
        </w:rPr>
        <w:t> </w:t>
      </w:r>
      <w:r>
        <w:rPr>
          <w:spacing w:val="-70"/>
        </w:rPr>
      </w:r>
      <w:r>
        <w:rPr>
          <w:spacing w:val="-2"/>
        </w:rPr>
        <w:t>企业上市公司规范运作指引》及其他相关法律、法规的要求，不断完善公司治理结构，建立健全内部控制制度，不断加强信</w:t>
      </w:r>
      <w:r>
        <w:rPr>
          <w:spacing w:val="-66"/>
        </w:rPr>
        <w:t> </w:t>
      </w:r>
      <w:r>
        <w:rPr>
          <w:spacing w:val="-66"/>
        </w:rPr>
      </w:r>
      <w:r>
        <w:rPr/>
        <w:t>息披露工作，积极开展投资者关系管理，不断提高公司治理水平。</w:t>
      </w:r>
    </w:p>
    <w:p>
      <w:pPr>
        <w:pStyle w:val="BodyText"/>
        <w:spacing w:line="360" w:lineRule="auto" w:before="57"/>
        <w:ind w:right="3014"/>
        <w:jc w:val="left"/>
      </w:pPr>
      <w:r>
        <w:rPr/>
        <w:t>截止报告期末，公司治理的实际状况基本符合中国证监会发布的有关上市公司治理的规范性文件。 公司已建立的各项制度名称和公开信息披露情况：</w:t>
      </w:r>
    </w:p>
    <w:tbl>
      <w:tblPr>
        <w:tblW w:w="0" w:type="auto"/>
        <w:jc w:val="left"/>
        <w:tblInd w:w="145" w:type="dxa"/>
        <w:tblLayout w:type="fixed"/>
        <w:tblCellMar>
          <w:top w:w="0" w:type="dxa"/>
          <w:left w:w="0" w:type="dxa"/>
          <w:bottom w:w="0" w:type="dxa"/>
          <w:right w:w="0" w:type="dxa"/>
        </w:tblCellMar>
        <w:tblLook w:val="01E0"/>
      </w:tblPr>
      <w:tblGrid>
        <w:gridCol w:w="4261"/>
        <w:gridCol w:w="4263"/>
      </w:tblGrid>
      <w:tr>
        <w:trPr>
          <w:trHeight w:val="428"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3" w:type="dxa"/>
            <w:vMerge w:val="restart"/>
            <w:tcBorders>
              <w:top w:val="single" w:sz="6" w:space="0" w:color="000000"/>
              <w:left w:val="single" w:sz="6" w:space="0" w:color="000000"/>
              <w:right w:val="single" w:sz="6" w:space="0" w:color="000000"/>
            </w:tcBorders>
          </w:tcPr>
          <w:p>
            <w:pPr>
              <w:pStyle w:val="TableParagraph"/>
              <w:spacing w:line="300" w:lineRule="auto" w:before="58"/>
              <w:ind w:left="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3" w:type="dxa"/>
            <w:vMerge/>
            <w:tcBorders>
              <w:left w:val="single" w:sz="6" w:space="0" w:color="000000"/>
              <w:right w:val="single" w:sz="6" w:space="0" w:color="000000"/>
            </w:tcBorders>
          </w:tcPr>
          <w:p>
            <w:pPr/>
          </w:p>
        </w:tc>
      </w:tr>
      <w:tr>
        <w:trPr>
          <w:trHeight w:val="425"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月</w:t>
            </w:r>
          </w:p>
        </w:tc>
        <w:tc>
          <w:tcPr>
            <w:tcW w:w="4263" w:type="dxa"/>
            <w:vMerge/>
            <w:tcBorders>
              <w:left w:val="single" w:sz="6" w:space="0" w:color="000000"/>
              <w:bottom w:val="single" w:sz="6" w:space="0" w:color="000000"/>
              <w:right w:val="single" w:sz="6" w:space="0" w:color="000000"/>
            </w:tcBorders>
          </w:tcPr>
          <w:p>
            <w:pP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日，刊登于公司指定信息披露媒体巨潮资</w:t>
            </w:r>
            <w:r>
              <w:rPr>
                <w:rFonts w:ascii="宋体" w:hAnsi="宋体" w:cs="宋体" w:eastAsia="宋体" w:hint="default"/>
                <w:sz w:val="18"/>
                <w:szCs w:val="18"/>
              </w:rPr>
              <w:t>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3" w:type="dxa"/>
            <w:vMerge w:val="restart"/>
            <w:tcBorders>
              <w:top w:val="single" w:sz="6" w:space="0" w:color="000000"/>
              <w:left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日，经公司第一届董事会第一次会议审议通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3" w:type="dxa"/>
            <w:vMerge/>
            <w:tcBorders>
              <w:left w:val="single" w:sz="6" w:space="0" w:color="000000"/>
              <w:right w:val="single" w:sz="6" w:space="0" w:color="000000"/>
            </w:tcBorders>
          </w:tcPr>
          <w:p>
            <w:pPr/>
          </w:p>
        </w:tc>
      </w:tr>
      <w:tr>
        <w:trPr>
          <w:trHeight w:val="428"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3" w:type="dxa"/>
            <w:vMerge/>
            <w:tcBorders>
              <w:left w:val="single" w:sz="6" w:space="0" w:color="000000"/>
              <w:right w:val="single" w:sz="6" w:space="0" w:color="000000"/>
            </w:tcBorders>
          </w:tcPr>
          <w:p>
            <w:pP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3" w:type="dxa"/>
            <w:vMerge/>
            <w:tcBorders>
              <w:left w:val="single" w:sz="6" w:space="0" w:color="000000"/>
              <w:bottom w:val="single" w:sz="6" w:space="0" w:color="000000"/>
              <w:right w:val="single" w:sz="6" w:space="0" w:color="000000"/>
            </w:tcBorders>
          </w:tcPr>
          <w:p>
            <w:pP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3" w:type="dxa"/>
            <w:vMerge w:val="restart"/>
            <w:tcBorders>
              <w:top w:val="single" w:sz="6" w:space="0" w:color="000000"/>
              <w:left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日，经公司第一届董事会第六次会议审议通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3" w:type="dxa"/>
            <w:vMerge/>
            <w:tcBorders>
              <w:left w:val="single" w:sz="6" w:space="0" w:color="000000"/>
              <w:bottom w:val="single" w:sz="6" w:space="0" w:color="000000"/>
              <w:right w:val="single" w:sz="6" w:space="0" w:color="000000"/>
            </w:tcBorders>
          </w:tcPr>
          <w:p>
            <w:pP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3" w:type="dxa"/>
            <w:vMerge w:val="restart"/>
            <w:tcBorders>
              <w:top w:val="single" w:sz="6" w:space="0" w:color="000000"/>
              <w:left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年度大会审议通过。</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3" w:type="dxa"/>
            <w:vMerge/>
            <w:tcBorders>
              <w:left w:val="single" w:sz="6" w:space="0" w:color="000000"/>
              <w:right w:val="single" w:sz="6" w:space="0" w:color="000000"/>
            </w:tcBorders>
          </w:tcPr>
          <w:p>
            <w:pPr/>
          </w:p>
        </w:tc>
      </w:tr>
      <w:tr>
        <w:trPr>
          <w:trHeight w:val="428"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3" w:type="dxa"/>
            <w:vMerge/>
            <w:tcBorders>
              <w:left w:val="single" w:sz="6" w:space="0" w:color="000000"/>
              <w:right w:val="single" w:sz="6" w:space="0" w:color="000000"/>
            </w:tcBorders>
          </w:tcPr>
          <w:p>
            <w:pPr/>
          </w:p>
        </w:tc>
      </w:tr>
      <w:tr>
        <w:trPr>
          <w:trHeight w:val="425"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3" w:type="dxa"/>
            <w:vMerge/>
            <w:tcBorders>
              <w:left w:val="single" w:sz="6" w:space="0" w:color="000000"/>
              <w:right w:val="single" w:sz="6" w:space="0" w:color="000000"/>
            </w:tcBorders>
          </w:tcPr>
          <w:p>
            <w:pP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3" w:type="dxa"/>
            <w:vMerge/>
            <w:tcBorders>
              <w:left w:val="single" w:sz="6" w:space="0" w:color="000000"/>
              <w:right w:val="single" w:sz="6" w:space="0" w:color="000000"/>
            </w:tcBorders>
          </w:tcPr>
          <w:p>
            <w:pPr/>
          </w:p>
        </w:tc>
      </w:tr>
      <w:tr>
        <w:trPr>
          <w:trHeight w:val="430"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3" w:type="dxa"/>
            <w:vMerge/>
            <w:tcBorders>
              <w:left w:val="single" w:sz="6" w:space="0" w:color="000000"/>
              <w:bottom w:val="single" w:sz="6" w:space="0" w:color="000000"/>
              <w:right w:val="single" w:sz="6" w:space="0" w:color="000000"/>
            </w:tcBorders>
          </w:tcPr>
          <w:p>
            <w:pPr/>
          </w:p>
        </w:tc>
      </w:tr>
    </w:tbl>
    <w:p>
      <w:pPr>
        <w:pStyle w:val="BodyText"/>
        <w:spacing w:line="324" w:lineRule="auto" w:before="68"/>
        <w:ind w:right="1123"/>
        <w:jc w:val="left"/>
      </w:pPr>
      <w:r>
        <w:rPr>
          <w:rFonts w:ascii="Times New Roman" w:hAnsi="Times New Roman" w:cs="Times New Roman" w:eastAsia="Times New Roman" w:hint="default"/>
        </w:rPr>
        <w:t>1</w:t>
      </w:r>
      <w:r>
        <w:rPr/>
        <w:t>、关于股东与股东大会 </w:t>
      </w:r>
      <w:r>
        <w:rPr>
          <w:spacing w:val="-2"/>
        </w:rPr>
        <w:t>公司严格遵守法律法规，按程序召集、召开股东大会。股东大会的召集、召开程序、出席股东大会的人员资格及股东大会的</w:t>
      </w:r>
      <w:r>
        <w:rPr>
          <w:spacing w:val="-67"/>
        </w:rPr>
        <w:t> </w:t>
      </w:r>
      <w:r>
        <w:rPr>
          <w:spacing w:val="-67"/>
        </w:rPr>
      </w:r>
      <w:r>
        <w:rPr>
          <w:spacing w:val="-2"/>
        </w:rPr>
        <w:t>表决程序均符合《公司法》、《公司章程》及其他法律法规的规定，能够确保全体股东尤其是中小股东享有平等地位，充分</w:t>
      </w:r>
      <w:r>
        <w:rPr>
          <w:spacing w:val="-71"/>
        </w:rPr>
        <w:t> </w:t>
      </w:r>
      <w:r>
        <w:rPr>
          <w:spacing w:val="-71"/>
        </w:rPr>
      </w:r>
      <w:r>
        <w:rPr/>
        <w:t>行使自己的权利。报告期内召开的股东大会均由公司董事会召集召开，并邀请律师进行现场见证。</w:t>
      </w:r>
    </w:p>
    <w:p>
      <w:pPr>
        <w:spacing w:after="0" w:line="324" w:lineRule="auto"/>
        <w:jc w:val="left"/>
        <w:sectPr>
          <w:pgSz w:w="11910" w:h="16840"/>
          <w:pgMar w:header="877" w:footer="1303" w:top="1060" w:bottom="1540" w:left="980" w:right="0"/>
        </w:sectPr>
      </w:pPr>
    </w:p>
    <w:p>
      <w:pPr>
        <w:spacing w:line="240" w:lineRule="auto" w:before="9"/>
        <w:rPr>
          <w:rFonts w:ascii="宋体" w:hAnsi="宋体" w:cs="宋体" w:eastAsia="宋体" w:hint="default"/>
          <w:sz w:val="25"/>
          <w:szCs w:val="25"/>
        </w:rPr>
      </w:pPr>
    </w:p>
    <w:p>
      <w:pPr>
        <w:pStyle w:val="BodyText"/>
        <w:spacing w:line="333" w:lineRule="auto"/>
        <w:ind w:right="1123"/>
        <w:jc w:val="left"/>
      </w:pPr>
      <w:r>
        <w:rPr>
          <w:rFonts w:ascii="Times New Roman" w:hAnsi="Times New Roman" w:cs="Times New Roman" w:eastAsia="Times New Roman" w:hint="default"/>
        </w:rPr>
        <w:t>2</w:t>
      </w:r>
      <w:r>
        <w:rPr/>
        <w:t>、关于公司与控股股东 </w:t>
      </w:r>
      <w:r>
        <w:rPr>
          <w:spacing w:val="-2"/>
        </w:rPr>
        <w:t>公司在业务、人员、资产、机构、财务等方面与控股股东相互独立，公司董事会、监事会和内部机构独立运作，公司的重大</w:t>
      </w:r>
      <w:r>
        <w:rPr>
          <w:spacing w:val="-73"/>
        </w:rPr>
        <w:t> </w:t>
      </w:r>
      <w:r>
        <w:rPr>
          <w:spacing w:val="-73"/>
        </w:rPr>
      </w:r>
      <w:r>
        <w:rPr>
          <w:spacing w:val="-2"/>
        </w:rPr>
        <w:t>决策由股东大会依法做出，控股股东依法行使股东权利，没有超越公司股东大会直接或者间接干预公司的决策和经营活动行</w:t>
      </w:r>
      <w:r>
        <w:rPr>
          <w:spacing w:val="-64"/>
        </w:rPr>
        <w:t> </w:t>
      </w:r>
      <w:r>
        <w:rPr>
          <w:spacing w:val="-64"/>
        </w:rPr>
      </w:r>
      <w:r>
        <w:rPr/>
        <w:t>为。本报告期内，不存在控股股东占用公司资金的现象，也不存在公司为控股股东及其子公司提供担保的行为。 </w:t>
      </w:r>
      <w:r>
        <w:rPr>
          <w:rFonts w:ascii="Times New Roman" w:hAnsi="Times New Roman" w:cs="Times New Roman" w:eastAsia="Times New Roman" w:hint="default"/>
        </w:rPr>
        <w:t>3</w:t>
      </w:r>
      <w:r>
        <w:rPr/>
        <w:t>、关于董事与董事会</w:t>
      </w:r>
    </w:p>
    <w:p>
      <w:pPr>
        <w:pStyle w:val="BodyText"/>
        <w:spacing w:line="312" w:lineRule="auto" w:before="26"/>
        <w:ind w:right="1131"/>
        <w:jc w:val="both"/>
      </w:pPr>
      <w:r>
        <w:rPr>
          <w:spacing w:val="-2"/>
        </w:rPr>
        <w:t>公司严格按照法律法规和《公司章程》规定选举董事：董事会目前人数</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人，人数和人员构成符合法律法</w:t>
      </w:r>
      <w:r>
        <w:rPr>
          <w:spacing w:val="-62"/>
        </w:rPr>
        <w:t> </w:t>
      </w:r>
      <w:r>
        <w:rPr>
          <w:spacing w:val="-62"/>
        </w:rPr>
      </w:r>
      <w:r>
        <w:rPr>
          <w:spacing w:val="-2"/>
        </w:rPr>
        <w:t>规和《公司章程》的要求。公司董事会设立了审计委员会、提名委员会、薪酬与考核委员会和发展战略委员会，为董事会的</w:t>
      </w:r>
      <w:r>
        <w:rPr>
          <w:spacing w:val="-69"/>
        </w:rPr>
        <w:t> </w:t>
      </w:r>
      <w:r>
        <w:rPr>
          <w:spacing w:val="-69"/>
        </w:rPr>
      </w:r>
      <w:r>
        <w:rPr>
          <w:spacing w:val="-2"/>
        </w:rPr>
        <w:t>决策提供专业意见。公司全体董事能够依据《董事会议事规则》、《独立董事制度》等制度开展工作。公司三名独立董事在</w:t>
      </w:r>
      <w:r>
        <w:rPr>
          <w:spacing w:val="-69"/>
        </w:rPr>
        <w:t> </w:t>
      </w:r>
      <w:r>
        <w:rPr>
          <w:spacing w:val="-69"/>
        </w:rPr>
      </w:r>
      <w:r>
        <w:rPr/>
        <w:t>工作中保持充分的独立性，认真审议各项议案，对有关事项发表了独立意见，切实维护了公司和中小股东的利益。</w:t>
      </w:r>
    </w:p>
    <w:p>
      <w:pPr>
        <w:pStyle w:val="BodyText"/>
        <w:spacing w:line="319" w:lineRule="auto" w:before="63"/>
        <w:ind w:right="1124"/>
        <w:jc w:val="left"/>
      </w:pPr>
      <w:r>
        <w:rPr>
          <w:rFonts w:ascii="Times New Roman" w:hAnsi="Times New Roman" w:cs="Times New Roman" w:eastAsia="Times New Roman" w:hint="default"/>
        </w:rPr>
        <w:t>4</w:t>
      </w:r>
      <w:r>
        <w:rPr/>
        <w:t>、关于监事和监事会 公司监事会由</w:t>
      </w:r>
      <w:r>
        <w:rPr>
          <w:rFonts w:ascii="Times New Roman" w:hAnsi="Times New Roman" w:cs="Times New Roman" w:eastAsia="Times New Roman" w:hint="default"/>
        </w:rPr>
        <w:t>2</w:t>
      </w:r>
      <w:r>
        <w:rPr/>
        <w:t>名监事组成，监事人数和人员构成符合法律、法规及《公司章程》的要求。报告期内，公司监事会按照《监 </w:t>
      </w:r>
      <w:r>
        <w:rPr>
          <w:spacing w:val="-2"/>
        </w:rPr>
        <w:t>事会议事规则》和有关法律、法规的规定履行职责，本着对股东负责的态度，对公司经营运作、财务状况以及公司董事、经</w:t>
      </w:r>
      <w:r>
        <w:rPr>
          <w:spacing w:val="-68"/>
        </w:rPr>
        <w:t> </w:t>
      </w:r>
      <w:r>
        <w:rPr>
          <w:spacing w:val="-68"/>
        </w:rPr>
      </w:r>
      <w:r>
        <w:rPr/>
        <w:t>理和其他管理人员履行职责的合法合规性进行监督，维护了公司及股东的权益。</w:t>
      </w:r>
    </w:p>
    <w:p>
      <w:pPr>
        <w:pStyle w:val="BodyText"/>
        <w:spacing w:line="240" w:lineRule="auto" w:before="58"/>
        <w:ind w:right="1123"/>
        <w:jc w:val="left"/>
      </w:pPr>
      <w:r>
        <w:rPr/>
        <w:t>公司治理与《公司法》和中国证监会相关规定的要求是否存在差异</w:t>
      </w:r>
    </w:p>
    <w:p>
      <w:pPr>
        <w:pStyle w:val="BodyText"/>
        <w:spacing w:line="357" w:lineRule="auto" w:before="117"/>
        <w:ind w:right="5534"/>
        <w:jc w:val="left"/>
      </w:pPr>
      <w:r>
        <w:rPr/>
        <w:t>□ 是 √</w:t>
      </w:r>
      <w:r>
        <w:rPr>
          <w:spacing w:val="3"/>
        </w:rPr>
        <w:t> </w:t>
      </w:r>
      <w:r>
        <w:rPr/>
        <w:t>否</w:t>
      </w:r>
      <w:r>
        <w:rPr/>
        <w:t> 公司治理与《公司法》和中国证监会相关规定的要求不存在差异。</w:t>
      </w:r>
    </w:p>
    <w:p>
      <w:pPr>
        <w:pStyle w:val="BodyText"/>
        <w:spacing w:line="240" w:lineRule="auto" w:before="29"/>
        <w:ind w:right="1123"/>
        <w:jc w:val="left"/>
      </w:pPr>
      <w:r>
        <w:rPr/>
        <w:t>公司治理专项活动开展情况以及内幕信息知情人登记管理制度的制定、实施情况</w:t>
      </w:r>
    </w:p>
    <w:p>
      <w:pPr>
        <w:pStyle w:val="BodyText"/>
        <w:spacing w:line="300" w:lineRule="auto" w:before="117"/>
        <w:ind w:right="113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 </w:t>
      </w:r>
      <w:r>
        <w:rPr>
          <w:spacing w:val="-3"/>
        </w:rPr>
        <w:t>日，经公司第一届董事会第十次会议审议通过了《内幕知情人管理制度》，并于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9 </w:t>
      </w:r>
      <w:r>
        <w:rPr/>
        <w:t>月</w:t>
      </w:r>
      <w:r>
        <w:rPr>
          <w:spacing w:val="-44"/>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 </w:t>
      </w:r>
      <w:r>
        <w:rPr>
          <w:spacing w:val="-1"/>
        </w:rPr>
        <w:t>日刊登于公</w:t>
      </w:r>
      <w:r>
        <w:rPr/>
        <w:t> </w:t>
      </w:r>
      <w:r>
        <w:rPr>
          <w:spacing w:val="-2"/>
          <w:w w:val="99"/>
        </w:rPr>
        <w:t>司指定信息披露媒体巨潮资讯网（</w:t>
      </w:r>
      <w:hyperlink r:id="rId12">
        <w:r>
          <w:rPr>
            <w:rFonts w:ascii="Times New Roman" w:hAnsi="Times New Roman" w:cs="Times New Roman" w:eastAsia="Times New Roman" w:hint="default"/>
            <w:spacing w:val="-2"/>
            <w:w w:val="99"/>
          </w:rPr>
          <w:t>www.cninfo.com.cn</w:t>
        </w:r>
      </w:hyperlink>
      <w:r>
        <w:rPr>
          <w:spacing w:val="-2"/>
          <w:w w:val="99"/>
        </w:rPr>
        <w:t>）。报告期内公司严格按照制度执行，认真做好内幕知情人的等级备案</w:t>
      </w:r>
      <w:r>
        <w:rPr>
          <w:spacing w:val="-78"/>
          <w:w w:val="99"/>
        </w:rPr>
        <w:t> </w:t>
      </w:r>
      <w:r>
        <w:rPr>
          <w:spacing w:val="-78"/>
          <w:w w:val="99"/>
        </w:rPr>
      </w:r>
      <w:r>
        <w:rPr/>
        <w:t>工作。</w:t>
      </w:r>
    </w:p>
    <w:p>
      <w:pPr>
        <w:spacing w:line="240" w:lineRule="auto" w:before="8"/>
        <w:rPr>
          <w:rFonts w:ascii="宋体" w:hAnsi="宋体" w:cs="宋体" w:eastAsia="宋体" w:hint="default"/>
          <w:sz w:val="21"/>
          <w:szCs w:val="21"/>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 </w:t>
            </w:r>
            <w:r>
              <w:rPr>
                <w:rFonts w:ascii="宋体" w:hAnsi="宋体" w:cs="宋体" w:eastAsia="宋体" w:hint="default"/>
                <w:spacing w:val="-19"/>
                <w:sz w:val="18"/>
                <w:szCs w:val="18"/>
              </w:rPr>
              <w:t>算报告》、《</w:t>
            </w:r>
            <w:r>
              <w:rPr>
                <w:rFonts w:ascii="Times New Roman" w:hAnsi="Times New Roman" w:cs="Times New Roman" w:eastAsia="Times New Roman" w:hint="default"/>
                <w:spacing w:val="-19"/>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1"/>
                <w:sz w:val="18"/>
                <w:szCs w:val="18"/>
              </w:rPr>
              <w:t>度利润分配预案》、</w:t>
            </w:r>
          </w:p>
          <w:p>
            <w:pPr>
              <w:pStyle w:val="TableParagraph"/>
              <w:spacing w:line="316" w:lineRule="auto" w:before="31"/>
              <w:ind w:left="23" w:right="22"/>
              <w:jc w:val="left"/>
              <w:rPr>
                <w:rFonts w:ascii="宋体" w:hAnsi="宋体" w:cs="宋体" w:eastAsia="宋体" w:hint="default"/>
                <w:sz w:val="18"/>
                <w:szCs w:val="18"/>
              </w:rPr>
            </w:pPr>
            <w:r>
              <w:rPr>
                <w:rFonts w:ascii="宋体" w:hAnsi="宋体" w:cs="宋体" w:eastAsia="宋体" w:hint="default"/>
                <w:sz w:val="18"/>
                <w:szCs w:val="18"/>
              </w:rPr>
              <w:t>《关于首次向社会 公开发行人民币普 通股股票并上市的 </w:t>
            </w:r>
            <w:r>
              <w:rPr>
                <w:rFonts w:ascii="宋体" w:hAnsi="宋体" w:cs="宋体" w:eastAsia="宋体" w:hint="default"/>
                <w:spacing w:val="-27"/>
                <w:sz w:val="18"/>
                <w:szCs w:val="18"/>
              </w:rPr>
              <w:t>议案》、《关于股东大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会授权董事会在公 司首次公开发行股 票决议有效期内处 理本次发行的具体 事宜的议案》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22"/>
              <w:jc w:val="left"/>
              <w:rPr>
                <w:rFonts w:ascii="宋体" w:hAnsi="宋体" w:cs="宋体" w:eastAsia="宋体" w:hint="default"/>
                <w:sz w:val="18"/>
                <w:szCs w:val="18"/>
              </w:rPr>
            </w:pPr>
            <w:r>
              <w:rPr>
                <w:rFonts w:ascii="宋体" w:hAnsi="宋体" w:cs="宋体" w:eastAsia="宋体" w:hint="default"/>
                <w:sz w:val="18"/>
                <w:szCs w:val="18"/>
              </w:rPr>
              <w:t>以现场记名投票表 </w:t>
            </w:r>
            <w:r>
              <w:rPr>
                <w:rFonts w:ascii="宋体" w:hAnsi="宋体" w:cs="宋体" w:eastAsia="宋体" w:hint="default"/>
                <w:spacing w:val="-10"/>
                <w:sz w:val="18"/>
                <w:szCs w:val="18"/>
              </w:rPr>
              <w:t>决的方式进行，经与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会股东代表对议案 审议并通过。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1303"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《关于变更募投项 目实施地点及使用 部分超募资金补充 募投项目资金缺口 </w:t>
            </w:r>
            <w:r>
              <w:rPr>
                <w:rFonts w:ascii="宋体" w:hAnsi="宋体" w:cs="宋体" w:eastAsia="宋体" w:hint="default"/>
                <w:spacing w:val="-27"/>
                <w:sz w:val="18"/>
                <w:szCs w:val="18"/>
              </w:rPr>
              <w:t>的议案》、《关于独立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董事选举的议案》、</w:t>
            </w:r>
          </w:p>
          <w:p>
            <w:pPr>
              <w:pStyle w:val="TableParagraph"/>
              <w:spacing w:line="309"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《关于监事选举的 </w:t>
            </w:r>
            <w:r>
              <w:rPr>
                <w:rFonts w:ascii="宋体" w:hAnsi="宋体" w:cs="宋体" w:eastAsia="宋体" w:hint="default"/>
                <w:spacing w:val="-19"/>
                <w:sz w:val="18"/>
                <w:szCs w:val="18"/>
              </w:rPr>
              <w:t>议案》、《关于修订</w:t>
            </w:r>
            <w:r>
              <w:rPr>
                <w:rFonts w:ascii="Times New Roman" w:hAnsi="Times New Roman" w:cs="Times New Roman" w:eastAsia="Times New Roman" w:hint="default"/>
                <w:spacing w:val="-19"/>
                <w:sz w:val="18"/>
                <w:szCs w:val="18"/>
              </w:rPr>
              <w:t>&lt;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同意票占出席会议 有表决权股份的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00" w:lineRule="auto"/>
              <w:ind w:left="23" w:right="119"/>
              <w:jc w:val="left"/>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股，一致通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2012-015 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一次临时股东大会 </w:t>
            </w:r>
            <w:r>
              <w:rPr>
                <w:rFonts w:ascii="宋体" w:hAnsi="宋体" w:cs="宋体" w:eastAsia="宋体" w:hint="default"/>
                <w:spacing w:val="-10"/>
                <w:sz w:val="18"/>
                <w:szCs w:val="18"/>
              </w:rPr>
              <w:t>决议公告。巨潮资讯</w:t>
            </w:r>
          </w:p>
          <w:p>
            <w:pPr>
              <w:pStyle w:val="TableParagraph"/>
              <w:spacing w:line="300" w:lineRule="auto" w:before="19"/>
              <w:ind w:left="23"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《关于变更募投项 目实施地点及使用 部分超募资金补充 募投项目资金缺口 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同意票占出席会议 有表决权股份的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00" w:lineRule="auto"/>
              <w:ind w:left="23" w:right="119"/>
              <w:jc w:val="left"/>
              <w:rPr>
                <w:rFonts w:ascii="宋体" w:hAnsi="宋体" w:cs="宋体" w:eastAsia="宋体" w:hint="default"/>
                <w:sz w:val="18"/>
                <w:szCs w:val="18"/>
              </w:rPr>
            </w:pPr>
            <w:r>
              <w:rPr>
                <w:rFonts w:ascii="宋体" w:hAnsi="宋体" w:cs="宋体" w:eastAsia="宋体" w:hint="default"/>
                <w:sz w:val="18"/>
                <w:szCs w:val="18"/>
              </w:rPr>
              <w:t>弃权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股，一致通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2012-021 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p>
          <w:p>
            <w:pPr>
              <w:pStyle w:val="TableParagraph"/>
              <w:spacing w:line="316"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二次临时股东大会 </w:t>
            </w:r>
            <w:r>
              <w:rPr>
                <w:rFonts w:ascii="宋体" w:hAnsi="宋体" w:cs="宋体" w:eastAsia="宋体" w:hint="default"/>
                <w:spacing w:val="-10"/>
                <w:sz w:val="18"/>
                <w:szCs w:val="18"/>
              </w:rPr>
              <w:t>决议公告。巨潮资讯</w:t>
            </w:r>
          </w:p>
          <w:p>
            <w:pPr>
              <w:pStyle w:val="TableParagraph"/>
              <w:spacing w:line="300" w:lineRule="auto" w:before="19"/>
              <w:ind w:left="23"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胡小平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汤淮</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舒敏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23"/>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独立董事对公司有关事项是否提出异议</w:t>
      </w:r>
    </w:p>
    <w:p>
      <w:pPr>
        <w:pStyle w:val="BodyText"/>
        <w:spacing w:line="357" w:lineRule="auto" w:before="118"/>
        <w:ind w:right="6974"/>
        <w:jc w:val="left"/>
      </w:pPr>
      <w:r>
        <w:rPr/>
        <w:t>□ 是 √</w:t>
      </w:r>
      <w:r>
        <w:rPr>
          <w:spacing w:val="3"/>
        </w:rPr>
        <w:t> </w:t>
      </w:r>
      <w:r>
        <w:rPr/>
        <w:t>否</w:t>
      </w:r>
      <w:r>
        <w:rPr/>
        <w:t> 报告期内独立董事对公司有关事项未提出异议。</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独立董事对公司有关建议是否被采纳</w:t>
      </w:r>
    </w:p>
    <w:p>
      <w:pPr>
        <w:pStyle w:val="BodyText"/>
        <w:spacing w:line="357" w:lineRule="auto" w:before="117"/>
        <w:ind w:right="6794"/>
        <w:jc w:val="left"/>
      </w:pPr>
      <w:r>
        <w:rPr/>
        <w:t>√ 是 □</w:t>
      </w:r>
      <w:r>
        <w:rPr>
          <w:spacing w:val="3"/>
        </w:rPr>
        <w:t> </w:t>
      </w:r>
      <w:r>
        <w:rPr/>
        <w:t>否</w:t>
      </w:r>
      <w:r>
        <w:rPr/>
        <w:t> 独立董事对公司有关建议被采纳或未被采纳的说明 报告期内，独立董事未向公司提出相关建议。</w:t>
      </w:r>
    </w:p>
    <w:p>
      <w:pPr>
        <w:spacing w:after="0" w:line="357" w:lineRule="auto"/>
        <w:jc w:val="left"/>
        <w:sectPr>
          <w:pgSz w:w="11910" w:h="16840"/>
          <w:pgMar w:header="877" w:footer="1303"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3"/>
        <w:jc w:val="left"/>
      </w:pPr>
      <w:r>
        <w:rPr>
          <w:spacing w:val="-2"/>
        </w:rPr>
        <w:t>报告期内，董事会下设专门委员会，各委员在报告期内恪尽职守、诚实守信地履行职责，积极参加董事会和股东大会，召开</w:t>
      </w:r>
      <w:r>
        <w:rPr>
          <w:spacing w:val="-67"/>
        </w:rPr>
        <w:t> </w:t>
      </w:r>
      <w:r>
        <w:rPr>
          <w:spacing w:val="-67"/>
        </w:rPr>
      </w:r>
      <w:r>
        <w:rPr/>
        <w:t>相关会议，发挥各自的专业特长、技能和经验，积极地履行职责，切实维护公司及股东特别是社会公众股股东的权益。</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监事会在报告期内的监督活动中发现公司是否存在风险</w:t>
      </w:r>
    </w:p>
    <w:p>
      <w:pPr>
        <w:pStyle w:val="BodyText"/>
        <w:spacing w:line="357" w:lineRule="auto" w:before="117"/>
        <w:ind w:right="7694"/>
        <w:jc w:val="left"/>
      </w:pPr>
      <w:r>
        <w:rPr/>
        <w:t>□ 是 √</w:t>
      </w:r>
      <w:r>
        <w:rPr>
          <w:spacing w:val="3"/>
        </w:rPr>
        <w:t> </w:t>
      </w:r>
      <w:r>
        <w:rPr/>
        <w:t>否</w:t>
      </w:r>
      <w:r>
        <w:rPr/>
        <w:t> 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2"/>
        <w:jc w:val="left"/>
      </w:pPr>
      <w:r>
        <w:rPr>
          <w:spacing w:val="-4"/>
        </w:rPr>
        <w:t>公司自设立以来，严格按照《公司法》、《证券法》等有关法律、法规和公司章程的要求规范运作，公司与控股股东在业务、</w:t>
      </w:r>
      <w:r>
        <w:rPr>
          <w:spacing w:val="-52"/>
        </w:rPr>
        <w:t> </w:t>
      </w:r>
      <w:r>
        <w:rPr>
          <w:spacing w:val="-52"/>
        </w:rPr>
      </w:r>
      <w:r>
        <w:rPr>
          <w:spacing w:val="-2"/>
        </w:rPr>
        <w:t>人员、资产、机构、财务等方面完全分开，具有独立完整的自主经营能力。（一）业务独立情况，公司拥有完整的供应、研</w:t>
      </w:r>
      <w:r>
        <w:rPr>
          <w:spacing w:val="-72"/>
        </w:rPr>
        <w:t> </w:t>
      </w:r>
      <w:r>
        <w:rPr>
          <w:spacing w:val="-72"/>
        </w:rPr>
      </w:r>
      <w:r>
        <w:rPr>
          <w:spacing w:val="-2"/>
        </w:rPr>
        <w:t>发、生产和销售体系，具有独立面向市场自主经营的能力，独立开展业务，独立核算和决策，独立承担责任与风险。（二）</w:t>
      </w:r>
      <w:r>
        <w:rPr>
          <w:spacing w:val="-72"/>
        </w:rPr>
        <w:t> </w:t>
      </w:r>
      <w:r>
        <w:rPr>
          <w:spacing w:val="-72"/>
        </w:rPr>
      </w:r>
      <w:r>
        <w:rPr>
          <w:spacing w:val="-2"/>
        </w:rPr>
        <w:t>资产完整情况，公司与控股股东产权关系明晰，公司对所有资产有完全的控制支配权，不存在资产、资金被控股股东占用而</w:t>
      </w:r>
      <w:r>
        <w:rPr>
          <w:spacing w:val="-65"/>
        </w:rPr>
        <w:t> </w:t>
      </w:r>
      <w:r>
        <w:rPr>
          <w:spacing w:val="-65"/>
        </w:rPr>
      </w:r>
      <w:r>
        <w:rPr>
          <w:spacing w:val="-5"/>
        </w:rPr>
        <w:t>损害公司利益的情况。（三）人员独立情况，公司董事、监事、高级管理人员均严格按照《公司法》、《公司章程》的有关规</w:t>
      </w:r>
      <w:r>
        <w:rPr>
          <w:spacing w:val="-87"/>
        </w:rPr>
        <w:t> </w:t>
      </w:r>
      <w:r>
        <w:rPr>
          <w:spacing w:val="-87"/>
        </w:rPr>
      </w:r>
      <w:r>
        <w:rPr>
          <w:spacing w:val="-2"/>
        </w:rPr>
        <w:t>定产生，不存在在股东公司或下属企业兼任除董事、监事以外的执行职务的情况。（四）机构独立情况，公司拥有独立完整</w:t>
      </w:r>
      <w:r>
        <w:rPr>
          <w:spacing w:val="-72"/>
        </w:rPr>
        <w:t> </w:t>
      </w:r>
      <w:r>
        <w:rPr>
          <w:spacing w:val="-72"/>
        </w:rPr>
      </w:r>
      <w:r>
        <w:rPr>
          <w:spacing w:val="-2"/>
        </w:rPr>
        <w:t>的组织机构，建立健全了股东大会、董事会、监事会和总经理等相互约束的法人治理结构。不存在股东公司及其它关联公司</w:t>
      </w:r>
      <w:r>
        <w:rPr>
          <w:spacing w:val="-62"/>
        </w:rPr>
        <w:t> </w:t>
      </w:r>
      <w:r>
        <w:rPr>
          <w:spacing w:val="-62"/>
        </w:rPr>
      </w:r>
      <w:r>
        <w:rPr>
          <w:spacing w:val="-2"/>
        </w:rPr>
        <w:t>干预公司机构设置的情况。（五）财务独立情况，公司设有独立的财务会计部门和内部审计部门，建立了独立的会计核算体</w:t>
      </w:r>
      <w:r>
        <w:rPr>
          <w:spacing w:val="-72"/>
        </w:rPr>
        <w:t> </w:t>
      </w:r>
      <w:r>
        <w:rPr>
          <w:spacing w:val="-72"/>
        </w:rPr>
      </w:r>
      <w:r>
        <w:rPr/>
        <w:t>系和规范的财务管理制度，独立进行财务决策。不存在与股东共用银行账户或者混合纳税现象。</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七、高级管理人员的考评及激励情况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jc w:val="left"/>
      </w:pPr>
      <w:r>
        <w:rPr>
          <w:spacing w:val="-2"/>
        </w:rPr>
        <w:t>高级管理人员实行年薪制，根据行业薪酬水平，结合经营效益、岗位情况等因素确定。年终对高级管理人员履行职责情况和</w:t>
      </w:r>
      <w:r>
        <w:rPr>
          <w:spacing w:val="-64"/>
        </w:rPr>
        <w:t> </w:t>
      </w:r>
      <w:r>
        <w:rPr>
          <w:spacing w:val="-64"/>
        </w:rPr>
      </w:r>
      <w:r>
        <w:rPr/>
        <w:t>年度实际业绩进行考评。</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年度公司未实行股权激励等事项。</w:t>
      </w:r>
    </w:p>
    <w:p>
      <w:pPr>
        <w:spacing w:after="0" w:line="316" w:lineRule="auto"/>
        <w:jc w:val="left"/>
        <w:sectPr>
          <w:pgSz w:w="11910" w:h="16840"/>
          <w:pgMar w:header="877" w:footer="1303"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jc w:val="both"/>
      </w:pPr>
      <w:r>
        <w:rPr>
          <w:spacing w:val="-5"/>
        </w:rPr>
        <w:t>根据《企业内部控制基本规范》、《深圳证券交易所上市公司内部控制指引》以及公司《内部审计工作制度》等有关法律、法</w:t>
      </w:r>
      <w:r>
        <w:rPr>
          <w:spacing w:val="-79"/>
        </w:rPr>
        <w:t> </w:t>
      </w:r>
      <w:r>
        <w:rPr>
          <w:spacing w:val="-79"/>
        </w:rPr>
      </w:r>
      <w:r>
        <w:rPr>
          <w:spacing w:val="-2"/>
        </w:rPr>
        <w:t>规要求，结合公司自身特点和企业发展需要，按照全面性、重要性、制衡性、成本效益性原则，充分考虑企业内部环境、风</w:t>
      </w:r>
      <w:r>
        <w:rPr>
          <w:spacing w:val="-73"/>
        </w:rPr>
        <w:t> </w:t>
      </w:r>
      <w:r>
        <w:rPr>
          <w:spacing w:val="-73"/>
        </w:rPr>
      </w:r>
      <w:r>
        <w:rPr/>
        <w:t>险评估、控制活动、信息与沟通、内部监督等要素，逐步建立、健全公司内部控制管理体系。</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3"/>
        <w:jc w:val="left"/>
      </w:pPr>
      <w:r>
        <w:rPr>
          <w:spacing w:val="-2"/>
        </w:rPr>
        <w:t>公司董事会及全体董事保证内部控制相关内容不存在任何虚假记载、误导性陈述或者重大遗漏，并对其内容的真实性、准确</w:t>
      </w:r>
      <w:r>
        <w:rPr>
          <w:spacing w:val="-65"/>
        </w:rPr>
        <w:t> </w:t>
      </w:r>
      <w:r>
        <w:rPr>
          <w:spacing w:val="-65"/>
        </w:rPr>
      </w:r>
      <w:r>
        <w:rPr/>
        <w:t>性和完整性承担个别及连带责任。</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公司依</w:t>
      </w:r>
      <w:r>
        <w:rPr>
          <w:spacing w:val="-34"/>
        </w:rPr>
        <w:t>据</w:t>
      </w:r>
      <w:r>
        <w:rPr/>
        <w:t>《会计法</w:t>
      </w:r>
      <w:r>
        <w:rPr>
          <w:spacing w:val="-92"/>
        </w:rPr>
        <w:t>》</w:t>
      </w:r>
      <w:r>
        <w:rPr>
          <w:spacing w:val="-125"/>
        </w:rPr>
        <w:t>、</w:t>
      </w:r>
      <w:r>
        <w:rPr/>
        <w:t>《企业会计准则</w:t>
      </w:r>
      <w:r>
        <w:rPr>
          <w:spacing w:val="-92"/>
        </w:rPr>
        <w:t>》</w:t>
      </w:r>
      <w:r>
        <w:rPr>
          <w:spacing w:val="-125"/>
        </w:rPr>
        <w:t>、</w:t>
      </w:r>
      <w:r>
        <w:rPr/>
        <w:t>《企业内部控制基本</w:t>
      </w:r>
      <w:r>
        <w:rPr>
          <w:spacing w:val="2"/>
        </w:rPr>
        <w:t>规</w:t>
      </w:r>
      <w:r>
        <w:rPr/>
        <w:t>范</w:t>
      </w:r>
      <w:r>
        <w:rPr>
          <w:spacing w:val="-34"/>
        </w:rPr>
        <w:t>》</w:t>
      </w:r>
      <w:r>
        <w:rPr/>
        <w:t>以及监管部门相关规范性文件</w:t>
      </w:r>
      <w:r>
        <w:rPr>
          <w:spacing w:val="-34"/>
        </w:rPr>
        <w:t>，</w:t>
      </w:r>
      <w:r>
        <w:rPr/>
        <w:t>建立了财务报告内部控制。</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日在巨潮资讯网披露的相关公告</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6434"/>
        <w:jc w:val="left"/>
      </w:pPr>
      <w:r>
        <w:rPr/>
        <w:t>□ 适用 √</w:t>
      </w:r>
      <w:r>
        <w:rPr>
          <w:spacing w:val="3"/>
        </w:rPr>
        <w:t> </w:t>
      </w:r>
      <w:r>
        <w:rPr/>
        <w:t>不适用</w:t>
      </w:r>
      <w:r>
        <w:rPr/>
        <w:t> 会计师事务所是否出具非标准意见的内部控制审计报告</w:t>
      </w:r>
    </w:p>
    <w:p>
      <w:pPr>
        <w:pStyle w:val="BodyText"/>
        <w:spacing w:line="357" w:lineRule="auto" w:before="27"/>
        <w:ind w:right="4634"/>
        <w:jc w:val="left"/>
      </w:pPr>
      <w:r>
        <w:rPr/>
        <w:t>□ 是 √</w:t>
      </w:r>
      <w:r>
        <w:rPr>
          <w:spacing w:val="3"/>
        </w:rPr>
        <w:t> </w:t>
      </w:r>
      <w:r>
        <w:rPr/>
        <w:t>否</w:t>
      </w:r>
      <w:r>
        <w:rPr/>
        <w:t> 会计师事务所出具的内部控制审计报告与董事会的自我评价报告意见是否一致</w:t>
      </w:r>
    </w:p>
    <w:p>
      <w:pPr>
        <w:pStyle w:val="BodyText"/>
        <w:spacing w:line="357" w:lineRule="auto" w:before="29"/>
        <w:ind w:right="3914"/>
        <w:jc w:val="left"/>
      </w:pPr>
      <w:r>
        <w:rPr/>
        <w:t>□ 是 √</w:t>
      </w:r>
      <w:r>
        <w:rPr>
          <w:spacing w:val="3"/>
        </w:rPr>
        <w:t> </w:t>
      </w:r>
      <w:r>
        <w:rPr/>
        <w:t>否</w:t>
      </w:r>
      <w:r>
        <w:rPr/>
        <w:t> 会计师事务所出具的内部控制审计报告与董事会的自我评价报告意见不一致的原因说明 不适用</w:t>
      </w:r>
    </w:p>
    <w:p>
      <w:pPr>
        <w:spacing w:line="240" w:lineRule="auto" w:before="7"/>
        <w:rPr>
          <w:rFonts w:ascii="宋体" w:hAnsi="宋体" w:cs="宋体" w:eastAsia="宋体" w:hint="default"/>
          <w:sz w:val="18"/>
          <w:szCs w:val="18"/>
        </w:rPr>
      </w:pPr>
    </w:p>
    <w:p>
      <w:pPr>
        <w:pStyle w:val="Heading2"/>
        <w:spacing w:line="240" w:lineRule="auto"/>
        <w:ind w:right="1123"/>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23"/>
        <w:jc w:val="left"/>
      </w:pPr>
      <w:r>
        <w:rPr>
          <w:spacing w:val="-2"/>
        </w:rPr>
        <w:t>公司董事、监事、高级管理人员以及相关的其他人员在年报信息披露工作中严格执行国家有关法律、规范性文件以及公司规</w:t>
      </w:r>
      <w:r>
        <w:rPr>
          <w:spacing w:val="-66"/>
        </w:rPr>
        <w:t> </w:t>
      </w:r>
      <w:r>
        <w:rPr>
          <w:spacing w:val="-66"/>
        </w:rPr>
      </w:r>
      <w:r>
        <w:rPr>
          <w:spacing w:val="-2"/>
        </w:rPr>
        <w:t>章制度要求，勤勉尽责并认真对照相关制度的要求，努力提高公司规范运作水平，增强信息披露的真实性、准确性、完整性</w:t>
      </w:r>
    </w:p>
    <w:p>
      <w:pPr>
        <w:spacing w:after="0" w:line="316" w:lineRule="auto"/>
        <w:jc w:val="left"/>
        <w:sectPr>
          <w:pgSz w:w="11910" w:h="16840"/>
          <w:pgMar w:header="877" w:footer="1303"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ind w:right="1123"/>
        <w:jc w:val="left"/>
      </w:pPr>
      <w:r>
        <w:rPr>
          <w:spacing w:val="-2"/>
        </w:rPr>
        <w:t>和及时性，提高年报信息披露的质量和透明度。报告期内，公司严格按照该制度做好年报信息披露工作，未发生重大会计差</w:t>
      </w:r>
      <w:r>
        <w:rPr>
          <w:spacing w:val="-64"/>
        </w:rPr>
        <w:t> </w:t>
      </w:r>
      <w:r>
        <w:rPr>
          <w:spacing w:val="-64"/>
        </w:rPr>
      </w:r>
      <w:r>
        <w:rPr/>
        <w:t>错更正、重大遗漏信息补充等情况。</w:t>
      </w:r>
    </w:p>
    <w:p>
      <w:pPr>
        <w:spacing w:after="0" w:line="319" w:lineRule="auto"/>
        <w:jc w:val="left"/>
        <w:sectPr>
          <w:pgSz w:w="11910" w:h="16840"/>
          <w:pgMar w:header="877" w:footer="1303"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pStyle w:val="BodyText"/>
        <w:spacing w:line="240" w:lineRule="auto" w:before="49"/>
        <w:ind w:left="0" w:right="978"/>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tabs>
          <w:tab w:pos="669" w:val="left" w:leader="none"/>
          <w:tab w:pos="1339" w:val="left" w:leader="none"/>
          <w:tab w:pos="2009" w:val="left" w:leader="none"/>
        </w:tabs>
        <w:spacing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0"/>
        <w:ind w:left="0" w:right="978"/>
        <w:jc w:val="center"/>
      </w:pPr>
      <w:r>
        <w:rPr/>
        <w:t>天健审〔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568</w:t>
      </w:r>
      <w:r>
        <w:rPr/>
        <w:t>号</w:t>
      </w:r>
    </w:p>
    <w:p>
      <w:pPr>
        <w:spacing w:line="240" w:lineRule="auto" w:before="0"/>
        <w:rPr>
          <w:rFonts w:ascii="宋体" w:hAnsi="宋体" w:cs="宋体" w:eastAsia="宋体" w:hint="default"/>
          <w:sz w:val="18"/>
          <w:szCs w:val="18"/>
        </w:rPr>
      </w:pPr>
    </w:p>
    <w:p>
      <w:pPr>
        <w:pStyle w:val="Heading3"/>
        <w:spacing w:line="312" w:lineRule="exact" w:before="121"/>
        <w:ind w:left="633" w:right="1123" w:hanging="481"/>
        <w:jc w:val="left"/>
      </w:pPr>
      <w:r>
        <w:rPr/>
        <w:t>美盛文化创意股份有限公司全体股东： 我们审计了后附的美盛文化创意股份有限公司（以下简称美盛文化公司）财务报表，包</w:t>
      </w:r>
    </w:p>
    <w:p>
      <w:pPr>
        <w:pStyle w:val="Heading3"/>
        <w:spacing w:line="225" w:lineRule="auto"/>
        <w:ind w:right="1123"/>
        <w:jc w:val="left"/>
      </w:pPr>
      <w:r>
        <w:rPr/>
        <w:t>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w:t>
      </w:r>
      <w:r>
        <w:rPr>
          <w:spacing w:val="-90"/>
        </w:rPr>
        <w:t> </w:t>
      </w:r>
      <w:r>
        <w:rPr>
          <w:spacing w:val="-90"/>
        </w:rPr>
      </w:r>
      <w:r>
        <w:rPr/>
        <w:t>公司现金流量表、合并及母公司所有者权益变动表，以及财务报表附注。</w:t>
      </w:r>
    </w:p>
    <w:p>
      <w:pPr>
        <w:spacing w:line="240" w:lineRule="auto" w:before="2"/>
        <w:rPr>
          <w:rFonts w:ascii="宋体" w:hAnsi="宋体" w:cs="宋体" w:eastAsia="宋体" w:hint="default"/>
          <w:sz w:val="26"/>
          <w:szCs w:val="26"/>
        </w:rPr>
      </w:pPr>
    </w:p>
    <w:p>
      <w:pPr>
        <w:spacing w:line="312" w:lineRule="exact" w:before="0"/>
        <w:ind w:left="633" w:right="1123"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）按照企业会计准则的规</w:t>
      </w:r>
    </w:p>
    <w:p>
      <w:pPr>
        <w:pStyle w:val="Heading3"/>
        <w:spacing w:line="312" w:lineRule="exact"/>
        <w:ind w:right="1123"/>
        <w:jc w:val="left"/>
      </w:pPr>
      <w:r>
        <w:rPr>
          <w:spacing w:val="-3"/>
        </w:rPr>
        <w:t>定编制财务报表，并使其实现公允反映；（</w:t>
      </w:r>
      <w:r>
        <w:rPr>
          <w:rFonts w:ascii="Times New Roman" w:hAnsi="Times New Roman" w:cs="Times New Roman" w:eastAsia="Times New Roman" w:hint="default"/>
          <w:spacing w:val="-3"/>
        </w:rPr>
        <w:t>2</w:t>
      </w:r>
      <w:r>
        <w:rPr>
          <w:spacing w:val="-3"/>
        </w:rPr>
        <w:t>）设计、执行和维护必要的内部控制，以使财务</w:t>
      </w:r>
      <w:r>
        <w:rPr>
          <w:spacing w:val="-81"/>
        </w:rPr>
        <w:t> </w:t>
      </w:r>
      <w:r>
        <w:rPr>
          <w:spacing w:val="-81"/>
        </w:rPr>
      </w:r>
      <w:r>
        <w:rPr/>
        <w:t>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633" w:right="1123"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1123"/>
        <w:jc w:val="left"/>
      </w:pP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Heading3"/>
        <w:spacing w:line="312" w:lineRule="exact"/>
        <w:ind w:right="9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Heading3"/>
        <w:spacing w:line="283" w:lineRule="exact"/>
        <w:ind w:left="633" w:right="1123"/>
        <w:jc w:val="left"/>
      </w:pPr>
      <w:r>
        <w:rPr/>
        <w:t>我们相信，我们获取的审计证据是充分、适当的，为发表审计意见提供了基础。</w:t>
      </w:r>
    </w:p>
    <w:p>
      <w:pPr>
        <w:spacing w:line="240" w:lineRule="auto" w:before="0"/>
        <w:rPr>
          <w:rFonts w:ascii="宋体" w:hAnsi="宋体" w:cs="宋体" w:eastAsia="宋体" w:hint="default"/>
          <w:sz w:val="26"/>
          <w:szCs w:val="26"/>
        </w:rPr>
      </w:pPr>
    </w:p>
    <w:p>
      <w:pPr>
        <w:pStyle w:val="Heading3"/>
        <w:spacing w:line="312" w:lineRule="exact"/>
        <w:ind w:left="633" w:right="1123"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我们认为，美盛文化公司财务报表在所有重大方面按照企业会计准则的规定编制，公允</w:t>
      </w:r>
    </w:p>
    <w:p>
      <w:pPr>
        <w:spacing w:after="0" w:line="312" w:lineRule="exact"/>
        <w:jc w:val="left"/>
        <w:sectPr>
          <w:pgSz w:w="11910" w:h="16840"/>
          <w:pgMar w:header="877" w:footer="1303" w:top="1060" w:bottom="1540" w:left="980" w:right="0"/>
        </w:sectPr>
      </w:pPr>
    </w:p>
    <w:p>
      <w:pPr>
        <w:spacing w:line="240" w:lineRule="auto" w:before="6"/>
        <w:rPr>
          <w:rFonts w:ascii="宋体" w:hAnsi="宋体" w:cs="宋体" w:eastAsia="宋体" w:hint="default"/>
          <w:sz w:val="23"/>
          <w:szCs w:val="23"/>
        </w:rPr>
      </w:pPr>
    </w:p>
    <w:p>
      <w:pPr>
        <w:pStyle w:val="Heading3"/>
        <w:spacing w:line="312" w:lineRule="exact" w:before="56"/>
        <w:ind w:right="1123"/>
        <w:jc w:val="left"/>
      </w:pPr>
      <w:r>
        <w:rPr/>
        <w:t>反映了美盛文化公司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w:t>
      </w:r>
      <w:r>
        <w:rPr>
          <w:spacing w:val="-89"/>
        </w:rPr>
        <w:t> </w:t>
      </w:r>
      <w:r>
        <w:rPr>
          <w:spacing w:val="-89"/>
        </w:rPr>
      </w:r>
      <w:r>
        <w:rPr/>
        <w:t>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Heading3"/>
        <w:tabs>
          <w:tab w:pos="2253" w:val="left" w:leader="none"/>
          <w:tab w:pos="4353" w:val="left" w:leader="none"/>
        </w:tabs>
        <w:spacing w:line="477" w:lineRule="auto"/>
        <w:ind w:left="573" w:right="4650" w:hanging="421"/>
        <w:jc w:val="left"/>
      </w:pPr>
      <w:r>
        <w:rPr/>
        <w:t>天健会计师事务所（特殊普通合伙）</w:t>
        <w:tab/>
        <w:t>中国注册会计师： </w:t>
      </w:r>
      <w:r>
        <w:rPr>
          <w:spacing w:val="-25"/>
        </w:rPr>
        <w:t>中国</w:t>
      </w:r>
      <w:r>
        <w:rPr>
          <w:rFonts w:ascii="Times New Roman" w:hAnsi="Times New Roman" w:cs="Times New Roman" w:eastAsia="Times New Roman" w:hint="default"/>
          <w:spacing w:val="-25"/>
        </w:rPr>
        <w:t>·</w:t>
      </w:r>
      <w:r>
        <w:rPr>
          <w:spacing w:val="-25"/>
        </w:rPr>
        <w:t>杭州</w:t>
        <w:tab/>
      </w:r>
      <w:r>
        <w:rPr/>
        <w:t>中国注册会计师：</w:t>
      </w:r>
    </w:p>
    <w:p>
      <w:pPr>
        <w:pStyle w:val="Heading3"/>
        <w:spacing w:line="240" w:lineRule="auto" w:before="29"/>
        <w:ind w:left="1833" w:right="1123"/>
        <w:jc w:val="left"/>
      </w:pPr>
      <w:r>
        <w:rPr/>
        <w:t>二〇一三年三月二十二日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right="112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编制单位：美盛文化创意股份有限公司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456,390,662.74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26,182,160.58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33,942,628.66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37,686,780.20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1,485,467.23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3,234,267.21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2,488,310.95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1,228,631.29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5,358,602.82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3"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26,763,778.28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20,465,571.01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522,299,479.15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92,927,381.82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126,590,596.30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48,731,494.08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47,792,561.28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20,595,770.46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21,086,610.34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884,781.70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616,699.09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160,071,148.46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123,227,364.79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682,370,627.61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216,154,746.61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1,259,897.05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373,498.45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8,078,751.03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11,121,343.72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3,600,276.34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15,815.26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4,113,113.29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1,549,087.54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6,886,949.49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1,410,722.11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375,675.31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158,760.15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24,314,662.51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34,629,227.23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31,297,995.84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41,629,227.23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412,009,560.82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9,228,287.92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14,781,743.66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9,716,443.15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129,531,327.29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85,580,788.31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649,822,631.77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174,525,519.38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651,072,631.77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174,525,519.38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682,370,627.61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216,154,746.61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编制单位：美盛文化创意股份有限公司</w:t>
      </w:r>
    </w:p>
    <w:p>
      <w:pPr>
        <w:pStyle w:val="BodyText"/>
        <w:spacing w:line="240" w:lineRule="auto" w:before="117"/>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449,971,759.61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26,088,288.81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33,934,504.72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37,584,481.69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1,485,467.23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3,152,351.01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2,488,310.95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4,609,120.48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6,313,432.74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26,750,386.95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20,452,179.68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519,239,549.94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93,590,733.93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19,110,000.00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15,360,000.00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126,713,136.56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48,852,070.78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47,792,561.28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3"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11,634,011.80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11,931,779.68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884,781.70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615,353.06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165,341,930.06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124,551,764.80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684,581,480.00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218,142,498.73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1,259,897.05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373,498.45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8,078,751.03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11,121,343.72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3,572,617.34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15,815.26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4,113,076.79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1,549,087.54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6,770,362.99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1,408,675.87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344,388.31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149,302.70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24,139,093.51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34,617,723.54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6,983,333.33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6,983,333.33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31,122,426.84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41,617,723.54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03"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412,141,616.61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9,360,343.71</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14,781,743.66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9,716,443.15</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133,035,692.89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87,447,988.33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653,459,053.16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176,524,775.19</w:t>
            </w:r>
          </w:p>
        </w:tc>
      </w:tr>
      <w:tr>
        <w:trPr>
          <w:trHeight w:val="716"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684,581,480.00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218,142,498.73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编制单位：美盛文化创意股份有限公司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205,049,310.68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217,471,406.94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205,049,310.68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217,471,406.94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154,117,463.98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157,819,990.72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124,479,317.96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120,692,099.71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2,024,812.75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2,365,400.40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6,918,087.33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6,085,027.42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22,894,546.48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23,966,394.43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3" w:top="1060" w:bottom="1540" w:left="980" w:right="0"/>
        </w:sectPr>
      </w:pPr>
    </w:p>
    <w:p>
      <w:pPr>
        <w:spacing w:line="240" w:lineRule="auto" w:before="6"/>
        <w:rPr>
          <w:rFonts w:ascii="宋体" w:hAnsi="宋体" w:cs="宋体" w:eastAsia="宋体" w:hint="default"/>
          <w:sz w:val="28"/>
          <w:szCs w:val="28"/>
        </w:rPr>
      </w:pPr>
      <w:r>
        <w:rPr/>
        <w:pict>
          <v:shape style="position:absolute;margin-left:172.083008pt;margin-top:255.505981pt;width:196.65pt;height:19.6pt;mso-position-horizontal-relative:page;mso-position-vertical-relative:page;z-index:-66280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407.329987pt;width:196.65pt;height:19.6pt;mso-position-horizontal-relative:page;mso-position-vertical-relative:page;z-index:-66277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254.965988pt;width:163.35pt;height:20.7pt;mso-position-horizontal-relative:page;mso-position-vertical-relative:page;z-index:-662752" coordorigin="4107,5099" coordsize="3267,414">
            <v:group style="position:absolute;left:4118;top:5110;width:2;height:392" coordorigin="4118,5110" coordsize="2,392">
              <v:shape style="position:absolute;left:4118;top:5110;width:2;height:392" coordorigin="4118,5110" coordsize="0,392" path="m4118,5110l4118,5502e" filled="false" stroked="true" strokeweight="1.08pt" strokecolor="#ffffff">
                <v:path arrowok="t"/>
              </v:shape>
            </v:group>
            <v:group style="position:absolute;left:4129;top:5110;width:3246;height:392" coordorigin="4129,5110" coordsize="3246,392">
              <v:shape style="position:absolute;left:4129;top:5110;width:3246;height:392" coordorigin="4129,5110" coordsize="3246,392" path="m4129,5502l7374,5502,7374,5110,4129,5110,4129,5502xe" filled="true" fillcolor="#ffffff" stroked="false">
                <v:path arrowok="t"/>
                <v:fill type="solid"/>
              </v:shape>
            </v:group>
            <w10:wrap type="none"/>
          </v:group>
        </w:pict>
      </w:r>
      <w:r>
        <w:rPr/>
        <w:pict>
          <v:group style="position:absolute;margin-left:205.369995pt;margin-top:406.789978pt;width:163.35pt;height:20.65pt;mso-position-horizontal-relative:page;mso-position-vertical-relative:page;z-index:-662728" coordorigin="4107,8136" coordsize="3267,413">
            <v:group style="position:absolute;left:4118;top:8147;width:2;height:392" coordorigin="4118,8147" coordsize="2,392">
              <v:shape style="position:absolute;left:4118;top:8147;width:2;height:392" coordorigin="4118,8147" coordsize="0,392" path="m4118,8147l4118,8538e" filled="false" stroked="true" strokeweight="1.08pt" strokecolor="#ffffff">
                <v:path arrowok="t"/>
              </v:shape>
            </v:group>
            <v:group style="position:absolute;left:4129;top:8147;width:3246;height:392" coordorigin="4129,8147" coordsize="3246,392">
              <v:shape style="position:absolute;left:4129;top:8147;width:3246;height:392" coordorigin="4129,8147" coordsize="3246,392" path="m4129,8538l7374,8538,7374,8147,4129,8147,4129,853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61"/>
        <w:gridCol w:w="2150"/>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-2,058,529.55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4,427,604.71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283,464.05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-463,298.45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49,722,598.10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62,114,117.77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17,322,021.47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5,024,048.93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540,206.36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335,897.53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36,597.81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118,859.08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66,504,413.21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66,802,269.17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17,488,573.72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18,505,834.27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48,296,434.90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48,296,434.90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48,296,434.90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48,296,434.90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38"/>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编制单位：美盛文化创意股份有限公司</w:t>
      </w:r>
    </w:p>
    <w:p>
      <w:pPr>
        <w:spacing w:after="0" w:line="240" w:lineRule="auto"/>
        <w:jc w:val="left"/>
        <w:sectPr>
          <w:pgSz w:w="11910" w:h="16840"/>
          <w:pgMar w:header="877" w:footer="1303" w:top="1060" w:bottom="1500" w:left="980" w:right="0"/>
        </w:sectPr>
      </w:pPr>
    </w:p>
    <w:p>
      <w:pPr>
        <w:spacing w:line="240" w:lineRule="auto" w:before="9"/>
        <w:rPr>
          <w:rFonts w:ascii="宋体" w:hAnsi="宋体" w:cs="宋体" w:eastAsia="宋体" w:hint="default"/>
          <w:sz w:val="25"/>
          <w:szCs w:val="25"/>
        </w:rPr>
      </w:pPr>
      <w:r>
        <w:rPr/>
        <w:pict>
          <v:shape style="position:absolute;margin-left:172.083008pt;margin-top:358.009979pt;width:196.65pt;height:19.7pt;mso-position-horizontal-relative:page;mso-position-vertical-relative:page;z-index:-66270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494.22998pt;width:196.65pt;height:19.7pt;mso-position-horizontal-relative:page;mso-position-vertical-relative:page;z-index:-66268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357.409973pt;width:163.5pt;height:20.9pt;mso-position-horizontal-relative:page;mso-position-vertical-relative:page;z-index:-662656" coordorigin="4105,7148" coordsize="3270,418">
            <v:group style="position:absolute;left:4117;top:7160;width:2;height:394" coordorigin="4117,7160" coordsize="2,394">
              <v:shape style="position:absolute;left:4117;top:7160;width:2;height:394" coordorigin="4117,7160" coordsize="0,394" path="m4117,7160l4117,7554e" filled="false" stroked="true" strokeweight="1.2pt" strokecolor="#ffffff">
                <v:path arrowok="t"/>
              </v:shape>
            </v:group>
            <v:group style="position:absolute;left:4129;top:7160;width:3246;height:394" coordorigin="4129,7160" coordsize="3246,394">
              <v:shape style="position:absolute;left:4129;top:7160;width:3246;height:394" coordorigin="4129,7160" coordsize="3246,394" path="m4129,7554l7374,7554,7374,7160,4129,7160,4129,7554xe" filled="true" fillcolor="#ffffff" stroked="false">
                <v:path arrowok="t"/>
                <v:fill type="solid"/>
              </v:shape>
            </v:group>
            <w10:wrap type="none"/>
          </v:group>
        </w:pict>
      </w:r>
      <w:r>
        <w:rPr/>
        <w:pict>
          <v:group style="position:absolute;margin-left:205.25pt;margin-top:493.629974pt;width:163.5pt;height:20.9pt;mso-position-horizontal-relative:page;mso-position-vertical-relative:page;z-index:-662632" coordorigin="4105,9873" coordsize="3270,418">
            <v:group style="position:absolute;left:4117;top:9885;width:2;height:394" coordorigin="4117,9885" coordsize="2,394">
              <v:shape style="position:absolute;left:4117;top:9885;width:2;height:394" coordorigin="4117,9885" coordsize="0,394" path="m4117,9885l4117,10278e" filled="false" stroked="true" strokeweight="1.2pt" strokecolor="#ffffff">
                <v:path arrowok="t"/>
              </v:shape>
            </v:group>
            <v:group style="position:absolute;left:4129;top:9885;width:3246;height:394" coordorigin="4129,9885" coordsize="3246,394">
              <v:shape style="position:absolute;left:4129;top:9885;width:3246;height:394" coordorigin="4129,9885" coordsize="3246,394" path="m4129,10278l7374,10278,7374,9885,4129,9885,4129,10278xe" filled="true" fillcolor="#ffffff" stroked="false">
                <v:path arrowok="t"/>
                <v:fill type="solid"/>
              </v:shape>
            </v:group>
            <w10:wrap type="none"/>
          </v:group>
        </w:pict>
      </w: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204,618,239.49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216,626,275.71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124,479,317.96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120,658,809.04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2,021,735.63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2,361,592.20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6,154,165.51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5,530,187.19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21,408,281.48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22,142,176.92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-2,063,509.80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4,423,099.15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41,298.10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327,673.17</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-886,398.60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-463,298.45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-322,850.00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51,367,702.01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63,645,439.59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17,312,737.11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5,021,621.75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540,206.36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335,781.70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36,597.81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118,859.08</w:t>
            </w:r>
          </w:p>
        </w:tc>
      </w:tr>
      <w:tr>
        <w:trPr>
          <w:trHeight w:val="71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68,140,232.76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68,331,279.64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17,487,227.69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18,507,271.78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50,653,005.07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49,824,007.86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50,653,005.07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49,824,007.86</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编制单位：美盛文化创意股份有限公司</w:t>
      </w:r>
    </w:p>
    <w:p>
      <w:pPr>
        <w:pStyle w:val="BodyText"/>
        <w:spacing w:line="240" w:lineRule="auto" w:before="117"/>
        <w:ind w:left="0" w:right="1131"/>
        <w:jc w:val="right"/>
      </w:pPr>
      <w:r>
        <w:rPr/>
        <w:pict>
          <v:group style="position:absolute;margin-left:460.320007pt;margin-top:61.541718pt;width:135pt;height:77pt;mso-position-horizontal-relative:page;mso-position-vertical-relative:paragraph;z-index:-662584" coordorigin="9206,1231" coordsize="2700,1540">
            <v:shape style="position:absolute;left:9206;top:1231;width:2700;height:1540" type="#_x0000_t75" stroked="false">
              <v:imagedata r:id="rId15" o:title=""/>
            </v:shape>
            <v:shape style="position:absolute;left:10593;top:159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w:t>
                    </w:r>
                  </w:p>
                </w:txbxContent>
              </v:textbox>
              <w10:wrap type="none"/>
            </v:shape>
            <w10:wrap type="none"/>
          </v:group>
        </w:pict>
      </w: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22"/>
          <w:footerReference w:type="default" r:id="rId2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6253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212,756,716.84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221,294,055.47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11,709,599.64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11,752,425.52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23,032,806.16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7,288,561.90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247,499,122.64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240,335,042.89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119,475,206.89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117,626,921.31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35,152,143.14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26,771,692.13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16,007,365.26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36,202,989.10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11,887,154.95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15,082,215.73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182,521,870.24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195,683,818.27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64,977,252.40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44,651,224.62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100,570.19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3,026,570.19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39,927,031.09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39,121,395.03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344,336,597.00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384,263,628.09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39,121,395.03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-384,237,138.78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-36,094,824.84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427,531,272.90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123,145,075.00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468,531,272.90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123,145,075.00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135,145,075.00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1,678,910.31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4,025,548.35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62,678,910.31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139,170,623.35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405,852,362.59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-16,025,548.35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-383,954.05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86,208,522.16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-7,487,365.25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26,182,160.58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33,669,525.83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112,390,682.74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26,182,160.58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after="0" w:line="240" w:lineRule="auto"/>
        <w:jc w:val="left"/>
        <w:sectPr>
          <w:footerReference w:type="default" r:id="rId26"/>
          <w:pgSz w:w="11910" w:h="16840"/>
          <w:pgMar w:footer="1340" w:header="877" w:top="1060" w:bottom="1540" w:left="980" w:right="0"/>
          <w:pgNumType w:start="51"/>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编制单位：美盛文化创意股份有限公司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212,173,212.85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220,540,204.13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11,709,599.64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11,752,425.52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20,384,856.66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7,272,419.90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244,267,669.15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239,565,049.55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119,475,206.89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117,509,049.77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34,387,333.49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25,917,159.89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15,933,128.39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35,943,559.37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10,819,779.34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14,936,571.27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180,615,448.11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194,306,340.30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63,652,221.04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45,258,709.25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100,570.19</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3,026,570.19</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39,927,031.09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39,108,445.03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344,336,597.00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388,013,628.09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39,108,445.03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-387,987,138.78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-36,081,874.84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426,281,272.90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123,145,075.00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467,281,272.90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123,145,075.00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135,145,075.00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1,678,910.31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4,025,548.35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62,678,910.31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139,170,623.35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404,602,362.59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-16,025,548.35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-383,954.05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-18,216.68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79,883,490.80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-6,866,930.62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26,088,288.81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32,955,219.43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105,971,779.61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26,088,288.81</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060" w:bottom="1540" w:left="980" w:right="0"/>
        </w:sectPr>
      </w:pPr>
    </w:p>
    <w:p>
      <w:pPr>
        <w:pStyle w:val="BodyText"/>
        <w:spacing w:line="360" w:lineRule="auto"/>
        <w:ind w:right="-20"/>
        <w:jc w:val="left"/>
      </w:pPr>
      <w:r>
        <w:rPr/>
        <w:t>编制单位：美盛文化创意股份有限公司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3"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9,228,28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9,716,4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43.15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85,580,7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88.31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174,525,51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9,228,28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9,716,4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43.15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85,580,7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88.31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174,525,51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23,500,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402,781,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272.90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5,065,3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43,950,5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38.98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476,547,11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49,015,8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39.49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49,015,8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39.49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23,500,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402,781,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272.90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427,531,27</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2.90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23,500,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402,781,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272.90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427,531,27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2.90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5,065,3</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00.51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-5,065,3</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00.51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5,065,3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-5,065,3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93,500,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412,009,</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560.82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14,781,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743.66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129,531,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327.29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651,072,63</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1.77</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6"/>
        <w:gridCol w:w="5488"/>
        <w:gridCol w:w="818"/>
        <w:gridCol w:w="890"/>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5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3"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624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16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10" w:space="0" w:color="D2D2D2"/>
              <w:right w:val="single" w:sz="4" w:space="0" w:color="000000"/>
            </w:tcBorders>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56"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39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156"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10" w:space="0" w:color="D2D2D2"/>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3"/>
              <w:ind w:left="116"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4,925,64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4,734,0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42.36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42,266,7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54.20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121,926,44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1.45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4,925,64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4,734,0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42.36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42,266,7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54.20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121,926,44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1.45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4,302,64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4,982,4</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00.79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43,314,0</w:t>
            </w:r>
          </w:p>
          <w:p>
            <w:pPr>
              <w:pStyle w:val="TableParagraph"/>
              <w:spacing w:line="240" w:lineRule="auto" w:before="102"/>
              <w:ind w:left="259" w:right="0"/>
              <w:jc w:val="left"/>
              <w:rPr>
                <w:rFonts w:ascii="Times New Roman" w:hAnsi="Times New Roman" w:cs="Times New Roman" w:eastAsia="Times New Roman" w:hint="default"/>
                <w:sz w:val="18"/>
                <w:szCs w:val="18"/>
              </w:rPr>
            </w:pPr>
            <w:r>
              <w:rPr>
                <w:rFonts w:ascii="Times New Roman"/>
                <w:sz w:val="18"/>
              </w:rPr>
              <w:t>34.11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52,599,077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48,296,4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34.90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48,296,434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48,296,4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34.90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48,296,434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4,302,64</w:t>
            </w:r>
          </w:p>
          <w:p>
            <w:pPr>
              <w:pStyle w:val="TableParagraph"/>
              <w:spacing w:line="240" w:lineRule="auto" w:before="103"/>
              <w:ind w:left="340" w:right="0"/>
              <w:jc w:val="left"/>
              <w:rPr>
                <w:rFonts w:ascii="Times New Roman" w:hAnsi="Times New Roman" w:cs="Times New Roman" w:eastAsia="Times New Roman" w:hint="default"/>
                <w:sz w:val="18"/>
                <w:szCs w:val="18"/>
              </w:rPr>
            </w:pPr>
            <w:r>
              <w:rPr>
                <w:rFonts w:ascii="Times New Roman"/>
                <w:sz w:val="18"/>
              </w:rPr>
              <w:t>3.03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03</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4,302,64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3.03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4,982,4</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00.79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-4,982,4</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00.79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4,982,4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-4,982,4</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00.79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footerReference w:type="default" r:id="rId2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9,228,28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9,716,4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43.15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85,580,7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88.31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174,525,51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9"/>
          <w:pgSz w:w="11910" w:h="16840"/>
          <w:pgMar w:footer="1340" w:header="877" w:top="1060" w:bottom="1540" w:left="980" w:right="0"/>
          <w:pgNumType w:start="56"/>
        </w:sectPr>
      </w:pPr>
    </w:p>
    <w:p>
      <w:pPr>
        <w:pStyle w:val="BodyText"/>
        <w:spacing w:line="360" w:lineRule="auto"/>
        <w:ind w:right="-20"/>
        <w:jc w:val="left"/>
      </w:pPr>
      <w:r>
        <w:rPr/>
        <w:t>编制单位：美盛文化创意股份有限公司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9,360,343.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9,716,443.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87,447,988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176,524,77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5.19</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9,360,343.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9,716,443.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87,447,988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176,524,77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5.19</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402,781,27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45,587,704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476,934,27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7.97</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402,781,27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426,281,27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2.90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402,781,27</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426,281,27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2.90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262.465973pt;width:84.8pt;height:19.75pt;mso-position-horizontal-relative:page;mso-position-vertical-relative:page;z-index:-66246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00006pt;margin-top:282.649994pt;width:84.8pt;height:19.6pt;mso-position-horizontal-relative:page;mso-position-vertical-relative:page;z-index:-66244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261.865997pt;width:42.65pt;height:40.950pt;mso-position-horizontal-relative:page;mso-position-vertical-relative:page;z-index:-662416" coordorigin="3615,5237" coordsize="853,819">
            <v:group style="position:absolute;left:3627;top:5249;width:2;height:395" coordorigin="3627,5249" coordsize="2,395">
              <v:shape style="position:absolute;left:3627;top:5249;width:2;height:395" coordorigin="3627,5249" coordsize="0,395" path="m3627,5249l3627,5643e" filled="false" stroked="true" strokeweight="1.2pt" strokecolor="#ffffff">
                <v:path arrowok="t"/>
              </v:shape>
            </v:group>
            <v:group style="position:absolute;left:3639;top:5249;width:829;height:395" coordorigin="3639,5249" coordsize="829,395">
              <v:shape style="position:absolute;left:3639;top:5249;width:829;height:395" coordorigin="3639,5249" coordsize="829,395" path="m3639,5643l4467,5643,4467,5249,3639,5249,3639,5643xe" filled="true" fillcolor="#ffffff" stroked="false">
                <v:path arrowok="t"/>
                <v:fill type="solid"/>
              </v:shape>
            </v:group>
            <v:group style="position:absolute;left:3627;top:5653;width:2;height:392" coordorigin="3627,5653" coordsize="2,392">
              <v:shape style="position:absolute;left:3627;top:5653;width:2;height:392" coordorigin="3627,5653" coordsize="0,392" path="m3627,5653l3627,6044e" filled="false" stroked="true" strokeweight="1.2pt" strokecolor="#ffffff">
                <v:path arrowok="t"/>
              </v:shape>
            </v:group>
            <v:group style="position:absolute;left:3639;top:5653;width:829;height:392" coordorigin="3639,5653" coordsize="829,392">
              <v:shape style="position:absolute;left:3639;top:5653;width:829;height:392" coordorigin="3639,5653" coordsize="829,392" path="m3639,6044l4467,6044,4467,5653,3639,5653,3639,604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-5,065,300.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412,141,61</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6.61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14,781,743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133,035,69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2.89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653,459,05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3.16</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4,734,042.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42,606,381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122,398,12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4.30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4,734,042.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42,606,381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122,398,12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4.30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4,982,400.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44,841,607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54,126,650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.89</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49,824,007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49,824,007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391.72998pt;width:84.8pt;height:19.6pt;mso-position-horizontal-relative:page;mso-position-vertical-relative:page;z-index:-66239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411.889984pt;width:84.8pt;height:19.6pt;mso-position-horizontal-relative:page;mso-position-vertical-relative:page;z-index:-66236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391.72998pt;width:41.45pt;height:39.75pt;mso-position-horizontal-relative:page;mso-position-vertical-relative:page;z-index:-662344" coordorigin="3658,7835" coordsize="829,795">
            <v:group style="position:absolute;left:3658;top:7835;width:829;height:392" coordorigin="3658,7835" coordsize="829,392">
              <v:shape style="position:absolute;left:3658;top:7835;width:829;height:392" coordorigin="3658,7835" coordsize="829,392" path="m3658,8226l4486,8226,4486,7835,3658,7835,3658,8226xe" filled="true" fillcolor="#ffffff" stroked="false">
                <v:path arrowok="t"/>
                <v:fill type="solid"/>
              </v:shape>
            </v:group>
            <v:group style="position:absolute;left:3658;top:8238;width:829;height:392" coordorigin="3658,8238" coordsize="829,392">
              <v:shape style="position:absolute;left:3658;top:8238;width:829;height:392" coordorigin="3658,8238" coordsize="829,392" path="m3658,8629l4486,8629,4486,8238,3658,8238,3658,862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49,824,007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49,824,007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4,982,400.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-4,982,400.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79</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9,716,443.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87,447,988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176,524,77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5.19</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1123"/>
        <w:jc w:val="left"/>
      </w:pPr>
      <w:r>
        <w:rPr/>
        <w:t>法定代表人：赵小强</w:t>
        <w:tab/>
      </w:r>
      <w:r>
        <w:rPr>
          <w:spacing w:val="-1"/>
        </w:rPr>
        <w:t>主管会计工作负责人：俞锦洪</w:t>
        <w:tab/>
      </w:r>
      <w:r>
        <w:rPr/>
        <w:t>会计机构负责人：石军龙</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034"/>
        <w:jc w:val="left"/>
      </w:pPr>
      <w:r>
        <w:rPr/>
        <w:t>美盛文化创意股份有限公司（以下简称公司或本公司）系新昌美盛饰品有限公司以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日为基准日整体变更设立， </w:t>
      </w:r>
      <w:r>
        <w:rPr>
          <w:spacing w:val="-2"/>
        </w:rPr>
        <w:t>经中国证券监督管理委员会证监许可〔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983</w:t>
      </w:r>
      <w:r>
        <w:rPr>
          <w:spacing w:val="-2"/>
        </w:rPr>
        <w:t>号批准，于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日在浙江省工商行政管理局重新登记注册，取得注</w:t>
      </w:r>
      <w:r>
        <w:rPr>
          <w:spacing w:val="-54"/>
        </w:rPr>
        <w:t> </w:t>
      </w:r>
      <w:r>
        <w:rPr>
          <w:spacing w:val="-54"/>
        </w:rPr>
      </w:r>
      <w:r>
        <w:rPr/>
        <w:t>册号为</w:t>
      </w:r>
      <w:r>
        <w:rPr>
          <w:rFonts w:ascii="Times New Roman" w:hAnsi="Times New Roman" w:cs="Times New Roman" w:eastAsia="Times New Roman" w:hint="default"/>
        </w:rPr>
        <w:t>330600400009081</w:t>
      </w:r>
      <w:r>
        <w:rPr/>
        <w:t>的《企业法人营业执照》。公司现有注册资本</w:t>
      </w:r>
      <w:r>
        <w:rPr>
          <w:rFonts w:ascii="Times New Roman" w:hAnsi="Times New Roman" w:cs="Times New Roman" w:eastAsia="Times New Roman" w:hint="default"/>
        </w:rPr>
        <w:t>9,350</w:t>
      </w:r>
      <w:r>
        <w:rPr/>
        <w:t>万元，股份总数</w:t>
      </w:r>
      <w:r>
        <w:rPr>
          <w:rFonts w:ascii="Times New Roman" w:hAnsi="Times New Roman" w:cs="Times New Roman" w:eastAsia="Times New Roman" w:hint="default"/>
        </w:rPr>
        <w:t>9,350</w:t>
      </w:r>
      <w:r>
        <w:rPr/>
        <w:t>万股（每股面值</w:t>
      </w:r>
      <w:r>
        <w:rPr>
          <w:rFonts w:ascii="Times New Roman" w:hAnsi="Times New Roman" w:cs="Times New Roman" w:eastAsia="Times New Roman" w:hint="default"/>
        </w:rPr>
        <w:t>1</w:t>
      </w:r>
      <w:r>
        <w:rPr/>
        <w:t>元）。其 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7,000</w:t>
      </w:r>
      <w:r>
        <w:rPr/>
        <w:t>万股；无限售条件的流通股份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2,350</w:t>
      </w:r>
      <w:r>
        <w:rPr/>
        <w:t>万股。公司股票已于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 交易所挂牌交易。</w:t>
      </w:r>
    </w:p>
    <w:p>
      <w:pPr>
        <w:pStyle w:val="BodyText"/>
        <w:spacing w:line="240" w:lineRule="auto" w:before="72"/>
        <w:ind w:right="982"/>
        <w:jc w:val="left"/>
      </w:pPr>
      <w:r>
        <w:rPr/>
        <w:t>本公司属动漫服饰行业。经营范围：动漫衍生产品设计开发、动漫饰品、节日礼品及工艺品开发设计、生产和销售，动漫制</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作，服装、工艺品辅助材料的生产、销售，经营进出口业务。主要产品：动漫服饰。</w:t>
      </w:r>
    </w:p>
    <w:p>
      <w:pPr>
        <w:spacing w:line="240" w:lineRule="auto" w:before="4"/>
        <w:rPr>
          <w:rFonts w:ascii="宋体" w:hAnsi="宋体" w:cs="宋体" w:eastAsia="宋体" w:hint="default"/>
          <w:sz w:val="25"/>
          <w:szCs w:val="25"/>
        </w:rPr>
      </w:pPr>
    </w:p>
    <w:p>
      <w:pPr>
        <w:spacing w:line="506" w:lineRule="auto" w:before="0"/>
        <w:ind w:left="152" w:right="5935" w:firstLine="0"/>
        <w:jc w:val="left"/>
        <w:rPr>
          <w:rFonts w:ascii="宋体" w:hAnsi="宋体" w:cs="宋体" w:eastAsia="宋体" w:hint="default"/>
          <w:sz w:val="18"/>
          <w:szCs w:val="18"/>
        </w:rPr>
      </w:pPr>
      <w:r>
        <w:rPr>
          <w:rFonts w:ascii="宋体" w:hAnsi="宋体" w:cs="宋体" w:eastAsia="宋体" w:hint="default"/>
          <w:b/>
          <w:bCs/>
          <w:sz w:val="24"/>
          <w:szCs w:val="24"/>
        </w:rPr>
        <w:t>四、公司主要会计政策、会计估计和前期差错</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18"/>
          <w:szCs w:val="18"/>
        </w:rPr>
        <w:t>本公司财务报表以持续经营为编制基础。</w:t>
      </w:r>
    </w:p>
    <w:p>
      <w:pPr>
        <w:pStyle w:val="Heading4"/>
        <w:spacing w:line="240" w:lineRule="auto" w:before="156"/>
        <w:ind w:right="1123"/>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2"/>
        <w:jc w:val="left"/>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544" w:lineRule="auto" w:before="121"/>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1123"/>
        <w:jc w:val="left"/>
      </w:pPr>
      <w:r>
        <w:rPr/>
        <w:t>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3"/>
        <w:jc w:val="left"/>
      </w:pPr>
      <w:r>
        <w:rPr>
          <w:spacing w:val="-2"/>
        </w:rPr>
        <w:t>公司在企业合并中取得的资产和负债，按照合并日在被合并方的账面价值计量。公司取得的净资产账面价值与支付的合并对</w:t>
      </w:r>
      <w:r>
        <w:rPr>
          <w:spacing w:val="-64"/>
        </w:rPr>
        <w:t> </w:t>
      </w:r>
      <w:r>
        <w:rPr>
          <w:spacing w:val="-64"/>
        </w:rPr>
      </w:r>
      <w:r>
        <w:rPr/>
        <w:t>价账面价值（或发行股份面值总额）的差额，调整资本公积；资本公积不足冲减的，调整留存收益。</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2"/>
        <w:jc w:val="both"/>
      </w:pP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jc w:val="left"/>
      </w:pPr>
      <w:r>
        <w:rPr>
          <w:spacing w:val="-2"/>
        </w:rPr>
        <w:t>母公司将其控制的所有子公司纳入合并财务报表的合并范围。合并财务报表以母公司及其子公司的财务报表为基础，根据其</w:t>
      </w:r>
      <w:r>
        <w:rPr>
          <w:spacing w:val="-64"/>
        </w:rPr>
        <w:t> </w:t>
      </w:r>
      <w:r>
        <w:rPr>
          <w:spacing w:val="-64"/>
        </w:rPr>
      </w:r>
      <w:r>
        <w:rPr/>
        <w:t>他有关资料，按照权益法调整对子公司的长期股权投资后，由母公司按照《企业会计准则第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316"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jc w:val="left"/>
      </w:pPr>
      <w:r>
        <w:rPr>
          <w:spacing w:val="-2"/>
        </w:rPr>
        <w:t>列示于现金流量表中的现金是指库存现金以及可以随时用于支付的存款。现金等价物是指企业持有的期限短、流动性强、易</w:t>
      </w:r>
      <w:r>
        <w:rPr>
          <w:spacing w:val="-63"/>
        </w:rPr>
        <w:t> </w:t>
      </w:r>
      <w:r>
        <w:rPr>
          <w:spacing w:val="-63"/>
        </w:rPr>
      </w:r>
      <w:r>
        <w:rPr/>
        <w:t>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外币交易在初始确认时，采用交易发生日的即期汇率折算为人民币金额。</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2"/>
        <w:jc w:val="left"/>
      </w:pPr>
      <w:r>
        <w:rPr>
          <w:spacing w:val="-2"/>
        </w:rPr>
        <w:t>外币交易在初始确认时，采用交易发生日的即期汇率折算为人民币金额。资产负债表日，外币货币性项目采用资产负债表日</w:t>
      </w:r>
      <w:r>
        <w:rPr>
          <w:spacing w:val="-65"/>
        </w:rPr>
        <w:t> </w:t>
      </w:r>
      <w:r>
        <w:rPr>
          <w:spacing w:val="-65"/>
        </w:rPr>
      </w:r>
      <w:r>
        <w:rPr>
          <w:spacing w:val="-4"/>
        </w:rPr>
        <w:t>即期汇率折算，因汇率不同而产生的汇兑差额，除与购建符合资本化条件资产有关的外币专门借款本金及利息的汇兑差额外，</w:t>
      </w:r>
      <w:r>
        <w:rPr>
          <w:spacing w:val="-44"/>
        </w:rPr>
        <w:t> </w:t>
      </w:r>
      <w:r>
        <w:rPr>
          <w:spacing w:val="-44"/>
        </w:rPr>
      </w:r>
      <w:r>
        <w:rPr>
          <w:spacing w:val="-2"/>
        </w:rPr>
        <w:t>计入当期损益；以历史成本计量的外币非货币性项目仍采用交易发生日的即期汇率折算，不改变其人民币金额；以公允价值</w:t>
      </w:r>
      <w:r>
        <w:rPr>
          <w:spacing w:val="-63"/>
        </w:rPr>
        <w:t> </w:t>
      </w:r>
      <w:r>
        <w:rPr>
          <w:spacing w:val="-63"/>
        </w:rPr>
      </w:r>
      <w:r>
        <w:rPr/>
        <w:t>计量的外币非货币性项目，采用公允价值确定日的即期汇率折算，差额计入当期损益或资本公积。</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指形成一个企业的金融资产，并形成其他单位的金融负债或者权益工具的合同。</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jc w:val="left"/>
      </w:pPr>
      <w:r>
        <w:rPr>
          <w:spacing w:val="-2"/>
        </w:rPr>
        <w:t>金融资产在初始确认时划分为以下四类：以公允价值计量且其变动计入当期损益的金融资产（包括交易性金融资产和指定为</w:t>
      </w:r>
      <w:r>
        <w:rPr>
          <w:spacing w:val="-64"/>
        </w:rPr>
        <w:t> </w:t>
      </w:r>
      <w:r>
        <w:rPr>
          <w:spacing w:val="-64"/>
        </w:rPr>
      </w:r>
      <w:r>
        <w:rPr/>
        <w:t>以公允价值计量且其变动计入当期损益的金融资产）、持有至到期投资、贷款和应收款项、可供出售金融资产。 </w:t>
      </w:r>
      <w:r>
        <w:rPr>
          <w:spacing w:val="-2"/>
        </w:rPr>
        <w:t>金融负债在初始确认时划分为以下两类：以公允价值计量且其变动计入当期损益的金融负债（包括交易性金融负债和指定为</w:t>
      </w:r>
      <w:r>
        <w:rPr>
          <w:spacing w:val="-64"/>
        </w:rPr>
        <w:t> </w:t>
      </w:r>
      <w:r>
        <w:rPr>
          <w:spacing w:val="-64"/>
        </w:rPr>
      </w:r>
      <w:r>
        <w:rPr/>
        <w:t>以公允价值计量且其变动计入当期损益的金融负债）、其他金融负债。</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114"/>
        <w:jc w:val="left"/>
      </w:pPr>
      <w:r>
        <w:rPr>
          <w:spacing w:val="-2"/>
        </w:rPr>
        <w:t>公司成为金融工具合同的一方时，确认一项金融资产或金融负债。初始确认金融资产或金融负债时，按照公允价值计量；对</w:t>
      </w:r>
      <w:r>
        <w:rPr>
          <w:spacing w:val="-62"/>
        </w:rPr>
        <w:t> </w:t>
      </w:r>
      <w:r>
        <w:rPr>
          <w:spacing w:val="-62"/>
        </w:rPr>
      </w:r>
      <w:r>
        <w:rPr>
          <w:spacing w:val="-2"/>
        </w:rPr>
        <w:t>于以公允价值计量且其变动计入当期损益的金融资产和金融负债，相关交易费用直接计入当期损益；对于其他类别的金融资</w:t>
      </w:r>
      <w:r>
        <w:rPr>
          <w:spacing w:val="-64"/>
        </w:rPr>
        <w:t> </w:t>
      </w:r>
      <w:r>
        <w:rPr>
          <w:spacing w:val="-64"/>
        </w:rPr>
      </w:r>
      <w:r>
        <w:rPr/>
        <w:t>产或金融负债，相关交易费用计入初始确认金额。 </w:t>
      </w:r>
      <w:r>
        <w:rPr>
          <w:spacing w:val="-4"/>
        </w:rPr>
        <w:t>公司按照公允价值对金融资产进行后续计量，且不扣除将来处置该金融资产时可能发生的交易费用，但下列情况除外：</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17"/>
        </w:rPr>
        <w:t> </w:t>
      </w:r>
      <w:r>
        <w:rPr/>
        <w:t>持</w:t>
      </w:r>
      <w:r>
        <w:rPr>
          <w:spacing w:val="-86"/>
        </w:rPr>
        <w:t> </w:t>
      </w:r>
      <w:r>
        <w:rPr/>
        <w:t>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在活跃市场中没有报价且其公允价值不能可靠计 量的权益工具投资，以及与该权益工具挂钩并须通过交付该权益工具结算的衍生金融资产，按照成本计量。 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以公允价值计量且其变动计入当期损益 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与在活跃市场中没有报价、公允 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不属于指定为以公允 </w:t>
      </w:r>
      <w:r>
        <w:rPr>
          <w:spacing w:val="-2"/>
        </w:rPr>
        <w:t>价值计量且其变动计入当期损益的金融负债的财务担保合同，或没有指定为以公允价值计量且其变动计入当期损益并将以低</w:t>
      </w:r>
      <w:r>
        <w:rPr>
          <w:spacing w:val="-64"/>
        </w:rPr>
        <w:t> </w:t>
      </w:r>
      <w:r>
        <w:rPr>
          <w:spacing w:val="-64"/>
        </w:rPr>
      </w:r>
      <w:r>
        <w:rPr/>
        <w:t>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按照《企业会计准则第</w:t>
      </w:r>
      <w:r>
        <w:rPr>
          <w:rFonts w:ascii="Times New Roman" w:hAnsi="Times New Roman" w:cs="Times New Roman" w:eastAsia="Times New Roman" w:hint="default"/>
        </w:rPr>
        <w:t>13</w:t>
      </w:r>
      <w:r>
        <w:rPr/>
        <w:t>号</w:t>
      </w:r>
    </w:p>
    <w:p>
      <w:pPr>
        <w:pStyle w:val="BodyText"/>
        <w:spacing w:line="240" w:lineRule="auto" w:before="5"/>
        <w:ind w:right="1123"/>
        <w:jc w:val="left"/>
      </w:pP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收入》的原则确定的累积摊销额后的余</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额。</w:t>
      </w:r>
    </w:p>
    <w:p>
      <w:pPr>
        <w:pStyle w:val="BodyText"/>
        <w:spacing w:line="312" w:lineRule="auto" w:before="77"/>
        <w:ind w:right="982"/>
        <w:jc w:val="left"/>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以公允价值计量且其 </w:t>
      </w:r>
      <w:r>
        <w:rPr>
          <w:spacing w:val="-2"/>
        </w:rPr>
        <w:t>变动计入当期损益的金融资产或金融负债公允价值变动形成的利得或损失，计入公允价值变动损益；在资产持有期间所取得</w:t>
      </w:r>
      <w:r>
        <w:rPr>
          <w:spacing w:val="-64"/>
        </w:rPr>
        <w:t> </w:t>
      </w:r>
      <w:r>
        <w:rPr>
          <w:spacing w:val="-64"/>
        </w:rPr>
      </w:r>
      <w:r>
        <w:rPr>
          <w:spacing w:val="-2"/>
        </w:rPr>
        <w:t>的利息或现金股利，确认为投资收益；处置时，将实际收到的金额与初始入账金额之间的差额确认为投资收益，同时调整公</w:t>
      </w:r>
      <w:r>
        <w:rPr>
          <w:spacing w:val="-64"/>
        </w:rPr>
        <w:t> </w:t>
      </w:r>
      <w:r>
        <w:rPr>
          <w:spacing w:val="-64"/>
        </w:rPr>
      </w:r>
      <w:r>
        <w:rPr>
          <w:spacing w:val="-3"/>
        </w:rPr>
        <w:t>允价值变动损益。</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7"/>
        </w:rPr>
        <w:t> </w:t>
      </w:r>
      <w:r>
        <w:rPr>
          <w:spacing w:val="-2"/>
        </w:rPr>
        <w:t>可供出售金融资产的公允价值变动计入资本公积；持有期间按实际利率法计算的利息，计入投资收益；</w:t>
      </w:r>
      <w:r>
        <w:rPr>
          <w:spacing w:val="-87"/>
        </w:rPr>
        <w:t> </w:t>
      </w:r>
      <w:r>
        <w:rPr>
          <w:spacing w:val="-87"/>
        </w:rPr>
      </w:r>
      <w:r>
        <w:rPr>
          <w:spacing w:val="-2"/>
        </w:rPr>
        <w:t>可供出售权益工具投资的现金股利，于被投资单位宣告发放股利时计入投资收益；处置时，将实际收到的金额与账面价值扣</w:t>
      </w:r>
      <w:r>
        <w:rPr>
          <w:spacing w:val="-63"/>
        </w:rPr>
        <w:t> </w:t>
      </w:r>
      <w:r>
        <w:rPr>
          <w:spacing w:val="-63"/>
        </w:rPr>
      </w:r>
      <w:r>
        <w:rPr/>
        <w:t>除原直接计入资本公积的公允价值变动累计额之后的差额确认为投资收益。</w:t>
      </w:r>
    </w:p>
    <w:p>
      <w:pPr>
        <w:spacing w:line="240" w:lineRule="auto" w:before="1"/>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2" w:lineRule="auto" w:before="0"/>
        <w:ind w:right="1113"/>
        <w:jc w:val="left"/>
      </w:pPr>
      <w:r>
        <w:rPr>
          <w:spacing w:val="-2"/>
        </w:rPr>
        <w:t>公司已将金融资产所有权上几乎所有的风险和报酬转移给了转入方的，终止确认该金融资产；保留了金融资产所有权上几乎</w:t>
      </w:r>
      <w:r>
        <w:rPr>
          <w:spacing w:val="-64"/>
        </w:rPr>
        <w:t> </w:t>
      </w:r>
      <w:r>
        <w:rPr>
          <w:spacing w:val="-64"/>
        </w:rPr>
      </w:r>
      <w:r>
        <w:rPr>
          <w:spacing w:val="-2"/>
        </w:rPr>
        <w:t>所有的风险和报酬的，继续确认所转移的金融资产，并将收到的对价确认为一项金融负债。公司既没有转移也没有保留金融</w:t>
      </w:r>
      <w:r>
        <w:rPr>
          <w:spacing w:val="-63"/>
        </w:rPr>
        <w:t> </w:t>
      </w:r>
      <w:r>
        <w:rPr>
          <w:spacing w:val="-63"/>
        </w:rPr>
      </w:r>
      <w:r>
        <w:rPr/>
        <w:t>资产所有权上几乎所有的风险和报酬的，分别下列情况处理：</w:t>
      </w:r>
      <w:r>
        <w:rPr>
          <w:rFonts w:ascii="Times New Roman" w:hAnsi="Times New Roman" w:cs="Times New Roman" w:eastAsia="Times New Roman" w:hint="default"/>
        </w:rPr>
        <w:t>(1) </w:t>
      </w:r>
      <w:r>
        <w:rPr>
          <w:spacing w:val="-2"/>
        </w:rPr>
        <w:t>放弃了对该金融资产控制的，终止确认该金融资产；</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
        </w:rPr>
        <w:t> </w:t>
      </w:r>
      <w:r>
        <w:rPr/>
        <w:t>未 放弃对该金融资产控制的，按照继续涉入所转移金融资产的程度确认有关金融资产，并相应确认有关负债。 金融资产整体转移满足终止确认条件的，将下列两项金额的差额计入当期损益：</w:t>
      </w:r>
      <w:r>
        <w:rPr>
          <w:rFonts w:ascii="Times New Roman" w:hAnsi="Times New Roman" w:cs="Times New Roman" w:eastAsia="Times New Roman" w:hint="default"/>
        </w:rPr>
        <w:t>(1) </w:t>
      </w:r>
      <w:r>
        <w:rPr/>
        <w:t>所转移金融资产的账面价值；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因转 </w:t>
      </w:r>
      <w:r>
        <w:rPr>
          <w:spacing w:val="-2"/>
        </w:rPr>
        <w:t>移而收到的对价，与原直接计入所有者权益的公允价值变动累计额之和。金融资产部分转移满足终止确认条件的，将所转移</w:t>
      </w:r>
      <w:r>
        <w:rPr>
          <w:spacing w:val="-63"/>
        </w:rPr>
        <w:t> </w:t>
      </w:r>
      <w:r>
        <w:rPr>
          <w:spacing w:val="-63"/>
        </w:rPr>
      </w:r>
      <w:r>
        <w:rPr>
          <w:spacing w:val="-2"/>
        </w:rPr>
        <w:t>金融资产整体的账面价值，在终止确认部分和未终止确认部分之间，按照各自的相对公允价值进行分摊，并将下列两项金额</w:t>
      </w:r>
      <w:r>
        <w:rPr>
          <w:spacing w:val="-62"/>
        </w:rPr>
        <w:t> </w:t>
      </w:r>
      <w:r>
        <w:rPr>
          <w:spacing w:val="-62"/>
        </w:rPr>
      </w:r>
      <w:r>
        <w:rPr/>
        <w:t>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终止确认部分的对价，与原直接计入所有者权益的公允价值变动 累计额中对应终止确认部分的金额之和。</w:t>
      </w:r>
    </w:p>
    <w:p>
      <w:pPr>
        <w:spacing w:line="240" w:lineRule="auto" w:before="1"/>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jc w:val="left"/>
      </w:pPr>
      <w:r>
        <w:rPr>
          <w:spacing w:val="-2"/>
        </w:rPr>
        <w:t>当收取某项金融资产现金流量的合同权利已终止或该金融资产所有权上几乎所有的风险和报酬已转移时，终止确认该金融资</w:t>
      </w:r>
      <w:r>
        <w:rPr>
          <w:spacing w:val="-64"/>
        </w:rPr>
        <w:t> </w:t>
      </w:r>
      <w:r>
        <w:rPr>
          <w:spacing w:val="-64"/>
        </w:rPr>
      </w:r>
      <w:r>
        <w:rPr/>
        <w:t>产；当金融负债的现时义务全部或部分解除时，相应终止确认该金融负债或其一部分。</w:t>
      </w:r>
    </w:p>
    <w:p>
      <w:pPr>
        <w:spacing w:line="240" w:lineRule="auto" w:before="11"/>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9"/>
        <w:jc w:val="both"/>
      </w:pPr>
      <w:r>
        <w:rPr>
          <w:spacing w:val="-2"/>
        </w:rPr>
        <w:t>存在活跃市场的金融资产或金融负债，以活跃市场的报价确定其公允价值；不存在活跃市场的金融资产或金融负债，采用估</w:t>
      </w:r>
      <w:r>
        <w:rPr>
          <w:spacing w:val="-61"/>
        </w:rPr>
        <w:t> </w:t>
      </w:r>
      <w:r>
        <w:rPr>
          <w:spacing w:val="-61"/>
        </w:rPr>
      </w:r>
      <w:r>
        <w:rPr>
          <w:spacing w:val="-2"/>
        </w:rPr>
        <w:t>值技术（包括参考熟悉情况并自愿交易的各方最近进行的市场交易中使用的价格、参照实质上相同的其他金融工具的当前公</w:t>
      </w:r>
      <w:r>
        <w:rPr>
          <w:spacing w:val="-64"/>
        </w:rPr>
        <w:t> </w:t>
      </w:r>
      <w:r>
        <w:rPr>
          <w:spacing w:val="-64"/>
        </w:rPr>
      </w:r>
      <w:r>
        <w:rPr>
          <w:spacing w:val="-2"/>
        </w:rPr>
        <w:t>允价值、现金流量折现法和期权定价模型等）确定其公允价值；初始取得或源生的金融资产或承担的金融负债，以市场交易</w:t>
      </w:r>
      <w:r>
        <w:rPr>
          <w:spacing w:val="-65"/>
        </w:rPr>
        <w:t> </w:t>
      </w:r>
      <w:r>
        <w:rPr>
          <w:spacing w:val="-65"/>
        </w:rPr>
      </w:r>
      <w:r>
        <w:rPr/>
        <w:t>价格作为确定其公允价值的基础。</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2"/>
        <w:jc w:val="left"/>
      </w:pPr>
      <w:r>
        <w:rPr>
          <w:spacing w:val="-2"/>
        </w:rPr>
        <w:t>资产负债表日对以公允价值计量且其变动计入当期损益的金融资产以外的金融资产的账面价值进行检查，如有客观证据表明</w:t>
      </w:r>
      <w:r>
        <w:rPr>
          <w:spacing w:val="-64"/>
        </w:rPr>
        <w:t> </w:t>
      </w:r>
      <w:r>
        <w:rPr>
          <w:spacing w:val="-64"/>
        </w:rPr>
      </w:r>
      <w:r>
        <w:rPr/>
        <w:t>该金融资产发生减值的，计提减值准备。 </w:t>
      </w:r>
      <w:r>
        <w:rPr>
          <w:spacing w:val="-2"/>
        </w:rPr>
        <w:t>对单项金额重大的金融资产单独进行减值测试；对单项金额不重大的金融资产，可以单独进行减值测试，或包括在具有类似</w:t>
      </w:r>
      <w:r>
        <w:rPr>
          <w:spacing w:val="-63"/>
        </w:rPr>
        <w:t> </w:t>
      </w:r>
      <w:r>
        <w:rPr>
          <w:spacing w:val="-63"/>
        </w:rPr>
      </w:r>
      <w:r>
        <w:rPr>
          <w:spacing w:val="-4"/>
        </w:rPr>
        <w:t>信用风险特征的金融资产组合中进行减值测试；单独测试未发生减值的金融资产（包括单项金额重大和不重大的金融资产），</w:t>
      </w:r>
      <w:r>
        <w:rPr>
          <w:spacing w:val="-44"/>
        </w:rPr>
        <w:t> </w:t>
      </w:r>
      <w:r>
        <w:rPr>
          <w:spacing w:val="-44"/>
        </w:rPr>
      </w:r>
      <w:r>
        <w:rPr/>
        <w:t>包括在具有类似信用风险特征的金融资产组合中再进行减值测试。 </w:t>
      </w:r>
      <w:r>
        <w:rPr>
          <w:spacing w:val="-2"/>
        </w:rPr>
        <w:t>按摊余成本计量的金融资产，期末有客观证据表明其发生了减值的，根据其账面价值高于预计未来现金流量现值之间的差额</w:t>
      </w:r>
      <w:r>
        <w:rPr>
          <w:spacing w:val="-64"/>
        </w:rPr>
        <w:t> </w:t>
      </w:r>
      <w:r>
        <w:rPr>
          <w:spacing w:val="-64"/>
        </w:rPr>
      </w:r>
      <w:r>
        <w:rPr>
          <w:spacing w:val="-2"/>
        </w:rPr>
        <w:t>确认减值损失。在活跃市场中没有报价且其公允价值不能可靠计量的权益工具投资，或与该权益工具挂钩并须通过交付该权</w:t>
      </w:r>
      <w:r>
        <w:rPr>
          <w:spacing w:val="-64"/>
        </w:rPr>
        <w:t> </w:t>
      </w:r>
      <w:r>
        <w:rPr>
          <w:spacing w:val="-64"/>
        </w:rPr>
      </w:r>
      <w:r>
        <w:rPr>
          <w:spacing w:val="-2"/>
        </w:rPr>
        <w:t>益工具结算的衍生金融资产发生减值时，将该权益工具投资或衍生金融资产的账面价值，高于按照类似金融资产当时市场收</w:t>
      </w:r>
      <w:r>
        <w:rPr>
          <w:spacing w:val="-63"/>
        </w:rPr>
        <w:t> </w:t>
      </w:r>
      <w:r>
        <w:rPr>
          <w:spacing w:val="-63"/>
        </w:rPr>
      </w:r>
      <w:r>
        <w:rPr>
          <w:spacing w:val="-2"/>
        </w:rPr>
        <w:t>益率对未来现金流量折现确定的现值之间的差额，确认为减值损失。可供出售金融资产的公允价值发生较大幅度下降，或在</w:t>
      </w:r>
      <w:r>
        <w:rPr>
          <w:spacing w:val="-63"/>
        </w:rPr>
        <w:t> </w:t>
      </w:r>
      <w:r>
        <w:rPr>
          <w:spacing w:val="-63"/>
        </w:rPr>
      </w:r>
      <w:r>
        <w:rPr>
          <w:spacing w:val="-2"/>
        </w:rPr>
        <w:t>综合考虑各种相关因素后，预期这种下降趋势属于非暂时性的，确认其减值损失，并将原直接计入所有者权益的公允价值累</w:t>
      </w:r>
    </w:p>
    <w:p>
      <w:pPr>
        <w:pStyle w:val="BodyText"/>
        <w:spacing w:line="240" w:lineRule="auto" w:before="19"/>
        <w:ind w:right="1123"/>
        <w:jc w:val="left"/>
      </w:pPr>
      <w:r>
        <w:rPr/>
        <w:t>计损失一并转出计入减值损失。</w:t>
      </w:r>
    </w:p>
    <w:p>
      <w:pPr>
        <w:spacing w:after="0" w:line="240" w:lineRule="auto"/>
        <w:jc w:val="left"/>
        <w:sectPr>
          <w:footerReference w:type="default" r:id="rId30"/>
          <w:pgSz w:w="11910" w:h="16840"/>
          <w:pgMar w:footer="1296" w:header="877" w:top="1060" w:bottom="1480" w:left="980" w:right="0"/>
          <w:pgNumType w:start="61"/>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万元以上（含）且占应收款项账面余额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pStyle w:val="BodyText"/>
        <w:spacing w:line="240" w:lineRule="auto" w:before="49"/>
        <w:ind w:right="1123"/>
        <w:jc w:val="left"/>
      </w:pPr>
      <w:r>
        <w:rPr/>
        <w:t>组合中，采用账龄分析法计提坏账准备的</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123"/>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其未来现金流量现值与以账龄为信用风险特征的应收款项组合的未来现金流量 现值存在显著差异。</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after="0" w:line="314" w:lineRule="auto"/>
        <w:jc w:val="left"/>
        <w:rPr>
          <w:rFonts w:ascii="宋体" w:hAnsi="宋体" w:cs="宋体" w:eastAsia="宋体" w:hint="default"/>
          <w:sz w:val="18"/>
          <w:szCs w:val="18"/>
        </w:rPr>
        <w:sectPr>
          <w:pgSz w:w="11910" w:h="16840"/>
          <w:pgMar w:header="877" w:footer="1296" w:top="1060" w:bottom="148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jc w:val="left"/>
      </w:pPr>
      <w:r>
        <w:rPr>
          <w:spacing w:val="-2"/>
        </w:rPr>
        <w:t>存货包括在日常活动中持有以备出售的产成品或商品、处在生产过程中的在产品、在生产过程或提供劳务过程中耗用的材料</w:t>
      </w:r>
      <w:r>
        <w:rPr>
          <w:spacing w:val="-64"/>
        </w:rPr>
        <w:t> </w:t>
      </w:r>
      <w:r>
        <w:rPr>
          <w:spacing w:val="-64"/>
        </w:rPr>
      </w:r>
      <w:r>
        <w:rPr/>
        <w:t>和物料等。</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计价方法：加权平均法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jc w:val="both"/>
      </w:pPr>
      <w:r>
        <w:rPr>
          <w:spacing w:val="-2"/>
        </w:rPr>
        <w:t>资产负债表日，存货采用成本与可变现净值孰低计量，按照单个存货成本高于可变现净值的差额计提存货跌价准备。直接用</w:t>
      </w:r>
      <w:r>
        <w:rPr>
          <w:spacing w:val="-63"/>
        </w:rPr>
        <w:t> </w:t>
      </w:r>
      <w:r>
        <w:rPr>
          <w:spacing w:val="-63"/>
        </w:rPr>
      </w:r>
      <w:r>
        <w:rPr>
          <w:spacing w:val="-2"/>
        </w:rPr>
        <w:t>于出售的存货，在正常生产经营过程中以该存货的估计售价减去估计的销售费用和相关税费后的金额确定其可变现净值；需</w:t>
      </w:r>
      <w:r>
        <w:rPr>
          <w:spacing w:val="-64"/>
        </w:rPr>
        <w:t> </w:t>
      </w:r>
      <w:r>
        <w:rPr>
          <w:spacing w:val="-64"/>
        </w:rPr>
      </w:r>
      <w:r>
        <w:rPr>
          <w:spacing w:val="-2"/>
        </w:rPr>
        <w:t>要经过加工的存货，在正常生产经营过程中以所生产的产成品的估计售价减去至完工时估计将要发生的成本、估计的销售费</w:t>
      </w:r>
      <w:r>
        <w:rPr>
          <w:spacing w:val="-64"/>
        </w:rPr>
        <w:t> </w:t>
      </w:r>
      <w:r>
        <w:rPr>
          <w:spacing w:val="-64"/>
        </w:rPr>
      </w:r>
      <w:r>
        <w:rPr>
          <w:spacing w:val="-2"/>
        </w:rPr>
        <w:t>用和相关税费后的金额确定其可变现净值；资产负债表日，同一项存货中一部分有合同价格约定、其他部分不存在合同价格</w:t>
      </w:r>
      <w:r>
        <w:rPr>
          <w:spacing w:val="-65"/>
        </w:rPr>
        <w:t> </w:t>
      </w:r>
      <w:r>
        <w:rPr>
          <w:spacing w:val="-65"/>
        </w:rPr>
      </w:r>
      <w:r>
        <w:rPr/>
        <w:t>的，分别确定其可变现净值，并与其对应的成本进行比较，分别确定存货跌价准备的计提或转回的金额。</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盘存制度：永续盘存制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spacing w:line="357" w:lineRule="auto" w:before="0"/>
        <w:ind w:right="8954"/>
        <w:jc w:val="left"/>
      </w:pPr>
      <w:r>
        <w:rPr/>
        <w:t>包装物 摊销方法：一次摊销法</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113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同一控制下的企业合并形成的，合并方以支付现金、转让非现金资产、承担债务或发行权益性证券作为合并对价的，在</w:t>
      </w:r>
      <w:r>
        <w:rPr>
          <w:w w:val="99"/>
        </w:rPr>
        <w:t> </w:t>
      </w:r>
      <w:r>
        <w:rPr>
          <w:spacing w:val="-2"/>
          <w:w w:val="99"/>
        </w:rPr>
        <w:t>合并日按照取得被合并方所有者权益账面价值的份额作为其初始投资成本。长期股权投资初始投资成本与支付的合并对价的</w:t>
      </w:r>
      <w:r>
        <w:rPr>
          <w:spacing w:val="-64"/>
          <w:w w:val="99"/>
        </w:rPr>
        <w:t> </w:t>
      </w:r>
      <w:r>
        <w:rPr>
          <w:spacing w:val="-64"/>
          <w:w w:val="99"/>
        </w:rPr>
      </w:r>
      <w:r>
        <w:rPr/>
        <w:t>账面价值或发行股份的面值总额之间的差额调整资本公积；资本公积不足冲减的，调整留存收益。</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非同一控制下的企业</w:t>
      </w:r>
      <w:r>
        <w:rPr>
          <w:w w:val="99"/>
        </w:rPr>
        <w:t> </w:t>
      </w:r>
      <w:r>
        <w:rPr/>
        <w:t>合并形成的，在购买日按照支付的合并对价的公允价值作为其初始投资成本。</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除企业合并形成以外的：以支付现金取得</w:t>
      </w:r>
    </w:p>
    <w:p>
      <w:pPr>
        <w:spacing w:after="0" w:line="307" w:lineRule="auto"/>
        <w:jc w:val="both"/>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ind w:right="1123"/>
        <w:jc w:val="left"/>
      </w:pPr>
      <w:r>
        <w:rPr>
          <w:spacing w:val="-2"/>
        </w:rPr>
        <w:t>的，按照实际支付的购买价款作为其初始投资成本；以发行权益性证券取得的，按照发行权益性证券的公允价值作为其初始</w:t>
      </w:r>
      <w:r>
        <w:rPr>
          <w:spacing w:val="-61"/>
        </w:rPr>
        <w:t> </w:t>
      </w:r>
      <w:r>
        <w:rPr>
          <w:spacing w:val="-61"/>
        </w:rPr>
      </w:r>
      <w:r>
        <w:rPr>
          <w:spacing w:val="-2"/>
        </w:rPr>
        <w:t>投资成本；投资者投入的，按照投资合同或协议约定的价值作为其初始投资成本（合同或协议约定价值不公允的除外）。</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jc w:val="both"/>
      </w:pPr>
      <w:r>
        <w:rPr>
          <w:spacing w:val="-2"/>
        </w:rPr>
        <w:t>对被投资单位能够实施控制的长期股权投资采用成本法核算，在编制合并财务报表时按照权益法进行调整；对不具有共同控</w:t>
      </w:r>
      <w:r>
        <w:rPr>
          <w:spacing w:val="-64"/>
        </w:rPr>
        <w:t> </w:t>
      </w:r>
      <w:r>
        <w:rPr>
          <w:spacing w:val="-64"/>
        </w:rPr>
      </w:r>
      <w:r>
        <w:rPr>
          <w:spacing w:val="-2"/>
        </w:rPr>
        <w:t>制或重大影响，并且在活跃市场中没有报价、公允价值不能可靠计量的长期股权投资，采用成本法核算；对具有共同控制或</w:t>
      </w:r>
      <w:r>
        <w:rPr>
          <w:spacing w:val="-65"/>
        </w:rPr>
        <w:t> </w:t>
      </w:r>
      <w:r>
        <w:rPr>
          <w:spacing w:val="-65"/>
        </w:rPr>
      </w:r>
      <w:r>
        <w:rPr/>
        <w:t>重大影响的长期股权投资，采用权益法核算。</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82"/>
        <w:jc w:val="left"/>
      </w:pPr>
      <w:r>
        <w:rPr>
          <w:spacing w:val="-2"/>
        </w:rPr>
        <w:t>按照合同约定，与被投资单位相关的重要财务和经营决策需要分享控制权的投资方一致同意的，认定为共同控制；对被投资</w:t>
      </w:r>
      <w:r>
        <w:rPr>
          <w:spacing w:val="-65"/>
        </w:rPr>
        <w:t> </w:t>
      </w:r>
      <w:r>
        <w:rPr>
          <w:spacing w:val="-65"/>
        </w:rPr>
      </w:r>
      <w:r>
        <w:rPr>
          <w:spacing w:val="-4"/>
        </w:rPr>
        <w:t>单位的财务和经营政策有参与决策的权力，但并不能够控制或者与其他方一起共同控制这些政策的制定的，认定为重大影响。</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jc w:val="both"/>
      </w:pPr>
      <w:r>
        <w:rPr>
          <w:spacing w:val="-2"/>
        </w:rPr>
        <w:t>对子公司、联营企业及合营企业的投资，在资产负债表日有客观证据表明其发生减值的，按照账面价值高于可收回金额的差</w:t>
      </w:r>
      <w:r>
        <w:rPr>
          <w:spacing w:val="-63"/>
        </w:rPr>
        <w:t> </w:t>
      </w:r>
      <w:r>
        <w:rPr>
          <w:spacing w:val="-63"/>
        </w:rPr>
      </w:r>
      <w:r>
        <w:rPr>
          <w:spacing w:val="-2"/>
        </w:rPr>
        <w:t>额计提相应的减值准备；对被投资单位不具有共同控制或重大影响、在活跃市场中没有报价、公允价值不能可靠计量的长期</w:t>
      </w:r>
      <w:r>
        <w:rPr>
          <w:spacing w:val="-63"/>
        </w:rPr>
        <w:t> </w:t>
      </w:r>
      <w:r>
        <w:rPr>
          <w:spacing w:val="-63"/>
        </w:rPr>
      </w:r>
      <w:r>
        <w:rPr/>
        <w:t>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固定资产是指为生产商品、提供劳务、出租或经营管理而持有的，使用年限超过一个会计年度的有形资产。</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固定资产以取得时的实际成本入账。</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从其达到预定可使用状态的次月起采用年限平均法计提折旧。</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资产负债表日，有迹象表明固定资产发生减值的，按照账面价值高于可收回金额的差额计提相应的减值准备。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23"/>
        <w:jc w:val="left"/>
      </w:pPr>
      <w:r>
        <w:rPr>
          <w:spacing w:val="-2"/>
        </w:rPr>
        <w:t>在建工程同时满足经济利益很可能流入、成本能够可靠计量则予以确认。在建工程按建造该项资产达到预定可使用状态前所</w:t>
      </w:r>
      <w:r>
        <w:rPr>
          <w:spacing w:val="-64"/>
        </w:rPr>
        <w:t> </w:t>
      </w:r>
      <w:r>
        <w:rPr>
          <w:spacing w:val="-64"/>
        </w:rPr>
      </w:r>
      <w:r>
        <w:rPr/>
        <w:t>发生的实际成本计量。</w:t>
      </w:r>
    </w:p>
    <w:p>
      <w:pPr>
        <w:spacing w:line="240" w:lineRule="auto" w:before="6"/>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jc w:val="left"/>
      </w:pPr>
      <w:r>
        <w:rPr>
          <w:spacing w:val="-2"/>
        </w:rPr>
        <w:t>在建工程达到预定可使用状态时，按工程实际成本转入固定资产。已达到预定可使用状态但尚未办理竣工决算的，先按估计</w:t>
      </w:r>
      <w:r>
        <w:rPr>
          <w:spacing w:val="-63"/>
        </w:rPr>
        <w:t> </w:t>
      </w:r>
      <w:r>
        <w:rPr>
          <w:spacing w:val="-63"/>
        </w:rPr>
      </w:r>
      <w:r>
        <w:rPr/>
        <w:t>价值转入固定资产，待办理竣工决算后再按实际成本调整原暂估价值，但不再调整原已计提的折旧。</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资产负债表日，有迹象表明在建工程发生减值的，按照账面价值高于可收回金额的差额计提相应的减值准备。</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jc w:val="left"/>
      </w:pP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费用，在发生时确认为费用，计入当期损益。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3"/>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为使资产达到预定可</w:t>
      </w:r>
      <w:r>
        <w:rPr>
          <w:w w:val="99"/>
        </w:rPr>
        <w:t> </w:t>
      </w:r>
      <w:r>
        <w:rPr/>
        <w:t>使用或可销售状态所必要的购建或者生产活动已经开始。</w:t>
      </w:r>
    </w:p>
    <w:p>
      <w:pPr>
        <w:pStyle w:val="BodyText"/>
        <w:spacing w:line="300" w:lineRule="auto" w:before="73"/>
        <w:ind w:right="1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个月，暂停借款费用的资本</w:t>
      </w:r>
      <w:r>
        <w:rPr>
          <w:w w:val="99"/>
        </w:rPr>
        <w:t> </w:t>
      </w:r>
      <w:r>
        <w:rPr/>
        <w:t>化；中断期间发生的借款费用确认为当期费用，直至资产的购建或者生产活动重新开始。</w:t>
      </w:r>
    </w:p>
    <w:p>
      <w:pPr>
        <w:pStyle w:val="BodyText"/>
        <w:spacing w:line="240" w:lineRule="auto" w:before="72"/>
        <w:ind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p>
    <w:p>
      <w:pPr>
        <w:spacing w:after="0" w:line="240" w:lineRule="auto"/>
        <w:jc w:val="left"/>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jc w:val="left"/>
      </w:pPr>
      <w:r>
        <w:rPr>
          <w:spacing w:val="-2"/>
        </w:rPr>
        <w:t>为购建或者生产符合资本化条件的资产而借入专门借款的，以专门借款当期实际发生的利息费用（包括按照实际利率法确定</w:t>
      </w:r>
      <w:r>
        <w:rPr>
          <w:spacing w:val="-62"/>
        </w:rPr>
        <w:t> </w:t>
      </w:r>
      <w:r>
        <w:rPr>
          <w:spacing w:val="-62"/>
        </w:rPr>
      </w:r>
      <w:r>
        <w:rPr/>
        <w:t>的折价或溢价的摊销），减去将尚未动用的借款资金存入银行取得的利息收入或进行暂时性投资取得的投资收益后的金额，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资产支出加权平均数乘以占用一般借款的资本化率，计算确定一般借款应予资本化的利息金额。</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无形资产包括土地使用权、专利权及非专利技术等，按成本进行初始计量。</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jc w:val="left"/>
      </w:pPr>
      <w:r>
        <w:rPr>
          <w:spacing w:val="-2"/>
        </w:rPr>
        <w:t>使用寿命有限的无形资产，在使用寿命内按照与该项无形资产有关的经济利益的预期实现方式系统合理地摊销，无法可靠确</w:t>
      </w:r>
      <w:r>
        <w:rPr>
          <w:spacing w:val="-64"/>
        </w:rPr>
        <w:t> </w:t>
      </w:r>
      <w:r>
        <w:rPr>
          <w:spacing w:val="-64"/>
        </w:rPr>
      </w:r>
      <w:r>
        <w:rPr/>
        <w:t>定预期实现方式的，采用直线法摊销。具体年限如下：</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土地使用权证</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使用寿命不确定的无形资产和尚未达到可使用状态的无形资产，无论是否存在减值迹象，每年均进行减值测试。</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130"/>
        <w:jc w:val="both"/>
      </w:pPr>
      <w:r>
        <w:rPr>
          <w:spacing w:val="-2"/>
        </w:rPr>
        <w:t>内部研究开发项目研究阶段的支出，于发生时计入当期损益。内部研究开发项目开发阶段的支出，同时满足下列条件的，确</w:t>
      </w:r>
      <w:r>
        <w:rPr>
          <w:spacing w:val="-64"/>
        </w:rPr>
        <w:t> </w:t>
      </w:r>
      <w:r>
        <w:rPr>
          <w:spacing w:val="-64"/>
        </w:rPr>
      </w:r>
      <w:r>
        <w:rPr/>
        <w:t>认为无形资产：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具有完成该无形资产并使用或出售的 意图；</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无形资产产生经济利益的方式，包括能够证明运用该无形资产生产的产品存在市场或无形资产自身存在市场，无 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有足够的技术、财务资源和其他资源支持，以完成该无形资产的开发，并有 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归属于该无形资产开发阶段的支出能够可靠地计量。</w:t>
      </w:r>
    </w:p>
    <w:p>
      <w:pPr>
        <w:spacing w:after="0" w:line="304" w:lineRule="auto"/>
        <w:jc w:val="both"/>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4"/>
        <w:spacing w:line="240" w:lineRule="auto"/>
        <w:ind w:right="112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jc w:val="left"/>
      </w:pPr>
      <w:r>
        <w:rPr>
          <w:spacing w:val="-2"/>
        </w:rPr>
        <w:t>长期待摊费用按实际发生额入账，在受益期或规定的期限内分期平均摊销。如果长期待摊的费用项目不能使以后会计期间受</w:t>
      </w:r>
      <w:r>
        <w:rPr>
          <w:spacing w:val="-64"/>
        </w:rPr>
        <w:t> </w:t>
      </w:r>
      <w:r>
        <w:rPr>
          <w:spacing w:val="-64"/>
        </w:rPr>
      </w:r>
      <w:r>
        <w:rPr/>
        <w:t>益则将尚未摊销的该项目的摊余价值全部转入当期损益。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23"/>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包括以权益结算的股份支付和以现金结算的股份支付。</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存在活跃市场的，按照活跃市场中的报价确定。</w:t>
      </w:r>
    </w:p>
    <w:p>
      <w:pPr>
        <w:pStyle w:val="BodyText"/>
        <w:spacing w:line="300" w:lineRule="auto" w:before="101"/>
        <w:ind w:right="11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不存在活跃市场的，采用估值技术确定，包括参考熟悉情况并自愿交易的各方最近进行的市场交易中使用的价格、参照</w:t>
      </w:r>
      <w:r>
        <w:rPr>
          <w:w w:val="99"/>
        </w:rPr>
        <w:t> </w:t>
      </w:r>
      <w:r>
        <w:rPr/>
        <w:t>实质上相同的其他金融工具的当前公允价值、现金流量折现法和期权定价模型等。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根据最新取得的可行权职工数变动等后续信息进行估计。</w:t>
      </w:r>
    </w:p>
    <w:p>
      <w:pPr>
        <w:spacing w:line="240" w:lineRule="auto" w:before="0"/>
        <w:rPr>
          <w:rFonts w:ascii="宋体" w:hAnsi="宋体" w:cs="宋体" w:eastAsia="宋体" w:hint="default"/>
          <w:sz w:val="18"/>
          <w:szCs w:val="18"/>
        </w:rPr>
      </w:pPr>
    </w:p>
    <w:p>
      <w:pPr>
        <w:pStyle w:val="Heading4"/>
        <w:spacing w:line="240" w:lineRule="auto" w:before="121"/>
        <w:ind w:right="112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326" w:lineRule="auto" w:before="0"/>
        <w:ind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以权益结算的股份支付</w:t>
      </w:r>
      <w:r>
        <w:rPr>
          <w:w w:val="99"/>
        </w:rPr>
        <w:t> </w:t>
      </w:r>
      <w:r>
        <w:rPr>
          <w:spacing w:val="-2"/>
        </w:rPr>
        <w:t>授予后立即可行权的换取职工服务的以权益结算的股份支付，在授予日按照权益工具的公允价值计入相关成本或费用，相应</w:t>
      </w:r>
      <w:r>
        <w:rPr>
          <w:spacing w:val="-65"/>
        </w:rPr>
        <w:t> </w:t>
      </w:r>
      <w:r>
        <w:rPr>
          <w:spacing w:val="-65"/>
        </w:rPr>
      </w:r>
      <w:r>
        <w:rPr>
          <w:spacing w:val="-2"/>
        </w:rPr>
        <w:t>调整资本公积。完成等待期内的服务或达到规定业绩条件才可行权的换取职工服务的以权益结算的股份支付，在等待期内的</w:t>
      </w:r>
      <w:r>
        <w:rPr>
          <w:spacing w:val="-64"/>
        </w:rPr>
        <w:t> </w:t>
      </w:r>
      <w:r>
        <w:rPr>
          <w:spacing w:val="-64"/>
        </w:rPr>
      </w:r>
      <w:r>
        <w:rPr>
          <w:spacing w:val="-2"/>
        </w:rPr>
        <w:t>每个资产负债表日，以对可行权权益工具数量的最佳估计为基础，按权益工具授予日的公允价值，将当期取得的服务计入相</w:t>
      </w:r>
    </w:p>
    <w:p>
      <w:pPr>
        <w:pStyle w:val="BodyText"/>
        <w:spacing w:line="357" w:lineRule="auto" w:before="11"/>
        <w:ind w:right="1123"/>
        <w:jc w:val="left"/>
      </w:pPr>
      <w:r>
        <w:rPr/>
        <w:t>关成本或费用，相应调整资本公积。 </w:t>
      </w:r>
      <w:r>
        <w:rPr>
          <w:spacing w:val="-2"/>
        </w:rPr>
        <w:t>换取其他方服务的权益结算的股份支付，如果其他方服务的公允价值能够可靠计量的，按照其他方服务在取得日的公允价值</w:t>
      </w:r>
    </w:p>
    <w:p>
      <w:pPr>
        <w:spacing w:after="0" w:line="357" w:lineRule="auto"/>
        <w:jc w:val="left"/>
        <w:sectPr>
          <w:pgSz w:w="11910" w:h="16840"/>
          <w:pgMar w:header="877" w:footer="1296"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ind w:right="1123"/>
        <w:jc w:val="left"/>
      </w:pPr>
      <w:r>
        <w:rPr>
          <w:spacing w:val="-2"/>
        </w:rPr>
        <w:t>计量；如果其他方服务的公允价值不能可靠计量，但权益工具的公允价值能够可靠计量的，按照权益工具在服务取得日的公</w:t>
      </w:r>
      <w:r>
        <w:rPr>
          <w:spacing w:val="-63"/>
        </w:rPr>
        <w:t> </w:t>
      </w:r>
      <w:r>
        <w:rPr>
          <w:spacing w:val="-63"/>
        </w:rPr>
      </w:r>
      <w:r>
        <w:rPr/>
        <w:t>允价值计量，计入相关成本或费用，相应增加所有者权益。</w:t>
      </w:r>
    </w:p>
    <w:p>
      <w:pPr>
        <w:pStyle w:val="BodyText"/>
        <w:spacing w:line="324" w:lineRule="auto" w:before="58"/>
        <w:ind w:right="112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以现金结算的股份支付</w:t>
      </w:r>
      <w:r>
        <w:rPr>
          <w:w w:val="99"/>
        </w:rPr>
        <w:t> </w:t>
      </w:r>
      <w:r>
        <w:rPr>
          <w:spacing w:val="-2"/>
        </w:rPr>
        <w:t>授予后立即可行权的换取职工服务的以现金结算的股份支付，在授予日按公司承担负债的公允价值计入相关成本或费用，相</w:t>
      </w:r>
      <w:r>
        <w:rPr>
          <w:spacing w:val="-65"/>
        </w:rPr>
        <w:t> </w:t>
      </w:r>
      <w:r>
        <w:rPr>
          <w:spacing w:val="-65"/>
        </w:rPr>
      </w:r>
      <w:r>
        <w:rPr>
          <w:spacing w:val="-2"/>
        </w:rPr>
        <w:t>应增加负债。完成等待期内的服务或达到规定业绩条件才可行权的换取职工服务的以现金结算的股份支付，在等待期内的每</w:t>
      </w:r>
      <w:r>
        <w:rPr>
          <w:spacing w:val="-65"/>
        </w:rPr>
        <w:t> </w:t>
      </w:r>
      <w:r>
        <w:rPr>
          <w:spacing w:val="-65"/>
        </w:rPr>
      </w:r>
      <w:r>
        <w:rPr>
          <w:spacing w:val="-2"/>
        </w:rPr>
        <w:t>个资产负债表日，以对可行权情况的最佳估计为基础，按公司承担负债的公允价值，将当期取得的服务计入相关成本或费用</w:t>
      </w:r>
      <w:r>
        <w:rPr>
          <w:spacing w:val="-64"/>
        </w:rPr>
        <w:t> </w:t>
      </w:r>
      <w:r>
        <w:rPr>
          <w:spacing w:val="-64"/>
        </w:rPr>
      </w:r>
      <w:r>
        <w:rPr/>
        <w:t>和相应的负债。</w:t>
      </w:r>
    </w:p>
    <w:p>
      <w:pPr>
        <w:pStyle w:val="BodyText"/>
        <w:spacing w:line="326" w:lineRule="auto" w:before="54"/>
        <w:ind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修改、终止股份支付计划</w:t>
      </w:r>
      <w:r>
        <w:rPr>
          <w:w w:val="99"/>
        </w:rPr>
        <w:t> </w:t>
      </w:r>
      <w:r>
        <w:rPr>
          <w:spacing w:val="-2"/>
        </w:rPr>
        <w:t>如果修改增加了所授予的权益工具的公允价值，公司按照权益工具公允价值的增加相应地确认取得服务的增加；如果修改增</w:t>
      </w:r>
      <w:r>
        <w:rPr>
          <w:spacing w:val="-65"/>
        </w:rPr>
        <w:t> </w:t>
      </w:r>
      <w:r>
        <w:rPr>
          <w:spacing w:val="-65"/>
        </w:rPr>
      </w:r>
      <w:r>
        <w:rPr>
          <w:spacing w:val="-2"/>
        </w:rPr>
        <w:t>加了所授予的权益工具的数量，公司将增加的权益工具的公允价值相应地确认为取得服务的增加；如果公司按照有利于职工</w:t>
      </w:r>
      <w:r>
        <w:rPr>
          <w:spacing w:val="-64"/>
        </w:rPr>
        <w:t> </w:t>
      </w:r>
      <w:r>
        <w:rPr>
          <w:spacing w:val="-64"/>
        </w:rPr>
      </w:r>
      <w:r>
        <w:rPr/>
        <w:t>的方式修改可行权条件，公司在处理可行权条件时，考虑修改后的可行权条件。</w:t>
      </w:r>
    </w:p>
    <w:p>
      <w:pPr>
        <w:pStyle w:val="BodyText"/>
        <w:spacing w:line="319" w:lineRule="auto" w:before="50"/>
        <w:ind w:right="1132"/>
        <w:jc w:val="both"/>
      </w:pPr>
      <w:r>
        <w:rPr>
          <w:spacing w:val="-2"/>
        </w:rPr>
        <w:t>如果修改减少了授予的权益工具的公允价值，公司继续以权益工具在授予日的公允价值为基础，确认取得服务的金额，而不</w:t>
      </w:r>
      <w:r>
        <w:rPr>
          <w:spacing w:val="-65"/>
        </w:rPr>
        <w:t> </w:t>
      </w:r>
      <w:r>
        <w:rPr>
          <w:spacing w:val="-65"/>
        </w:rPr>
      </w:r>
      <w:r>
        <w:rPr>
          <w:spacing w:val="-2"/>
        </w:rPr>
        <w:t>考虑权益工具公允价值的减少；如果修改减少了授予的权益工具的数量，公司将减少部分作为已授予的权益工具的取消来进</w:t>
      </w:r>
      <w:r>
        <w:rPr>
          <w:spacing w:val="-64"/>
        </w:rPr>
        <w:t> </w:t>
      </w:r>
      <w:r>
        <w:rPr>
          <w:spacing w:val="-64"/>
        </w:rPr>
      </w:r>
      <w:r>
        <w:rPr/>
        <w:t>行处理；如果以不利于职工的方式修改了可行权条件，在处理可行权条件时，不考虑修改后的可行权条件。</w:t>
      </w:r>
    </w:p>
    <w:p>
      <w:pPr>
        <w:pStyle w:val="BodyText"/>
        <w:spacing w:line="316" w:lineRule="auto" w:before="58"/>
        <w:ind w:right="1123"/>
        <w:jc w:val="left"/>
      </w:pPr>
      <w:r>
        <w:rPr>
          <w:spacing w:val="-2"/>
        </w:rPr>
        <w:t>如果公司在等待期内取消了所授予的权益工具或结算了所授予的权益工具（因未满足可行权条件而被取消的除外），则将取</w:t>
      </w:r>
      <w:r>
        <w:rPr>
          <w:spacing w:val="-65"/>
        </w:rPr>
        <w:t> </w:t>
      </w:r>
      <w:r>
        <w:rPr>
          <w:spacing w:val="-65"/>
        </w:rPr>
      </w:r>
      <w:r>
        <w:rPr/>
        <w:t>消或结算作为加速可行权处理，立即确认原本在剩余等待期内确认的金额。</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5"/>
        <w:rPr>
          <w:rFonts w:ascii="宋体" w:hAnsi="宋体" w:cs="宋体" w:eastAsia="宋体" w:hint="default"/>
          <w:b/>
          <w:bCs/>
          <w:sz w:val="26"/>
          <w:szCs w:val="26"/>
        </w:rPr>
      </w:pPr>
    </w:p>
    <w:p>
      <w:pPr>
        <w:pStyle w:val="BodyText"/>
        <w:spacing w:line="300" w:lineRule="auto" w:before="0"/>
        <w:ind w:right="1169"/>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公司不再保留通 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相关的已发生或将发生的成本能够可靠地计量。</w:t>
      </w:r>
    </w:p>
    <w:p>
      <w:pPr>
        <w:spacing w:line="240" w:lineRule="auto" w:before="2"/>
        <w:rPr>
          <w:rFonts w:ascii="宋体" w:hAnsi="宋体" w:cs="宋体" w:eastAsia="宋体" w:hint="default"/>
          <w:sz w:val="22"/>
          <w:szCs w:val="22"/>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2"/>
        </w:rPr>
        <w:t>让渡资产使用权在同时满足相关的经济利益很可能流入、收入金额能够可靠计量时，确认让渡资产使用权的收入。利息收入</w:t>
      </w:r>
      <w:r>
        <w:rPr>
          <w:spacing w:val="-63"/>
        </w:rPr>
        <w:t> </w:t>
      </w:r>
      <w:r>
        <w:rPr>
          <w:spacing w:val="-63"/>
        </w:rPr>
      </w:r>
      <w:r>
        <w:rPr/>
        <w:t>按照他人使用本公司货币资金的时间和实际利率计算确定；使用费收入按有关合同或协议约定的收费时间和方法计算确定。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政府补助包括与资产相关的政府补助和与收益相关的政府补助。</w:t>
      </w:r>
    </w:p>
    <w:p>
      <w:pPr>
        <w:spacing w:after="0" w:line="240" w:lineRule="auto"/>
        <w:jc w:val="left"/>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1123"/>
        <w:jc w:val="left"/>
      </w:pPr>
      <w:r>
        <w:rPr>
          <w:spacing w:val="-2"/>
        </w:rPr>
        <w:t>政府补助为货币性资产的，按照收到或应收的金额计量；政府补助为非货币性资产的，按照公允价值计量，公允价值不能可</w:t>
      </w:r>
      <w:r>
        <w:rPr>
          <w:spacing w:val="-64"/>
        </w:rPr>
        <w:t> </w:t>
      </w:r>
      <w:r>
        <w:rPr>
          <w:spacing w:val="-64"/>
        </w:rPr>
      </w:r>
      <w:r>
        <w:rPr/>
        <w:t>靠取得的，按照名义金额计量。 与资产相关的政府补助，确认为递延收益，在相关资产使用寿命内平均分配，计入当期损益。与收益相关的政府补助，用</w:t>
      </w:r>
    </w:p>
    <w:p>
      <w:pPr>
        <w:pStyle w:val="BodyText"/>
        <w:spacing w:line="316" w:lineRule="auto" w:before="2"/>
        <w:ind w:right="1123"/>
        <w:jc w:val="left"/>
      </w:pPr>
      <w:r>
        <w:rPr>
          <w:spacing w:val="-2"/>
        </w:rPr>
        <w:t>于补偿以后期间的相关费用或损失的，确认为递延收益，在确认相关费用的期间，计入当期损益；用于补偿已发生的相关费</w:t>
      </w:r>
      <w:r>
        <w:rPr>
          <w:spacing w:val="-64"/>
        </w:rPr>
        <w:t> </w:t>
      </w:r>
      <w:r>
        <w:rPr>
          <w:spacing w:val="-64"/>
        </w:rPr>
      </w:r>
      <w:r>
        <w:rPr/>
        <w:t>用或损失的，直接计入当期损益。</w:t>
      </w:r>
    </w:p>
    <w:p>
      <w:pPr>
        <w:spacing w:line="240" w:lineRule="auto" w:before="10"/>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982"/>
        <w:jc w:val="left"/>
      </w:pPr>
      <w:r>
        <w:rPr>
          <w:rFonts w:ascii="Times New Roman" w:hAnsi="Times New Roman" w:cs="Times New Roman" w:eastAsia="Times New Roman" w:hint="default"/>
          <w:spacing w:val="-3"/>
        </w:rPr>
        <w:t>1.</w:t>
      </w:r>
      <w:r>
        <w:rPr>
          <w:spacing w:val="-3"/>
        </w:rPr>
        <w:t>根据资产、负债的账面价值与其计税基础之间的差额（未作为资产和负债确认的项目按照税法规定可以确定其计税基础的，</w:t>
      </w:r>
      <w:r>
        <w:rPr>
          <w:spacing w:val="-48"/>
        </w:rPr>
        <w:t> </w:t>
      </w:r>
      <w:r>
        <w:rPr>
          <w:spacing w:val="-48"/>
        </w:rPr>
      </w:r>
      <w:r>
        <w:rPr>
          <w:spacing w:val="-2"/>
        </w:rPr>
        <w:t>该计税基础与其账面数之间的差额），按照预期收回该资产或清偿该负债期间的适用税率计算确认递延所得税资产或递延所</w:t>
      </w:r>
      <w:r>
        <w:rPr>
          <w:spacing w:val="-72"/>
        </w:rPr>
        <w:t> </w:t>
      </w:r>
      <w:r>
        <w:rPr>
          <w:spacing w:val="-72"/>
        </w:rPr>
      </w:r>
      <w:r>
        <w:rPr/>
        <w:t>得税负债。</w:t>
      </w: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 据表明未来期间很可能获得足够的应纳税所得额用来抵扣可抵扣暂时性差异的，确认以前会计期间未确认的递延所得税资 产。</w:t>
      </w:r>
      <w:r>
        <w:rPr>
          <w:rFonts w:ascii="Times New Roman" w:hAnsi="Times New Roman" w:cs="Times New Roman" w:eastAsia="Times New Roman" w:hint="default"/>
        </w:rPr>
        <w:t>3.</w:t>
      </w:r>
      <w:r>
        <w:rPr/>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公司当期所得税和递延所得税作为所得税费用或收益计入当期损益，但不包括下列情况产生的所得税：</w:t>
      </w:r>
      <w:r>
        <w:rPr>
          <w:rFonts w:ascii="Times New Roman" w:hAnsi="Times New Roman" w:cs="Times New Roman" w:eastAsia="Times New Roman" w:hint="default"/>
        </w:rPr>
        <w:t>(1) </w:t>
      </w:r>
      <w:r>
        <w:rPr>
          <w:spacing w:val="-6"/>
        </w:rPr>
        <w:t>企业合并；</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30"/>
        </w:rPr>
        <w:t> </w:t>
      </w:r>
      <w:r>
        <w:rPr/>
        <w:t>直 接在所有者权益中确认的交易或者事项。</w:t>
      </w:r>
    </w:p>
    <w:p>
      <w:pPr>
        <w:spacing w:line="240" w:lineRule="auto" w:before="6"/>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123"/>
        <w:jc w:val="left"/>
      </w:pPr>
      <w:r>
        <w:rPr>
          <w:spacing w:val="-2"/>
        </w:rPr>
        <w:t>公司为承租人时，在租赁期内各个期间按照直线法将租金计入相关资产成本或确认为当期损益，发生的初始直接费用，直接</w:t>
      </w:r>
      <w:r>
        <w:rPr>
          <w:spacing w:val="-65"/>
        </w:rPr>
        <w:t> </w:t>
      </w:r>
      <w:r>
        <w:rPr>
          <w:spacing w:val="-65"/>
        </w:rPr>
      </w:r>
      <w:r>
        <w:rPr/>
        <w:t>计入当期损益。或有租金在实际发生时计入当期损益。 </w:t>
      </w:r>
      <w:r>
        <w:rPr>
          <w:spacing w:val="-2"/>
        </w:rPr>
        <w:t>公司为出租人时，在租赁期内各个期间按照直线法将租金确认为当期损益，发生的初始直接费用，除金额较大的予以资本化</w:t>
      </w:r>
    </w:p>
    <w:p>
      <w:pPr>
        <w:pStyle w:val="BodyText"/>
        <w:spacing w:line="240" w:lineRule="auto" w:before="2"/>
        <w:ind w:right="1123"/>
        <w:jc w:val="left"/>
      </w:pPr>
      <w:r>
        <w:rPr/>
        <w:t>并分期计入损益外，均直接计入当期损益。或有租金在实际发生时计入当期损益。</w:t>
      </w:r>
    </w:p>
    <w:p>
      <w:pPr>
        <w:spacing w:after="0" w:line="240" w:lineRule="auto"/>
        <w:jc w:val="left"/>
        <w:sectPr>
          <w:pgSz w:w="11910" w:h="16840"/>
          <w:pgMar w:header="877" w:footer="1296" w:top="1060" w:bottom="148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本报告期主要会计政策、会计估计是否变更</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本报告期主要会计政策是否变更</w:t>
      </w:r>
    </w:p>
    <w:p>
      <w:pPr>
        <w:pStyle w:val="BodyText"/>
        <w:spacing w:line="240" w:lineRule="auto" w:before="11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本报告期主要会计估计是否变更</w:t>
      </w:r>
    </w:p>
    <w:p>
      <w:pPr>
        <w:pStyle w:val="BodyText"/>
        <w:spacing w:line="240" w:lineRule="auto" w:before="11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本报告期是否发现前期会计差错</w:t>
      </w:r>
    </w:p>
    <w:p>
      <w:pPr>
        <w:pStyle w:val="BodyText"/>
        <w:spacing w:line="338" w:lineRule="auto" w:before="117"/>
        <w:ind w:right="95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不适用</w:t>
      </w:r>
    </w:p>
    <w:p>
      <w:pPr>
        <w:spacing w:line="240" w:lineRule="auto" w:before="8"/>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3"/>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96" w:top="1060" w:bottom="148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66229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2"/>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49"/>
        <w:ind w:right="982"/>
        <w:jc w:val="left"/>
      </w:pPr>
      <w:r>
        <w:rPr/>
        <w:t>各分公司、分厂执行的所得税税率 </w:t>
      </w:r>
      <w:r>
        <w:rPr>
          <w:spacing w:val="-6"/>
        </w:rPr>
        <w:t>子公司嵊州市美源饰品有限公司、莱盛童话服饰（上海）有限公司、内蒙古荣盛文化传媒股份有限公司企业所得税率均为</w:t>
      </w:r>
      <w:r>
        <w:rPr>
          <w:rFonts w:ascii="Times New Roman" w:hAnsi="Times New Roman" w:cs="Times New Roman" w:eastAsia="Times New Roman" w:hint="default"/>
          <w:spacing w:val="-6"/>
        </w:rPr>
        <w:t>25%</w:t>
      </w:r>
      <w:r>
        <w:rPr>
          <w:spacing w:val="-6"/>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1"/>
        <w:ind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莱盛童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全资子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500,000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500,000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话服饰</w:t>
            </w:r>
          </w:p>
          <w:p>
            <w:pPr>
              <w:pStyle w:val="TableParagraph"/>
              <w:spacing w:line="316" w:lineRule="auto" w:before="77"/>
              <w:ind w:left="24" w:right="108"/>
              <w:jc w:val="left"/>
              <w:rPr>
                <w:rFonts w:ascii="宋体" w:hAnsi="宋体" w:cs="宋体" w:eastAsia="宋体" w:hint="default"/>
                <w:sz w:val="18"/>
                <w:szCs w:val="18"/>
              </w:rPr>
            </w:pPr>
            <w:r>
              <w:rPr>
                <w:rFonts w:ascii="宋体" w:hAnsi="宋体" w:cs="宋体" w:eastAsia="宋体" w:hint="default"/>
                <w:sz w:val="18"/>
                <w:szCs w:val="18"/>
              </w:rPr>
              <w:t>（上 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动漫衍 生产品 开发设 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5"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内蒙古 荣盛文 化传媒 股份有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服装、 动漫衍 生产品 开发设 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49"/>
        <w:ind w:right="1123"/>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92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w:t>
            </w:r>
          </w:p>
        </w:tc>
      </w:tr>
    </w:tbl>
    <w:p>
      <w:pPr>
        <w:spacing w:after="0" w:line="316" w:lineRule="auto"/>
        <w:jc w:val="both"/>
        <w:rPr>
          <w:rFonts w:ascii="宋体" w:hAnsi="宋体" w:cs="宋体" w:eastAsia="宋体" w:hint="default"/>
          <w:sz w:val="18"/>
          <w:szCs w:val="18"/>
        </w:rPr>
        <w:sectPr>
          <w:footerReference w:type="default" r:id="rId33"/>
          <w:pgSz w:w="11910" w:h="16840"/>
          <w:pgMar w:footer="1340" w:header="877" w:top="1060" w:bottom="1540" w:left="980" w:right="0"/>
          <w:pgNumType w:start="7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379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分担的 本期亏 损超过 少数股 东在该 子公司 年初所 有者权 益中所 享有份 额后的 余额</w:t>
            </w:r>
          </w:p>
        </w:tc>
      </w:tr>
      <w:tr>
        <w:trPr>
          <w:trHeight w:val="1337"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嵊州市 美源饰 品有限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嵊州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生产、 销售动 漫衍生 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9,860,0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1123"/>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合并报表范围发生变更说明</w:t>
      </w:r>
    </w:p>
    <w:p>
      <w:pPr>
        <w:pStyle w:val="BodyText"/>
        <w:spacing w:line="352" w:lineRule="auto" w:before="117"/>
        <w:ind w:right="6792"/>
        <w:jc w:val="left"/>
      </w:pPr>
      <w:r>
        <w:rPr/>
        <w:t>√ 适用 □</w:t>
      </w:r>
      <w:r>
        <w:rPr>
          <w:spacing w:val="3"/>
        </w:rPr>
        <w:t> </w:t>
      </w:r>
      <w:r>
        <w:rPr/>
        <w:t>不适用</w:t>
      </w:r>
      <w:r>
        <w:rPr/>
        <w:t> 与上年相比本年（期）新增合并单位</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 新设投资 与上年相比本年（期）减少合并单位家，原因为</w:t>
      </w:r>
    </w:p>
    <w:p>
      <w:pPr>
        <w:spacing w:line="240" w:lineRule="auto" w:before="9"/>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内蒙古荣盛文化传媒股份有限公司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2" w:right="0"/>
              <w:jc w:val="left"/>
              <w:rPr>
                <w:rFonts w:ascii="Times New Roman" w:hAnsi="Times New Roman" w:cs="Times New Roman" w:eastAsia="Times New Roman" w:hint="default"/>
                <w:sz w:val="18"/>
                <w:szCs w:val="18"/>
              </w:rPr>
            </w:pPr>
            <w:r>
              <w:rPr>
                <w:rFonts w:ascii="Times New Roman"/>
                <w:sz w:val="18"/>
              </w:rPr>
              <w:t>5,000,000.00</w:t>
            </w: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0"/>
        <w:jc w:val="both"/>
      </w:pPr>
      <w:r>
        <w:rPr/>
        <w:t>新纳入合并范围的主体和不再纳入合并范围的主体的其他说明</w:t>
      </w:r>
    </w:p>
    <w:p>
      <w:pPr>
        <w:pStyle w:val="BodyText"/>
        <w:spacing w:line="300" w:lineRule="auto" w:before="117"/>
        <w:ind w:right="1131"/>
        <w:jc w:val="both"/>
      </w:pPr>
      <w:r>
        <w:rPr>
          <w:spacing w:val="-2"/>
        </w:rPr>
        <w:t>本期公司与李学文共同出资设立内蒙古荣盛文化传媒股份有限公司，于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日办妥工商设立登记手续，并取得注册</w:t>
      </w:r>
      <w:r>
        <w:rPr>
          <w:spacing w:val="-59"/>
        </w:rPr>
        <w:t> </w:t>
      </w:r>
      <w:r>
        <w:rPr>
          <w:spacing w:val="-59"/>
        </w:rPr>
      </w:r>
      <w:r>
        <w:rPr/>
        <w:t>号为</w:t>
      </w:r>
      <w:r>
        <w:rPr>
          <w:rFonts w:ascii="Times New Roman" w:hAnsi="Times New Roman" w:cs="Times New Roman" w:eastAsia="Times New Roman" w:hint="default"/>
        </w:rPr>
        <w:t>152200000005394</w:t>
      </w:r>
      <w:r>
        <w:rPr/>
        <w:t>的《企业法人营业执照》。该公司注册资本</w:t>
      </w:r>
      <w:r>
        <w:rPr>
          <w:rFonts w:ascii="Times New Roman" w:hAnsi="Times New Roman" w:cs="Times New Roman" w:eastAsia="Times New Roman" w:hint="default"/>
        </w:rPr>
        <w:t>500</w:t>
      </w:r>
      <w:r>
        <w:rPr/>
        <w:t>万元，公司出资</w:t>
      </w:r>
      <w:r>
        <w:rPr>
          <w:rFonts w:ascii="Times New Roman" w:hAnsi="Times New Roman" w:cs="Times New Roman" w:eastAsia="Times New Roman" w:hint="default"/>
        </w:rPr>
        <w:t>375</w:t>
      </w:r>
      <w:r>
        <w:rPr/>
        <w:t>万元，占其注册资本的</w:t>
      </w:r>
      <w:r>
        <w:rPr>
          <w:rFonts w:ascii="Times New Roman" w:hAnsi="Times New Roman" w:cs="Times New Roman" w:eastAsia="Times New Roman" w:hint="default"/>
        </w:rPr>
        <w:t>75%</w:t>
      </w:r>
      <w:r>
        <w:rPr/>
        <w:t>，拥有 对其的实质控制权，故自该公司成立之日起，将其纳入合并财务报表范围。</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1123"/>
        <w:jc w:val="left"/>
      </w:pPr>
      <w:r>
        <w:rPr/>
        <w:t>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1123"/>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1123"/>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1123"/>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吸收合并的其他说明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line="487" w:lineRule="auto" w:before="36"/>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8"/>
        <w:gridCol w:w="918"/>
        <w:gridCol w:w="1485"/>
        <w:gridCol w:w="1318"/>
        <w:gridCol w:w="917"/>
        <w:gridCol w:w="160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17,453.88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31,708.25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17,453.88</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31,708.25</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456,373,208.86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26,150,452.33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456,286,034.70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10,988,935.85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13,869.09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6.29%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87,174.16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2,406,246.17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15,161,516.48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456,390,662.74</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26,182,160.58</w:t>
            </w:r>
          </w:p>
        </w:tc>
      </w:tr>
    </w:tbl>
    <w:p>
      <w:pPr>
        <w:pStyle w:val="BodyText"/>
        <w:spacing w:line="360" w:lineRule="auto" w:before="49"/>
        <w:ind w:right="3554"/>
        <w:jc w:val="left"/>
      </w:pPr>
      <w:r>
        <w:rPr/>
        <w:t>如有因抵押、质押或冻结等对使用有限制、存放在境外、有潜在回收风险的款项应单独说明 期末无因抵押、质押或冻结等对使用有限制、存放在境外、有潜在回收风险的款项。</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定期存单利息</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2,488,310.95</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2,488,310.95</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2,488,310.95</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2,488,310.95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43"/>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36,222,286.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2,279,657.3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39,780,07</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8.11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2,093,297.91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36,222,286.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2,279,657.3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39,780,07</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8.11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2,093,297.91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36,222,286.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2,279,657.3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39,780,07</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8.11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2,093,297.91</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25"/>
        <w:gridCol w:w="1465"/>
      </w:tblGrid>
      <w:tr>
        <w:trPr>
          <w:trHeight w:val="401"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5"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31,556,969.93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87.12%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1,577,848.50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37,978,492.93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95.47%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1,898,924.64</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4,103,657.49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410,365.75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1,766,087.68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176,608.77</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526,279.26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263,139.63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35,466.00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0.09%</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17,733.00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35,379.32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28,303.46</w:t>
            </w:r>
          </w:p>
        </w:tc>
        <w:tc>
          <w:tcPr>
            <w:tcW w:w="145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31.50</w:t>
            </w:r>
          </w:p>
        </w:tc>
        <w:tc>
          <w:tcPr>
            <w:tcW w:w="92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36,222,286.00</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2,279,657.34</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39,780,078.11</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2,093,297.91</w:t>
            </w:r>
          </w:p>
        </w:tc>
      </w:tr>
    </w:tbl>
    <w:p>
      <w:pPr>
        <w:pStyle w:val="BodyText"/>
        <w:spacing w:line="240" w:lineRule="auto" w:before="49"/>
        <w:ind w:right="1123"/>
        <w:jc w:val="left"/>
      </w:pPr>
      <w:r>
        <w:rPr/>
        <w:t>组合中，采用余额百分比法计提坏账准备的应收账款</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401"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36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112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5,864,884.41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5,119,542.39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14.13%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4,403,427.77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3,710,010.09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10.24%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3,173,094.76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176,964.47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22,447,923.89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账龄分析法组</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1,339,169.85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110,538.56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8.25%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5,816,772.54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458,169.72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7.88%</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1,339,169.85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110,538.56</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5,816,772.54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458,169.72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1,339,169.85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110,538.56</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5,816,772.54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458,169.72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1,113,464.46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83.15%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55,673.22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4,385,774.54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219,288.72</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1,113,464.46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83.15%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55,673.22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4,385,774.54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219,288.72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166,133.39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16,613.34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1,191,545.00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119,154.50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31,352.00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15,676.00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239,453.00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119,726.50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22,576.00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1,339,169.85</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110,538.56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5,816,772.54</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458,169.72</w:t>
            </w:r>
          </w:p>
        </w:tc>
      </w:tr>
    </w:tbl>
    <w:p>
      <w:pPr>
        <w:pStyle w:val="BodyText"/>
        <w:spacing w:line="240" w:lineRule="auto" w:before="49"/>
        <w:ind w:right="1123"/>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23"/>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112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49"/>
        <w:ind w:right="1123"/>
        <w:jc w:val="left"/>
      </w:pPr>
      <w:r>
        <w:rPr/>
        <w:t>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940,791.31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新昌电力公司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高新技术园区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新昌县沃洲水业工程有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丁亚军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1,159,816.31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1,337,978.60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1,474,711.78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147,488.63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1,259,003.32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267,825.01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232,727.10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1,485,467.23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3,234,267.21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预付款项账龄的说明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合同未履行</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207,849.50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110,547.50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65,929.50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1,134,326.50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预付款项主要单位的说明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4"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4"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5,594,986.06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5,594,986.06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4,241,038.50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4,241,038.50</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16,347,561.86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16,347,561.86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8,931,879.56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8,931,879.56</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4,821,230.36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4,821,230.36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7,292,652.95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7,292,652.95</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26,763,778.28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26,763,778.28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20,465,571.01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20,465,571.01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403"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0"/>
        <w:ind w:right="1123"/>
        <w:jc w:val="left"/>
      </w:pPr>
      <w:r>
        <w:rPr/>
        <w:t>存货的说明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2"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其他流动资产说明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60,607,410.20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82,157,741.09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400,053.10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142,365,098.19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45,228,358.86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78,661,256.60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123,889,615.46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9,214,023.34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1,963,015.87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11,603.40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11,165,435.81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3,956,069.48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736,152.77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388,449.70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4,303,772.55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2,208,958.52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797,315.85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3,006,274.37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11,875,916.12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4,243,363.27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344,777.50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15,774,501.89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5,936,435.29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1,839,027.06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7,775,462.35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2,569,753.46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1,184,241.06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6,526.32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3,747,468.20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2,190,779.95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761,571.72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338,251.18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2,614,100.49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1,178,947.42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458,523.43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1,637,470.85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48,731,494.08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126,590,596.30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39,291,923.57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116,114,153.11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6,644,269.88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7,408,817.61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1,765,289.53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1,689,672.06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1,030,011.10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1,377,953.52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48,731,494.08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126,590,596.30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39,291,923.57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116,114,153.11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6,644,269.88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7,408,817.61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1,765,289.53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1,689,672.06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1,030,011.10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1,377,953.52</w:t>
            </w:r>
          </w:p>
        </w:tc>
      </w:tr>
    </w:tbl>
    <w:p>
      <w:pPr>
        <w:pStyle w:val="BodyText"/>
        <w:spacing w:line="240" w:lineRule="auto" w:before="49"/>
        <w:ind w:right="1123"/>
        <w:jc w:val="left"/>
      </w:pPr>
      <w:r>
        <w:rPr/>
        <w:t>本期折旧额</w:t>
      </w:r>
      <w:r>
        <w:rPr>
          <w:spacing w:val="-48"/>
        </w:rPr>
        <w:t> </w:t>
      </w:r>
      <w:r>
        <w:rPr>
          <w:rFonts w:ascii="Times New Roman" w:hAnsi="Times New Roman" w:cs="Times New Roman" w:eastAsia="Times New Roman" w:hint="default"/>
        </w:rPr>
        <w:t>4,243,363.27</w:t>
      </w:r>
      <w:r>
        <w:rPr>
          <w:rFonts w:ascii="Times New Roman" w:hAnsi="Times New Roman" w:cs="Times New Roman" w:eastAsia="Times New Roman" w:hint="default"/>
          <w:spacing w:val="-1"/>
        </w:rPr>
        <w:t> </w:t>
      </w:r>
      <w:r>
        <w:rPr/>
        <w:t>元；本期由在建工程转入固定资产原价为</w:t>
      </w:r>
      <w:r>
        <w:rPr>
          <w:spacing w:val="-48"/>
        </w:rPr>
        <w:t> </w:t>
      </w:r>
      <w:r>
        <w:rPr>
          <w:rFonts w:ascii="Times New Roman" w:hAnsi="Times New Roman" w:cs="Times New Roman" w:eastAsia="Times New Roman" w:hint="default"/>
        </w:rPr>
        <w:t>73,894,729.55</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38.931721pt;width:135pt;height:77pt;mso-position-horizontal-relative:page;mso-position-vertical-relative:paragraph;z-index:-662008" coordorigin="9206,779" coordsize="2700,1540">
            <v:shape style="position:absolute;left:9206;top:779;width:2700;height:1540" type="#_x0000_t75" stroked="false">
              <v:imagedata r:id="rId15" o:title=""/>
            </v:shape>
            <v:shape style="position:absolute;left:10593;top:113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83</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34"/>
          <w:footerReference w:type="default" r:id="rId35"/>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2,975,012.42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动漫基地工程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年底完工转入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123"/>
        <w:jc w:val="left"/>
      </w:pPr>
      <w:r>
        <w:rPr/>
        <w:t>固定资产说明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动漫基地工程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47,792,561.28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47,792,561.28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研发设计中心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7,000,000.00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7,000,000.00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47,792,561.28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47,792,561.28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footerReference w:type="default" r:id="rId36"/>
          <w:pgSz w:w="11910" w:h="16840"/>
          <w:pgMar w:footer="1340" w:header="877" w:top="1060" w:bottom="1540" w:left="980" w:right="0"/>
          <w:pgNumType w:start="84"/>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动漫基 地工程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66,647,7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47,792,5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26,125,7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73,894,7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3,291,60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1,664,80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研发设 计中心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141,647,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47,792,5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33,125,7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73,894,7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3,291,60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1,664,80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5.31</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3"/>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22,698,255.67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22,698,255.67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22,493,396.70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22,493,396.70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134,358.97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134,358.97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1,611,645.33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490,839.88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2,102,485.21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1,536,796.29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449,868.04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1,986,664.33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54,199.04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81,070.88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21,086,610.34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-490,839.88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20,595,770.46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20,956,600.41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-449,868.04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20,506,732.37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80,159.93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53,288.09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21,086,610.34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-490,839.88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20,595,770.46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20,956,600.41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-449,868.04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20,506,732.37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80,159.93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53,288.09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35,750.00</w:t>
            </w:r>
          </w:p>
        </w:tc>
      </w:tr>
    </w:tbl>
    <w:p>
      <w:pPr>
        <w:pStyle w:val="BodyText"/>
        <w:spacing w:line="240" w:lineRule="auto" w:before="49"/>
        <w:ind w:right="1123"/>
        <w:jc w:val="left"/>
      </w:pPr>
      <w:r>
        <w:rPr/>
        <w:t>本期摊销额</w:t>
      </w:r>
      <w:r>
        <w:rPr>
          <w:spacing w:val="-47"/>
        </w:rPr>
        <w:t> </w:t>
      </w:r>
      <w:r>
        <w:rPr>
          <w:rFonts w:ascii="Times New Roman" w:hAnsi="Times New Roman" w:cs="Times New Roman" w:eastAsia="Times New Roman" w:hint="default"/>
        </w:rPr>
        <w:t>490,839.88</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49"/>
        <w:ind w:right="5354"/>
        <w:jc w:val="left"/>
      </w:pPr>
      <w:r>
        <w:rPr/>
        <w:t>本期开发支出占本期研究开发项目支出总额的比例。 通过公司内部研发形成的无形资产占无形资产期末账面价值的比例。</w:t>
      </w:r>
    </w:p>
    <w:p>
      <w:pPr>
        <w:pStyle w:val="BodyText"/>
        <w:spacing w:line="240" w:lineRule="auto" w:before="25"/>
        <w:ind w:right="982"/>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2"/>
        <w:rPr>
          <w:rFonts w:ascii="宋体" w:hAnsi="宋体" w:cs="宋体" w:eastAsia="宋体" w:hint="default"/>
          <w:sz w:val="26"/>
          <w:szCs w:val="26"/>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6"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569,807.44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523,324.48</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314,974.26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93,374.61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884,781.70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616,699.09</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1123"/>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3"/>
        <w:jc w:val="left"/>
      </w:pPr>
      <w:r>
        <w:rPr/>
        <w:t>应纳税差异和可抵扣差异项目明细</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2,279,229.76</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1,259,897.05</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3,539,126.81</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884,781.70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616,699.09</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1123"/>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2,551,467.63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20,500.74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2,390,195.90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2,551,467.63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20,500.74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2,390,195.90</w:t>
            </w:r>
          </w:p>
        </w:tc>
      </w:tr>
    </w:tbl>
    <w:p>
      <w:pPr>
        <w:pStyle w:val="BodyText"/>
        <w:spacing w:line="360" w:lineRule="auto" w:before="49"/>
        <w:ind w:right="7874"/>
        <w:jc w:val="left"/>
      </w:pPr>
      <w:r>
        <w:rPr/>
        <w:t>资产减值明细情况的说明 本期预付账款核销坏账</w:t>
      </w:r>
      <w:r>
        <w:rPr>
          <w:rFonts w:ascii="Times New Roman" w:hAnsi="Times New Roman" w:cs="Times New Roman" w:eastAsia="Times New Roman" w:hint="default"/>
        </w:rPr>
        <w:t>20,500.74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2"/>
        <w:ind w:right="1123"/>
        <w:jc w:val="left"/>
        <w:rPr>
          <w:b w:val="0"/>
          <w:bCs w:val="0"/>
        </w:rPr>
      </w:pP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9"/>
        <w:ind w:right="1123"/>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49"/>
        <w:ind w:right="4634"/>
        <w:jc w:val="left"/>
      </w:pPr>
      <w:r>
        <w:rPr/>
        <w:t>资产负债表日后已偿还金额元。 短期借款的说明，包括已到期短期借款获展期的，说明展期条件、新的到期日</w:t>
      </w:r>
    </w:p>
    <w:p>
      <w:pPr>
        <w:spacing w:line="240" w:lineRule="auto" w:before="2"/>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15</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1,259,897.05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373,498.45</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1,259,897.05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373,498.45</w:t>
            </w:r>
          </w:p>
        </w:tc>
      </w:tr>
    </w:tbl>
    <w:p>
      <w:pPr>
        <w:pStyle w:val="BodyText"/>
        <w:spacing w:line="240" w:lineRule="auto" w:before="49"/>
        <w:ind w:right="1123"/>
        <w:jc w:val="left"/>
      </w:pPr>
      <w:r>
        <w:rPr/>
        <w:t>交易性金融负债的说明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原材料采购款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6,942,094.71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9,519,270.93</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724,729.82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994,034.29</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411,926.50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298,038.50</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8,078,751.03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11,121,343.72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3,600,276.34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15,815.26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3,600,276.34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15,815.26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1,495,729.42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32,349,491.79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29,732,107.92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4,113,113.29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980,943.94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980,943.94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3,437,514.66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3,437,514.66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914,250.71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914,250.71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1,825,723.48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1,825,723.48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326,261.93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326,261.93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244,321.45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244,321.45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126,957.09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126,957.09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654,904.00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654,904.00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53,358.12</w:t>
            </w: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53,358.12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1,549,087.54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37,422,854.39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34,858,828.64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4,113,113.29</w:t>
            </w:r>
          </w:p>
        </w:tc>
      </w:tr>
    </w:tbl>
    <w:p>
      <w:pPr>
        <w:pStyle w:val="BodyText"/>
        <w:spacing w:line="357" w:lineRule="auto" w:before="49"/>
        <w:ind w:right="3554"/>
        <w:jc w:val="left"/>
      </w:pPr>
      <w:r>
        <w:rPr/>
        <w:t>应付职工薪酬中属于拖欠性质的金额元。 工会经费和职工教育经费金额元，非货币性福利金额元，因解除劳动关系给予补偿元。 应付职工薪酬预计发放时间、金额等安排 应付职工薪酬期末数系公司计提本期</w:t>
      </w:r>
      <w:r>
        <w:rPr>
          <w:rFonts w:ascii="Times New Roman" w:hAnsi="Times New Roman" w:cs="Times New Roman" w:eastAsia="Times New Roman" w:hint="default"/>
        </w:rPr>
        <w:t>12</w:t>
      </w:r>
      <w:r>
        <w:rPr/>
        <w:t>月份工资及奖金，分别于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月全额发放。</w:t>
      </w:r>
    </w:p>
    <w:p>
      <w:pPr>
        <w:spacing w:after="0" w:line="357"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1123"/>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1,751.01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-449,394.92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6,224,090.24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1,013,408.62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19,117.31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46,433.61</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260,977.45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395,758.39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156,579.83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237,433.98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104,386.55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158,289.32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115,831.80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4,205.72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2,294.32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6,498.79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6,886,949.49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1,410,722.11</w:t>
            </w:r>
          </w:p>
        </w:tc>
      </w:tr>
    </w:tbl>
    <w:p>
      <w:pPr>
        <w:pStyle w:val="BodyText"/>
        <w:spacing w:line="240" w:lineRule="auto" w:before="49"/>
        <w:ind w:right="1123"/>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365,575.31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148,660.15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375,675.31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158,760.15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21</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动漫文化创意服务平台建设项目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动漫文化创意基地（一期）建设项目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1,983,333.33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6,983,333.33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bl>
    <w:p>
      <w:pPr>
        <w:pStyle w:val="BodyText"/>
        <w:spacing w:line="240" w:lineRule="auto" w:before="49"/>
        <w:ind w:right="1123"/>
        <w:jc w:val="left"/>
      </w:pPr>
      <w:r>
        <w:rPr/>
        <w:t>其他非流动负债说明，包括本报告期取得的各类与资产相关、与收益相关的政府补助及其期末金额</w:t>
      </w:r>
    </w:p>
    <w:p>
      <w:pPr>
        <w:pStyle w:val="BodyText"/>
        <w:spacing w:line="300" w:lineRule="auto" w:before="117"/>
        <w:ind w:right="1036"/>
        <w:jc w:val="left"/>
      </w:pPr>
      <w:r>
        <w:rPr/>
        <w:t>根据浙江省财政厅颁发的浙财建</w:t>
      </w:r>
      <w:r>
        <w:rPr>
          <w:rFonts w:ascii="Times New Roman" w:hAnsi="Times New Roman" w:cs="Times New Roman" w:eastAsia="Times New Roman" w:hint="default"/>
        </w:rPr>
        <w:t>[2010]320</w:t>
      </w:r>
      <w:r>
        <w:rPr/>
        <w:t>号文件相关规定，公司于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日收到动漫文化创意服务平台建设项目资 金</w:t>
      </w:r>
      <w:r>
        <w:rPr>
          <w:rFonts w:ascii="Times New Roman" w:hAnsi="Times New Roman" w:cs="Times New Roman" w:eastAsia="Times New Roman" w:hint="default"/>
        </w:rPr>
        <w:t>300</w:t>
      </w:r>
      <w:r>
        <w:rPr/>
        <w:t>万元；根据浙江省财政厅颁发的浙财建</w:t>
      </w:r>
      <w:r>
        <w:rPr>
          <w:rFonts w:ascii="Times New Roman" w:hAnsi="Times New Roman" w:cs="Times New Roman" w:eastAsia="Times New Roman" w:hint="default"/>
        </w:rPr>
        <w:t>[2011]70</w:t>
      </w:r>
      <w:r>
        <w:rPr/>
        <w:t>号文件规定，公司于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日收到动漫文化创意服务平台建设项 </w:t>
      </w:r>
      <w:r>
        <w:rPr>
          <w:spacing w:val="-2"/>
        </w:rPr>
        <w:t>目资金</w:t>
      </w:r>
      <w:r>
        <w:rPr>
          <w:rFonts w:ascii="Times New Roman" w:hAnsi="Times New Roman" w:cs="Times New Roman" w:eastAsia="Times New Roman" w:hint="default"/>
          <w:spacing w:val="-2"/>
        </w:rPr>
        <w:t>200</w:t>
      </w:r>
      <w:r>
        <w:rPr>
          <w:spacing w:val="-2"/>
        </w:rPr>
        <w:t>万元，该文件增加浙江省财政厅颁发的浙财建</w:t>
      </w:r>
      <w:r>
        <w:rPr>
          <w:rFonts w:ascii="Times New Roman" w:hAnsi="Times New Roman" w:cs="Times New Roman" w:eastAsia="Times New Roman" w:hint="default"/>
          <w:spacing w:val="-2"/>
        </w:rPr>
        <w:t>[2010]320</w:t>
      </w:r>
      <w:r>
        <w:rPr>
          <w:spacing w:val="-2"/>
        </w:rPr>
        <w:t>号文件规定的相关数额。此款项系与资产相关的政府补助，</w:t>
      </w:r>
      <w:r>
        <w:rPr/>
        <w:t> 对应的项目尚在建设，故计入递延收益。</w:t>
      </w:r>
    </w:p>
    <w:p>
      <w:pPr>
        <w:pStyle w:val="BodyText"/>
        <w:spacing w:line="300" w:lineRule="auto" w:before="70"/>
        <w:ind w:right="1131"/>
        <w:jc w:val="both"/>
      </w:pPr>
      <w:r>
        <w:rPr/>
        <w:t>根据中共浙江省委宣传部和浙江省财政厅共同颁发的浙财教〔</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365</w:t>
      </w:r>
      <w:r>
        <w:rPr/>
        <w:t>号文件相关规定，公司于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日收到动漫 </w:t>
      </w:r>
      <w:r>
        <w:rPr>
          <w:spacing w:val="-2"/>
        </w:rPr>
        <w:t>文化创意基地（一期）建设项目资金</w:t>
      </w:r>
      <w:r>
        <w:rPr>
          <w:rFonts w:ascii="Times New Roman" w:hAnsi="Times New Roman" w:cs="Times New Roman" w:eastAsia="Times New Roman" w:hint="default"/>
          <w:spacing w:val="-2"/>
        </w:rPr>
        <w:t>200</w:t>
      </w:r>
      <w:r>
        <w:rPr>
          <w:spacing w:val="-2"/>
        </w:rPr>
        <w:t>万元。此款项系与资产相关的政府补助，对应项目已于本期</w:t>
      </w:r>
      <w:r>
        <w:rPr>
          <w:rFonts w:ascii="Times New Roman" w:hAnsi="Times New Roman" w:cs="Times New Roman" w:eastAsia="Times New Roman" w:hint="default"/>
          <w:spacing w:val="-2"/>
        </w:rPr>
        <w:t>9</w:t>
      </w:r>
      <w:r>
        <w:rPr>
          <w:spacing w:val="-2"/>
        </w:rPr>
        <w:t>月建成，本期转入营业</w:t>
      </w:r>
      <w:r>
        <w:rPr>
          <w:spacing w:val="-62"/>
        </w:rPr>
        <w:t> </w:t>
      </w:r>
      <w:r>
        <w:rPr>
          <w:spacing w:val="-62"/>
        </w:rPr>
      </w:r>
      <w:r>
        <w:rPr/>
        <w:t>外收入金额</w:t>
      </w:r>
      <w:r>
        <w:rPr>
          <w:rFonts w:ascii="Times New Roman" w:hAnsi="Times New Roman" w:cs="Times New Roman" w:eastAsia="Times New Roman" w:hint="default"/>
        </w:rPr>
        <w:t>16,666.67</w:t>
      </w:r>
      <w:r>
        <w:rPr/>
        <w:t>元。</w:t>
      </w:r>
    </w:p>
    <w:p>
      <w:pPr>
        <w:spacing w:line="240" w:lineRule="auto" w:before="4"/>
        <w:rPr>
          <w:rFonts w:ascii="宋体" w:hAnsi="宋体" w:cs="宋体" w:eastAsia="宋体" w:hint="default"/>
          <w:sz w:val="22"/>
          <w:szCs w:val="22"/>
        </w:rPr>
      </w:pPr>
    </w:p>
    <w:p>
      <w:pPr>
        <w:pStyle w:val="Heading4"/>
        <w:spacing w:line="240" w:lineRule="auto"/>
        <w:ind w:right="1123"/>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23,500,000.00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23,500,000.00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93,500,000.00</w:t>
            </w:r>
          </w:p>
        </w:tc>
      </w:tr>
    </w:tbl>
    <w:p>
      <w:pPr>
        <w:pStyle w:val="BodyText"/>
        <w:spacing w:line="240" w:lineRule="auto" w:before="49"/>
        <w:ind w:right="0"/>
        <w:jc w:val="both"/>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60" w:lineRule="auto" w:before="63"/>
        <w:ind w:right="1047"/>
        <w:jc w:val="both"/>
      </w:pPr>
      <w:r>
        <w:rPr/>
        <w:t>年的股份有限公司，设立前的年份只需说明净资产情况；有限责任公司整体变更为股份公司应说明公司设立时的验资情况 公司本期经中国证券监督管理委员会《关于核准美盛文化创意股份有限公司首次公开发行股票的批复》（证监许可〔</w:t>
      </w:r>
      <w:r>
        <w:rPr>
          <w:rFonts w:ascii="Times New Roman" w:hAnsi="Times New Roman" w:cs="Times New Roman" w:eastAsia="Times New Roman" w:hint="default"/>
        </w:rPr>
        <w:t>2012</w:t>
      </w:r>
      <w:r>
        <w:rPr/>
        <w:t>〕</w:t>
      </w:r>
    </w:p>
    <w:p>
      <w:pPr>
        <w:pStyle w:val="BodyText"/>
        <w:spacing w:line="212" w:lineRule="exact" w:before="0"/>
        <w:ind w:right="0"/>
        <w:jc w:val="both"/>
      </w:pPr>
      <w:r>
        <w:rPr>
          <w:rFonts w:ascii="Times New Roman" w:hAnsi="Times New Roman" w:cs="Times New Roman" w:eastAsia="Times New Roman" w:hint="default"/>
        </w:rPr>
        <w:t>983</w:t>
      </w:r>
      <w:r>
        <w:rPr/>
        <w:t>号）核准，向社会公开发行人民币普通股（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2,350</w:t>
      </w:r>
      <w:r>
        <w:rPr/>
        <w:t>万股，每股面值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20.19</w:t>
      </w:r>
      <w:r>
        <w:rPr/>
        <w:t>元，可募</w:t>
      </w:r>
    </w:p>
    <w:p>
      <w:pPr>
        <w:pStyle w:val="BodyText"/>
        <w:spacing w:line="300" w:lineRule="auto" w:before="63"/>
        <w:ind w:right="1129"/>
        <w:jc w:val="both"/>
      </w:pPr>
      <w:r>
        <w:rPr/>
        <w:t>集资金总额为</w:t>
      </w:r>
      <w:r>
        <w:rPr>
          <w:rFonts w:ascii="Times New Roman" w:hAnsi="Times New Roman" w:cs="Times New Roman" w:eastAsia="Times New Roman" w:hint="default"/>
        </w:rPr>
        <w:t>474,465,000.00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日，公司实际向社会公开发行人民币普通股（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2,350</w:t>
      </w:r>
      <w:r>
        <w:rPr/>
        <w:t>万股，应募集资 金总额</w:t>
      </w:r>
      <w:r>
        <w:rPr>
          <w:rFonts w:ascii="Times New Roman" w:hAnsi="Times New Roman" w:cs="Times New Roman" w:eastAsia="Times New Roman" w:hint="default"/>
        </w:rPr>
        <w:t>474,465,000.00</w:t>
      </w:r>
      <w:r>
        <w:rPr/>
        <w:t>元，减除发行费用人民币</w:t>
      </w:r>
      <w:r>
        <w:rPr>
          <w:rFonts w:ascii="Times New Roman" w:hAnsi="Times New Roman" w:cs="Times New Roman" w:eastAsia="Times New Roman" w:hint="default"/>
        </w:rPr>
        <w:t>48,183,727.10</w:t>
      </w:r>
      <w:r>
        <w:rPr/>
        <w:t>元后，募集资金净额为</w:t>
      </w:r>
      <w:r>
        <w:rPr>
          <w:rFonts w:ascii="Times New Roman" w:hAnsi="Times New Roman" w:cs="Times New Roman" w:eastAsia="Times New Roman" w:hint="default"/>
        </w:rPr>
        <w:t>426,281,272.90</w:t>
      </w:r>
      <w:r>
        <w:rPr/>
        <w:t>元。其中，计入股本人民 </w:t>
      </w:r>
      <w:r>
        <w:rPr>
          <w:spacing w:val="-2"/>
        </w:rPr>
        <w:t>币</w:t>
      </w:r>
      <w:r>
        <w:rPr>
          <w:rFonts w:ascii="Times New Roman" w:hAnsi="Times New Roman" w:cs="Times New Roman" w:eastAsia="Times New Roman" w:hint="default"/>
          <w:spacing w:val="-2"/>
        </w:rPr>
        <w:t>23,500,000.00</w:t>
      </w:r>
      <w:r>
        <w:rPr>
          <w:spacing w:val="-2"/>
        </w:rPr>
        <w:t>元，计入资本公积（股本溢价）</w:t>
      </w:r>
      <w:r>
        <w:rPr>
          <w:rFonts w:ascii="Times New Roman" w:hAnsi="Times New Roman" w:cs="Times New Roman" w:eastAsia="Times New Roman" w:hint="default"/>
          <w:spacing w:val="-2"/>
        </w:rPr>
        <w:t>402,781,272.90</w:t>
      </w:r>
      <w:r>
        <w:rPr>
          <w:spacing w:val="-2"/>
        </w:rPr>
        <w:t>元，上述股本变动业经天健会计师事务所（特殊普通合伙）验</w:t>
      </w:r>
      <w:r>
        <w:rPr>
          <w:spacing w:val="-44"/>
        </w:rPr>
        <w:t> </w:t>
      </w:r>
      <w:r>
        <w:rPr>
          <w:spacing w:val="-44"/>
        </w:rPr>
      </w:r>
      <w:r>
        <w:rPr/>
        <w:t>证，并出具验资报告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294</w:t>
      </w:r>
      <w:r>
        <w:rPr/>
        <w:t>号</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883" w:right="0"/>
              <w:jc w:val="left"/>
              <w:rPr>
                <w:rFonts w:ascii="Times New Roman" w:hAnsi="Times New Roman" w:cs="Times New Roman" w:eastAsia="Times New Roman" w:hint="default"/>
                <w:sz w:val="18"/>
                <w:szCs w:val="18"/>
              </w:rPr>
            </w:pPr>
            <w:r>
              <w:rPr>
                <w:rFonts w:ascii="Times New Roman"/>
                <w:sz w:val="18"/>
              </w:rPr>
              <w:t>4,925,644.89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5" w:right="0"/>
              <w:jc w:val="left"/>
              <w:rPr>
                <w:rFonts w:ascii="Times New Roman" w:hAnsi="Times New Roman" w:cs="Times New Roman" w:eastAsia="Times New Roman" w:hint="default"/>
                <w:sz w:val="18"/>
                <w:szCs w:val="18"/>
              </w:rPr>
            </w:pPr>
            <w:r>
              <w:rPr>
                <w:rFonts w:ascii="Times New Roman"/>
                <w:sz w:val="18"/>
              </w:rPr>
              <w:t>402,781,272.90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407,706,917.79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4,302,643.03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9,228,287.92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5" w:right="0"/>
              <w:jc w:val="left"/>
              <w:rPr>
                <w:rFonts w:ascii="Times New Roman" w:hAnsi="Times New Roman" w:cs="Times New Roman" w:eastAsia="Times New Roman" w:hint="default"/>
                <w:sz w:val="18"/>
                <w:szCs w:val="18"/>
              </w:rPr>
            </w:pPr>
            <w:r>
              <w:rPr>
                <w:rFonts w:ascii="Times New Roman"/>
                <w:sz w:val="18"/>
              </w:rPr>
              <w:t>402,781,272.90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412,009,560.82</w:t>
            </w:r>
          </w:p>
        </w:tc>
      </w:tr>
    </w:tbl>
    <w:p>
      <w:pPr>
        <w:pStyle w:val="BodyText"/>
        <w:spacing w:line="357" w:lineRule="auto" w:before="49"/>
        <w:ind w:right="6254"/>
        <w:jc w:val="left"/>
      </w:pPr>
      <w:r>
        <w:rPr/>
        <w:t>资本公积说明 本期资本公积变动详见本财务报表附注股本项目之说明。</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9,716,443.15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14,781,743.66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9,716,443.15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14,781,743.66</w:t>
            </w:r>
          </w:p>
        </w:tc>
      </w:tr>
    </w:tbl>
    <w:p>
      <w:pPr>
        <w:pStyle w:val="BodyText"/>
        <w:spacing w:line="360" w:lineRule="auto" w:before="49"/>
        <w:ind w:right="4454"/>
        <w:jc w:val="left"/>
      </w:pPr>
      <w:r>
        <w:rPr/>
        <w:t>盈余公积说明，用盈余公积转增股本、弥补亏损、分派股利的，应说明有关决议 本期增加系根据</w:t>
      </w:r>
      <w:r>
        <w:rPr>
          <w:rFonts w:ascii="Times New Roman" w:hAnsi="Times New Roman" w:cs="Times New Roman" w:eastAsia="Times New Roman" w:hint="default"/>
        </w:rPr>
        <w:t>2012</w:t>
      </w:r>
      <w:r>
        <w:rPr/>
        <w:t>年度实现净利润的</w:t>
      </w:r>
      <w:r>
        <w:rPr>
          <w:rFonts w:ascii="Times New Roman" w:hAnsi="Times New Roman" w:cs="Times New Roman" w:eastAsia="Times New Roman" w:hint="default"/>
        </w:rPr>
        <w:t>10%</w:t>
      </w:r>
      <w:r>
        <w:rPr/>
        <w:t>提取法定盈余公积。</w:t>
      </w:r>
    </w:p>
    <w:p>
      <w:pPr>
        <w:spacing w:line="240" w:lineRule="auto" w:before="5"/>
        <w:rPr>
          <w:rFonts w:ascii="宋体" w:hAnsi="宋体" w:cs="宋体" w:eastAsia="宋体" w:hint="default"/>
          <w:sz w:val="18"/>
          <w:szCs w:val="18"/>
        </w:rPr>
      </w:pPr>
    </w:p>
    <w:p>
      <w:pPr>
        <w:pStyle w:val="Heading4"/>
        <w:spacing w:line="240" w:lineRule="auto"/>
        <w:ind w:right="1123"/>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85,580,788.31</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85,580,788.31</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49,015,839.49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5,065,300.51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129,531,327.29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调整年初未分配利润明细：</w:t>
      </w:r>
    </w:p>
    <w:p>
      <w:pPr>
        <w:pStyle w:val="BodyText"/>
        <w:spacing w:line="240" w:lineRule="auto" w:before="115"/>
        <w:ind w:right="1123"/>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1123"/>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1123"/>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1"/>
        <w:ind w:right="1123"/>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6" w:lineRule="auto" w:before="103"/>
        <w:ind w:right="1123"/>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240" w:lineRule="auto" w:before="50"/>
        <w:ind w:right="1123"/>
        <w:jc w:val="left"/>
      </w:pPr>
      <w:r>
        <w:rPr/>
        <w:t>本年度发行新股前的滚存利润，经股东大会审议批准由新老股东共同享有。</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26</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203,875,960.65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214,250,283.76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1,173,350.03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3,221,123.18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124,479,317.96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120,692,099.71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文教体育用品制造</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9" w:right="0"/>
              <w:jc w:val="left"/>
              <w:rPr>
                <w:rFonts w:ascii="Times New Roman" w:hAnsi="Times New Roman" w:cs="Times New Roman" w:eastAsia="Times New Roman" w:hint="default"/>
                <w:sz w:val="18"/>
                <w:szCs w:val="18"/>
              </w:rPr>
            </w:pPr>
            <w:r>
              <w:rPr>
                <w:rFonts w:ascii="Times New Roman"/>
                <w:sz w:val="18"/>
              </w:rPr>
              <w:t>203,875,960.65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123,706,100.75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214,250,283.76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118,991,870.15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203,875,960.65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123,706,100.75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214,250,283.76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118,991,870.15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175,400,380.05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103,457,124.63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172,063,482.94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87,601,771.17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28,475,580.60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20,248,976.12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42,186,800.82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31,390,098.98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203,875,960.65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123,706,100.75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214,250,283.76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118,991,870.15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198,792,588.32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120,875,538.81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208,503,177.94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114,785,202.18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5,083,372.33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2,830,561.94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5,747,105.82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4,206,667.97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203,875,960.65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123,706,100.75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214,250,283.76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118,991,870.15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95.331711pt;width:135pt;height:77pt;mso-position-horizontal-relative:page;mso-position-vertical-relative:paragraph;z-index:-661960" coordorigin="9206,1907" coordsize="2700,1540">
            <v:shape style="position:absolute;left:9206;top:1907;width:2700;height:1540" type="#_x0000_t75" stroked="false">
              <v:imagedata r:id="rId15" o:title=""/>
            </v:shape>
            <v:shape style="position:absolute;left:10593;top:226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2"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91,568,973.23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26,603,737.16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16,564,430.40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10,481,486.60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9,186,513.90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154,405,141.29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75.3%</w:t>
            </w:r>
          </w:p>
        </w:tc>
      </w:tr>
    </w:tbl>
    <w:p>
      <w:pPr>
        <w:pStyle w:val="BodyText"/>
        <w:spacing w:line="357" w:lineRule="auto" w:before="49"/>
        <w:ind w:right="2474"/>
        <w:jc w:val="left"/>
      </w:pPr>
      <w:r>
        <w:rPr/>
        <w:t>营业收入的说明 营业收入的下降，主要是因为国内外经济形势较为严峻，人民币较大幅度升值，营业收入折算同期下降。</w:t>
      </w:r>
    </w:p>
    <w:p>
      <w:pPr>
        <w:spacing w:line="240" w:lineRule="auto" w:before="6"/>
        <w:rPr>
          <w:rFonts w:ascii="宋体" w:hAnsi="宋体" w:cs="宋体" w:eastAsia="宋体" w:hint="default"/>
          <w:sz w:val="20"/>
          <w:szCs w:val="20"/>
        </w:rPr>
      </w:pPr>
    </w:p>
    <w:p>
      <w:pPr>
        <w:pStyle w:val="Heading4"/>
        <w:spacing w:line="240" w:lineRule="auto"/>
        <w:ind w:right="1123"/>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29,709.72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4,445.10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993,473.04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1,180,795.00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595,604.76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708,096.17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406,025.23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472,064.13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2,024,812.75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2,365,400.40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1,823,982.80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1,149,235.15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977,210.13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836,656.86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2,572,610.21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2,970,995.20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459,046.67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763,921.82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523,000.01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303,739.67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146,093.53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6,918,087.33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6,085,027.42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10,128,916.38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6,936,157.59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1,750,398.11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1,507,446.55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463,639.88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489,973.06</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1340" w:header="877" w:top="1060" w:bottom="1540" w:left="980" w:right="0"/>
          <w:pgNumType w:start="94"/>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1,409,135.20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1,054,913.22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1,523,834.41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1,691,061.83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620,626.42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186,270.86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1,469,132.34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1,305,087.31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3,598,450.29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4,745,249.31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1,370,762.02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1,007,795.31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479,891.43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419,376.36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22,894,546.48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23,966,394.43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2,398,744.58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-3,225,669.62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-138,040.10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1,602,171.57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2,170,975.90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-552,720.88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-213,704.81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103,584.38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209,629.14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-2,058,529.55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4,427,604.71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-373,498.45</w:t>
            </w:r>
          </w:p>
        </w:tc>
      </w:tr>
      <w:tr>
        <w:trPr>
          <w:trHeight w:val="40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-463,298.45</w:t>
            </w:r>
          </w:p>
        </w:tc>
      </w:tr>
    </w:tbl>
    <w:p>
      <w:pPr>
        <w:pStyle w:val="BodyText"/>
        <w:spacing w:line="240" w:lineRule="auto" w:before="49"/>
        <w:ind w:right="1123"/>
        <w:jc w:val="left"/>
      </w:pPr>
      <w:r>
        <w:rPr/>
        <w:t>公允价值变动收益的说明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283,464.05</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283,464.05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2,427.18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7,811.52</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2,427.18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7,811.52</w:t>
            </w:r>
          </w:p>
        </w:tc>
      </w:tr>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17,303,616.67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4,967,940.00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17,303,616.67</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10,593.28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53,681.75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10,593.28</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17,322,021.47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5,024,048.93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17,322,021.47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09"/>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22,816.67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17,280,800.00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4,934,100.00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17,303,616.67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4,967,940.00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314"/>
        <w:jc w:val="left"/>
      </w:pPr>
      <w:r>
        <w:rPr/>
        <w:t>营业外收入说明 政府补助明细说明</w:t>
      </w:r>
    </w:p>
    <w:tbl>
      <w:tblPr>
        <w:tblW w:w="0" w:type="auto"/>
        <w:jc w:val="left"/>
        <w:tblInd w:w="145" w:type="dxa"/>
        <w:tblLayout w:type="fixed"/>
        <w:tblCellMar>
          <w:top w:w="0" w:type="dxa"/>
          <w:left w:w="0" w:type="dxa"/>
          <w:bottom w:w="0" w:type="dxa"/>
          <w:right w:w="0" w:type="dxa"/>
        </w:tblCellMar>
        <w:tblLook w:val="01E0"/>
      </w:tblPr>
      <w:tblGrid>
        <w:gridCol w:w="2977"/>
        <w:gridCol w:w="1702"/>
        <w:gridCol w:w="4112"/>
      </w:tblGrid>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25"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县财政上市奖励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16,860,000.00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新委（</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54</w:t>
            </w:r>
            <w:r>
              <w:rPr>
                <w:rFonts w:ascii="宋体" w:hAnsi="宋体" w:cs="宋体" w:eastAsia="宋体" w:hint="default"/>
                <w:sz w:val="18"/>
                <w:szCs w:val="18"/>
              </w:rPr>
              <w:t>号</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创新创业启动资金及引才奖励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6" w:right="0"/>
              <w:jc w:val="left"/>
              <w:rPr>
                <w:rFonts w:ascii="Times New Roman" w:hAnsi="Times New Roman" w:cs="Times New Roman" w:eastAsia="Times New Roman" w:hint="default"/>
                <w:sz w:val="18"/>
                <w:szCs w:val="18"/>
              </w:rPr>
            </w:pPr>
            <w:r>
              <w:rPr>
                <w:rFonts w:ascii="Times New Roman"/>
                <w:sz w:val="18"/>
              </w:rPr>
              <w:t>400,000.00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《绍兴市</w:t>
            </w:r>
            <w:r>
              <w:rPr>
                <w:rFonts w:ascii="Times New Roman" w:hAnsi="Times New Roman" w:cs="Times New Roman" w:eastAsia="Times New Roman" w:hint="default"/>
                <w:sz w:val="18"/>
                <w:szCs w:val="18"/>
              </w:rPr>
              <w:t>“330</w:t>
            </w:r>
            <w:r>
              <w:rPr>
                <w:rFonts w:ascii="宋体" w:hAnsi="宋体" w:cs="宋体" w:eastAsia="宋体" w:hint="default"/>
                <w:sz w:val="18"/>
                <w:szCs w:val="18"/>
              </w:rPr>
              <w:t>海外英才计划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实施办法》</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自营出口奖励</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20,000.00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新委〔</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号</w:t>
            </w:r>
          </w:p>
        </w:tc>
      </w:tr>
      <w:tr>
        <w:trPr>
          <w:trHeight w:val="740"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75"/>
              <w:jc w:val="left"/>
              <w:rPr>
                <w:rFonts w:ascii="宋体" w:hAnsi="宋体" w:cs="宋体" w:eastAsia="宋体" w:hint="default"/>
                <w:sz w:val="18"/>
                <w:szCs w:val="18"/>
              </w:rPr>
            </w:pPr>
            <w:r>
              <w:rPr>
                <w:rFonts w:ascii="宋体" w:hAnsi="宋体" w:cs="宋体" w:eastAsia="宋体" w:hint="default"/>
                <w:sz w:val="18"/>
                <w:szCs w:val="18"/>
              </w:rPr>
              <w:t>动漫文化创意基地（一期）建设项目 转入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16,666.67</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详见本财务报表附注其他非流动负债之说明</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文博会参展经费补助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3,800.00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新财行字（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347</w:t>
            </w:r>
            <w:r>
              <w:rPr>
                <w:rFonts w:ascii="宋体" w:hAnsi="宋体" w:cs="宋体" w:eastAsia="宋体" w:hint="default"/>
                <w:sz w:val="18"/>
                <w:szCs w:val="18"/>
              </w:rPr>
              <w:t>号</w:t>
            </w:r>
          </w:p>
        </w:tc>
      </w:tr>
      <w:tr>
        <w:trPr>
          <w:trHeight w:val="739"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广交会参展费用减免</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2,350.00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97" w:lineRule="auto" w:before="61"/>
              <w:ind w:left="4" w:right="46"/>
              <w:jc w:val="left"/>
              <w:rPr>
                <w:rFonts w:ascii="宋体" w:hAnsi="宋体" w:cs="宋体" w:eastAsia="宋体" w:hint="default"/>
                <w:sz w:val="18"/>
                <w:szCs w:val="18"/>
              </w:rPr>
            </w:pPr>
            <w:r>
              <w:rPr>
                <w:rFonts w:ascii="宋体" w:hAnsi="宋体" w:cs="宋体" w:eastAsia="宋体" w:hint="default"/>
                <w:sz w:val="18"/>
                <w:szCs w:val="18"/>
              </w:rPr>
              <w:t>《绍兴市商务局关于减免第</w:t>
            </w:r>
            <w:r>
              <w:rPr>
                <w:rFonts w:ascii="Times New Roman" w:hAnsi="Times New Roman" w:cs="Times New Roman" w:eastAsia="Times New Roman" w:hint="default"/>
                <w:sz w:val="18"/>
                <w:szCs w:val="18"/>
              </w:rPr>
              <w:t>111</w:t>
            </w:r>
            <w:r>
              <w:rPr>
                <w:rFonts w:ascii="宋体" w:hAnsi="宋体" w:cs="宋体" w:eastAsia="宋体" w:hint="default"/>
                <w:sz w:val="18"/>
                <w:szCs w:val="18"/>
              </w:rPr>
              <w:t>届广交会小微企业关 于参展费用的通知》</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优秀宣传文化成果奖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800.00</w:t>
            </w:r>
          </w:p>
        </w:tc>
        <w:tc>
          <w:tcPr>
            <w:tcW w:w="41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新财行字（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425</w:t>
            </w:r>
            <w:r>
              <w:rPr>
                <w:rFonts w:ascii="宋体" w:hAnsi="宋体" w:cs="宋体" w:eastAsia="宋体" w:hint="default"/>
                <w:sz w:val="18"/>
                <w:szCs w:val="18"/>
              </w:rPr>
              <w:t>号</w:t>
            </w:r>
          </w:p>
        </w:tc>
      </w:tr>
      <w:tr>
        <w:trPr>
          <w:trHeight w:val="42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17,303,616.67</w:t>
            </w:r>
          </w:p>
        </w:tc>
        <w:tc>
          <w:tcPr>
            <w:tcW w:w="411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8"/>
        <w:ind w:right="1123"/>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2"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118,859.08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36,597.81</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36,597.81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118,859.08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36,597.81</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153,608.55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216,922.62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540,206.36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335,897.53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386,597.81</w:t>
            </w:r>
          </w:p>
        </w:tc>
      </w:tr>
    </w:tbl>
    <w:p>
      <w:pPr>
        <w:pStyle w:val="BodyText"/>
        <w:spacing w:line="240" w:lineRule="auto" w:before="49"/>
        <w:ind w:right="1123"/>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57" w:right="0"/>
              <w:jc w:val="left"/>
              <w:rPr>
                <w:rFonts w:ascii="Times New Roman" w:hAnsi="Times New Roman" w:cs="Times New Roman" w:eastAsia="Times New Roman" w:hint="default"/>
                <w:sz w:val="18"/>
                <w:szCs w:val="18"/>
              </w:rPr>
            </w:pPr>
            <w:r>
              <w:rPr>
                <w:rFonts w:ascii="Times New Roman"/>
                <w:sz w:val="18"/>
              </w:rPr>
              <w:t>17,756,656.33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18,615,082.94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91"/>
      </w:tblGrid>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-268,082.61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-109,248.67</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17,488,573.72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18,505,834.27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基本每股收益的计算过程</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321"/>
        <w:gridCol w:w="1440"/>
        <w:gridCol w:w="2880"/>
      </w:tblGrid>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49,015,839.49</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B</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11,707,131.29</w:t>
            </w:r>
          </w:p>
        </w:tc>
      </w:tr>
      <w:tr>
        <w:trPr>
          <w:trHeight w:val="740"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59"/>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 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C=A-B</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37,308,708.20</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70,000,000.00</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E</w:t>
            </w:r>
          </w:p>
        </w:tc>
        <w:tc>
          <w:tcPr>
            <w:tcW w:w="2880" w:type="dxa"/>
            <w:tcBorders>
              <w:top w:val="single" w:sz="6" w:space="0" w:color="000000"/>
              <w:left w:val="single" w:sz="6" w:space="0" w:color="000000"/>
              <w:bottom w:val="single" w:sz="6" w:space="0" w:color="000000"/>
              <w:right w:val="nil" w:sz="6" w:space="0" w:color="auto"/>
            </w:tcBorders>
          </w:tcPr>
          <w:p>
            <w:pP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23,500,000.00</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768"/>
              <w:jc w:val="right"/>
              <w:rPr>
                <w:rFonts w:ascii="Times New Roman" w:hAnsi="Times New Roman" w:cs="Times New Roman" w:eastAsia="Times New Roman" w:hint="default"/>
                <w:sz w:val="18"/>
                <w:szCs w:val="18"/>
              </w:rPr>
            </w:pPr>
            <w:r>
              <w:rPr>
                <w:rFonts w:ascii="Times New Roman"/>
                <w:sz w:val="18"/>
              </w:rPr>
              <w:t>3</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
        </w:tc>
      </w:tr>
      <w:tr>
        <w:trPr>
          <w:trHeight w:val="425"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
        </w:tc>
      </w:tr>
      <w:tr>
        <w:trPr>
          <w:trHeight w:val="428"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749"/>
              <w:jc w:val="right"/>
              <w:rPr>
                <w:rFonts w:ascii="Times New Roman" w:hAnsi="Times New Roman" w:cs="Times New Roman" w:eastAsia="Times New Roman" w:hint="default"/>
                <w:sz w:val="18"/>
                <w:szCs w:val="18"/>
              </w:rPr>
            </w:pPr>
            <w:r>
              <w:rPr>
                <w:rFonts w:ascii="Times New Roman"/>
                <w:sz w:val="18"/>
              </w:rPr>
              <w:t>12</w:t>
            </w:r>
          </w:p>
        </w:tc>
      </w:tr>
      <w:tr>
        <w:trPr>
          <w:trHeight w:val="739"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L=D+E+F×G/K-H</w:t>
            </w:r>
          </w:p>
          <w:p>
            <w:pPr>
              <w:pStyle w:val="TableParagraph"/>
              <w:spacing w:line="240" w:lineRule="auto" w:before="102"/>
              <w:ind w:left="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×I/K-J</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75,875,000.00</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M=A/L</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756"/>
              <w:jc w:val="right"/>
              <w:rPr>
                <w:rFonts w:ascii="Times New Roman" w:hAnsi="Times New Roman" w:cs="Times New Roman" w:eastAsia="Times New Roman" w:hint="default"/>
                <w:sz w:val="18"/>
                <w:szCs w:val="18"/>
              </w:rPr>
            </w:pPr>
            <w:r>
              <w:rPr>
                <w:rFonts w:ascii="Times New Roman"/>
                <w:sz w:val="18"/>
              </w:rPr>
              <w:t>0.65</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N=C/L</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756"/>
              <w:jc w:val="right"/>
              <w:rPr>
                <w:rFonts w:ascii="Times New Roman" w:hAnsi="Times New Roman" w:cs="Times New Roman" w:eastAsia="Times New Roman" w:hint="default"/>
                <w:sz w:val="18"/>
                <w:szCs w:val="18"/>
              </w:rPr>
            </w:pPr>
            <w:r>
              <w:rPr>
                <w:rFonts w:ascii="Times New Roman"/>
                <w:sz w:val="18"/>
              </w:rPr>
              <w:t>0.49</w:t>
            </w:r>
          </w:p>
        </w:tc>
      </w:tr>
    </w:tbl>
    <w:p>
      <w:pPr>
        <w:pStyle w:val="BodyText"/>
        <w:spacing w:line="340" w:lineRule="auto" w:before="49"/>
        <w:ind w:right="60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稀释每股收益的计算过程</w:t>
      </w:r>
      <w:r>
        <w:rPr>
          <w:w w:val="99"/>
        </w:rPr>
        <w:t> </w:t>
      </w:r>
      <w:r>
        <w:rPr/>
        <w:t>稀释每股收益的计算过程与基本每股收益的计算过程相同。</w:t>
      </w:r>
    </w:p>
    <w:p>
      <w:pPr>
        <w:spacing w:line="240" w:lineRule="auto" w:before="3"/>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38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4,906,258.92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17,286,950.00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737,014.43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102,582.81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23,032,806.16</w:t>
            </w:r>
          </w:p>
        </w:tc>
      </w:tr>
    </w:tbl>
    <w:p>
      <w:pPr>
        <w:pStyle w:val="BodyText"/>
        <w:spacing w:line="240" w:lineRule="auto" w:before="49"/>
        <w:ind w:left="112" w:right="1124"/>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left="112" w:right="112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销售及管理两项费用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10,695,031.46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手续费及捐赠支出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453,584.38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单位及个人往来款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738,539.11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11,887,154.95</w:t>
            </w:r>
          </w:p>
        </w:tc>
      </w:tr>
    </w:tbl>
    <w:p>
      <w:pPr>
        <w:pStyle w:val="BodyText"/>
        <w:spacing w:line="240" w:lineRule="auto" w:before="49"/>
        <w:ind w:left="112" w:right="1124"/>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left="112" w:right="112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left="112" w:right="1124"/>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left="112" w:right="112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343,999,980.00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远期外汇保值结汇</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322,850.00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出租收入税费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344,336,597.00</w:t>
            </w:r>
          </w:p>
        </w:tc>
      </w:tr>
    </w:tbl>
    <w:p>
      <w:pPr>
        <w:pStyle w:val="BodyText"/>
        <w:spacing w:line="240" w:lineRule="auto" w:before="49"/>
        <w:ind w:left="112" w:right="1124"/>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left="112" w:right="1124"/>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left="112" w:right="1124"/>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left="112" w:right="1124"/>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877" w:footer="1340" w:top="1060" w:bottom="154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ind w:right="112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49,015,839.49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48,296,434.90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-140,770.99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283,464.05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4,243,363.27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3,603,455.17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490,839.88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489,973.06</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28,786.29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118,859.08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463,298.45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398,059.05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2,416,961.26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-268,082.61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-86,798.67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-6,298,207.27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-8,814,602.58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9,299,755.15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3,064,697.83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6,998,421.54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-6,538,710.96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64,977,252.40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44,651,224.62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112,390,682.74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26,182,160.58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26,182,160.58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33,669,525.83</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86,208,522.16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-7,487,365.25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40"/>
          <w:pgSz w:w="11910" w:h="16840"/>
          <w:pgMar w:footer="1340" w:header="877"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112,390,682.74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26,182,160.58</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17,453.88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31,708.25</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112,373,228.86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26,150,452.33</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112,390,682.74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26,182,160.58</w:t>
            </w:r>
          </w:p>
        </w:tc>
      </w:tr>
    </w:tbl>
    <w:p>
      <w:pPr>
        <w:pStyle w:val="BodyText"/>
        <w:spacing w:line="357" w:lineRule="auto" w:before="49"/>
        <w:ind w:right="5309"/>
        <w:jc w:val="left"/>
      </w:pPr>
      <w:r>
        <w:rPr/>
        <w:t>现金流量表补充资料的说明 期末本公司准备持有至到期支取的定期存款金额为</w:t>
      </w:r>
      <w:r>
        <w:rPr>
          <w:rFonts w:ascii="Times New Roman" w:hAnsi="Times New Roman" w:cs="Times New Roman" w:eastAsia="Times New Roman" w:hint="default"/>
        </w:rPr>
        <w:t>343,999,980.00</w:t>
      </w:r>
      <w:r>
        <w:rPr/>
        <w:t>元。</w:t>
      </w:r>
    </w:p>
    <w:p>
      <w:pPr>
        <w:spacing w:line="240" w:lineRule="auto" w:before="10"/>
        <w:rPr>
          <w:rFonts w:ascii="宋体" w:hAnsi="宋体" w:cs="宋体" w:eastAsia="宋体" w:hint="default"/>
          <w:sz w:val="16"/>
          <w:szCs w:val="16"/>
        </w:rPr>
      </w:pPr>
    </w:p>
    <w:p>
      <w:pPr>
        <w:pStyle w:val="Heading2"/>
        <w:spacing w:line="240" w:lineRule="auto"/>
        <w:ind w:right="1123"/>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浙江莱盛 实业有限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新昌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46.38%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46.38%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66832590</w:t>
            </w:r>
          </w:p>
        </w:tc>
      </w:tr>
    </w:tbl>
    <w:p>
      <w:pPr>
        <w:pStyle w:val="BodyText"/>
        <w:spacing w:line="240" w:lineRule="auto" w:before="49"/>
        <w:ind w:right="1123"/>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莱盛童话服 饰（上海）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561945207</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内蒙古荣盛 文化传媒股 份有限公司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05784160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嵊州市美源 饰品有限公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嵊州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789691311</w:t>
            </w:r>
          </w:p>
        </w:tc>
      </w:tr>
    </w:tbl>
    <w:p>
      <w:pPr>
        <w:spacing w:after="0" w:line="240" w:lineRule="auto"/>
        <w:jc w:val="left"/>
        <w:rPr>
          <w:rFonts w:ascii="Times New Roman" w:hAnsi="Times New Roman" w:cs="Times New Roman" w:eastAsia="Times New Roman" w:hint="default"/>
          <w:sz w:val="18"/>
          <w:szCs w:val="18"/>
        </w:rPr>
        <w:sectPr>
          <w:footerReference w:type="default" r:id="rId41"/>
          <w:pgSz w:w="11910" w:h="16840"/>
          <w:pgMar w:footer="1340" w:header="877" w:top="1060" w:bottom="1540" w:left="980" w:right="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pStyle w:val="BodyText"/>
        <w:spacing w:line="240" w:lineRule="auto" w:before="49"/>
        <w:ind w:right="1123"/>
        <w:jc w:val="left"/>
      </w:pPr>
      <w:r>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上市公司应收关联方款项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3"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49"/>
        <w:ind w:right="1123"/>
        <w:jc w:val="left"/>
      </w:pPr>
      <w:r>
        <w:rPr/>
        <w:t>上市公司应付关联方款项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3"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九、承诺事项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月，公司与杭州浙大网新科技实业投资有限公司就位于杭州市滨江区</w:t>
      </w:r>
      <w:r>
        <w:rPr>
          <w:rFonts w:ascii="Times New Roman" w:hAnsi="Times New Roman" w:cs="Times New Roman" w:eastAsia="Times New Roman" w:hint="default"/>
        </w:rPr>
        <w:t>“</w:t>
      </w:r>
      <w:r>
        <w:rPr/>
        <w:t>网新双城大厦</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w:t>
      </w:r>
      <w:r>
        <w:rPr/>
        <w:t>幢第</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层签订房屋认 </w:t>
      </w:r>
      <w:r>
        <w:rPr>
          <w:spacing w:val="-1"/>
        </w:rPr>
        <w:t>购书，预付购房款</w:t>
      </w:r>
      <w:r>
        <w:rPr>
          <w:rFonts w:ascii="Times New Roman" w:hAnsi="Times New Roman" w:cs="Times New Roman" w:eastAsia="Times New Roman" w:hint="default"/>
          <w:spacing w:val="-1"/>
        </w:rPr>
        <w:t>700</w:t>
      </w:r>
      <w:r>
        <w:rPr>
          <w:spacing w:val="-1"/>
        </w:rPr>
        <w:t>万元。</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日签订正式商品房买卖合同，房屋及地下车位总价款</w:t>
      </w:r>
      <w:r>
        <w:rPr>
          <w:rFonts w:ascii="Times New Roman" w:hAnsi="Times New Roman" w:cs="Times New Roman" w:eastAsia="Times New Roman" w:hint="default"/>
          <w:spacing w:val="-1"/>
        </w:rPr>
        <w:t>69288764.00</w:t>
      </w:r>
      <w:r>
        <w:rPr>
          <w:spacing w:val="-1"/>
        </w:rPr>
        <w:t>元，公司已于</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年</w:t>
      </w:r>
      <w:r>
        <w:rPr>
          <w:rFonts w:ascii="Times New Roman" w:hAnsi="Times New Roman" w:cs="Times New Roman" w:eastAsia="Times New Roman" w:hint="default"/>
        </w:rPr>
        <w:t>2</w:t>
      </w:r>
      <w:r>
        <w:rPr/>
        <w:t>月支付完毕。</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3"/>
        <w:gridCol w:w="2380"/>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46,750,000.00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23"/>
        <w:jc w:val="left"/>
        <w:rPr>
          <w:b w:val="0"/>
          <w:bCs w:val="0"/>
        </w:rPr>
      </w:pPr>
      <w:r>
        <w:rPr/>
        <w:t>十一、其他重要事项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、租赁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经营租出固定资产详见本财务报表附注报表项目注释固定资产之说明。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373,498.45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1,259,897.05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38,825,507.27</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214,459.61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33,572,081.74</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38,825,507.27</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214,459.61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33,572,081.74</w:t>
            </w:r>
          </w:p>
        </w:tc>
      </w:tr>
      <w:tr>
        <w:trPr>
          <w:trHeight w:val="404"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373,498.45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8" w:right="0"/>
              <w:jc w:val="left"/>
              <w:rPr>
                <w:rFonts w:ascii="Times New Roman" w:hAnsi="Times New Roman" w:cs="Times New Roman" w:eastAsia="Times New Roman" w:hint="default"/>
                <w:sz w:val="18"/>
                <w:szCs w:val="18"/>
              </w:rPr>
            </w:pPr>
            <w:r>
              <w:rPr>
                <w:rFonts w:ascii="Times New Roman"/>
                <w:sz w:val="18"/>
              </w:rPr>
              <w:t>886,398.60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1,259,897.05</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十二、母公司财务报表主要项目注释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36,213,734.48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2,279,229.76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39,672,395.47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2,087,913.78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36,213,734.48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2,279,229.76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39,672,395.47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2,087,913.78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36,213,734.48</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2,279,229.76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39,672,395.47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2,087,913.78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57" w:lineRule="auto" w:before="29"/>
        <w:ind w:right="-20"/>
        <w:jc w:val="left"/>
      </w:pPr>
      <w:r>
        <w:rPr/>
        <w:t>□ 适用 √</w:t>
      </w:r>
      <w:r>
        <w:rPr>
          <w:spacing w:val="3"/>
        </w:rPr>
        <w:t> </w:t>
      </w:r>
      <w:r>
        <w:rPr/>
        <w:t>不适用</w:t>
      </w:r>
      <w:r>
        <w:rPr/>
        <w:t> 组合中，采用账龄分析法计提坏账准备的应收账款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5"/>
        <w:gridCol w:w="2000"/>
        <w:gridCol w:w="657"/>
        <w:gridCol w:w="1468"/>
        <w:gridCol w:w="2126"/>
        <w:gridCol w:w="654"/>
        <w:gridCol w:w="1599"/>
      </w:tblGrid>
      <w:tr>
        <w:trPr>
          <w:trHeight w:val="403" w:hRule="exact"/>
        </w:trPr>
        <w:tc>
          <w:tcPr>
            <w:tcW w:w="1055"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55" w:type="dxa"/>
            <w:vMerge w:val="restart"/>
            <w:tcBorders>
              <w:top w:val="nil" w:sz="6" w:space="0" w:color="auto"/>
              <w:left w:val="single" w:sz="4" w:space="0" w:color="000000"/>
              <w:right w:val="single" w:sz="4" w:space="0" w:color="000000"/>
            </w:tcBorders>
            <w:shd w:val="clear" w:color="auto" w:fill="D2D2D2"/>
          </w:tcPr>
          <w:p>
            <w:pPr/>
          </w:p>
        </w:tc>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5" w:type="dxa"/>
            <w:vMerge/>
            <w:tcBorders>
              <w:left w:val="single" w:sz="4" w:space="0" w:color="000000"/>
              <w:right w:val="single" w:sz="4" w:space="0" w:color="000000"/>
            </w:tcBorders>
            <w:shd w:val="clear" w:color="auto" w:fill="D2D2D2"/>
          </w:tcPr>
          <w:p>
            <w:pPr/>
          </w:p>
        </w:tc>
        <w:tc>
          <w:tcPr>
            <w:tcW w:w="2000"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55" w:type="dxa"/>
            <w:vMerge/>
            <w:tcBorders>
              <w:left w:val="single" w:sz="4" w:space="0" w:color="000000"/>
              <w:bottom w:val="single" w:sz="4" w:space="0" w:color="000000"/>
              <w:right w:val="single" w:sz="4" w:space="0" w:color="000000"/>
            </w:tcBorders>
            <w:shd w:val="clear" w:color="auto" w:fill="D2D2D2"/>
          </w:tcPr>
          <w:p>
            <w:pPr/>
          </w:p>
        </w:tc>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31,548,418.41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87.12%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1,577,420.92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37,870,810.29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1,893,540.51</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4,103,657.49</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11.33%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410,365.75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1,766,087.68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176,608.77</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526,279.26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263,139.63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35,466.00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17,733.00</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35,379.32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28,303.46</w:t>
            </w:r>
          </w:p>
        </w:tc>
        <w:tc>
          <w:tcPr>
            <w:tcW w:w="2126"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0" w:type="dxa"/>
            <w:tcBorders>
              <w:top w:val="single" w:sz="4" w:space="0" w:color="000000"/>
              <w:left w:val="single" w:sz="12"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31.50</w:t>
            </w:r>
          </w:p>
        </w:tc>
        <w:tc>
          <w:tcPr>
            <w:tcW w:w="6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31.50</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36,213,734.48</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2,279,229.76</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39,672,395.47</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2,087,913.78</w:t>
            </w:r>
          </w:p>
        </w:tc>
      </w:tr>
    </w:tbl>
    <w:p>
      <w:pPr>
        <w:pStyle w:val="BodyText"/>
        <w:spacing w:line="240" w:lineRule="auto" w:before="49"/>
        <w:ind w:right="1123"/>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57" w:lineRule="auto" w:before="27"/>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1123"/>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5,864,884.41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5,119,542.39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4,403,427.77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3,710,010.09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3,173,094.76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22,447,923.89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61.98%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1"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4,951,720.79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342,600.31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6,821,856.67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508,423.93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7.45%</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4,951,720.79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342,600.31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6,821,856.67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508,423.93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7.45%</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4,951,720.79</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342,600.31</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6,821,856.67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508,423.93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360" w:lineRule="auto" w:before="25"/>
        <w:ind w:right="-20"/>
        <w:jc w:val="left"/>
      </w:pPr>
      <w:r>
        <w:rPr/>
        <w:t>□ 适用 √</w:t>
      </w:r>
      <w:r>
        <w:rPr>
          <w:spacing w:val="3"/>
        </w:rPr>
        <w:t> </w:t>
      </w:r>
      <w:r>
        <w:rPr/>
        <w:t>不适用</w:t>
      </w:r>
      <w:r>
        <w:rPr/>
        <w:t> 组合中，采用账龄分析法计提坏账准备的其他应收款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595"/>
        <w:gridCol w:w="1867"/>
        <w:gridCol w:w="660"/>
        <w:gridCol w:w="1725"/>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3,697,331.27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184,866.56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5,390,858.67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79.02%</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269,542.93</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1,194,817.52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119,481.75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1,191,545.00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17.47%</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119,154.50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31,352.00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15,676.00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239,453.00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3.51%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119,726.50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28,220.00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22,576.00</w:t>
            </w:r>
          </w:p>
        </w:tc>
        <w:tc>
          <w:tcPr>
            <w:tcW w:w="186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4,951,720.79</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342,600.31</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6,821,856.67</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508,423.93</w:t>
            </w:r>
          </w:p>
        </w:tc>
      </w:tr>
    </w:tbl>
    <w:p>
      <w:pPr>
        <w:pStyle w:val="BodyText"/>
        <w:spacing w:line="240" w:lineRule="auto" w:before="49"/>
        <w:ind w:right="1123"/>
        <w:jc w:val="left"/>
      </w:pPr>
      <w:r>
        <w:rPr/>
        <w:t>组合中，采用余额百分比法计提坏账准备的其他应收款</w:t>
      </w:r>
    </w:p>
    <w:p>
      <w:pPr>
        <w:pStyle w:val="BodyText"/>
        <w:spacing w:line="240" w:lineRule="auto" w:before="117"/>
        <w:ind w:right="1123"/>
        <w:jc w:val="left"/>
      </w:pPr>
      <w:r>
        <w:rPr/>
        <w:t>□ 适用 √</w:t>
      </w:r>
      <w:r>
        <w:rPr>
          <w:spacing w:val="3"/>
        </w:rPr>
        <w:t> </w:t>
      </w:r>
      <w:r>
        <w:rPr/>
        <w:t>不适用</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组合中，采用其他方法计提坏账准备的其他应收款</w:t>
      </w:r>
    </w:p>
    <w:p>
      <w:pPr>
        <w:pStyle w:val="BodyText"/>
        <w:spacing w:line="357" w:lineRule="auto" w:before="117"/>
        <w:ind w:right="6254"/>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112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1123"/>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1123"/>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莱盛童话服饰（上海）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2,108,898.47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42.59%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内蒙古荣盛文化传媒股 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940,791.31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嵊州市美源饰品有限公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66188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108</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新昌电力公司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4,672,419.78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94.36%</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莱盛童话服饰（上海）有限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2,108,898.47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42.59%</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内蒙古荣盛文化传媒股份有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284,730.00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3,643,628.47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73.58%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4"/>
        <w:spacing w:line="240" w:lineRule="auto" w:before="120"/>
        <w:ind w:right="1123"/>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嵊州市美 源饰品有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莱盛童话 服饰（上 海）有限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内蒙古荣 盛文化传 媒股份有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19,110,00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15,360,00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19,110,00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203,444,889.46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213,406,557.97</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1,173,350.03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3,219,717.74</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204,618,239.49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216,626,275.71</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124,479,317.96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120,658,809.04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文教体育用品制造</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203,444,889.46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123,706,100.75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213,406,557.97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5" w:right="0"/>
              <w:jc w:val="left"/>
              <w:rPr>
                <w:rFonts w:ascii="Times New Roman" w:hAnsi="Times New Roman" w:cs="Times New Roman" w:eastAsia="Times New Roman" w:hint="default"/>
                <w:sz w:val="18"/>
                <w:szCs w:val="18"/>
              </w:rPr>
            </w:pPr>
            <w:r>
              <w:rPr>
                <w:rFonts w:ascii="Times New Roman"/>
                <w:sz w:val="18"/>
              </w:rPr>
              <w:t>118,958,579.48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203,444,889.46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123,706,100.75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213,406,557.97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118,958,579.48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174,969,308.86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103,457,124.63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171,219,757.15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87,568,480.50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28,475,580.60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20,248,976.12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42,186,800.82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31,390,098.98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203,444,889.46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123,706,100.75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213,406,557.97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118,958,579.48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44"/>
          <w:pgSz w:w="11910" w:h="16840"/>
          <w:pgMar w:footer="1340" w:header="877" w:top="1060" w:bottom="1540" w:left="980" w:right="0"/>
          <w:pgNumType w:start="109"/>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198,792,588.32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120,875,538.81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207,659,452.15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114,751,911.51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4,652,301.14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2,830,561.94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5,747,105.82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4,206,667.97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203,444,889.46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123,706,100.75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213,406,557.97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118,958,579.48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91,568,973.23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26,603,737.16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16,564,430.40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10,481,486.60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9,186,513.90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154,405,141.29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75.46%</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w:t>
      </w:r>
    </w:p>
    <w:p>
      <w:pPr>
        <w:spacing w:after="0" w:line="240" w:lineRule="auto"/>
        <w:jc w:val="left"/>
        <w:sectPr>
          <w:footerReference w:type="default" r:id="rId45"/>
          <w:pgSz w:w="11910" w:h="16840"/>
          <w:pgMar w:footer="1340" w:header="877" w:top="1060" w:bottom="1540" w:left="980" w:right="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50,653,005.07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49,824,007.86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41,298.10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327,673.17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4,241,399.71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3,601,984.26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297,767.88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296,901.06</w:t>
            </w:r>
          </w:p>
        </w:tc>
      </w:tr>
      <w:tr>
        <w:trPr>
          <w:trHeight w:val="716"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49"/>
              <w:ind w:left="22" w:right="-4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28,786.29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118,859.08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886,398.60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463,298.45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398,059.05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2,416,961.26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322,850.00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-2,926,000.00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-269,428.64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-85,361.16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-6,298,207.27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-8,811,937.91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6,493,950.51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2,267,701.70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6,856,341.74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-6,515,571.55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4,302,643.03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63,652,221.04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45,258,709.25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105,971,779.61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26,088,288.81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26,088,288.81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32,955,219.43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79,883,490.80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-6,866,930.62</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十三、补充资料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111.771713pt;width:135pt;height:77pt;mso-position-horizontal-relative:page;mso-position-vertical-relative:paragraph;z-index:-661840" coordorigin="9206,2235" coordsize="2700,1540">
            <v:shape style="position:absolute;left:9206;top:2235;width:2700;height:1540" type="#_x0000_t75" stroked="false">
              <v:imagedata r:id="rId15" o:title=""/>
            </v:shape>
            <v:shape style="position:absolute;left:10516;top:2596;width:25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xbxContent>
              </v:textbox>
              <w10:wrap type="none"/>
            </v:shape>
            <w10:wrap type="none"/>
          </v:group>
        </w:pict>
      </w: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0.65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r>
    </w:tbl>
    <w:p>
      <w:pPr>
        <w:spacing w:after="0" w:line="240" w:lineRule="auto"/>
        <w:jc w:val="right"/>
        <w:rPr>
          <w:rFonts w:ascii="Times New Roman" w:hAnsi="Times New Roman" w:cs="Times New Roman" w:eastAsia="Times New Roman" w:hint="default"/>
          <w:sz w:val="18"/>
          <w:szCs w:val="18"/>
        </w:rPr>
        <w:sectPr>
          <w:footerReference w:type="default" r:id="rId46"/>
          <w:pgSz w:w="11910" w:h="16840"/>
          <w:pgMar w:footer="0" w:header="877" w:top="1060" w:bottom="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10"/>
        <w:gridCol w:w="1477"/>
        <w:gridCol w:w="1440"/>
        <w:gridCol w:w="1136"/>
        <w:gridCol w:w="3060"/>
      </w:tblGrid>
      <w:tr>
        <w:trPr>
          <w:trHeight w:val="425"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456,390,662.74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26,182,160.58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16.43</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本期首次公开发行股份募集资金所致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1,485,467.23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3,234,267.21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-54.07%</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预付加工费对应加工劳务已发生所致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1,228,631.29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5,358,602.82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-77.07%</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本期支付中介咨询费所致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26,763,778.28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20,465,571.01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30.77%</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期末生产预计单增加所致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126,590,596.30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48,731,494.08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在建工程完工转入所致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47,792,561.28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-85.35%</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项目完工转入固定资产所致</w:t>
            </w:r>
          </w:p>
        </w:tc>
      </w:tr>
      <w:tr>
        <w:trPr>
          <w:trHeight w:val="42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20,000,000.00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偿还银行借款所致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1,259,897.05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373,498.45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2.37</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远期外汇结售汇公允价值变动所致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3,600,276.34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15,815.26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226.65</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预收货款增加导致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4,113,113.29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1,549,087.54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未发放的工资及年终奖金增加所致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6,886,949.49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1,410,722.11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3.88</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所得税费用未缴纳所致</w:t>
            </w:r>
          </w:p>
        </w:tc>
      </w:tr>
      <w:tr>
        <w:trPr>
          <w:trHeight w:val="425"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3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-2,058,529.55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4,427,604.71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61"/>
              <w:ind w:left="2" w:right="168"/>
              <w:jc w:val="left"/>
              <w:rPr>
                <w:rFonts w:ascii="宋体" w:hAnsi="宋体" w:cs="宋体" w:eastAsia="宋体" w:hint="default"/>
                <w:sz w:val="18"/>
                <w:szCs w:val="18"/>
              </w:rPr>
            </w:pPr>
            <w:r>
              <w:rPr>
                <w:rFonts w:ascii="宋体" w:hAnsi="宋体" w:cs="宋体" w:eastAsia="宋体" w:hint="default"/>
                <w:sz w:val="18"/>
                <w:szCs w:val="18"/>
              </w:rPr>
              <w:t>偿还银行借款且募集资金增加定期存 款所致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-886,398.60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-463,298.45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91.32%</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远期外汇结售汇公允价值变动所致</w:t>
            </w:r>
          </w:p>
        </w:tc>
      </w:tr>
      <w:tr>
        <w:trPr>
          <w:trHeight w:val="42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-322,850.00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2,926,000.00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远期外汇结售汇本期亏损所致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17,322,021.47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5,024,048.93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w:t>
            </w:r>
            <w:r>
              <w:rPr>
                <w:rFonts w:ascii="宋体" w:hAnsi="宋体" w:cs="宋体" w:eastAsia="宋体" w:hint="default"/>
                <w:sz w:val="18"/>
                <w:szCs w:val="18"/>
              </w:rPr>
              <w:t>倍</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收到县财政上市奖励款所致</w:t>
            </w:r>
          </w:p>
        </w:tc>
      </w:tr>
      <w:tr>
        <w:trPr>
          <w:trHeight w:val="42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540,206.36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335,897.53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60.82%</w:t>
            </w:r>
          </w:p>
        </w:tc>
        <w:tc>
          <w:tcPr>
            <w:tcW w:w="30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增加对外捐赠</w:t>
            </w:r>
            <w:r>
              <w:rPr>
                <w:rFonts w:ascii="Times New Roman" w:hAnsi="Times New Roman" w:cs="Times New Roman" w:eastAsia="Times New Roman" w:hint="default"/>
                <w:sz w:val="18"/>
                <w:szCs w:val="18"/>
              </w:rPr>
              <w:t>35</w:t>
            </w:r>
            <w:r>
              <w:rPr>
                <w:rFonts w:ascii="宋体" w:hAnsi="宋体" w:cs="宋体" w:eastAsia="宋体" w:hint="default"/>
                <w:sz w:val="18"/>
                <w:szCs w:val="18"/>
              </w:rPr>
              <w:t>万元所致</w:t>
            </w:r>
          </w:p>
        </w:tc>
      </w:tr>
    </w:tbl>
    <w:p>
      <w:pPr>
        <w:spacing w:after="0" w:line="240" w:lineRule="auto"/>
        <w:jc w:val="left"/>
        <w:rPr>
          <w:rFonts w:ascii="宋体" w:hAnsi="宋体" w:cs="宋体" w:eastAsia="宋体" w:hint="default"/>
          <w:sz w:val="18"/>
          <w:szCs w:val="18"/>
        </w:rPr>
        <w:sectPr>
          <w:footerReference w:type="default" r:id="rId47"/>
          <w:pgSz w:w="11910" w:h="16840"/>
          <w:pgMar w:footer="1340" w:header="877" w:top="1060" w:bottom="1540" w:left="980" w:right="0"/>
          <w:pgNumType w:start="11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4" w:lineRule="auto" w:before="0"/>
        <w:ind w:right="3374"/>
        <w:jc w:val="left"/>
      </w:pPr>
      <w:r>
        <w:rPr/>
        <w:t>一、载有公司法定代表人签名的</w:t>
      </w:r>
      <w:r>
        <w:rPr>
          <w:rFonts w:ascii="Times New Roman" w:hAnsi="Times New Roman" w:cs="Times New Roman" w:eastAsia="Times New Roman" w:hint="default"/>
        </w:rPr>
        <w:t>2012</w:t>
      </w:r>
      <w:r>
        <w:rPr/>
        <w:t>年年度报告及摘要原件； 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Heading3"/>
        <w:spacing w:line="240" w:lineRule="auto"/>
        <w:ind w:left="0" w:right="1131"/>
        <w:jc w:val="right"/>
      </w:pPr>
      <w:r>
        <w:rPr/>
        <w:t>美盛文化创意股份有限公司董事会</w:t>
      </w:r>
    </w:p>
    <w:p>
      <w:pPr>
        <w:pStyle w:val="Heading3"/>
        <w:spacing w:line="240" w:lineRule="auto" w:before="194"/>
        <w:ind w:left="0" w:right="1131"/>
        <w:jc w:val="righ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3448" type="#_x0000_t75" stroked="false">
          <v:imagedata r:id="rId1" o:title=""/>
        </v:shape>
      </w:pict>
    </w:r>
    <w:r>
      <w:rPr/>
      <w:pict>
        <v:shape style="position:absolute;margin-left:533.099976pt;margin-top:795.637939pt;width:6.5pt;height:11pt;mso-position-horizontal-relative:page;mso-position-vertical-relative:page;z-index:-6634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968" type="#_x0000_t75" stroked="false">
          <v:imagedata r:id="rId1" o:title=""/>
        </v:shape>
      </w:pict>
    </w:r>
    <w:r>
      <w:rPr/>
      <w:pict>
        <v:shape style="position:absolute;margin-left:527.659973pt;margin-top:781.933899pt;width:13.15pt;height:11pt;mso-position-horizontal-relative:page;mso-position-vertical-relative:page;z-index:-6629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920" type="#_x0000_t75" stroked="false">
          <v:imagedata r:id="rId1" o:title=""/>
        </v:shape>
      </w:pict>
    </w:r>
    <w:r>
      <w:rPr/>
      <w:pict>
        <v:shape style="position:absolute;margin-left:527.659973pt;margin-top:781.933899pt;width:13.15pt;height:11pt;mso-position-horizontal-relative:page;mso-position-vertical-relative:page;z-index:-6628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824" type="#_x0000_t75" stroked="false">
          <v:imagedata r:id="rId1" o:title=""/>
        </v:shape>
      </w:pict>
    </w:r>
    <w:r>
      <w:rPr/>
      <w:pict>
        <v:shape style="position:absolute;margin-left:527.659973pt;margin-top:781.933899pt;width:13.15pt;height:11pt;mso-position-horizontal-relative:page;mso-position-vertical-relative:page;z-index:-6628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728" type="#_x0000_t75" stroked="false">
          <v:imagedata r:id="rId1" o:title=""/>
        </v:shape>
      </w:pict>
    </w:r>
    <w:r>
      <w:rPr/>
      <w:pict>
        <v:shape style="position:absolute;margin-left:527.659973pt;margin-top:781.933899pt;width:13.15pt;height:11pt;mso-position-horizontal-relative:page;mso-position-vertical-relative:page;z-index:-6627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632" type="#_x0000_t75" stroked="false">
          <v:imagedata r:id="rId1" o:title=""/>
        </v:shape>
      </w:pict>
    </w:r>
    <w:r>
      <w:rPr/>
      <w:pict>
        <v:shape style="position:absolute;margin-left:527.659973pt;margin-top:781.933899pt;width:13.15pt;height:11pt;mso-position-horizontal-relative:page;mso-position-vertical-relative:page;z-index:-6626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584" type="#_x0000_t75" stroked="false">
          <v:imagedata r:id="rId1" o:title=""/>
        </v:shape>
      </w:pict>
    </w:r>
    <w:r>
      <w:rPr/>
      <w:pict>
        <v:shape style="position:absolute;margin-left:524.099976pt;margin-top:781.933899pt;width:15.7pt;height:11pt;mso-position-horizontal-relative:page;mso-position-vertical-relative:page;z-index:-6625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3400" type="#_x0000_t75" stroked="false">
          <v:imagedata r:id="rId1" o:title=""/>
        </v:shape>
      </w:pict>
    </w:r>
    <w:r>
      <w:rPr/>
      <w:pict>
        <v:shape style="position:absolute;margin-left:527.659973pt;margin-top:781.933899pt;width:13.15pt;height:11pt;mso-position-horizontal-relative:page;mso-position-vertical-relative:page;z-index:-6633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536" type="#_x0000_t75" stroked="false">
          <v:imagedata r:id="rId1" o:title=""/>
        </v:shape>
      </w:pict>
    </w:r>
    <w:r>
      <w:rPr/>
      <w:pict>
        <v:shape style="position:absolute;margin-left:523.099976pt;margin-top:781.933899pt;width:17.7pt;height:11pt;mso-position-horizontal-relative:page;mso-position-vertical-relative:page;z-index:-662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440" type="#_x0000_t75" stroked="false">
          <v:imagedata r:id="rId1" o:title=""/>
        </v:shape>
      </w:pict>
    </w:r>
    <w:r>
      <w:rPr/>
      <w:pict>
        <v:shape style="position:absolute;margin-left:523.099976pt;margin-top:781.933899pt;width:17.7pt;height:11pt;mso-position-horizontal-relative:page;mso-position-vertical-relative:page;z-index:-6624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392" type="#_x0000_t75" stroked="false">
          <v:imagedata r:id="rId1" o:title=""/>
        </v:shape>
      </w:pict>
    </w:r>
    <w:r>
      <w:rPr/>
      <w:pict>
        <v:shape style="position:absolute;margin-left:523.460022pt;margin-top:781.933899pt;width:17.3pt;height:11pt;mso-position-horizontal-relative:page;mso-position-vertical-relative:page;z-index:-6623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2344" type="#_x0000_t75" stroked="false">
          <v:imagedata r:id="rId1" o:title=""/>
        </v:shape>
      </w:pict>
    </w:r>
    <w:r>
      <w:rPr/>
      <w:pict>
        <v:shape style="position:absolute;margin-left:523.460022pt;margin-top:781.933899pt;width:17.3pt;height:11pt;mso-position-horizontal-relative:page;mso-position-vertical-relative:page;z-index:-6623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3304" type="#_x0000_t75" stroked="false">
          <v:imagedata r:id="rId1" o:title=""/>
        </v:shape>
      </w:pict>
    </w:r>
    <w:r>
      <w:rPr/>
      <w:pict>
        <v:shape style="position:absolute;margin-left:527.659973pt;margin-top:781.933899pt;width:13.15pt;height:11pt;mso-position-horizontal-relative:page;mso-position-vertical-relative:page;z-index:-6632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3208" type="#_x0000_t75" stroked="false">
          <v:imagedata r:id="rId1" o:title=""/>
        </v:shape>
      </w:pict>
    </w:r>
    <w:r>
      <w:rPr/>
      <w:pict>
        <v:shape style="position:absolute;margin-left:527.659973pt;margin-top:781.933899pt;width:13.15pt;height:11pt;mso-position-horizontal-relative:page;mso-position-vertical-relative:page;z-index:-6631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63064" type="#_x0000_t75" stroked="false">
          <v:imagedata r:id="rId1" o:title=""/>
        </v:shape>
      </w:pict>
    </w:r>
    <w:r>
      <w:rPr/>
      <w:pict>
        <v:shape style="position:absolute;margin-left:527.659973pt;margin-top:781.933899pt;width:13.15pt;height:11pt;mso-position-horizontal-relative:page;mso-position-vertical-relative:page;z-index:-6630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663472"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2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2464"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3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3328"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32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3232"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3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3136"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3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3088"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3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2992"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28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2848"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27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2752"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626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62656" type="#_x0000_t202" filled="false" stroked="false">
          <v:textbox inset="0,0,0,0">
            <w:txbxContent>
              <w:p>
                <w:pPr>
                  <w:pStyle w:val="BodyText"/>
                  <w:spacing w:line="214" w:lineRule="exact" w:before="0"/>
                  <w:ind w:left="20" w:right="0"/>
                  <w:jc w:val="left"/>
                </w:pPr>
                <w:r>
                  <w:rPr/>
                  <w:t>美盛文化创意股份有限公司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rising.com.cn/" TargetMode="External"/><Relationship Id="rId10" Type="http://schemas.openxmlformats.org/officeDocument/2006/relationships/hyperlink" Target="mailto:office@chinarising.com.cn" TargetMode="External"/><Relationship Id="rId11" Type="http://schemas.openxmlformats.org/officeDocument/2006/relationships/hyperlink" Target="mailto:gr@chinarising.com.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3.png"/><Relationship Id="rId21" Type="http://schemas.openxmlformats.org/officeDocument/2006/relationships/hyperlink" Target="http://www.cninfo.com/" TargetMode="Externa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7.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8.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10.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2020-05-04T01:31:17Z</dcterms:created>
  <dcterms:modified xsi:type="dcterms:W3CDTF">2020-05-04T01:31:17Z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2013-03-22T00:00:00Z</vt:filetime>
  </property>
  <property fmtid="{D5CDD505-2E9C-101B-9397-08002B2CF9AE}" pid="3" name="Creator">
    <vt:lpwstr>Microsoft® Office Word 2007</vt:lpwstr>
  </property>
  <property fmtid="{D5CDD505-2E9C-101B-9397-08002B2CF9AE}" pid="4" name="LastSaved">
    <vt:filetime>2020-05-03T00:00:00Z</vt:filetime>
  </property>
</Properties>
</file>