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32" w:lineRule="exact"/>
        <w:ind w:left="43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841374" cy="2743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841374" cy="274320"/>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24" w:right="1401" w:firstLine="0"/>
        <w:jc w:val="center"/>
        <w:rPr>
          <w:rFonts w:ascii="宋体" w:hAnsi="宋体" w:cs="宋体" w:eastAsia="宋体" w:hint="default"/>
          <w:sz w:val="36"/>
          <w:szCs w:val="36"/>
        </w:rPr>
      </w:pPr>
      <w:r>
        <w:rPr>
          <w:rFonts w:ascii="宋体" w:hAnsi="宋体" w:cs="宋体" w:eastAsia="宋体" w:hint="default"/>
          <w:b/>
          <w:bCs/>
          <w:sz w:val="36"/>
          <w:szCs w:val="36"/>
        </w:rPr>
        <w:t>美盛文化创意股份有限公司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24" w:right="1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424" w:right="1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205,700,000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1"/>
          <w:w w:val="99"/>
          <w:sz w:val="28"/>
          <w:szCs w:val="28"/>
        </w:rPr>
        <w:t> </w:t>
      </w:r>
      <w:r>
        <w:rPr>
          <w:rFonts w:ascii="宋体" w:hAnsi="宋体" w:cs="宋体" w:eastAsia="宋体" w:hint="default"/>
          <w:b/>
          <w:bCs/>
          <w:w w:val="95"/>
          <w:sz w:val="28"/>
          <w:szCs w:val="28"/>
        </w:rPr>
        <w:t>公司负责人赵小强、主管会计工作负责人竺林芳及会计机构负责人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石军龙声明：保证年度报告中财务报告的真实、准确、完整。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24" w:right="1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135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424" w:right="1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杭州美盛动漫有限公司，公司全资子公司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香港美盛文化有限公司，公司全资子公司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浙江缔顺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浙江缔顺科技有限公司，公司全资子公司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上海纯真年代影视投资有限公司，公司控股子公司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荷兰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Agenturen</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en Handelsmij Scheepers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B.V.</w:t>
            </w:r>
            <w:r>
              <w:rPr>
                <w:rFonts w:ascii="宋体" w:hAnsi="宋体" w:cs="宋体" w:eastAsia="宋体" w:hint="default"/>
                <w:spacing w:val="-3"/>
                <w:sz w:val="18"/>
                <w:szCs w:val="18"/>
              </w:rPr>
              <w:t>，公司控股孙公司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保荐人、平安证券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会计师、天健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424" w:right="140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1143" w:firstLine="1123"/>
        <w:jc w:val="both"/>
        <w:rPr>
          <w:rFonts w:ascii="宋体" w:hAnsi="宋体" w:cs="宋体" w:eastAsia="宋体" w:hint="default"/>
          <w:sz w:val="28"/>
          <w:szCs w:val="28"/>
        </w:rPr>
      </w:pPr>
      <w:r>
        <w:rPr>
          <w:rFonts w:ascii="宋体" w:hAnsi="宋体" w:cs="宋体" w:eastAsia="宋体" w:hint="default"/>
          <w:b/>
          <w:bCs/>
          <w:spacing w:val="3"/>
          <w:w w:val="95"/>
          <w:sz w:val="28"/>
          <w:szCs w:val="28"/>
        </w:rPr>
        <w:t>可能存在文化产业政策变化，文创产业发展不及预期，资源整合及内</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控管理不够完善，国际需求下降，市场需求变化，行业竞争加剧，出口退税政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策变化，汇率波动等风险，敬请广大投资者注意投资风险。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4654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402"/>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002699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Meisheng Cultural &amp; Creative Corp.,</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2"/>
                <w:sz w:val="18"/>
              </w:rPr>
              <w:t> </w:t>
            </w:r>
            <w:r>
              <w:rPr>
                <w:rFonts w:ascii="Times New Roman"/>
                <w:sz w:val="18"/>
              </w:rPr>
              <w:t>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赵小强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www.chinarising.com.cn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375.940002pt;margin-top:73.905640pt;width:162.4pt;height:20.8pt;mso-position-horizontal-relative:page;mso-position-vertical-relative:paragraph;z-index:-846496" coordorigin="7519,1478" coordsize="3248,416">
            <v:group style="position:absolute;left:7530;top:1490;width:2;height:393" coordorigin="7530,1490" coordsize="2,393">
              <v:shape style="position:absolute;left:7530;top:1490;width:2;height:393" coordorigin="7530,1490" coordsize="0,393" path="m7530,1490l7530,1882e" filled="false" stroked="true" strokeweight="1.140pt" strokecolor="#ffffff">
                <v:path arrowok="t"/>
              </v:shape>
            </v:group>
            <v:group style="position:absolute;left:7542;top:1490;width:3135;height:393" coordorigin="7542,1490" coordsize="3135,393">
              <v:shape style="position:absolute;left:7542;top:1490;width:3135;height:393" coordorigin="7542,1490" coordsize="3135,393" path="m7542,1882l10676,1882,10676,1490,7542,1490,7542,1882xe" filled="true" fillcolor="#ffffff" stroked="false">
                <v:path arrowok="t"/>
                <v:fill type="solid"/>
              </v:shape>
              <v:shape style="position:absolute;left:10586;top:15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浙江省新昌省级高新技术园区内（南岩）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gr@chinarising.com.cn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绍兴市工商行政管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330600400009081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330624738428492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73842849-2</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330600400009081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330624738428492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73842849-2</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吕苏阳、周小民</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深圳市福田区金田路大中华 国际交易广场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叶贤萍、李茵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2012.9.11-2014.12.31</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455,996,687.08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231,134,162.86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205,049,310.68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97,125,358.48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41,730,227.18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49,015,839.49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70,011,576.46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30,844,017.62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37,308,708.20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-22,495,807.03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49,718,269.58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-145.25%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64,977,252.40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965,558,170.69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807,969,010.40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682,370,627.61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699,621,397.14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645,326,429.06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649,822,631.77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2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-11,285.47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-2,109.49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-28,786.29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20,635,394.14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7,387,878.71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17,303,616.67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详见财务报告附注营 业外收入之说明</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8,935,365.87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1,360,890.41</w:t>
            </w: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理财、珠江电影频道 项目收益</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650"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16,195,351.38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6,578,647.05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-1,209,248.60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远期结汇合同盈亏及 业绩承诺补偿</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-688,236.52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-87,358.55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-339,406.72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-6,667,731.86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商誉减值</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10,833,444.44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3,812,843.85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4,019,043.77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451,631.08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538,894.72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27,113,782.02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10,886,209.56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11,707,131.29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033" w:firstLine="360"/>
        <w:jc w:val="left"/>
      </w:pPr>
      <w:r>
        <w:rPr>
          <w:spacing w:val="-2"/>
        </w:rPr>
        <w:t>报告期内，公司在复杂的内外部环境下，顶住压力，真抓实干，较好完成了期初制定的相关目标。在经营业绩良好的同</w:t>
      </w:r>
      <w:r>
        <w:rPr/>
        <w:t> 时，公司以国内文化产业高速发展的契机，进一步结合自身资源进行整合，在文化产业链包括动漫、游戏、影视、舞台剧、 衍生品等上下游进一步战略布局，实现转型升级。</w:t>
      </w:r>
    </w:p>
    <w:p>
      <w:pPr>
        <w:pStyle w:val="BodyText"/>
        <w:spacing w:line="319" w:lineRule="auto" w:before="56"/>
        <w:ind w:left="153" w:right="1131" w:firstLine="360"/>
        <w:jc w:val="both"/>
      </w:pPr>
      <w:r>
        <w:rPr>
          <w:spacing w:val="-2"/>
        </w:rPr>
        <w:t>在原先动漫衍生品的基础上，公司重点开拓上下游业务，完善产业链，并且融入新媒体与互动元素完成文化生态圈的构</w:t>
      </w:r>
      <w:r>
        <w:rPr/>
        <w:t> 建。公司本次转型升级战略实施主要分以下几步：</w:t>
      </w:r>
    </w:p>
    <w:p>
      <w:pPr>
        <w:pStyle w:val="BodyText"/>
        <w:spacing w:line="240" w:lineRule="auto" w:before="56"/>
        <w:ind w:left="513" w:right="0"/>
        <w:jc w:val="left"/>
      </w:pPr>
      <w:r>
        <w:rPr/>
        <w:t>一、在动漫衍生品基础上完善上游原创动漫实力</w:t>
      </w:r>
    </w:p>
    <w:p>
      <w:pPr>
        <w:pStyle w:val="BodyText"/>
        <w:spacing w:line="309" w:lineRule="auto" w:before="115"/>
        <w:ind w:left="153" w:right="1133"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月，公司投资并购浙江缔顺科技有限公司。缔顺科技主要业务包括原创动画制作、网络游戏研发与运营、和互 </w:t>
      </w:r>
      <w:r>
        <w:rPr>
          <w:spacing w:val="-2"/>
        </w:rPr>
        <w:t>联网技术开发。缔顺科技是公司立足动漫服饰产业的基础上，在上游进行战略发展，是包括动漫形象原创、原创游戏、互联</w:t>
      </w:r>
      <w:r>
        <w:rPr>
          <w:spacing w:val="-66"/>
        </w:rPr>
        <w:t> </w:t>
      </w:r>
      <w:r>
        <w:rPr>
          <w:spacing w:val="-66"/>
        </w:rPr>
      </w:r>
      <w:r>
        <w:rPr/>
        <w:t>网技术与运营等战略的一部分，对于完善公司产业链和进行产业转型升级都具有积极的意义。</w:t>
      </w:r>
    </w:p>
    <w:p>
      <w:pPr>
        <w:pStyle w:val="BodyText"/>
        <w:spacing w:line="240" w:lineRule="auto" w:before="65"/>
        <w:ind w:left="513" w:right="0"/>
        <w:jc w:val="left"/>
      </w:pPr>
      <w:r>
        <w:rPr/>
        <w:t>二、在动漫衍生品基础上加强下游销售渠道的建设</w:t>
      </w:r>
    </w:p>
    <w:p>
      <w:pPr>
        <w:pStyle w:val="BodyText"/>
        <w:spacing w:line="312" w:lineRule="auto" w:before="115"/>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月，公司投资并购荷兰公司</w:t>
      </w:r>
      <w:r>
        <w:rPr>
          <w:rFonts w:ascii="Times New Roman" w:hAnsi="Times New Roman" w:cs="Times New Roman" w:eastAsia="Times New Roman" w:hint="default"/>
        </w:rPr>
        <w:t>Agenturen en Handelsmij Scheepers</w:t>
      </w:r>
      <w:r>
        <w:rPr>
          <w:rFonts w:ascii="Times New Roman" w:hAnsi="Times New Roman" w:cs="Times New Roman" w:eastAsia="Times New Roman" w:hint="default"/>
          <w:spacing w:val="-7"/>
        </w:rPr>
        <w:t> </w:t>
      </w:r>
      <w:r>
        <w:rPr>
          <w:rFonts w:ascii="Times New Roman" w:hAnsi="Times New Roman" w:cs="Times New Roman" w:eastAsia="Times New Roman" w:hint="default"/>
        </w:rPr>
        <w:t>B.V.</w:t>
      </w:r>
      <w:r>
        <w:rPr/>
        <w:t>。荷兰公司主要经营嘉年华和节庆礼物 </w:t>
      </w:r>
      <w:r>
        <w:rPr>
          <w:spacing w:val="-2"/>
        </w:rPr>
        <w:t>物品、服饰、配件及动漫服饰的设计、采购和销售。其客户为荷兰等欧洲国家的节庆活动商店、主题商店、网络销售及零售</w:t>
      </w:r>
      <w:r>
        <w:rPr>
          <w:spacing w:val="-67"/>
        </w:rPr>
        <w:t> </w:t>
      </w:r>
      <w:r>
        <w:rPr>
          <w:spacing w:val="-67"/>
        </w:rPr>
      </w:r>
      <w:r>
        <w:rPr/>
        <w:t>商等。荷兰公司拥有网址为</w:t>
      </w:r>
      <w:hyperlink r:id="rId13">
        <w:r>
          <w:rPr>
            <w:rFonts w:ascii="Times New Roman" w:hAnsi="Times New Roman" w:cs="Times New Roman" w:eastAsia="Times New Roman" w:hint="default"/>
          </w:rPr>
          <w:t>http://www.partyxplosion.com</w:t>
        </w:r>
        <w:r>
          <w:rPr/>
          <w:t>的产品在线销售网站。荷兰公司是荷兰一家知名渠道商和销售商，</w:t>
        </w:r>
      </w:hyperlink>
      <w:r>
        <w:rPr/>
        <w:t> </w:t>
      </w:r>
      <w:r>
        <w:rPr>
          <w:spacing w:val="-2"/>
        </w:rPr>
        <w:t>是公司下游渠道。本次收购有利于公司进一步认知与开发包括荷兰在内的欧洲市场，加强欧洲市场的进一步渗透，有利于公</w:t>
      </w:r>
      <w:r>
        <w:rPr>
          <w:spacing w:val="-66"/>
        </w:rPr>
        <w:t> </w:t>
      </w:r>
      <w:r>
        <w:rPr>
          <w:spacing w:val="-66"/>
        </w:rPr>
      </w:r>
      <w:r>
        <w:rPr>
          <w:spacing w:val="-2"/>
        </w:rPr>
        <w:t>司对全球市场的产业布局，有利于公司现有资源的整合，进一步提升公司核心产品议价能力。同时公司将通过本次收购加强</w:t>
      </w:r>
      <w:r>
        <w:rPr>
          <w:spacing w:val="-66"/>
        </w:rPr>
        <w:t> </w:t>
      </w:r>
      <w:r>
        <w:rPr>
          <w:spacing w:val="-66"/>
        </w:rPr>
      </w:r>
      <w:r>
        <w:rPr/>
        <w:t>自身设计能力与国际市场敏感能力。</w:t>
      </w:r>
    </w:p>
    <w:p>
      <w:pPr>
        <w:pStyle w:val="BodyText"/>
        <w:spacing w:line="240" w:lineRule="auto" w:before="61"/>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月，公司投资设立全资子公司杭州美盛动漫有限公司。美盛动漫着手构建包括悠窝窝</w:t>
      </w:r>
    </w:p>
    <w:p>
      <w:pPr>
        <w:pStyle w:val="BodyText"/>
        <w:spacing w:line="302" w:lineRule="auto" w:before="63"/>
        <w:ind w:right="0"/>
        <w:jc w:val="left"/>
      </w:pPr>
      <w:r>
        <w:rPr>
          <w:spacing w:val="-1"/>
        </w:rPr>
        <w:t>（</w:t>
      </w:r>
      <w:hyperlink r:id="rId14">
        <w:r>
          <w:rPr>
            <w:rFonts w:ascii="Times New Roman" w:hAnsi="Times New Roman" w:cs="Times New Roman" w:eastAsia="Times New Roman" w:hint="default"/>
            <w:spacing w:val="-1"/>
          </w:rPr>
          <w:t>http://www.uwowo.com</w:t>
        </w:r>
      </w:hyperlink>
      <w:r>
        <w:rPr>
          <w:spacing w:val="-1"/>
        </w:rPr>
        <w:t>）在内的国内销售渠道。本次投资是公司包括线上线下在内的国内销售渠道建设，是公司完善产业</w:t>
      </w:r>
      <w:r>
        <w:rPr>
          <w:spacing w:val="-60"/>
        </w:rPr>
        <w:t> </w:t>
      </w:r>
      <w:r>
        <w:rPr>
          <w:spacing w:val="-60"/>
        </w:rPr>
      </w:r>
      <w:r>
        <w:rPr/>
        <w:t>链的重要布局。</w:t>
      </w:r>
    </w:p>
    <w:p>
      <w:pPr>
        <w:pStyle w:val="BodyText"/>
        <w:spacing w:line="240" w:lineRule="auto" w:before="70"/>
        <w:ind w:left="513" w:right="0"/>
        <w:jc w:val="left"/>
      </w:pPr>
      <w:r>
        <w:rPr/>
        <w:t>三、在完整的动漫产业链基础上加入新媒体与互动元素构建文化生态圈</w:t>
      </w:r>
    </w:p>
    <w:p>
      <w:pPr>
        <w:pStyle w:val="BodyText"/>
        <w:spacing w:line="309" w:lineRule="auto" w:before="115"/>
        <w:ind w:left="153"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月，公司投资并购杭州星梦工坊文化创意有限公司。星梦工坊主要从事儿童剧演艺事业，以儿童舞台剧（含</w:t>
      </w:r>
      <w:r>
        <w:rPr/>
        <w:t> </w:t>
      </w:r>
      <w:r>
        <w:rPr>
          <w:spacing w:val="-2"/>
        </w:rPr>
        <w:t>音乐剧等）的制作、演出、以及衍生产品的开发、销售。星梦工坊是公司立足动漫产业链的基础上，在文化生态圈进行战略</w:t>
      </w:r>
      <w:r>
        <w:rPr>
          <w:spacing w:val="-67"/>
        </w:rPr>
        <w:t> </w:t>
      </w:r>
      <w:r>
        <w:rPr>
          <w:spacing w:val="-67"/>
        </w:rPr>
      </w:r>
      <w:r>
        <w:rPr/>
        <w:t>布局，借助舞台剧对动漫形象进行充分线下互动式运营，有利于公司原创动漫形象进行深度传播、广告与互动。</w:t>
      </w:r>
    </w:p>
    <w:p>
      <w:pPr>
        <w:pStyle w:val="BodyText"/>
        <w:spacing w:line="309" w:lineRule="auto" w:before="62"/>
        <w:ind w:left="153" w:right="113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月，公司投资并购上海纯真年代影视投资有限公司。纯真年代主要从事影视作品制作、发行。影视作品是目</w:t>
      </w:r>
      <w:r>
        <w:rPr/>
        <w:t> </w:t>
      </w:r>
      <w:r>
        <w:rPr>
          <w:spacing w:val="-2"/>
        </w:rPr>
        <w:t>前国内最具传播力度与影响力度的推广手段，且其具有较为成熟的经营模式，因此纯真年代是公司文化生态圈的重要拼图之</w:t>
      </w:r>
      <w:r>
        <w:rPr>
          <w:spacing w:val="-64"/>
        </w:rPr>
        <w:t> </w:t>
      </w:r>
      <w:r>
        <w:rPr>
          <w:spacing w:val="-64"/>
        </w:rPr>
      </w:r>
      <w:r>
        <w:rPr/>
        <w:t>一。有利于公司原创内容与衍生品的传播与影响，也有利于创造新的协同效应。</w:t>
      </w:r>
    </w:p>
    <w:p>
      <w:pPr>
        <w:pStyle w:val="BodyText"/>
        <w:spacing w:line="302" w:lineRule="auto" w:before="64"/>
        <w:ind w:right="1130"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月，公司与</w:t>
      </w:r>
      <w:r>
        <w:rPr>
          <w:rFonts w:ascii="Times New Roman" w:hAnsi="Times New Roman" w:cs="Times New Roman" w:eastAsia="Times New Roman" w:hint="default"/>
        </w:rPr>
        <w:t>JAKKS</w:t>
      </w:r>
      <w:r>
        <w:rPr>
          <w:rFonts w:ascii="Times New Roman" w:hAnsi="Times New Roman" w:cs="Times New Roman" w:eastAsia="Times New Roman" w:hint="default"/>
          <w:spacing w:val="-32"/>
        </w:rPr>
        <w:t> </w:t>
      </w:r>
      <w:r>
        <w:rPr>
          <w:rFonts w:ascii="Times New Roman" w:hAnsi="Times New Roman" w:cs="Times New Roman" w:eastAsia="Times New Roman" w:hint="default"/>
        </w:rPr>
        <w:t>PACIFIC</w:t>
      </w:r>
      <w:r>
        <w:rPr>
          <w:rFonts w:ascii="Times New Roman" w:hAnsi="Times New Roman" w:cs="Times New Roman" w:eastAsia="Times New Roman" w:hint="default"/>
          <w:spacing w:val="-32"/>
        </w:rPr>
        <w:t> </w:t>
      </w:r>
      <w:r>
        <w:rPr>
          <w:rFonts w:ascii="Times New Roman" w:hAnsi="Times New Roman" w:cs="Times New Roman" w:eastAsia="Times New Roman" w:hint="default"/>
        </w:rPr>
        <w:t>INC.</w:t>
      </w:r>
      <w:r>
        <w:rPr/>
        <w:t>合资设立子公司。是公司在文化产业高速发展阶段，外部资源与内部资源</w:t>
      </w:r>
      <w:r>
        <w:rPr>
          <w:w w:val="99"/>
        </w:rPr>
        <w:t> </w:t>
      </w:r>
      <w:r>
        <w:rPr/>
        <w:t>协同发展的重要布局。</w:t>
      </w:r>
    </w:p>
    <w:p>
      <w:pPr>
        <w:pStyle w:val="BodyText"/>
        <w:spacing w:line="307" w:lineRule="auto" w:before="68"/>
        <w:ind w:left="153" w:right="1130"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月，公司投资并购天津酷米网络科技有限责任公司。酷米网（</w:t>
      </w:r>
      <w:hyperlink r:id="rId15">
        <w:r>
          <w:rPr>
            <w:rFonts w:ascii="Times New Roman" w:hAnsi="Times New Roman" w:cs="Times New Roman" w:eastAsia="Times New Roman" w:hint="default"/>
          </w:rPr>
          <w:t>http://www.kumi.cn</w:t>
        </w:r>
      </w:hyperlink>
      <w:r>
        <w:rPr/>
        <w:t>）是国内领先的独立动漫 </w:t>
      </w:r>
      <w:r>
        <w:rPr>
          <w:spacing w:val="-2"/>
        </w:rPr>
        <w:t>视频网站，是一个以儿童及家长为主要对象的动漫视听节目播出网络平台，是一个涵盖动画、儿童剧、儿童游戏及相关服务</w:t>
      </w:r>
      <w:r>
        <w:rPr>
          <w:spacing w:val="-66"/>
        </w:rPr>
        <w:t> </w:t>
      </w:r>
      <w:r>
        <w:rPr>
          <w:spacing w:val="-66"/>
        </w:rPr>
      </w:r>
      <w:r>
        <w:rPr>
          <w:spacing w:val="-1"/>
        </w:rPr>
        <w:t>的互联网动漫娱乐服务平台，终端覆盖</w:t>
      </w:r>
      <w:r>
        <w:rPr>
          <w:rFonts w:ascii="Times New Roman" w:hAnsi="Times New Roman" w:cs="Times New Roman" w:eastAsia="Times New Roman" w:hint="default"/>
          <w:spacing w:val="-1"/>
        </w:rPr>
        <w:t>PC</w:t>
      </w:r>
      <w:r>
        <w:rPr>
          <w:spacing w:val="-1"/>
        </w:rPr>
        <w:t>、移动及电视，周平均访问量约</w:t>
      </w:r>
      <w:r>
        <w:rPr>
          <w:rFonts w:ascii="Times New Roman" w:hAnsi="Times New Roman" w:cs="Times New Roman" w:eastAsia="Times New Roman" w:hint="default"/>
          <w:spacing w:val="-1"/>
        </w:rPr>
        <w:t>500</w:t>
      </w:r>
      <w:r>
        <w:rPr>
          <w:spacing w:val="-1"/>
        </w:rPr>
        <w:t>万活跃用户。新媒体资源接入与忠实用户的接</w:t>
      </w:r>
      <w:r>
        <w:rPr>
          <w:spacing w:val="-70"/>
        </w:rPr>
        <w:t> </w:t>
      </w:r>
      <w:r>
        <w:rPr>
          <w:spacing w:val="-70"/>
        </w:rPr>
      </w:r>
      <w:r>
        <w:rPr/>
        <w:t>入是本次投资并购的重要战略意义，收购酷米公司初步实现文化生态圈的建设。</w:t>
      </w:r>
    </w:p>
    <w:p>
      <w:pPr>
        <w:pStyle w:val="BodyText"/>
        <w:spacing w:line="319" w:lineRule="auto" w:before="65"/>
        <w:ind w:left="153" w:right="1133" w:firstLine="360"/>
        <w:jc w:val="both"/>
      </w:pPr>
      <w:r>
        <w:rPr>
          <w:spacing w:val="-2"/>
        </w:rPr>
        <w:t>目前公司涉及动漫原创、游戏制作、网络平台、国内外终端销售、儿童剧演艺、影视制作、发行等，正在实现全产业的</w:t>
      </w:r>
      <w:r>
        <w:rPr/>
        <w:t> </w:t>
      </w:r>
      <w:r>
        <w:rPr>
          <w:spacing w:val="-2"/>
        </w:rPr>
        <w:t>上下游整合和升级。产业链中的各个环节有效的结合，最大化资源的整合和利用，将逐步体现公司整个产业布局一体化的优</w:t>
      </w:r>
      <w:r>
        <w:rPr>
          <w:spacing w:val="-66"/>
        </w:rPr>
        <w:t> </w:t>
      </w:r>
      <w:r>
        <w:rPr>
          <w:spacing w:val="-66"/>
        </w:rPr>
      </w:r>
      <w:r>
        <w:rPr/>
        <w:t>势，逐步实现生态化运作。</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29" w:firstLine="290"/>
        <w:jc w:val="both"/>
      </w:pPr>
      <w:r>
        <w:rPr>
          <w:rFonts w:ascii="Times New Roman" w:hAnsi="Times New Roman" w:cs="Times New Roman" w:eastAsia="Times New Roman" w:hint="default"/>
        </w:rPr>
        <w:t>2014</w:t>
      </w:r>
      <w:r>
        <w:rPr/>
        <w:t>年度公司实现营业收入</w:t>
      </w:r>
      <w:r>
        <w:rPr>
          <w:rFonts w:ascii="Times New Roman" w:hAnsi="Times New Roman" w:cs="Times New Roman" w:eastAsia="Times New Roman" w:hint="default"/>
        </w:rPr>
        <w:t>45599.67</w:t>
      </w:r>
      <w:r>
        <w:rPr/>
        <w:t>万元，比去年增长</w:t>
      </w:r>
      <w:r>
        <w:rPr>
          <w:rFonts w:ascii="Times New Roman" w:hAnsi="Times New Roman" w:cs="Times New Roman" w:eastAsia="Times New Roman" w:hint="default"/>
        </w:rPr>
        <w:t>97.29%</w:t>
      </w:r>
      <w:r>
        <w:rPr/>
        <w:t>，营业收入的增长，主要原因是</w:t>
      </w:r>
      <w:r>
        <w:rPr>
          <w:rFonts w:ascii="Times New Roman" w:hAnsi="Times New Roman" w:cs="Times New Roman" w:eastAsia="Times New Roman" w:hint="default"/>
        </w:rPr>
        <w:t>FROZEN</w:t>
      </w:r>
      <w:r>
        <w:rPr/>
        <w:t>系列产品收入增 </w:t>
      </w:r>
      <w:r>
        <w:rPr>
          <w:spacing w:val="-3"/>
        </w:rPr>
        <w:t>加，荷兰公司整年纳入合并范围。营业成本</w:t>
      </w:r>
      <w:r>
        <w:rPr>
          <w:rFonts w:ascii="Times New Roman" w:hAnsi="Times New Roman" w:cs="Times New Roman" w:eastAsia="Times New Roman" w:hint="default"/>
          <w:spacing w:val="-3"/>
        </w:rPr>
        <w:t>28959.7</w:t>
      </w:r>
      <w:r>
        <w:rPr>
          <w:spacing w:val="-3"/>
        </w:rPr>
        <w:t>万元，比去年增长</w:t>
      </w:r>
      <w:r>
        <w:rPr>
          <w:rFonts w:ascii="Times New Roman" w:hAnsi="Times New Roman" w:cs="Times New Roman" w:eastAsia="Times New Roman" w:hint="default"/>
          <w:spacing w:val="-3"/>
        </w:rPr>
        <w:t>94.08%</w:t>
      </w:r>
      <w:r>
        <w:rPr>
          <w:spacing w:val="-3"/>
        </w:rPr>
        <w:t>，主要原因是营业收入增长；销售费用为</w:t>
      </w:r>
      <w:r>
        <w:rPr>
          <w:rFonts w:ascii="Times New Roman" w:hAnsi="Times New Roman" w:cs="Times New Roman" w:eastAsia="Times New Roman" w:hint="default"/>
          <w:spacing w:val="-3"/>
        </w:rPr>
        <w:t>1356.91</w:t>
      </w:r>
      <w:r>
        <w:rPr>
          <w:rFonts w:ascii="Times New Roman" w:hAnsi="Times New Roman" w:cs="Times New Roman" w:eastAsia="Times New Roman" w:hint="default"/>
        </w:rPr>
        <w:t> </w:t>
      </w:r>
      <w:r>
        <w:rPr/>
        <w:t>万元，比去年增长</w:t>
      </w:r>
      <w:r>
        <w:rPr>
          <w:rFonts w:ascii="Times New Roman" w:hAnsi="Times New Roman" w:cs="Times New Roman" w:eastAsia="Times New Roman" w:hint="default"/>
        </w:rPr>
        <w:t>65.71%</w:t>
      </w:r>
      <w:r>
        <w:rPr/>
        <w:t>，管理费用为</w:t>
      </w:r>
      <w:r>
        <w:rPr>
          <w:rFonts w:ascii="Times New Roman" w:hAnsi="Times New Roman" w:cs="Times New Roman" w:eastAsia="Times New Roman" w:hint="default"/>
        </w:rPr>
        <w:t>5050.14</w:t>
      </w:r>
      <w:r>
        <w:rPr/>
        <w:t>万元，比去年增长</w:t>
      </w:r>
      <w:r>
        <w:rPr>
          <w:rFonts w:ascii="Times New Roman" w:hAnsi="Times New Roman" w:cs="Times New Roman" w:eastAsia="Times New Roman" w:hint="default"/>
        </w:rPr>
        <w:t>56.04%</w:t>
      </w:r>
      <w:r>
        <w:rPr/>
        <w:t>，主要是因为营业收入增加；财务费用为</w:t>
      </w:r>
      <w:r>
        <w:rPr>
          <w:rFonts w:ascii="Times New Roman" w:hAnsi="Times New Roman" w:cs="Times New Roman" w:eastAsia="Times New Roman" w:hint="default"/>
        </w:rPr>
        <w:t>115.41</w:t>
      </w:r>
      <w:r>
        <w:rPr/>
        <w:t>万</w:t>
      </w:r>
      <w:r>
        <w:rPr>
          <w:spacing w:val="-30"/>
        </w:rPr>
        <w:t> </w:t>
      </w:r>
      <w:r>
        <w:rPr/>
        <w:t>元，比去年增长</w:t>
      </w:r>
      <w:r>
        <w:rPr>
          <w:rFonts w:ascii="Times New Roman" w:hAnsi="Times New Roman" w:cs="Times New Roman" w:eastAsia="Times New Roman" w:hint="default"/>
        </w:rPr>
        <w:t>148.89%</w:t>
      </w:r>
      <w:r>
        <w:rPr/>
        <w:t>，主要是利息收入减少所致；归属于上市公司股东的净利润为</w:t>
      </w:r>
      <w:r>
        <w:rPr>
          <w:rFonts w:ascii="Times New Roman" w:hAnsi="Times New Roman" w:cs="Times New Roman" w:eastAsia="Times New Roman" w:hint="default"/>
        </w:rPr>
        <w:t>9712.54</w:t>
      </w:r>
      <w:r>
        <w:rPr/>
        <w:t>万元，比去年增长</w:t>
      </w:r>
      <w:r>
        <w:rPr>
          <w:rFonts w:ascii="Times New Roman" w:hAnsi="Times New Roman" w:cs="Times New Roman" w:eastAsia="Times New Roman" w:hint="default"/>
        </w:rPr>
        <w:t>132.75%</w:t>
      </w:r>
      <w:r>
        <w:rPr/>
        <w:t>，</w:t>
      </w:r>
      <w:r>
        <w:rPr>
          <w:spacing w:val="-71"/>
        </w:rPr>
        <w:t> </w:t>
      </w:r>
      <w:r>
        <w:rPr/>
        <w:t>主要是因为收入增加和政府补助增加。经营活动产生的现金流量净额为</w:t>
      </w:r>
      <w:r>
        <w:rPr>
          <w:rFonts w:ascii="Times New Roman" w:hAnsi="Times New Roman" w:cs="Times New Roman" w:eastAsia="Times New Roman" w:hint="default"/>
        </w:rPr>
        <w:t>-2249.58</w:t>
      </w:r>
      <w:r>
        <w:rPr/>
        <w:t>万元，比去年减少</w:t>
      </w:r>
      <w:r>
        <w:rPr>
          <w:rFonts w:ascii="Times New Roman" w:hAnsi="Times New Roman" w:cs="Times New Roman" w:eastAsia="Times New Roman" w:hint="default"/>
        </w:rPr>
        <w:t>145.25%</w:t>
      </w:r>
      <w:r>
        <w:rPr/>
        <w:t>，主要原因是纯</w:t>
      </w:r>
      <w:r>
        <w:rPr>
          <w:spacing w:val="-32"/>
        </w:rPr>
        <w:t> </w:t>
      </w:r>
      <w:r>
        <w:rPr>
          <w:spacing w:val="-32"/>
        </w:rPr>
      </w:r>
      <w:r>
        <w:rPr/>
        <w:t>真年代纳入合并范围；投资活动产生的现金流量净额为</w:t>
      </w:r>
      <w:r>
        <w:rPr>
          <w:rFonts w:ascii="Times New Roman" w:hAnsi="Times New Roman" w:cs="Times New Roman" w:eastAsia="Times New Roman" w:hint="default"/>
        </w:rPr>
        <w:t>19614.48</w:t>
      </w:r>
      <w:r>
        <w:rPr/>
        <w:t>万元</w:t>
      </w:r>
      <w:r>
        <w:rPr>
          <w:rFonts w:ascii="Times New Roman" w:hAnsi="Times New Roman" w:cs="Times New Roman" w:eastAsia="Times New Roman" w:hint="default"/>
        </w:rPr>
        <w:t>,</w:t>
      </w:r>
      <w:r>
        <w:rPr/>
        <w:t>比去年增长</w:t>
      </w:r>
      <w:r>
        <w:rPr>
          <w:rFonts w:ascii="Times New Roman" w:hAnsi="Times New Roman" w:cs="Times New Roman" w:eastAsia="Times New Roman" w:hint="default"/>
        </w:rPr>
        <w:t>310.6%</w:t>
      </w:r>
      <w:r>
        <w:rPr/>
        <w:t>，主要是购买理财产品减少；筹资</w:t>
      </w:r>
      <w:r>
        <w:rPr>
          <w:spacing w:val="-18"/>
        </w:rPr>
        <w:t> </w:t>
      </w:r>
      <w:r>
        <w:rPr>
          <w:spacing w:val="-18"/>
        </w:rPr>
      </w:r>
      <w:r>
        <w:rPr/>
        <w:t>活动产生的现金流量净额为</w:t>
      </w:r>
      <w:r>
        <w:rPr>
          <w:rFonts w:ascii="Times New Roman" w:hAnsi="Times New Roman" w:cs="Times New Roman" w:eastAsia="Times New Roman" w:hint="default"/>
        </w:rPr>
        <w:t>-1759.82</w:t>
      </w:r>
      <w:r>
        <w:rPr/>
        <w:t>万元，比去年减少</w:t>
      </w:r>
      <w:r>
        <w:rPr>
          <w:rFonts w:ascii="Times New Roman" w:hAnsi="Times New Roman" w:cs="Times New Roman" w:eastAsia="Times New Roman" w:hint="default"/>
        </w:rPr>
        <w:t>165.02%</w:t>
      </w:r>
      <w:r>
        <w:rPr/>
        <w:t>，主要是因为借款减少。</w:t>
      </w:r>
    </w:p>
    <w:p>
      <w:pPr>
        <w:pStyle w:val="BodyText"/>
        <w:spacing w:line="357" w:lineRule="auto" w:before="53"/>
        <w:ind w:left="444" w:right="0" w:hanging="291"/>
        <w:jc w:val="left"/>
      </w:pPr>
      <w:r>
        <w:rPr/>
        <w:t>公司回顾总结前期披露的发展战略和经营计划在报告期内的进展情况 </w:t>
      </w:r>
      <w:r>
        <w:rPr>
          <w:spacing w:val="-1"/>
        </w:rPr>
        <w:t>公司发展战略为致力于成为一家全球知名的文化创意类企业。公司将依靠多年积累的动漫服饰开发生产经验，以国家大</w:t>
      </w:r>
    </w:p>
    <w:p>
      <w:pPr>
        <w:pStyle w:val="BodyText"/>
        <w:spacing w:line="224" w:lineRule="exact"/>
        <w:ind w:left="153" w:right="0"/>
        <w:jc w:val="both"/>
      </w:pPr>
      <w:r>
        <w:rPr/>
        <w:t>力发展文化产业为契机，基于自身的创意、产品开发、生产规模及经营管理优势，充分整合社会资源，在巩固和拓展海外市</w:t>
      </w:r>
    </w:p>
    <w:p>
      <w:pPr>
        <w:pStyle w:val="BodyText"/>
        <w:spacing w:line="316" w:lineRule="auto" w:before="76"/>
        <w:ind w:left="153" w:right="1043"/>
        <w:jc w:val="both"/>
      </w:pPr>
      <w:r>
        <w:rPr/>
        <w:t>场销售规模的同时，引领国内动漫服饰市场的流行趋势，提升公司品牌的知名度，扩大国内外动漫服饰消费市场的占有率， 致力于成为全球知名的动漫服饰供应商。面对复杂的国内外环境，在公司董事会领导下，公司管理层团结一致，迎难而上， </w:t>
      </w:r>
      <w:r>
        <w:rPr>
          <w:spacing w:val="-4"/>
        </w:rPr>
        <w:t>充分整合资源，有序进行品牌建设提升公司综合实力。同时公司通过资源整合逐步实现了以动漫衍生品为基础的产业链建设，</w:t>
      </w:r>
      <w:r>
        <w:rPr>
          <w:spacing w:val="-44"/>
        </w:rPr>
        <w:t> </w:t>
      </w:r>
      <w:r>
        <w:rPr>
          <w:spacing w:val="-44"/>
        </w:rPr>
      </w:r>
      <w:r>
        <w:rPr/>
        <w:t>再到生态圈构建的目标。在经营与战略实施上较好的完成了前期计划。</w:t>
      </w:r>
    </w:p>
    <w:p>
      <w:pPr>
        <w:pStyle w:val="BodyText"/>
        <w:spacing w:line="240" w:lineRule="auto" w:before="59"/>
        <w:ind w:left="153" w:right="0"/>
        <w:jc w:val="both"/>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left="153"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19" w:lineRule="auto" w:before="115"/>
        <w:ind w:left="153" w:right="1153" w:firstLine="290"/>
        <w:jc w:val="left"/>
      </w:pPr>
      <w:r>
        <w:rPr>
          <w:rFonts w:ascii="Times New Roman" w:hAnsi="Times New Roman" w:cs="Times New Roman" w:eastAsia="Times New Roman" w:hint="default"/>
        </w:rPr>
        <w:t>2014</w:t>
      </w:r>
      <w:r>
        <w:rPr/>
        <w:t>年度公司实现营业收入</w:t>
      </w:r>
      <w:r>
        <w:rPr>
          <w:rFonts w:ascii="Times New Roman" w:hAnsi="Times New Roman" w:cs="Times New Roman" w:eastAsia="Times New Roman" w:hint="default"/>
        </w:rPr>
        <w:t>45599.67</w:t>
      </w:r>
      <w:r>
        <w:rPr/>
        <w:t>万元，比去年增长</w:t>
      </w:r>
      <w:r>
        <w:rPr>
          <w:rFonts w:ascii="Times New Roman" w:hAnsi="Times New Roman" w:cs="Times New Roman" w:eastAsia="Times New Roman" w:hint="default"/>
        </w:rPr>
        <w:t>97.29%</w:t>
      </w:r>
      <w:r>
        <w:rPr/>
        <w:t>，营业收入的增长，主要原因是</w:t>
      </w:r>
      <w:r>
        <w:rPr>
          <w:rFonts w:ascii="Times New Roman" w:hAnsi="Times New Roman" w:cs="Times New Roman" w:eastAsia="Times New Roman" w:hint="default"/>
        </w:rPr>
        <w:t>FROZEN</w:t>
      </w:r>
      <w:r>
        <w:rPr/>
        <w:t>系列产品收入增 加，荷兰公司整年纳入合并范围。营业成本</w:t>
      </w:r>
      <w:r>
        <w:rPr>
          <w:rFonts w:ascii="Times New Roman" w:hAnsi="Times New Roman" w:cs="Times New Roman" w:eastAsia="Times New Roman" w:hint="default"/>
        </w:rPr>
        <w:t>28959.7</w:t>
      </w:r>
      <w:r>
        <w:rPr/>
        <w:t>万元，比去年增长</w:t>
      </w:r>
      <w:r>
        <w:rPr>
          <w:rFonts w:ascii="Times New Roman" w:hAnsi="Times New Roman" w:cs="Times New Roman" w:eastAsia="Times New Roman" w:hint="default"/>
        </w:rPr>
        <w:t>94.08%</w:t>
      </w:r>
      <w:r>
        <w:rPr/>
        <w:t>，主要原因是营业收入增长。 公司实物销售收入是否大于劳务收入</w:t>
      </w:r>
    </w:p>
    <w:p>
      <w:pPr>
        <w:pStyle w:val="BodyText"/>
        <w:spacing w:line="240" w:lineRule="auto" w:before="58"/>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9,394,530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5,081,641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9,364,249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444" w:right="794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主要是主营业务销售增加所致。</w:t>
      </w:r>
    </w:p>
    <w:p>
      <w:pPr>
        <w:pStyle w:val="BodyText"/>
        <w:spacing w:line="240" w:lineRule="auto" w:before="43"/>
        <w:ind w:right="0"/>
        <w:jc w:val="left"/>
      </w:pPr>
      <w:r>
        <w:rPr/>
        <w:t>公司重大的在手订单情况</w:t>
      </w:r>
    </w:p>
    <w:p>
      <w:pPr>
        <w:pStyle w:val="BodyText"/>
        <w:spacing w:line="357" w:lineRule="auto" w:before="117"/>
        <w:ind w:right="6432"/>
        <w:jc w:val="left"/>
      </w:pPr>
      <w:r>
        <w:rPr/>
        <w:t>□ 适用 √ 不适用 公司报告期内产品或服务发生重大变化或调整有关情况</w:t>
      </w:r>
    </w:p>
    <w:p>
      <w:pPr>
        <w:pStyle w:val="BodyText"/>
        <w:spacing w:line="360" w:lineRule="auto" w:before="28"/>
        <w:ind w:right="8952"/>
        <w:jc w:val="left"/>
      </w:pPr>
      <w:r>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364,727,254.19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79.98%</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157,411,217.38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148,966,557.33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47,666,683.44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6,220,510.45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4,462,285.59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364,727,254.19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288,149,256.63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147,949,915.07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0.35%</w:t>
            </w:r>
          </w:p>
        </w:tc>
      </w:tr>
    </w:tbl>
    <w:p>
      <w:pPr>
        <w:pStyle w:val="BodyText"/>
        <w:spacing w:line="240" w:lineRule="auto" w:before="51"/>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229,166,651.23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123,860,936.98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53,478,572.58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22,134,293.60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4,525,364.78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1,954,684.49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bl>
    <w:p>
      <w:pPr>
        <w:pStyle w:val="BodyText"/>
        <w:spacing w:line="357" w:lineRule="auto" w:before="51"/>
        <w:ind w:right="10392"/>
        <w:jc w:val="left"/>
      </w:pPr>
      <w:r>
        <w:rPr/>
        <w:t>说明 无</w:t>
      </w:r>
    </w:p>
    <w:p>
      <w:pPr>
        <w:pStyle w:val="BodyText"/>
        <w:spacing w:line="240" w:lineRule="auto" w:before="29"/>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38,838,602.94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12,943,826.80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7,554,634.63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6,388,402.17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6,201,487.47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5,750,251.87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38,838,602.94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rFonts w:ascii="Times New Roman" w:hAnsi="Times New Roman" w:cs="Times New Roman" w:eastAsia="Times New Roman" w:hint="default"/>
          <w:spacing w:val="-1"/>
        </w:rPr>
        <w:t>2014</w:t>
      </w:r>
      <w:r>
        <w:rPr>
          <w:spacing w:val="-1"/>
        </w:rPr>
        <w:t>年度公司销售费用为</w:t>
      </w:r>
      <w:r>
        <w:rPr>
          <w:rFonts w:ascii="Times New Roman" w:hAnsi="Times New Roman" w:cs="Times New Roman" w:eastAsia="Times New Roman" w:hint="default"/>
          <w:spacing w:val="-1"/>
        </w:rPr>
        <w:t>1356.91</w:t>
      </w:r>
      <w:r>
        <w:rPr>
          <w:spacing w:val="-1"/>
        </w:rPr>
        <w:t>万元，比去年增长</w:t>
      </w:r>
      <w:r>
        <w:rPr>
          <w:rFonts w:ascii="Times New Roman" w:hAnsi="Times New Roman" w:cs="Times New Roman" w:eastAsia="Times New Roman" w:hint="default"/>
          <w:spacing w:val="-1"/>
        </w:rPr>
        <w:t>65.71%</w:t>
      </w:r>
      <w:r>
        <w:rPr>
          <w:spacing w:val="-1"/>
        </w:rPr>
        <w:t>，管理费用为</w:t>
      </w:r>
      <w:r>
        <w:rPr>
          <w:rFonts w:ascii="Times New Roman" w:hAnsi="Times New Roman" w:cs="Times New Roman" w:eastAsia="Times New Roman" w:hint="default"/>
          <w:spacing w:val="-1"/>
        </w:rPr>
        <w:t>5050.14</w:t>
      </w:r>
      <w:r>
        <w:rPr>
          <w:spacing w:val="-1"/>
        </w:rPr>
        <w:t>万元，比去年增长</w:t>
      </w:r>
      <w:r>
        <w:rPr>
          <w:rFonts w:ascii="Times New Roman" w:hAnsi="Times New Roman" w:cs="Times New Roman" w:eastAsia="Times New Roman" w:hint="default"/>
          <w:spacing w:val="-1"/>
        </w:rPr>
        <w:t>56.04%</w:t>
      </w:r>
      <w:r>
        <w:rPr>
          <w:spacing w:val="-1"/>
        </w:rPr>
        <w:t>，主要是因为</w:t>
      </w:r>
      <w:r>
        <w:rPr/>
        <w:t> 营业收入增加；财务费用为</w:t>
      </w:r>
      <w:r>
        <w:rPr>
          <w:rFonts w:ascii="Times New Roman" w:hAnsi="Times New Roman" w:cs="Times New Roman" w:eastAsia="Times New Roman" w:hint="default"/>
        </w:rPr>
        <w:t>115.41</w:t>
      </w:r>
      <w:r>
        <w:rPr/>
        <w:t>万元，比去年增长</w:t>
      </w:r>
      <w:r>
        <w:rPr>
          <w:rFonts w:ascii="Times New Roman" w:hAnsi="Times New Roman" w:cs="Times New Roman" w:eastAsia="Times New Roman" w:hint="default"/>
        </w:rPr>
        <w:t>148.89%</w:t>
      </w:r>
      <w:r>
        <w:rPr/>
        <w:t>，主要是利息收入减少所致。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75" w:firstLine="362"/>
        <w:jc w:val="left"/>
      </w:pPr>
      <w:r>
        <w:rPr/>
        <w:t>公司围绕市场需求和公司发展战略，为增加公司核心竞争力，提高公司附加价值，公司</w:t>
      </w:r>
      <w:r>
        <w:rPr>
          <w:rFonts w:ascii="Times New Roman" w:hAnsi="Times New Roman" w:cs="Times New Roman" w:eastAsia="Times New Roman" w:hint="default"/>
        </w:rPr>
        <w:t>2014</w:t>
      </w:r>
      <w:r>
        <w:rPr/>
        <w:t>年研发费用为</w:t>
      </w:r>
      <w:r>
        <w:rPr>
          <w:rFonts w:ascii="Times New Roman" w:hAnsi="Times New Roman" w:cs="Times New Roman" w:eastAsia="Times New Roman" w:hint="default"/>
        </w:rPr>
        <w:t>536.03</w:t>
      </w:r>
      <w:r>
        <w:rPr/>
        <w:t>万元， 较</w:t>
      </w:r>
      <w:r>
        <w:rPr>
          <w:rFonts w:ascii="Times New Roman" w:hAnsi="Times New Roman" w:cs="Times New Roman" w:eastAsia="Times New Roman" w:hint="default"/>
        </w:rPr>
        <w:t>2013</w:t>
      </w:r>
      <w:r>
        <w:rPr/>
        <w:t>年投入研发费用</w:t>
      </w:r>
      <w:r>
        <w:rPr>
          <w:rFonts w:ascii="Times New Roman" w:hAnsi="Times New Roman" w:cs="Times New Roman" w:eastAsia="Times New Roman" w:hint="default"/>
        </w:rPr>
        <w:t>454.64</w:t>
      </w:r>
      <w:r>
        <w:rPr/>
        <w:t>万元，上升</w:t>
      </w:r>
      <w:r>
        <w:rPr>
          <w:rFonts w:ascii="Times New Roman" w:hAnsi="Times New Roman" w:cs="Times New Roman" w:eastAsia="Times New Roman" w:hint="default"/>
        </w:rPr>
        <w:t>17.9%</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477,681,906.60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260,336,127.39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500,177,713.63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210,617,857.81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137.48%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-22,495,807.03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49,718,269.58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-145.25%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298,404,430.22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333,297,253.02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102,259,611.96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426,432,832.49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196,144,818.26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-93,135,579.47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92,919,944.00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32,598,153.98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65,853,570.44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-17,598,153.98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27,066,373.56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-165.02%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153,509,705.34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-16,272,839.95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2" w:lineRule="auto" w:before="103"/>
        <w:ind w:left="153" w:right="3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投资活动现金流入和投资活动产生的现金流量净额增加主要是购买理财产品减少所致； 筹资活动现金流入和筹资活动动产生的现金流量净额减少主要是借款减少所致； 经营活动产生的现金流量净额减少主要是新纳入纯真年代至合并财务报表范围所致。 报告期内公司经营活动的现金流量与本年度净利润存在重大差异的原因说明</w:t>
      </w:r>
    </w:p>
    <w:p>
      <w:pPr>
        <w:pStyle w:val="BodyText"/>
        <w:spacing w:line="240" w:lineRule="auto" w:before="32"/>
        <w:ind w:left="153"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452,544,641.56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288,149,256.63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349,638,432.52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229,166,651.23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87,126,156.70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53,478,572.58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1,407,051.65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978,668.04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14,373,000.69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4,525,364.78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396,833,670.21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257,889,019.50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55,710,971.35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30,260,237.13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249,627,548.1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25.85%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133,107,842.79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16.47%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9.38%</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60,208,835.73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33,049,820.99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175,683,766.7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56,768,384.52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11.17%</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2,551,466.12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233,586,573.2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201,325,085.02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24.92%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-0.73%</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53,901,144.63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52,671,772.97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75"/>
        <w:gridCol w:w="1040"/>
        <w:gridCol w:w="1218"/>
        <w:gridCol w:w="1040"/>
        <w:gridCol w:w="810"/>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69,560,792.00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7.20%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69,309,559.20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8.58%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-1.38%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6"/>
        <w:gridCol w:w="1212"/>
        <w:gridCol w:w="1190"/>
        <w:gridCol w:w="1194"/>
        <w:gridCol w:w="1192"/>
        <w:gridCol w:w="1203"/>
        <w:gridCol w:w="1194"/>
        <w:gridCol w:w="1195"/>
      </w:tblGrid>
      <w:tr>
        <w:trPr>
          <w:trHeight w:val="161"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04" w:right="46"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3"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2" w:type="dxa"/>
            <w:tcBorders>
              <w:top w:val="single" w:sz="4" w:space="0" w:color="000000"/>
              <w:left w:val="single" w:sz="13"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71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2,553,350.00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-2,553,350.00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2,553,350.00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17,564,251.26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2,553,350.00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17,564,251.26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3,013,804.78</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jc w:val="left"/>
      </w:pPr>
      <w:r>
        <w:rPr>
          <w:rFonts w:ascii="Times New Roman" w:hAnsi="Times New Roman" w:cs="Times New Roman" w:eastAsia="Times New Roman" w:hint="default"/>
        </w:rPr>
        <w:t>1</w:t>
      </w:r>
      <w:r>
        <w:rPr/>
        <w:t>、原创内容的核心价值优势 </w:t>
      </w:r>
      <w:r>
        <w:rPr>
          <w:spacing w:val="-2"/>
        </w:rPr>
        <w:t>互联网及文化传媒高速发展的今天，原创内容作为产业发展和衍生的基础，正在文化传播领域和动漫产业链中占据越来</w:t>
      </w:r>
    </w:p>
    <w:p>
      <w:pPr>
        <w:pStyle w:val="BodyText"/>
        <w:spacing w:line="302" w:lineRule="auto" w:before="2"/>
        <w:ind w:right="1202"/>
        <w:jc w:val="left"/>
      </w:pPr>
      <w:r>
        <w:rPr/>
        <w:t>越重要地位。原创内容的具体表现形式即是</w:t>
      </w:r>
      <w:r>
        <w:rPr>
          <w:rFonts w:ascii="Times New Roman" w:hAnsi="Times New Roman" w:cs="Times New Roman" w:eastAsia="Times New Roman" w:hint="default"/>
        </w:rPr>
        <w:t>IP</w:t>
      </w:r>
      <w:r>
        <w:rPr/>
        <w:t>（</w:t>
      </w:r>
      <w:r>
        <w:rPr>
          <w:rFonts w:ascii="Times New Roman" w:hAnsi="Times New Roman" w:cs="Times New Roman" w:eastAsia="Times New Roman" w:hint="default"/>
        </w:rPr>
        <w:t>Intellectual</w:t>
      </w:r>
      <w:r>
        <w:rPr>
          <w:rFonts w:ascii="Times New Roman" w:hAnsi="Times New Roman" w:cs="Times New Roman" w:eastAsia="Times New Roman" w:hint="default"/>
          <w:spacing w:val="-5"/>
        </w:rPr>
        <w:t> </w:t>
      </w:r>
      <w:r>
        <w:rPr>
          <w:rFonts w:ascii="Times New Roman" w:hAnsi="Times New Roman" w:cs="Times New Roman" w:eastAsia="Times New Roman" w:hint="default"/>
        </w:rPr>
        <w:t>Property</w:t>
      </w:r>
      <w:r>
        <w:rPr/>
        <w:t>），其来源主要包括动画漫画、游戏、影视、小说、综 艺节目等原创性资源，通常具有独特的指向性和较高的识别度，易于被喜爱的人群所接受。</w:t>
      </w:r>
    </w:p>
    <w:p>
      <w:pPr>
        <w:pStyle w:val="BodyText"/>
        <w:spacing w:line="319" w:lineRule="auto" w:before="69"/>
        <w:ind w:right="0" w:firstLine="360"/>
        <w:jc w:val="left"/>
      </w:pPr>
      <w:r>
        <w:rPr>
          <w:spacing w:val="-2"/>
        </w:rPr>
        <w:t>动漫、游戏、影视等领域作为原创内容主要来源地，公司着力耕耘、精细布局，收购了缔顺科技而深度涉足动漫及游戏</w:t>
      </w:r>
      <w:r>
        <w:rPr/>
        <w:t> 原创领域，收购了纯真年代而进军影视原创领域，提升公司原创内容库的丰富度。</w:t>
      </w:r>
    </w:p>
    <w:p>
      <w:pPr>
        <w:pStyle w:val="BodyText"/>
        <w:spacing w:line="314" w:lineRule="auto" w:before="55"/>
        <w:ind w:right="1032" w:firstLine="360"/>
        <w:jc w:val="left"/>
      </w:pPr>
      <w:r>
        <w:rPr/>
        <w:t>缔顺科技拥有《莫麟传奇》、《爵士兔》、《坦坦小动员》等优秀原创动漫作品，拥有《小小勇者村》、《纸牌三国》 </w:t>
      </w:r>
      <w:r>
        <w:rPr>
          <w:spacing w:val="-2"/>
        </w:rPr>
        <w:t>等优秀网页游戏和手机游戏，在国内外市场上均取得了较高的荣誉，有着广泛的的知名度。此外，缔顺科技精心打造的《星</w:t>
      </w:r>
      <w:r>
        <w:rPr>
          <w:spacing w:val="-66"/>
        </w:rPr>
        <w:t> </w:t>
      </w:r>
      <w:r>
        <w:rPr>
          <w:spacing w:val="-66"/>
        </w:rPr>
      </w:r>
      <w:r>
        <w:rPr>
          <w:spacing w:val="-2"/>
        </w:rPr>
        <w:t>学院》系列动漫原创作品，成为公司原创内容环节未来几年发展的核心战略之一。《星学院》系列动漫将包括动漫剧、动漫</w:t>
      </w:r>
      <w:r>
        <w:rPr>
          <w:spacing w:val="-67"/>
        </w:rPr>
        <w:t> </w:t>
      </w:r>
      <w:r>
        <w:rPr>
          <w:spacing w:val="-67"/>
        </w:rPr>
      </w:r>
      <w:r>
        <w:rPr>
          <w:spacing w:val="-2"/>
        </w:rPr>
        <w:t>大电影、游戏等多层次产品线，产品内容精雕细琢，制作精良，剧中主人公特色鲜明，造型优美，个性鲜明可爱，有着极高</w:t>
      </w:r>
      <w:r>
        <w:rPr>
          <w:spacing w:val="-71"/>
        </w:rPr>
        <w:t> </w:t>
      </w:r>
      <w:r>
        <w:rPr>
          <w:spacing w:val="-71"/>
        </w:rPr>
      </w:r>
      <w:r>
        <w:rPr/>
        <w:t>的人气和亲和力。优秀原创</w:t>
      </w:r>
      <w:r>
        <w:rPr>
          <w:rFonts w:ascii="Times New Roman" w:hAnsi="Times New Roman" w:cs="Times New Roman" w:eastAsia="Times New Roman" w:hint="default"/>
        </w:rPr>
        <w:t>IP</w:t>
      </w:r>
      <w:r>
        <w:rPr/>
        <w:t>形象的推出将建立对最终消费者的情感代入，增强消费者对</w:t>
      </w:r>
      <w:r>
        <w:rPr>
          <w:rFonts w:ascii="Times New Roman" w:hAnsi="Times New Roman" w:cs="Times New Roman" w:eastAsia="Times New Roman" w:hint="default"/>
        </w:rPr>
        <w:t>IP</w:t>
      </w:r>
      <w:r>
        <w:rPr/>
        <w:t>的认同度及粘性，同时也势必提 </w:t>
      </w:r>
      <w:r>
        <w:rPr>
          <w:spacing w:val="-2"/>
        </w:rPr>
        <w:t>升对广大消费者对美盛品牌的认知，对公司蕴含价值和文化的认同，不断为公司带来市场人气和用户沉淀，对公司整体发展</w:t>
      </w:r>
    </w:p>
    <w:p>
      <w:pPr>
        <w:spacing w:after="0" w:line="314"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1118" w:hanging="360"/>
        <w:jc w:val="left"/>
      </w:pPr>
      <w:r>
        <w:rPr/>
        <w:t>有着重大意义。 </w:t>
      </w:r>
      <w:r>
        <w:rPr>
          <w:spacing w:val="-2"/>
        </w:rPr>
        <w:t>纯真年代作为国内知名的影视剧制作公司，拥有包括《中国式离婚》、《家常菜》、《新结婚时代》、《你在微笑我却</w:t>
      </w:r>
    </w:p>
    <w:p>
      <w:pPr>
        <w:pStyle w:val="BodyText"/>
        <w:spacing w:line="224" w:lineRule="exact"/>
        <w:ind w:left="153" w:right="0"/>
        <w:jc w:val="left"/>
      </w:pPr>
      <w:r>
        <w:rPr/>
        <w:t>哭了》等一大批脍炙人口的优秀影视作品，塑造了一大批广为熟知的经典影视形象，在观众中有着良好的口碑。纯真年代计</w:t>
      </w:r>
    </w:p>
    <w:p>
      <w:pPr>
        <w:pStyle w:val="BodyText"/>
        <w:spacing w:line="338" w:lineRule="auto" w:before="77"/>
        <w:ind w:left="513" w:right="0" w:hanging="360"/>
        <w:jc w:val="left"/>
      </w:pPr>
      <w:r>
        <w:rPr/>
        <w:t>划在</w:t>
      </w:r>
      <w:r>
        <w:rPr>
          <w:rFonts w:ascii="Times New Roman" w:hAnsi="Times New Roman" w:cs="Times New Roman" w:eastAsia="Times New Roman" w:hint="default"/>
        </w:rPr>
        <w:t>2015</w:t>
      </w:r>
      <w:r>
        <w:rPr/>
        <w:t>年陆续推出数部新的电影、电视作品，将进一步丰富公司影片库的内容。 </w:t>
      </w:r>
      <w:r>
        <w:rPr>
          <w:spacing w:val="-2"/>
        </w:rPr>
        <w:t>公司在原创内容领域的布局正逐步显现出成效并将体现出较好的未来收益，原创内容的不断丰富也将为下游产业输送源</w:t>
      </w:r>
    </w:p>
    <w:p>
      <w:pPr>
        <w:pStyle w:val="BodyText"/>
        <w:spacing w:line="240" w:lineRule="auto" w:before="4"/>
        <w:ind w:left="153" w:right="0"/>
        <w:jc w:val="left"/>
      </w:pPr>
      <w:r>
        <w:rPr/>
        <w:t>源不断的创作源泉。丰富原创内容已形成公司的核心优势。</w:t>
      </w:r>
    </w:p>
    <w:p>
      <w:pPr>
        <w:pStyle w:val="BodyText"/>
        <w:spacing w:line="338" w:lineRule="auto" w:before="116"/>
        <w:ind w:left="514" w:right="1032"/>
        <w:jc w:val="left"/>
      </w:pPr>
      <w:r>
        <w:rPr>
          <w:rFonts w:ascii="Times New Roman" w:hAnsi="Times New Roman" w:cs="Times New Roman" w:eastAsia="Times New Roman" w:hint="default"/>
        </w:rPr>
        <w:t>2</w:t>
      </w:r>
      <w:r>
        <w:rPr/>
        <w:t>、丰富的平台部署优势 平台是内容的展示场所，是粉丝群体的聚集家园，是衍生产品转化收益的通道。公司目前已经部署了丰富的平台资源，</w:t>
      </w:r>
    </w:p>
    <w:p>
      <w:pPr>
        <w:pStyle w:val="BodyText"/>
        <w:spacing w:line="357" w:lineRule="auto" w:before="4"/>
        <w:ind w:left="514" w:right="2112" w:hanging="360"/>
        <w:jc w:val="left"/>
      </w:pPr>
      <w:r>
        <w:rPr/>
        <w:t>为公司各条产业链打造了立体化的出口。 公司通过全资子公司美盛动漫涉足电商平台，展开电商销售渠道的布局，设立了垂直电子商务平台悠窝窝</w:t>
      </w:r>
    </w:p>
    <w:p>
      <w:pPr>
        <w:pStyle w:val="BodyText"/>
        <w:spacing w:line="237" w:lineRule="exact"/>
        <w:ind w:left="153" w:right="0"/>
        <w:jc w:val="left"/>
      </w:pPr>
      <w:r>
        <w:rPr/>
        <w:t>（</w:t>
      </w:r>
      <w:r>
        <w:rPr>
          <w:rFonts w:ascii="Times New Roman" w:hAnsi="Times New Roman" w:cs="Times New Roman" w:eastAsia="Times New Roman" w:hint="default"/>
          <w:color w:val="ACA899"/>
        </w:rPr>
      </w:r>
      <w:hyperlink r:id="rId14">
        <w:r>
          <w:rPr>
            <w:rFonts w:ascii="Times New Roman" w:hAnsi="Times New Roman" w:cs="Times New Roman" w:eastAsia="Times New Roman" w:hint="default"/>
            <w:color w:val="ACA899"/>
            <w:u w:val="single" w:color="ACA899"/>
          </w:rPr>
          <w:t>http://www.uwowo.com</w:t>
        </w:r>
        <w:r>
          <w:rPr>
            <w:rFonts w:ascii="Times New Roman" w:hAnsi="Times New Roman" w:cs="Times New Roman" w:eastAsia="Times New Roman" w:hint="default"/>
            <w:color w:val="ACA899"/>
          </w:rPr>
        </w:r>
      </w:hyperlink>
      <w:r>
        <w:rPr/>
        <w:t>），打造全方位覆盖的动漫服饰和</w:t>
      </w:r>
      <w:r>
        <w:rPr>
          <w:rFonts w:ascii="Times New Roman" w:hAnsi="Times New Roman" w:cs="Times New Roman" w:eastAsia="Times New Roman" w:hint="default"/>
        </w:rPr>
        <w:t>Cosplay</w:t>
      </w:r>
      <w:r>
        <w:rPr/>
        <w:t>服饰等衍生品销售通道。公司通过收购国内领先的独立动</w:t>
      </w:r>
    </w:p>
    <w:p>
      <w:pPr>
        <w:pStyle w:val="BodyText"/>
        <w:spacing w:line="309" w:lineRule="auto" w:before="63"/>
        <w:ind w:left="153" w:right="1033"/>
        <w:jc w:val="left"/>
      </w:pPr>
      <w:r>
        <w:rPr/>
        <w:t>漫视频网站</w:t>
      </w:r>
      <w:r>
        <w:rPr>
          <w:rFonts w:ascii="Times New Roman" w:hAnsi="Times New Roman" w:cs="Times New Roman" w:eastAsia="Times New Roman" w:hint="default"/>
        </w:rPr>
        <w:t>——</w:t>
      </w:r>
      <w:r>
        <w:rPr/>
        <w:t>酷米网（</w:t>
      </w:r>
      <w:hyperlink r:id="rId15">
        <w:r>
          <w:rPr>
            <w:rFonts w:ascii="Times New Roman" w:hAnsi="Times New Roman" w:cs="Times New Roman" w:eastAsia="Times New Roman" w:hint="default"/>
          </w:rPr>
          <w:t>http://www.kumi.cn</w:t>
        </w:r>
      </w:hyperlink>
      <w:r>
        <w:rPr/>
        <w:t>），搭建了一个以儿童及家长为主要对象的动漫视听节目播出网络平台和一个 涵盖动画、儿童剧、儿童游戏及相关服务的互联网动漫娱乐服务平台，其终端覆盖</w:t>
      </w:r>
      <w:r>
        <w:rPr>
          <w:rFonts w:ascii="Times New Roman" w:hAnsi="Times New Roman" w:cs="Times New Roman" w:eastAsia="Times New Roman" w:hint="default"/>
        </w:rPr>
        <w:t>PC</w:t>
      </w:r>
      <w:r>
        <w:rPr/>
        <w:t>、移动设备及电视，新媒体资源接入 与忠实用户的接入是平台建立的重要战略意义。公司通过缔顺科技打造了缔顺游戏平台和游戏港口等游戏类门户网站平台， </w:t>
      </w:r>
      <w:r>
        <w:rPr>
          <w:spacing w:val="-2"/>
        </w:rPr>
        <w:t>为自身优秀游戏作品的运营和游戏玩家资讯获取提供了稳定的场所和多元化的娱乐体验。公司还通过星梦工坊完善了演艺平</w:t>
      </w:r>
      <w:r>
        <w:rPr>
          <w:spacing w:val="-63"/>
        </w:rPr>
        <w:t> </w:t>
      </w:r>
      <w:r>
        <w:rPr>
          <w:spacing w:val="-63"/>
        </w:rPr>
      </w:r>
      <w:r>
        <w:rPr/>
        <w:t>台的建立，为公司自身核心</w:t>
      </w:r>
      <w:r>
        <w:rPr>
          <w:rFonts w:ascii="Times New Roman" w:hAnsi="Times New Roman" w:cs="Times New Roman" w:eastAsia="Times New Roman" w:hint="default"/>
        </w:rPr>
        <w:t>IP</w:t>
      </w:r>
      <w:r>
        <w:rPr/>
        <w:t>提供了舞台剧等新的展示平台。最后，公司与重要客户</w:t>
      </w:r>
      <w:r>
        <w:rPr>
          <w:rFonts w:ascii="Times New Roman" w:hAnsi="Times New Roman" w:cs="Times New Roman" w:eastAsia="Times New Roman" w:hint="default"/>
        </w:rPr>
        <w:t>Jakks</w:t>
      </w:r>
      <w:r>
        <w:rPr>
          <w:rFonts w:ascii="Times New Roman" w:hAnsi="Times New Roman" w:cs="Times New Roman" w:eastAsia="Times New Roman" w:hint="default"/>
          <w:spacing w:val="-1"/>
        </w:rPr>
        <w:t> </w:t>
      </w:r>
      <w:r>
        <w:rPr>
          <w:rFonts w:ascii="Times New Roman" w:hAnsi="Times New Roman" w:cs="Times New Roman" w:eastAsia="Times New Roman" w:hint="default"/>
        </w:rPr>
        <w:t>Pacific</w:t>
      </w:r>
      <w:r>
        <w:rPr/>
        <w:t>共同设立的杰克仕美盛营 </w:t>
      </w:r>
      <w:r>
        <w:rPr>
          <w:spacing w:val="-2"/>
        </w:rPr>
        <w:t>销平台将为国内的消费者带来国外最新潮的玩具、动漫服饰流行体验，有利于国内市场的快速发展，将为公司来带新的利润</w:t>
      </w:r>
      <w:r>
        <w:rPr>
          <w:spacing w:val="-66"/>
        </w:rPr>
        <w:t> </w:t>
      </w:r>
      <w:r>
        <w:rPr>
          <w:spacing w:val="-66"/>
        </w:rPr>
      </w:r>
      <w:r>
        <w:rPr/>
        <w:t>增长点。</w:t>
      </w:r>
    </w:p>
    <w:p>
      <w:pPr>
        <w:pStyle w:val="BodyText"/>
        <w:spacing w:line="319" w:lineRule="auto" w:before="62"/>
        <w:ind w:right="1133" w:firstLine="360"/>
        <w:jc w:val="both"/>
      </w:pPr>
      <w:r>
        <w:rPr>
          <w:spacing w:val="-2"/>
        </w:rPr>
        <w:t>公司目前建立的多层级多维度平台部署，充分发挥了公司全产业链布局的综合优势，实现了产业上下游资源的整合。丰</w:t>
      </w:r>
      <w:r>
        <w:rPr/>
        <w:t> 富的平台资源也充分向市场展示了公司的实力和内容，体现了公司平台资源上的优势。</w:t>
      </w:r>
    </w:p>
    <w:p>
      <w:pPr>
        <w:pStyle w:val="BodyText"/>
        <w:spacing w:line="338" w:lineRule="auto" w:before="56"/>
        <w:ind w:left="514" w:right="0"/>
        <w:jc w:val="left"/>
      </w:pPr>
      <w:r>
        <w:rPr>
          <w:rFonts w:ascii="Times New Roman" w:hAnsi="Times New Roman" w:cs="Times New Roman" w:eastAsia="Times New Roman" w:hint="default"/>
        </w:rPr>
        <w:t>3</w:t>
      </w:r>
      <w:r>
        <w:rPr/>
        <w:t>、打造完美闭环生态的一体化优势 </w:t>
      </w:r>
      <w:r>
        <w:rPr>
          <w:spacing w:val="-4"/>
        </w:rPr>
        <w:t>公司涉及动漫原创、游戏制作、网络平台、国内外终端销售、儿童剧演艺等，正在逐步实现全产业的上下游整合和升级。</w:t>
      </w:r>
    </w:p>
    <w:p>
      <w:pPr>
        <w:pStyle w:val="BodyText"/>
        <w:spacing w:line="319" w:lineRule="auto" w:before="2"/>
        <w:ind w:right="1118"/>
        <w:jc w:val="left"/>
      </w:pPr>
      <w:r>
        <w:rPr>
          <w:spacing w:val="-2"/>
        </w:rPr>
        <w:t>产业链中的各个环节有效的结合，最大化资源的整合和利用，将逐步体现公司整个产业布局一体化，打造成为完美的闭环生</w:t>
      </w:r>
      <w:r>
        <w:rPr>
          <w:spacing w:val="-66"/>
        </w:rPr>
        <w:t> </w:t>
      </w:r>
      <w:r>
        <w:rPr>
          <w:spacing w:val="-66"/>
        </w:rPr>
      </w:r>
      <w:r>
        <w:rPr/>
        <w:t>态圈。</w:t>
      </w:r>
    </w:p>
    <w:p>
      <w:pPr>
        <w:pStyle w:val="BodyText"/>
        <w:spacing w:line="319" w:lineRule="auto" w:before="55"/>
        <w:ind w:right="1132" w:firstLine="360"/>
        <w:jc w:val="both"/>
      </w:pPr>
      <w:r>
        <w:rPr>
          <w:spacing w:val="-2"/>
        </w:rPr>
        <w:t>在公司的闭环生态圈中，自主创造的优秀的原创内容将首先进行泛娱乐化的推广，将原创内容的价值会辐射至影视、游</w:t>
      </w:r>
      <w:r>
        <w:rPr/>
        <w:t> </w:t>
      </w:r>
      <w:r>
        <w:rPr>
          <w:spacing w:val="-2"/>
        </w:rPr>
        <w:t>戏、动漫等多项娱乐产业，实现原创内容价值的全面爆发。而多娱乐产业联动发力推广原创内容，也将会产生反哺，实现原</w:t>
      </w:r>
      <w:r>
        <w:rPr>
          <w:spacing w:val="-66"/>
        </w:rPr>
        <w:t> </w:t>
      </w:r>
      <w:r>
        <w:rPr>
          <w:spacing w:val="-66"/>
        </w:rPr>
      </w:r>
      <w:r>
        <w:rPr>
          <w:spacing w:val="-2"/>
        </w:rPr>
        <w:t>创内容价值的增长。在此基础上，基于原创内容资源的更多的挖掘打造和变现拓展也会为衍生环节提供足够的开发素材和创</w:t>
      </w:r>
      <w:r>
        <w:rPr>
          <w:spacing w:val="-64"/>
        </w:rPr>
        <w:t> </w:t>
      </w:r>
      <w:r>
        <w:rPr>
          <w:spacing w:val="-64"/>
        </w:rPr>
      </w:r>
      <w:r>
        <w:rPr>
          <w:spacing w:val="-2"/>
        </w:rPr>
        <w:t>意源泉，将带来衍生品生产销售的大增长。同时，多维度平台存在，提供了最恰当的宣传途径和产品变现渠道，进一步为公</w:t>
      </w:r>
      <w:r>
        <w:rPr>
          <w:spacing w:val="-66"/>
        </w:rPr>
        <w:t> </w:t>
      </w:r>
      <w:r>
        <w:rPr>
          <w:spacing w:val="-66"/>
        </w:rPr>
      </w:r>
      <w:r>
        <w:rPr/>
        <w:t>司带来可观的利润和庞大的附加价值。</w:t>
      </w:r>
    </w:p>
    <w:p>
      <w:pPr>
        <w:pStyle w:val="BodyText"/>
        <w:spacing w:line="240" w:lineRule="auto" w:before="55"/>
        <w:ind w:left="514" w:right="0"/>
        <w:jc w:val="left"/>
      </w:pPr>
      <w:r>
        <w:rPr/>
        <w:t>公司所形成的完美闭环生态圈将在原创内容打造</w:t>
      </w:r>
      <w:r>
        <w:rPr>
          <w:rFonts w:ascii="Times New Roman" w:hAnsi="Times New Roman" w:cs="Times New Roman" w:eastAsia="Times New Roman" w:hint="default"/>
        </w:rPr>
        <w:t>——</w:t>
      </w:r>
      <w:r>
        <w:rPr/>
        <w:t>内容衍生产品</w:t>
      </w:r>
      <w:r>
        <w:rPr>
          <w:rFonts w:ascii="Times New Roman" w:hAnsi="Times New Roman" w:cs="Times New Roman" w:eastAsia="Times New Roman" w:hint="default"/>
        </w:rPr>
        <w:t>——</w:t>
      </w:r>
      <w:r>
        <w:rPr/>
        <w:t>内容产品借平台宣发变现</w:t>
      </w:r>
      <w:r>
        <w:rPr>
          <w:rFonts w:ascii="Times New Roman" w:hAnsi="Times New Roman" w:cs="Times New Roman" w:eastAsia="Times New Roman" w:hint="default"/>
        </w:rPr>
        <w:t>——</w:t>
      </w:r>
      <w:r>
        <w:rPr/>
        <w:t>品牌价值提高</w:t>
      </w:r>
    </w:p>
    <w:p>
      <w:pPr>
        <w:pStyle w:val="BodyText"/>
        <w:spacing w:line="302" w:lineRule="auto" w:before="63"/>
        <w:ind w:right="1118"/>
        <w:jc w:val="left"/>
      </w:pPr>
      <w:r>
        <w:rPr>
          <w:rFonts w:ascii="Times New Roman" w:hAnsi="Times New Roman" w:cs="Times New Roman" w:eastAsia="Times New Roman" w:hint="default"/>
          <w:spacing w:val="-2"/>
        </w:rPr>
        <w:t>——</w:t>
      </w:r>
      <w:r>
        <w:rPr>
          <w:spacing w:val="-2"/>
        </w:rPr>
        <w:t>高附加值促进内容原创和平台增容这样一个生生不息的生态圈中健康发展并不断壮大，体现了公司一体化全产业链生态</w:t>
      </w:r>
      <w:r>
        <w:rPr>
          <w:spacing w:val="-64"/>
        </w:rPr>
        <w:t> </w:t>
      </w:r>
      <w:r>
        <w:rPr>
          <w:spacing w:val="-64"/>
        </w:rPr>
      </w:r>
      <w:r>
        <w:rPr/>
        <w:t>运作优势。</w:t>
      </w:r>
    </w:p>
    <w:p>
      <w:pPr>
        <w:pStyle w:val="BodyText"/>
        <w:spacing w:line="338" w:lineRule="auto" w:before="70"/>
        <w:ind w:left="514" w:right="0"/>
        <w:jc w:val="left"/>
      </w:pPr>
      <w:r>
        <w:rPr>
          <w:rFonts w:ascii="Times New Roman" w:hAnsi="Times New Roman" w:cs="Times New Roman" w:eastAsia="Times New Roman" w:hint="default"/>
        </w:rPr>
        <w:t>4</w:t>
      </w:r>
      <w:r>
        <w:rPr/>
        <w:t>、依托完美闭环发挥衍生变现优势 </w:t>
      </w:r>
      <w:r>
        <w:rPr>
          <w:spacing w:val="-2"/>
        </w:rPr>
        <w:t>公司是国内主要的动漫衍生品制造商之一，在动漫衍生品的研发、生产、销售上具备领先优势。快速设计、生产及成熟</w:t>
      </w:r>
    </w:p>
    <w:p>
      <w:pPr>
        <w:pStyle w:val="BodyText"/>
        <w:spacing w:line="319" w:lineRule="auto" w:before="2"/>
        <w:ind w:right="1118"/>
        <w:jc w:val="left"/>
      </w:pPr>
      <w:r>
        <w:rPr>
          <w:spacing w:val="-2"/>
        </w:rPr>
        <w:t>的销售渠道是公司变现与快速发展的保障。把完美闭环生态作为核心提升衍生品附加值，充分整合资源实现高效率、高品质</w:t>
      </w:r>
      <w:r>
        <w:rPr>
          <w:spacing w:val="-66"/>
        </w:rPr>
        <w:t> </w:t>
      </w:r>
      <w:r>
        <w:rPr>
          <w:spacing w:val="-66"/>
        </w:rPr>
      </w:r>
      <w:r>
        <w:rPr/>
        <w:t>变现。</w:t>
      </w:r>
    </w:p>
    <w:p>
      <w:pPr>
        <w:pStyle w:val="BodyText"/>
        <w:spacing w:line="360" w:lineRule="auto" w:before="56"/>
        <w:ind w:left="513" w:right="2293"/>
        <w:jc w:val="left"/>
      </w:pPr>
      <w:r>
        <w:rPr/>
        <w:t>公司通过产业链资源提升衍生品内涵，进一步创造品牌价值，发挥生态优势更高品质的实现经济价值。 综上，目前全产业链生态一体化与高品质变现是公司核心竞争力。</w:t>
      </w:r>
    </w:p>
    <w:p>
      <w:pPr>
        <w:spacing w:after="0" w:line="36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161,543,400.00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57,611,473.20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浙江缔顺科技有限公司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动漫、游戏设计、开发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香港美盛文化有限公司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儿童剧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上海纯真年代影视投资有限公司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影视作品制作、发行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认购</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公司报告期不存在证券投资。</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公司报告期未持有其他上市公司股权。</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银行股份 有限公司 新昌县支 行营业中 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68.81</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公司绍兴 嵊州支行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银行股份 有限公司 新昌县支 行营业中 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公司绍兴 嵊州支行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0"/>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14.26</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银行股份 有限公司 新昌县支 行营业中 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11.27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10.79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4.16</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10.17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9.72</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杭州银行 股份有限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left"/>
              <w:rPr>
                <w:rFonts w:ascii="宋体" w:hAnsi="宋体" w:cs="宋体" w:eastAsia="宋体" w:hint="default"/>
                <w:sz w:val="18"/>
                <w:szCs w:val="18"/>
              </w:rPr>
            </w:pPr>
            <w:r>
              <w:rPr>
                <w:rFonts w:ascii="宋体" w:hAnsi="宋体" w:cs="宋体" w:eastAsia="宋体" w:hint="default"/>
                <w:sz w:val="18"/>
                <w:szCs w:val="18"/>
              </w:rPr>
              <w:t>封闭式保 本浮动收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14.79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公司绍兴 新昌支行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封闭式保 本浮动收 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4.16</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公司杭州 官巷口支 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0"/>
              <w:jc w:val="both"/>
              <w:rPr>
                <w:rFonts w:ascii="宋体" w:hAnsi="宋体" w:cs="宋体" w:eastAsia="宋体" w:hint="default"/>
                <w:sz w:val="18"/>
                <w:szCs w:val="18"/>
              </w:rPr>
            </w:pPr>
            <w:r>
              <w:rPr>
                <w:rFonts w:ascii="宋体" w:hAnsi="宋体" w:cs="宋体" w:eastAsia="宋体" w:hint="default"/>
                <w:sz w:val="18"/>
                <w:szCs w:val="18"/>
              </w:rPr>
              <w:t>开放式非 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银行股份 有限公司 杭州祥符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0"/>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公司杭州 官巷口支 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0"/>
              <w:jc w:val="both"/>
              <w:rPr>
                <w:rFonts w:ascii="宋体" w:hAnsi="宋体" w:cs="宋体" w:eastAsia="宋体" w:hint="default"/>
                <w:sz w:val="18"/>
                <w:szCs w:val="18"/>
              </w:rPr>
            </w:pPr>
            <w:r>
              <w:rPr>
                <w:rFonts w:ascii="宋体" w:hAnsi="宋体" w:cs="宋体" w:eastAsia="宋体" w:hint="default"/>
                <w:sz w:val="18"/>
                <w:szCs w:val="18"/>
              </w:rPr>
              <w:t>开放式非 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公司杭州 官巷口支 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0"/>
              <w:jc w:val="both"/>
              <w:rPr>
                <w:rFonts w:ascii="宋体" w:hAnsi="宋体" w:cs="宋体" w:eastAsia="宋体" w:hint="default"/>
                <w:sz w:val="18"/>
                <w:szCs w:val="18"/>
              </w:rPr>
            </w:pPr>
            <w:r>
              <w:rPr>
                <w:rFonts w:ascii="宋体" w:hAnsi="宋体" w:cs="宋体" w:eastAsia="宋体" w:hint="default"/>
                <w:sz w:val="18"/>
                <w:szCs w:val="18"/>
              </w:rPr>
              <w:t>开放式非 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杭州银行 股份有限 公司杭州 官巷口支 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0"/>
              <w:jc w:val="both"/>
              <w:rPr>
                <w:rFonts w:ascii="宋体" w:hAnsi="宋体" w:cs="宋体" w:eastAsia="宋体" w:hint="default"/>
                <w:sz w:val="18"/>
                <w:szCs w:val="18"/>
              </w:rPr>
            </w:pPr>
            <w:r>
              <w:rPr>
                <w:rFonts w:ascii="宋体" w:hAnsi="宋体" w:cs="宋体" w:eastAsia="宋体" w:hint="default"/>
                <w:sz w:val="18"/>
                <w:szCs w:val="18"/>
              </w:rPr>
              <w:t>开放式非 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平安信托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日聚金跨 市场货币 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平安信托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日聚金跨 市场货币 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4.25</w:t>
            </w:r>
          </w:p>
        </w:tc>
        <w:tc>
          <w:tcPr>
            <w:tcW w:w="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银行祥符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银行祥符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银行祥符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杭州银行 西湖支行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杭州银行 西湖支行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55,807</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4.25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693.54</w:t>
            </w:r>
          </w:p>
        </w:tc>
      </w:tr>
      <w:tr>
        <w:trPr>
          <w:trHeight w:val="1026"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使用部分闲置募集资金和超募资金购买银行理财产品，由公司第二届董事会第一 次会议通过审议，且第二届董事会第四次会议提高使用部分闲置募集资金和超募 资金购买银行理财产品额度；部分是公司自筹资金委托理财。</w:t>
            </w:r>
          </w:p>
        </w:tc>
      </w:tr>
      <w:tr>
        <w:trPr>
          <w:trHeight w:val="402" w:hRule="exact"/>
        </w:trPr>
        <w:tc>
          <w:tcPr>
            <w:tcW w:w="3209"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2"/>
        <w:jc w:val="left"/>
      </w:pPr>
      <w:r>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140"/>
        <w:jc w:val="right"/>
      </w:pPr>
      <w:r>
        <w:rPr/>
        <w:pict>
          <v:shape style="position:absolute;margin-left:56.459999pt;margin-top:-128.008270pt;width:479.2pt;height:210.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42,628.13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12,580.7</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33,649.13</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募集资金使用情况对照表详见下表。公司超额募集资金的使用情况如下：经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日公司第一届董事会第十次会</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议决议通过，同意公司使用超额募集资金归还银行借款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日公司第二届董事会第一次会议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决议通过，同意公司使用最高额度不超过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万元的闲置募集资金和不超过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万元的超募资金购买安全性高、流动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性好、有保本承诺的银行理财产品。在该额度内，资金可以滚动使用，授权期限自该次董事会通过之日起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日公司第二届董事会第四次会议决议，将上述额度分别提高至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万元，同时将期限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延长至该次董事会通过之日起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个月内有效。经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日公司第二届董事会第十一次会议决议通过，同意公司使</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用超额募集资金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股权。截至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日，公司闲置募集资金购</w:t>
                        </w:r>
                        <w:r>
                          <w:rPr>
                            <w:rFonts w:ascii="宋体" w:hAnsi="宋体" w:cs="宋体" w:eastAsia="宋体" w:hint="default"/>
                            <w:sz w:val="18"/>
                            <w:szCs w:val="18"/>
                          </w:rPr>
                          <w:t> 买银行保本型理财产品余额为零。</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194"/>
        <w:gridCol w:w="582"/>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动漫服饰扩产建设 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研发设计中心项目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7,485.53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2,780.7</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19,749.13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、收购上海纯真年代 影视投资有限公司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-30.65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781" w:type="dxa"/>
            <w:tcBorders>
              <w:top w:val="single" w:sz="4" w:space="0" w:color="000000"/>
              <w:left w:val="single" w:sz="4" w:space="0" w:color="000000"/>
              <w:bottom w:val="single" w:sz="4" w:space="0" w:color="000000"/>
              <w:right w:val="single" w:sz="13" w:space="0" w:color="D2D2D2"/>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13,900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-30.65</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7.029999pt;margin-top:71.999985pt;width:478.6pt;height:689.9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2"/>
                    <w:gridCol w:w="775"/>
                    <w:gridCol w:w="788"/>
                    <w:gridCol w:w="776"/>
                    <w:gridCol w:w="781"/>
                    <w:gridCol w:w="782"/>
                    <w:gridCol w:w="781"/>
                    <w:gridCol w:w="770"/>
                    <w:gridCol w:w="805"/>
                    <w:gridCol w:w="771"/>
                    <w:gridCol w:w="786"/>
                  </w:tblGrid>
                  <w:tr>
                    <w:trPr>
                      <w:trHeight w:val="402" w:hRule="exact"/>
                    </w:trPr>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8" w:right="0"/>
                          <w:jc w:val="left"/>
                          <w:rPr>
                            <w:rFonts w:ascii="Times New Roman" w:hAnsi="Times New Roman" w:cs="Times New Roman" w:eastAsia="Times New Roman" w:hint="default"/>
                            <w:sz w:val="18"/>
                            <w:szCs w:val="18"/>
                          </w:rPr>
                        </w:pPr>
                        <w:r>
                          <w:rPr>
                            <w:rFonts w:ascii="Times New Roman"/>
                            <w:sz w:val="18"/>
                          </w:rPr>
                          <w:t>23,550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8" w:right="0"/>
                          <w:jc w:val="left"/>
                          <w:rPr>
                            <w:rFonts w:ascii="Times New Roman" w:hAnsi="Times New Roman" w:cs="Times New Roman" w:eastAsia="Times New Roman" w:hint="default"/>
                            <w:sz w:val="18"/>
                            <w:szCs w:val="18"/>
                          </w:rPr>
                        </w:pPr>
                        <w:r>
                          <w:rPr>
                            <w:rFonts w:ascii="Times New Roman"/>
                            <w:sz w:val="18"/>
                          </w:rPr>
                          <w:t>28,850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12,580.7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33,649.13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-30.65</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上海纯真年代影视投资有限公司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-30.65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年度承诺业绩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万。未达部分于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日由原股东以现金补足。</w:t>
                        </w:r>
                      </w:p>
                    </w:tc>
                  </w:tr>
                  <w:tr>
                    <w:trPr>
                      <w:trHeight w:val="714" w:hRule="exact"/>
                    </w:trPr>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11" w:right="9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82"/>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27" w:right="-14"/>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日公司第二届董事会第十一次会议决议，同意使用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万元超募资金对外投资， 以取得上海纯真年代影视投资有限公司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p>
                    </w:tc>
                  </w:tr>
                  <w:tr>
                    <w:trPr>
                      <w:trHeight w:val="362" w:hRule="exact"/>
                    </w:trPr>
                    <w:tc>
                      <w:tcPr>
                        <w:tcW w:w="1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2" w:type="dxa"/>
                        <w:vMerge w:val="restart"/>
                        <w:tcBorders>
                          <w:top w:val="single" w:sz="4" w:space="0" w:color="000000"/>
                          <w:left w:val="single" w:sz="4" w:space="0" w:color="000000"/>
                          <w:right w:val="single" w:sz="4" w:space="0" w:color="000000"/>
                        </w:tcBorders>
                        <w:shd w:val="clear" w:color="auto" w:fill="D2D2D2"/>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42" w:type="dxa"/>
                        <w:vMerge/>
                        <w:tcBorders>
                          <w:left w:val="single" w:sz="4" w:space="0" w:color="000000"/>
                          <w:right w:val="single" w:sz="4" w:space="0" w:color="000000"/>
                        </w:tcBorders>
                        <w:shd w:val="clear" w:color="auto" w:fill="D2D2D2"/>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 w:hRule="exact"/>
                    </w:trPr>
                    <w:tc>
                      <w:tcPr>
                        <w:tcW w:w="1742" w:type="dxa"/>
                        <w:vMerge/>
                        <w:tcBorders>
                          <w:left w:val="single" w:sz="4" w:space="0" w:color="000000"/>
                          <w:bottom w:val="nil" w:sz="6" w:space="0" w:color="auto"/>
                          <w:right w:val="single" w:sz="4" w:space="0" w:color="000000"/>
                        </w:tcBorders>
                        <w:shd w:val="clear" w:color="auto" w:fill="D2D2D2"/>
                      </w:tcPr>
                      <w:p>
                        <w:pP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27" w:right="31"/>
                          <w:jc w:val="left"/>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704" w:hRule="exact"/>
                    </w:trPr>
                    <w:tc>
                      <w:tcPr>
                        <w:tcW w:w="1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6" w:type="dxa"/>
                        <w:gridSpan w:val="10"/>
                        <w:vMerge/>
                        <w:tcBorders>
                          <w:left w:val="single" w:sz="9" w:space="0" w:color="D2D2D2"/>
                          <w:right w:val="single" w:sz="4" w:space="0" w:color="000000"/>
                        </w:tcBorders>
                      </w:tcPr>
                      <w:p>
                        <w:pPr/>
                      </w:p>
                    </w:tc>
                  </w:tr>
                  <w:tr>
                    <w:trPr>
                      <w:trHeight w:val="1031" w:hRule="exact"/>
                    </w:trPr>
                    <w:tc>
                      <w:tcPr>
                        <w:tcW w:w="1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2" w:type="dxa"/>
                        <w:vMerge w:val="restart"/>
                        <w:tcBorders>
                          <w:top w:val="single" w:sz="4" w:space="0" w:color="000000"/>
                          <w:left w:val="single" w:sz="4" w:space="0" w:color="000000"/>
                          <w:right w:val="single" w:sz="4" w:space="0" w:color="000000"/>
                        </w:tcBorders>
                        <w:shd w:val="clear" w:color="auto" w:fill="D2D2D2"/>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8" w:hRule="exact"/>
                    </w:trPr>
                    <w:tc>
                      <w:tcPr>
                        <w:tcW w:w="1742" w:type="dxa"/>
                        <w:vMerge/>
                        <w:tcBorders>
                          <w:left w:val="single" w:sz="4" w:space="0" w:color="000000"/>
                          <w:bottom w:val="nil" w:sz="6" w:space="0" w:color="auto"/>
                          <w:right w:val="single" w:sz="4" w:space="0" w:color="000000"/>
                        </w:tcBorders>
                        <w:shd w:val="clear" w:color="auto" w:fill="D2D2D2"/>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40" w:hRule="exact"/>
                    </w:trPr>
                    <w:tc>
                      <w:tcPr>
                        <w:tcW w:w="1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11" w:right="9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240" w:lineRule="auto" w:before="16"/>
                          <w:ind w:left="27" w:right="0"/>
                          <w:jc w:val="both"/>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平方米，此</w:t>
                        </w:r>
                      </w:p>
                      <w:p>
                        <w:pPr>
                          <w:pStyle w:val="TableParagraph"/>
                          <w:spacing w:line="309" w:lineRule="auto" w:before="63"/>
                          <w:ind w:left="27" w:right="22"/>
                          <w:jc w:val="both"/>
                          <w:rPr>
                            <w:rFonts w:ascii="宋体" w:hAnsi="宋体" w:cs="宋体" w:eastAsia="宋体" w:hint="default"/>
                            <w:sz w:val="18"/>
                            <w:szCs w:val="18"/>
                          </w:rPr>
                        </w:pPr>
                        <w:r>
                          <w:rPr>
                            <w:rFonts w:ascii="宋体" w:hAnsi="宋体" w:cs="宋体" w:eastAsia="宋体" w:hint="default"/>
                            <w:sz w:val="18"/>
                            <w:szCs w:val="18"/>
                          </w:rPr>
                          <w:t>次公司在杭州市滨江区购买总面积约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平方米的办公场所，房屋含税总价款约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万元。办公</w:t>
                        </w:r>
                        <w:r>
                          <w:rPr>
                            <w:rFonts w:ascii="宋体" w:hAnsi="宋体" w:cs="宋体" w:eastAsia="宋体" w:hint="default"/>
                            <w:sz w:val="18"/>
                            <w:szCs w:val="18"/>
                          </w:rPr>
                          <w:t> 场所面积增加主要是公司近两年发展速度较快，原规划面积已不能满足公司战略发展需要。为保证 研发设计中心项目的实施资金需求，公司拟使用部分超募资金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 </w:t>
                        </w:r>
                        <w:r>
                          <w:rPr>
                            <w:rFonts w:ascii="宋体" w:hAnsi="宋体" w:cs="宋体" w:eastAsia="宋体" w:hint="default"/>
                            <w:sz w:val="18"/>
                            <w:szCs w:val="18"/>
                          </w:rPr>
                          <w:t>万元补充用于此次募投项目的</w:t>
                        </w:r>
                      </w:p>
                      <w:p>
                        <w:pPr>
                          <w:pStyle w:val="TableParagraph"/>
                          <w:spacing w:line="240" w:lineRule="auto" w:before="6"/>
                          <w:ind w:left="27" w:right="0"/>
                          <w:jc w:val="both"/>
                          <w:rPr>
                            <w:rFonts w:ascii="宋体" w:hAnsi="宋体" w:cs="宋体" w:eastAsia="宋体" w:hint="default"/>
                            <w:sz w:val="18"/>
                            <w:szCs w:val="18"/>
                          </w:rPr>
                        </w:pPr>
                        <w:r>
                          <w:rPr>
                            <w:rFonts w:ascii="宋体" w:hAnsi="宋体" w:cs="宋体" w:eastAsia="宋体" w:hint="default"/>
                            <w:sz w:val="18"/>
                            <w:szCs w:val="18"/>
                          </w:rPr>
                          <w:t>实施；上述募集资金投资项目实施方式调整已经公司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875" w:hRule="exact"/>
                    </w:trPr>
                    <w:tc>
                      <w:tcPr>
                        <w:tcW w:w="1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6" w:type="dxa"/>
                        <w:gridSpan w:val="10"/>
                        <w:vMerge/>
                        <w:tcBorders>
                          <w:left w:val="single" w:sz="9" w:space="0" w:color="D2D2D2"/>
                          <w:bottom w:val="single" w:sz="4" w:space="0" w:color="000000"/>
                          <w:right w:val="single" w:sz="4" w:space="0" w:color="000000"/>
                        </w:tcBorders>
                      </w:tcPr>
                      <w:p>
                        <w:pPr/>
                      </w:p>
                    </w:tc>
                  </w:tr>
                  <w:tr>
                    <w:trPr>
                      <w:trHeight w:val="206" w:hRule="exact"/>
                    </w:trPr>
                    <w:tc>
                      <w:tcPr>
                        <w:tcW w:w="1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 w:hRule="exact"/>
                    </w:trPr>
                    <w:tc>
                      <w:tcPr>
                        <w:tcW w:w="17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6" w:type="dxa"/>
                        <w:gridSpan w:val="10"/>
                        <w:vMerge/>
                        <w:tcBorders>
                          <w:left w:val="single" w:sz="9" w:space="0" w:color="D2D2D2"/>
                          <w:bottom w:val="single" w:sz="4" w:space="0" w:color="000000"/>
                          <w:right w:val="single" w:sz="4" w:space="0" w:color="000000"/>
                        </w:tcBorders>
                      </w:tcPr>
                      <w:p>
                        <w:pPr/>
                      </w:p>
                    </w:tc>
                  </w:tr>
                  <w:tr>
                    <w:trPr>
                      <w:trHeight w:val="508" w:hRule="exact"/>
                    </w:trPr>
                    <w:tc>
                      <w:tcPr>
                        <w:tcW w:w="1742" w:type="dxa"/>
                        <w:vMerge/>
                        <w:tcBorders>
                          <w:left w:val="single" w:sz="4" w:space="0" w:color="000000"/>
                          <w:bottom w:val="nil" w:sz="6" w:space="0" w:color="auto"/>
                          <w:right w:val="single" w:sz="4" w:space="0" w:color="000000"/>
                        </w:tcBorders>
                        <w:shd w:val="clear" w:color="auto" w:fill="D2D2D2"/>
                      </w:tcPr>
                      <w:p>
                        <w:pP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万元；经公司第一届董事会</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第十次会议审议通过，以募集资金置换上述先期投入，本公司已于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206" w:hRule="exact"/>
                    </w:trPr>
                    <w:tc>
                      <w:tcPr>
                        <w:tcW w:w="1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9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2" w:type="dxa"/>
                        <w:vMerge/>
                        <w:tcBorders>
                          <w:left w:val="single" w:sz="4" w:space="0" w:color="000000"/>
                          <w:bottom w:val="single" w:sz="4" w:space="0" w:color="000000"/>
                          <w:right w:val="single" w:sz="4" w:space="0" w:color="000000"/>
                        </w:tcBorders>
                        <w:shd w:val="clear" w:color="auto" w:fill="D2D2D2"/>
                      </w:tcPr>
                      <w:p>
                        <w:pPr/>
                      </w:p>
                    </w:tc>
                    <w:tc>
                      <w:tcPr>
                        <w:tcW w:w="7816"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9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2" w:type="dxa"/>
                        <w:vMerge/>
                        <w:tcBorders>
                          <w:left w:val="single" w:sz="4" w:space="0" w:color="000000"/>
                          <w:bottom w:val="single" w:sz="4" w:space="0" w:color="000000"/>
                          <w:right w:val="single" w:sz="4" w:space="0" w:color="000000"/>
                        </w:tcBorders>
                        <w:shd w:val="clear" w:color="auto" w:fill="D2D2D2"/>
                      </w:tcPr>
                      <w:p>
                        <w:pPr/>
                      </w:p>
                    </w:tc>
                    <w:tc>
                      <w:tcPr>
                        <w:tcW w:w="7816" w:type="dxa"/>
                        <w:gridSpan w:val="10"/>
                        <w:tcBorders>
                          <w:top w:val="single" w:sz="4" w:space="0" w:color="000000"/>
                          <w:left w:val="single" w:sz="13" w:space="0" w:color="D2D2D2"/>
                          <w:bottom w:val="single" w:sz="4" w:space="0" w:color="000000"/>
                          <w:right w:val="single" w:sz="4" w:space="0" w:color="000000"/>
                        </w:tcBorders>
                      </w:tcPr>
                      <w:p>
                        <w:pPr/>
                      </w:p>
                    </w:tc>
                  </w:tr>
                  <w:tr>
                    <w:trPr>
                      <w:trHeight w:val="785" w:hRule="exact"/>
                    </w:trPr>
                    <w:tc>
                      <w:tcPr>
                        <w:tcW w:w="1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10,608.52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万元，尚未使用的募集资金存放于公司募集</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资金专户。经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日公司第二届董事会第一次会议决议通过，同意公司使用最高额度不</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万元的闲置募集资金和不超过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万元的超募资金购买安全性高、流动性好、有保本承</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pacing w:val="-3"/>
                            <w:sz w:val="18"/>
                            <w:szCs w:val="18"/>
                          </w:rPr>
                          <w:t>诺的银行理财产品。在该额度内，资金可以滚动使用，授权期限自该次董事会通过之日起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pacing w:val="-5"/>
                            <w:sz w:val="18"/>
                            <w:szCs w:val="18"/>
                          </w:rPr>
                          <w:t>有效。经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日公司第二届董事会第四次会议决议，将上述额度分别提高至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2" w:lineRule="auto" w:before="63"/>
                          <w:ind w:left="27" w:right="113"/>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10,250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万元，同时将期限延长至该次董事会通过之日起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个月内有效。截至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公司闲置募集资金购买银行保本型理财产品余额为零。</w:t>
                        </w:r>
                      </w:p>
                    </w:tc>
                  </w:tr>
                  <w:tr>
                    <w:trPr>
                      <w:trHeight w:val="705" w:hRule="exact"/>
                    </w:trPr>
                    <w:tc>
                      <w:tcPr>
                        <w:tcW w:w="1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6" w:type="dxa"/>
                        <w:gridSpan w:val="10"/>
                        <w:vMerge/>
                        <w:tcBorders>
                          <w:left w:val="single" w:sz="9" w:space="0" w:color="D2D2D2"/>
                          <w:right w:val="single" w:sz="4" w:space="0" w:color="000000"/>
                        </w:tcBorders>
                      </w:tcPr>
                      <w:p>
                        <w:pPr/>
                      </w:p>
                    </w:tc>
                  </w:tr>
                  <w:tr>
                    <w:trPr>
                      <w:trHeight w:val="785" w:hRule="exact"/>
                    </w:trPr>
                    <w:tc>
                      <w:tcPr>
                        <w:tcW w:w="1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6"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7,485.53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99.81%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7,485.53</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研发设计中心项目：公司研发设计中心项目原实施地点是上海黄浦区，公司将此项目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的实施地点变更为浙江省杭州市滨江区。杭州市滨江区为国家级高新技术产业开发 </w:t>
            </w:r>
            <w:r>
              <w:rPr>
                <w:rFonts w:ascii="宋体" w:hAnsi="宋体" w:cs="宋体" w:eastAsia="宋体" w:hint="default"/>
                <w:spacing w:val="-1"/>
                <w:sz w:val="18"/>
                <w:szCs w:val="18"/>
              </w:rPr>
              <w:t>区，交通便利，文化创意产业发达，有利于公司引进研发设计相关人才；同时，杭州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市滨江区与公司地理位置较近，便于管理，与上海相比整体运营和管理的综合成本优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势更为突出。基于公司长远发展的考虑，杭州市滨江区更合适作为本次公司研发设计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中心项目的实施地点。公司原在上海黄浦区计划购买的研发设计中心办公楼面积约为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500 </w:t>
            </w:r>
            <w:r>
              <w:rPr>
                <w:rFonts w:ascii="宋体" w:hAnsi="宋体" w:cs="宋体" w:eastAsia="宋体" w:hint="default"/>
                <w:sz w:val="18"/>
                <w:szCs w:val="18"/>
              </w:rPr>
              <w:t>平方米，此次公司在杭州市滨江区购买总面积约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平方米的办公场所，房屋</w:t>
            </w:r>
          </w:p>
          <w:p>
            <w:pPr>
              <w:pStyle w:val="TableParagraph"/>
              <w:spacing w:line="309" w:lineRule="auto"/>
              <w:ind w:left="23" w:right="22"/>
              <w:jc w:val="left"/>
              <w:rPr>
                <w:rFonts w:ascii="宋体" w:hAnsi="宋体" w:cs="宋体" w:eastAsia="宋体" w:hint="default"/>
                <w:sz w:val="18"/>
                <w:szCs w:val="18"/>
              </w:rPr>
            </w:pPr>
            <w:r>
              <w:rPr>
                <w:rFonts w:ascii="宋体" w:hAnsi="宋体" w:cs="宋体" w:eastAsia="宋体" w:hint="default"/>
                <w:sz w:val="18"/>
                <w:szCs w:val="18"/>
              </w:rPr>
              <w:t>含税总价款与装修费合约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万元。办公场所面积增加主要是公司近两年发展速度 </w:t>
            </w:r>
            <w:r>
              <w:rPr>
                <w:rFonts w:ascii="宋体" w:hAnsi="宋体" w:cs="宋体" w:eastAsia="宋体" w:hint="default"/>
                <w:spacing w:val="-1"/>
                <w:sz w:val="18"/>
                <w:szCs w:val="18"/>
              </w:rPr>
              <w:t>较快，原规划面积已不能满足公司战略发展需要。为保证研发设计中心项目的实施资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金需求，公司拟使用部分超募资金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万元补充用于此次募投项目的实施。此次变 </w:t>
            </w:r>
            <w:r>
              <w:rPr>
                <w:rFonts w:ascii="宋体" w:hAnsi="宋体" w:cs="宋体" w:eastAsia="宋体" w:hint="default"/>
                <w:spacing w:val="-1"/>
                <w:sz w:val="18"/>
                <w:szCs w:val="18"/>
              </w:rPr>
              <w:t>更后，研发设计中心项目实施地从上海黄浦区变更为杭州市滨江区，计划投资总额从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万元。上述募集资金投资项目实施地点及投资总额变更已经公</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莱盛童话服 饰（上海）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服装、动漫 衍生产品开 发设计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嵊州市美源 饰品有限公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服装、动漫 衍生产品开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发设计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内蒙古荣盛 文化传媒股 份有限公司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服装、动漫 衍生产品开 发设计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3,477,412.7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3,477,393.2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-754,935.33</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杭州美盛动 漫有限公司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动漫、动漫 衍生产品开 发设计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香港美盛文 化有限公司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港万</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浙江缔顺科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动漫、游戏 设计、开发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杭州星梦工 坊文化创意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动漫文化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儿童剧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17,058,805.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12,955,762.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3,400,941.2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上海纯真年 代影视投资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影视文化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影视制作、 发行</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121,819,402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106,695,175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-306,480.36</w:t>
            </w:r>
          </w:p>
        </w:tc>
      </w:tr>
    </w:tbl>
    <w:p>
      <w:pPr>
        <w:pStyle w:val="BodyText"/>
        <w:spacing w:line="360" w:lineRule="auto" w:before="51"/>
        <w:ind w:right="8052"/>
        <w:jc w:val="left"/>
      </w:pPr>
      <w:r>
        <w:rPr/>
        <w:t>主要子公司、参股公司情况说明 报告期内取得和处置子公司的情况</w:t>
      </w:r>
    </w:p>
    <w:p>
      <w:pPr>
        <w:pStyle w:val="BodyText"/>
        <w:spacing w:line="240" w:lineRule="auto" w:before="2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杭州星梦工坊文化创意有限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产业链整合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完善产业链，且有业绩承诺</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上海纯真年代影视投资有限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产业链整合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完善产业链，且有业绩承诺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公司报告期无非募集资金投资的重大项目。</w:t>
      </w:r>
    </w:p>
    <w:p>
      <w:pPr>
        <w:spacing w:line="240" w:lineRule="auto" w:before="3"/>
        <w:rPr>
          <w:rFonts w:ascii="宋体" w:hAnsi="宋体" w:cs="宋体" w:eastAsia="宋体" w:hint="default"/>
          <w:sz w:val="18"/>
          <w:szCs w:val="18"/>
        </w:rPr>
      </w:pPr>
    </w:p>
    <w:p>
      <w:pPr>
        <w:pStyle w:val="Heading2"/>
        <w:spacing w:line="240" w:lineRule="auto"/>
        <w:ind w:left="154" w:right="0"/>
        <w:jc w:val="left"/>
        <w:rPr>
          <w:b w:val="0"/>
          <w:bCs w:val="0"/>
        </w:rPr>
      </w:pPr>
      <w:bookmarkStart w:name="七、公司未来发展的展望" w:id="49"/>
      <w:bookmarkEnd w:id="49"/>
      <w:r>
        <w:rPr>
          <w:b w:val="0"/>
          <w:bCs w:val="0"/>
        </w:rPr>
      </w:r>
      <w:r>
        <w:rPr/>
        <w:t>七、公司未来发展的展望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1" w:firstLine="290"/>
        <w:jc w:val="both"/>
      </w:pPr>
      <w:r>
        <w:rPr>
          <w:spacing w:val="-1"/>
        </w:rPr>
        <w:t>在国家政策综合扶持、市场需求旺盛、内容技术创新、产业融合整合等综合因素的推动下，我国文化产业近年来发展迅</w:t>
      </w:r>
      <w:r>
        <w:rPr/>
        <w:t> </w:t>
      </w:r>
      <w:r>
        <w:rPr>
          <w:spacing w:val="-1"/>
        </w:rPr>
        <w:t>速。</w:t>
      </w:r>
      <w:r>
        <w:rPr>
          <w:rFonts w:ascii="Times New Roman" w:hAnsi="Times New Roman" w:cs="Times New Roman" w:eastAsia="Times New Roman" w:hint="default"/>
          <w:spacing w:val="-1"/>
        </w:rPr>
        <w:t>2013</w:t>
      </w:r>
      <w:r>
        <w:rPr>
          <w:spacing w:val="-1"/>
        </w:rPr>
        <w:t>年，文化产业增加值预计达</w:t>
      </w:r>
      <w:r>
        <w:rPr>
          <w:rFonts w:ascii="Times New Roman" w:hAnsi="Times New Roman" w:cs="Times New Roman" w:eastAsia="Times New Roman" w:hint="default"/>
          <w:spacing w:val="-1"/>
        </w:rPr>
        <w:t>2.1</w:t>
      </w:r>
      <w:r>
        <w:rPr>
          <w:spacing w:val="-1"/>
        </w:rPr>
        <w:t>万亿元人民币，约占</w:t>
      </w:r>
      <w:r>
        <w:rPr>
          <w:rFonts w:ascii="Times New Roman" w:hAnsi="Times New Roman" w:cs="Times New Roman" w:eastAsia="Times New Roman" w:hint="default"/>
          <w:spacing w:val="-1"/>
        </w:rPr>
        <w:t>GDP</w:t>
      </w:r>
      <w:r>
        <w:rPr>
          <w:spacing w:val="-1"/>
        </w:rPr>
        <w:t>比重的</w:t>
      </w:r>
      <w:r>
        <w:rPr>
          <w:rFonts w:ascii="Times New Roman" w:hAnsi="Times New Roman" w:cs="Times New Roman" w:eastAsia="Times New Roman" w:hint="default"/>
          <w:spacing w:val="-1"/>
        </w:rPr>
        <w:t>3.77%</w:t>
      </w:r>
      <w:r>
        <w:rPr>
          <w:spacing w:val="-1"/>
        </w:rPr>
        <w:t>，同比增长超过</w:t>
      </w:r>
      <w:r>
        <w:rPr>
          <w:rFonts w:ascii="Times New Roman" w:hAnsi="Times New Roman" w:cs="Times New Roman" w:eastAsia="Times New Roman" w:hint="default"/>
          <w:spacing w:val="-1"/>
        </w:rPr>
        <w:t>15%</w:t>
      </w:r>
      <w:r>
        <w:rPr>
          <w:spacing w:val="-1"/>
        </w:rPr>
        <w:t>。文化产业在国民经济中</w:t>
      </w:r>
      <w:r>
        <w:rPr>
          <w:spacing w:val="-57"/>
        </w:rPr>
        <w:t> </w:t>
      </w:r>
      <w:r>
        <w:rPr>
          <w:spacing w:val="-57"/>
        </w:rPr>
      </w:r>
      <w:r>
        <w:rPr/>
        <w:t>的地位越来越重要，在支撑我国经济结构调整和转型升级等方面发挥了积极作用，已经成为新的支柱产业。</w:t>
      </w:r>
    </w:p>
    <w:p>
      <w:pPr>
        <w:pStyle w:val="BodyText"/>
        <w:spacing w:line="312" w:lineRule="auto" w:before="63"/>
        <w:ind w:left="153" w:right="1130" w:firstLine="360"/>
        <w:jc w:val="both"/>
      </w:pPr>
      <w:r>
        <w:rPr>
          <w:spacing w:val="-2"/>
        </w:rPr>
        <w:t>中共中央总书记习近平在</w:t>
      </w:r>
      <w:r>
        <w:rPr>
          <w:rFonts w:ascii="Times New Roman" w:hAnsi="Times New Roman" w:cs="Times New Roman" w:eastAsia="Times New Roman" w:hint="default"/>
          <w:spacing w:val="-2"/>
        </w:rPr>
        <w:t>2014</w:t>
      </w:r>
      <w:r>
        <w:rPr>
          <w:spacing w:val="-2"/>
        </w:rPr>
        <w:t>年底主持学习时强调，提高国家文化软实力，关系</w:t>
      </w:r>
      <w:r>
        <w:rPr>
          <w:rFonts w:ascii="Times New Roman" w:hAnsi="Times New Roman" w:cs="Times New Roman" w:eastAsia="Times New Roman" w:hint="default"/>
          <w:spacing w:val="-2"/>
        </w:rPr>
        <w:t>“</w:t>
      </w:r>
      <w:r>
        <w:rPr>
          <w:spacing w:val="-2"/>
        </w:rPr>
        <w:t>两个一百年</w:t>
      </w:r>
      <w:r>
        <w:rPr>
          <w:rFonts w:ascii="Times New Roman" w:hAnsi="Times New Roman" w:cs="Times New Roman" w:eastAsia="Times New Roman" w:hint="default"/>
          <w:spacing w:val="-2"/>
        </w:rPr>
        <w:t>”</w:t>
      </w:r>
      <w:r>
        <w:rPr>
          <w:spacing w:val="-2"/>
        </w:rPr>
        <w:t>奋斗目标和中华民族伟大</w:t>
      </w:r>
      <w:r>
        <w:rPr/>
        <w:t> </w:t>
      </w:r>
      <w:r>
        <w:rPr>
          <w:spacing w:val="-2"/>
        </w:rPr>
        <w:t>复兴中国梦的实现。要弘扬社会主义先进文化，深化文化体制改革，推动社会主义文化大发展大繁荣，增强全民族文化创造</w:t>
      </w:r>
      <w:r>
        <w:rPr>
          <w:spacing w:val="-66"/>
        </w:rPr>
        <w:t> </w:t>
      </w:r>
      <w:r>
        <w:rPr>
          <w:spacing w:val="-66"/>
        </w:rPr>
      </w:r>
      <w:r>
        <w:rPr>
          <w:spacing w:val="-2"/>
        </w:rPr>
        <w:t>活力，推动文化事业全面繁荣、文化产业快速发展，不断丰富人民精神世界、增强人民精神力量，不断增强文化整体实力和</w:t>
      </w:r>
      <w:r>
        <w:rPr>
          <w:spacing w:val="-66"/>
        </w:rPr>
        <w:t> </w:t>
      </w:r>
      <w:r>
        <w:rPr>
          <w:spacing w:val="-66"/>
        </w:rPr>
      </w:r>
      <w:r>
        <w:rPr/>
        <w:t>竞争力，朝着建设社会主义文化强国的目标不断前进。</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32" w:firstLine="360"/>
        <w:jc w:val="both"/>
      </w:pPr>
      <w:r>
        <w:rPr>
          <w:spacing w:val="-2"/>
        </w:rPr>
        <w:t>未来十年，文化产业将有着较好的发展机遇，政府提出的到</w:t>
      </w:r>
      <w:r>
        <w:rPr>
          <w:rFonts w:ascii="Times New Roman" w:hAnsi="Times New Roman" w:cs="Times New Roman" w:eastAsia="Times New Roman" w:hint="default"/>
          <w:spacing w:val="-2"/>
        </w:rPr>
        <w:t>2020</w:t>
      </w:r>
      <w:r>
        <w:rPr>
          <w:spacing w:val="-2"/>
        </w:rPr>
        <w:t>年国民收入倍增计划、文化产业建设计划等都利好公司</w:t>
      </w:r>
      <w:r>
        <w:rPr/>
        <w:t> 发展。针对良好的外部环境，公司董事会围绕公司发展目标，提出了</w:t>
      </w:r>
      <w:r>
        <w:rPr>
          <w:rFonts w:ascii="Times New Roman" w:hAnsi="Times New Roman" w:cs="Times New Roman" w:eastAsia="Times New Roman" w:hint="default"/>
        </w:rPr>
        <w:t>2015</w:t>
      </w:r>
      <w:r>
        <w:rPr/>
        <w:t>年为美盛文化</w:t>
      </w:r>
      <w:r>
        <w:rPr>
          <w:rFonts w:ascii="Times New Roman" w:hAnsi="Times New Roman" w:cs="Times New Roman" w:eastAsia="Times New Roman" w:hint="default"/>
        </w:rPr>
        <w:t>“</w:t>
      </w:r>
      <w:r>
        <w:rPr/>
        <w:t>新跨越新发展</w:t>
      </w:r>
      <w:r>
        <w:rPr>
          <w:rFonts w:ascii="Times New Roman" w:hAnsi="Times New Roman" w:cs="Times New Roman" w:eastAsia="Times New Roman" w:hint="default"/>
        </w:rPr>
        <w:t>”</w:t>
      </w:r>
      <w:r>
        <w:rPr/>
        <w:t>之年，将实施以</w:t>
      </w:r>
      <w:r>
        <w:rPr>
          <w:rFonts w:ascii="Times New Roman" w:hAnsi="Times New Roman" w:cs="Times New Roman" w:eastAsia="Times New Roman" w:hint="default"/>
        </w:rPr>
        <w:t>“</w:t>
      </w:r>
      <w:r>
        <w:rPr/>
        <w:t>生 态再丰富、资源再融合、产品再延伸、管理再提升、品牌再美誉</w:t>
      </w:r>
      <w:r>
        <w:rPr>
          <w:rFonts w:ascii="Times New Roman" w:hAnsi="Times New Roman" w:cs="Times New Roman" w:eastAsia="Times New Roman" w:hint="default"/>
        </w:rPr>
        <w:t>”</w:t>
      </w:r>
      <w:r>
        <w:rPr/>
        <w:t>为核心的</w:t>
      </w:r>
      <w:r>
        <w:rPr>
          <w:rFonts w:ascii="Times New Roman" w:hAnsi="Times New Roman" w:cs="Times New Roman" w:eastAsia="Times New Roman" w:hint="default"/>
        </w:rPr>
        <w:t>“</w:t>
      </w:r>
      <w:r>
        <w:rPr/>
        <w:t>五个再</w:t>
      </w:r>
      <w:r>
        <w:rPr>
          <w:rFonts w:ascii="Times New Roman" w:hAnsi="Times New Roman" w:cs="Times New Roman" w:eastAsia="Times New Roman" w:hint="default"/>
        </w:rPr>
        <w:t>”</w:t>
      </w:r>
      <w:r>
        <w:rPr/>
        <w:t>战略：</w:t>
      </w:r>
    </w:p>
    <w:p>
      <w:pPr>
        <w:pStyle w:val="BodyText"/>
        <w:spacing w:line="357" w:lineRule="auto" w:before="52"/>
        <w:ind w:left="513" w:right="0"/>
        <w:jc w:val="left"/>
      </w:pPr>
      <w:r>
        <w:rPr/>
        <w:t>（一）生态再丰富 </w:t>
      </w:r>
      <w:r>
        <w:rPr>
          <w:spacing w:val="-2"/>
        </w:rPr>
        <w:t>公司目前已经初步形成以原创内容为核心，衍生产品为变现途径，多层次平台为出口的完善闭环生态圈，整体业务在生</w:t>
      </w:r>
    </w:p>
    <w:p>
      <w:pPr>
        <w:pStyle w:val="BodyText"/>
        <w:spacing w:line="224" w:lineRule="exact"/>
        <w:ind w:left="153" w:right="0"/>
        <w:jc w:val="left"/>
      </w:pPr>
      <w:r>
        <w:rPr/>
        <w:t>态圈中良性发展。针对生态圈中的各个环节，公司已经拥有包括动漫、游戏、影视、演艺、衍生品等多个文化生态圈的组成</w:t>
      </w:r>
    </w:p>
    <w:p>
      <w:pPr>
        <w:pStyle w:val="BodyText"/>
        <w:spacing w:line="357" w:lineRule="auto" w:before="77"/>
        <w:ind w:left="513" w:right="1128" w:hanging="360"/>
        <w:jc w:val="left"/>
        <w:rPr>
          <w:rFonts w:ascii="Times New Roman" w:hAnsi="Times New Roman" w:cs="Times New Roman" w:eastAsia="Times New Roman" w:hint="default"/>
        </w:rPr>
      </w:pPr>
      <w:r>
        <w:rPr/>
        <w:t>细胞，并依托每个细胞的自身的特点和作用，在生态圈的有机整体中发挥越来越大的效用。 </w:t>
      </w:r>
      <w:r>
        <w:rPr>
          <w:spacing w:val="-5"/>
        </w:rPr>
        <w:t>为了促进公司整体业务的大发展，公司将在未来加大对闭环生态圈的建设，弥补不足，进一步丰富圈内的生态系统。</w:t>
      </w:r>
      <w:r>
        <w:rPr>
          <w:rFonts w:ascii="Times New Roman" w:hAnsi="Times New Roman" w:cs="Times New Roman" w:eastAsia="Times New Roman" w:hint="default"/>
          <w:spacing w:val="-5"/>
        </w:rPr>
        <w:t>2015</w:t>
      </w:r>
    </w:p>
    <w:p>
      <w:pPr>
        <w:pStyle w:val="BodyText"/>
        <w:spacing w:line="214" w:lineRule="exact"/>
        <w:ind w:right="0"/>
        <w:jc w:val="left"/>
      </w:pPr>
      <w:r>
        <w:rPr/>
        <w:t>年，公司将加大对动漫、游戏等原创内容上的投入，力争打造更多具有美盛特色的优秀原创</w:t>
      </w:r>
      <w:r>
        <w:rPr>
          <w:rFonts w:ascii="Times New Roman" w:hAnsi="Times New Roman" w:cs="Times New Roman" w:eastAsia="Times New Roman" w:hint="default"/>
        </w:rPr>
        <w:t>IP</w:t>
      </w:r>
      <w:r>
        <w:rPr/>
        <w:t>，从产业链源头上丰富生态圈</w:t>
      </w:r>
    </w:p>
    <w:p>
      <w:pPr>
        <w:pStyle w:val="BodyText"/>
        <w:spacing w:line="300" w:lineRule="auto" w:before="63"/>
        <w:ind w:left="153" w:right="0"/>
        <w:jc w:val="left"/>
      </w:pPr>
      <w:r>
        <w:rPr>
          <w:spacing w:val="-2"/>
        </w:rPr>
        <w:t>内容，为衍生品开发、平台展示提供更多更好的原创内容。平台建设上，公司将在</w:t>
      </w:r>
      <w:r>
        <w:rPr>
          <w:rFonts w:ascii="Times New Roman" w:hAnsi="Times New Roman" w:cs="Times New Roman" w:eastAsia="Times New Roman" w:hint="default"/>
          <w:spacing w:val="-2"/>
        </w:rPr>
        <w:t>2015</w:t>
      </w:r>
      <w:r>
        <w:rPr>
          <w:spacing w:val="-2"/>
        </w:rPr>
        <w:t>年形成视频播放平台、游戏平台、电</w:t>
      </w:r>
      <w:r>
        <w:rPr>
          <w:spacing w:val="-63"/>
        </w:rPr>
        <w:t> </w:t>
      </w:r>
      <w:r>
        <w:rPr>
          <w:spacing w:val="-63"/>
        </w:rPr>
      </w:r>
      <w:r>
        <w:rPr>
          <w:spacing w:val="-2"/>
        </w:rPr>
        <w:t>商平台等三大平台，同时为原创动漫影视内容宣发、游戏产品推广、衍生品销售提供出口。衍生品开发上，</w:t>
      </w:r>
      <w:r>
        <w:rPr>
          <w:rFonts w:ascii="Times New Roman" w:hAnsi="Times New Roman" w:cs="Times New Roman" w:eastAsia="Times New Roman" w:hint="default"/>
          <w:spacing w:val="-2"/>
        </w:rPr>
        <w:t>2015</w:t>
      </w:r>
      <w:r>
        <w:rPr>
          <w:spacing w:val="-2"/>
        </w:rPr>
        <w:t>年公司将继</w:t>
      </w:r>
      <w:r>
        <w:rPr>
          <w:spacing w:val="-61"/>
        </w:rPr>
        <w:t> </w:t>
      </w:r>
      <w:r>
        <w:rPr>
          <w:spacing w:val="-61"/>
        </w:rPr>
      </w:r>
      <w:r>
        <w:rPr>
          <w:spacing w:val="-3"/>
        </w:rPr>
        <w:t>续延续动漫服饰研发生产的传统优势，在授权形象产品开发的基础上，进一步实施对公司原创</w:t>
      </w:r>
      <w:r>
        <w:rPr>
          <w:rFonts w:ascii="Times New Roman" w:hAnsi="Times New Roman" w:cs="Times New Roman" w:eastAsia="Times New Roman" w:hint="default"/>
          <w:spacing w:val="-3"/>
        </w:rPr>
        <w:t>IP</w:t>
      </w:r>
      <w:r>
        <w:rPr>
          <w:spacing w:val="-3"/>
        </w:rPr>
        <w:t>形象的动漫服饰、动漫玩具、</w:t>
      </w:r>
      <w:r>
        <w:rPr>
          <w:spacing w:val="-75"/>
        </w:rPr>
        <w:t> </w:t>
      </w:r>
      <w:r>
        <w:rPr>
          <w:spacing w:val="-75"/>
        </w:rPr>
      </w:r>
      <w:r>
        <w:rPr>
          <w:spacing w:val="-4"/>
        </w:rPr>
        <w:t>动漫用品等全面衍生品开发策略，打造美盛自己的衍生品系列产品，以全覆盖的方式拓展国内国外市场，提升公司盈利水平。</w:t>
      </w:r>
    </w:p>
    <w:p>
      <w:pPr>
        <w:pStyle w:val="BodyText"/>
        <w:spacing w:line="319" w:lineRule="auto" w:before="70"/>
        <w:ind w:right="1133" w:firstLine="360"/>
        <w:jc w:val="both"/>
      </w:pPr>
      <w:r>
        <w:rPr>
          <w:spacing w:val="-2"/>
        </w:rPr>
        <w:t>通过对公司闭环生态圈各环节的丰富和加强，未来公司所构建的生态圈将更加稳固，形成生生不息、运转如意的健康态</w:t>
      </w:r>
      <w:r>
        <w:rPr/>
        <w:t> 势，从而全面提升公司的市场竞争力和利润规模。</w:t>
      </w:r>
    </w:p>
    <w:p>
      <w:pPr>
        <w:pStyle w:val="BodyText"/>
        <w:spacing w:line="357" w:lineRule="auto" w:before="58"/>
        <w:ind w:left="514" w:right="0"/>
        <w:jc w:val="left"/>
      </w:pPr>
      <w:r>
        <w:rPr/>
        <w:t>（二）资源再融合 </w:t>
      </w:r>
      <w:r>
        <w:rPr>
          <w:spacing w:val="-2"/>
        </w:rPr>
        <w:t>为了实现生态圈丰富的第一步战略，公司生态圈中蕴含的庞大资源需要进一步交流融合。目前公司涉及动漫原创、游戏</w:t>
      </w:r>
    </w:p>
    <w:p>
      <w:pPr>
        <w:pStyle w:val="BodyText"/>
        <w:spacing w:line="224" w:lineRule="exact"/>
        <w:ind w:right="0"/>
        <w:jc w:val="left"/>
      </w:pPr>
      <w:r>
        <w:rPr/>
        <w:t>制作、影视制作、发行网络平台、国内外终端销售、儿童剧演艺等多种类资源，各资源有相似相通之处，但又一定程度上自</w:t>
      </w:r>
    </w:p>
    <w:p>
      <w:pPr>
        <w:pStyle w:val="BodyText"/>
        <w:spacing w:line="357" w:lineRule="auto" w:before="77"/>
        <w:ind w:left="514" w:right="0" w:hanging="360"/>
        <w:jc w:val="left"/>
      </w:pPr>
      <w:r>
        <w:rPr/>
        <w:t>成体系，资源自身特性的相异也不利于公司最大化资源整合利用。 </w:t>
      </w:r>
      <w:r>
        <w:rPr>
          <w:spacing w:val="-2"/>
        </w:rPr>
        <w:t>公司将逐步打通产业壁垒，加大资源融合力度，</w:t>
      </w:r>
      <w:r>
        <w:rPr>
          <w:rFonts w:ascii="Times New Roman" w:hAnsi="Times New Roman" w:cs="Times New Roman" w:eastAsia="Times New Roman" w:hint="default"/>
          <w:spacing w:val="-2"/>
        </w:rPr>
        <w:t>2015</w:t>
      </w:r>
      <w:r>
        <w:rPr>
          <w:spacing w:val="-2"/>
        </w:rPr>
        <w:t>年将在拥有资源的各个子公司主体之间，以及子公司和母公司之间</w:t>
      </w:r>
    </w:p>
    <w:p>
      <w:pPr>
        <w:pStyle w:val="BodyText"/>
        <w:spacing w:line="201" w:lineRule="exact"/>
        <w:ind w:right="0"/>
        <w:jc w:val="left"/>
      </w:pPr>
      <w:r>
        <w:rPr/>
        <w:t>建立完善的信息共享及交流渠道，在业务层面上充分共享，加强原创内容创作人员、衍生产品开发人员、平台推广人员见的</w:t>
      </w:r>
    </w:p>
    <w:p>
      <w:pPr>
        <w:pStyle w:val="BodyText"/>
        <w:spacing w:line="319" w:lineRule="auto" w:before="77"/>
        <w:ind w:right="0"/>
        <w:jc w:val="left"/>
      </w:pPr>
      <w:r>
        <w:rPr>
          <w:spacing w:val="-2"/>
        </w:rPr>
        <w:t>信息交流，彼此了解相互业务内容和开发进度的基础上再充分反馈，公司资源的调配上建立完善的整体调配机制，已保证资</w:t>
      </w:r>
      <w:r>
        <w:rPr>
          <w:spacing w:val="-66"/>
        </w:rPr>
        <w:t> </w:t>
      </w:r>
      <w:r>
        <w:rPr>
          <w:spacing w:val="-66"/>
        </w:rPr>
      </w:r>
      <w:r>
        <w:rPr/>
        <w:t>源充分交融，为生态圈的运转提供充分的</w:t>
      </w:r>
      <w:r>
        <w:rPr>
          <w:rFonts w:ascii="Times New Roman" w:hAnsi="Times New Roman" w:cs="Times New Roman" w:eastAsia="Times New Roman" w:hint="default"/>
        </w:rPr>
        <w:t>“</w:t>
      </w:r>
      <w:r>
        <w:rPr/>
        <w:t>润滑剂</w:t>
      </w:r>
      <w:r>
        <w:rPr>
          <w:rFonts w:ascii="Times New Roman" w:hAnsi="Times New Roman" w:cs="Times New Roman" w:eastAsia="Times New Roman" w:hint="default"/>
        </w:rPr>
        <w:t>”</w:t>
      </w:r>
      <w:r>
        <w:rPr/>
        <w:t>。</w:t>
      </w:r>
    </w:p>
    <w:p>
      <w:pPr>
        <w:pStyle w:val="BodyText"/>
        <w:spacing w:line="357" w:lineRule="auto" w:before="38"/>
        <w:ind w:left="513" w:right="0"/>
        <w:jc w:val="left"/>
      </w:pPr>
      <w:r>
        <w:rPr/>
        <w:t>（三）产品再延伸 </w:t>
      </w:r>
      <w:r>
        <w:rPr>
          <w:spacing w:val="-2"/>
        </w:rPr>
        <w:t>生态圈健康运转离不开圈内资源的变现，资源顺利变现才能为生态圈提供必要的动力和支撑。因此，产品种类的丰富程</w:t>
      </w:r>
    </w:p>
    <w:p>
      <w:pPr>
        <w:pStyle w:val="BodyText"/>
        <w:spacing w:line="237" w:lineRule="exact"/>
        <w:ind w:left="153" w:right="0"/>
        <w:jc w:val="left"/>
      </w:pPr>
      <w:r>
        <w:rPr/>
        <w:t>度将直接关系公司整体业务生态的发展。</w:t>
      </w:r>
      <w:r>
        <w:rPr>
          <w:rFonts w:ascii="Times New Roman" w:hAnsi="Times New Roman" w:cs="Times New Roman" w:eastAsia="Times New Roman" w:hint="default"/>
        </w:rPr>
        <w:t>2015</w:t>
      </w:r>
      <w:r>
        <w:rPr/>
        <w:t>年，在原有各项产品的基础上，公司将加大产品线深度和广度的二维延伸，在</w:t>
      </w:r>
    </w:p>
    <w:p>
      <w:pPr>
        <w:pStyle w:val="BodyText"/>
        <w:spacing w:line="300" w:lineRule="auto" w:before="63"/>
        <w:ind w:left="153" w:right="1041"/>
        <w:jc w:val="left"/>
      </w:pPr>
      <w:r>
        <w:rPr>
          <w:spacing w:val="-2"/>
        </w:rPr>
        <w:t>不同种类的产品开发新品的同时，也不断开发新种类的产品。</w:t>
      </w:r>
      <w:r>
        <w:rPr>
          <w:rFonts w:ascii="Times New Roman" w:hAnsi="Times New Roman" w:cs="Times New Roman" w:eastAsia="Times New Roman" w:hint="default"/>
          <w:spacing w:val="-2"/>
        </w:rPr>
        <w:t>2015</w:t>
      </w:r>
      <w:r>
        <w:rPr>
          <w:spacing w:val="-2"/>
        </w:rPr>
        <w:t>年，在现有的基础上，公司将实施《星学院》产品系列计</w:t>
      </w:r>
      <w:r>
        <w:rPr>
          <w:spacing w:val="-63"/>
        </w:rPr>
        <w:t> </w:t>
      </w:r>
      <w:r>
        <w:rPr>
          <w:spacing w:val="-63"/>
        </w:rPr>
      </w:r>
      <w:r>
        <w:rPr>
          <w:spacing w:val="-3"/>
        </w:rPr>
        <w:t>划，依托《星学院》这一优秀原创</w:t>
      </w:r>
      <w:r>
        <w:rPr>
          <w:rFonts w:ascii="Times New Roman" w:hAnsi="Times New Roman" w:cs="Times New Roman" w:eastAsia="Times New Roman" w:hint="default"/>
          <w:spacing w:val="-3"/>
        </w:rPr>
        <w:t>IP</w:t>
      </w:r>
      <w:r>
        <w:rPr>
          <w:spacing w:val="-3"/>
        </w:rPr>
        <w:t>，开发新的动漫剧、动漫电影和游戏，以及配套的服饰、玩具、日常用品各类衍生产品。</w:t>
      </w:r>
      <w:r>
        <w:rPr>
          <w:spacing w:val="-83"/>
        </w:rPr>
        <w:t> </w:t>
      </w:r>
      <w:r>
        <w:rPr>
          <w:spacing w:val="-83"/>
        </w:rPr>
      </w:r>
      <w:r>
        <w:rPr/>
        <w:t>此外，在传统动漫服饰研发的基础上，加大</w:t>
      </w:r>
      <w:r>
        <w:rPr>
          <w:rFonts w:ascii="Times New Roman" w:hAnsi="Times New Roman" w:cs="Times New Roman" w:eastAsia="Times New Roman" w:hint="default"/>
        </w:rPr>
        <w:t>Cosplay</w:t>
      </w:r>
      <w:r>
        <w:rPr/>
        <w:t>服饰、盛装服饰等新品类产品的开发，丰富动漫服饰产品种类。影视剧 方面，加大投资力度，上马数部电视剧、电影的拍摄计划，创作更加经典的作品。</w:t>
      </w:r>
    </w:p>
    <w:p>
      <w:pPr>
        <w:pStyle w:val="BodyText"/>
        <w:spacing w:line="357" w:lineRule="auto" w:before="71"/>
        <w:ind w:left="513" w:right="0"/>
        <w:jc w:val="left"/>
      </w:pPr>
      <w:r>
        <w:rPr/>
        <w:t>（四）管理再提升 </w:t>
      </w:r>
      <w:r>
        <w:rPr>
          <w:spacing w:val="-2"/>
        </w:rPr>
        <w:t>上述三步战略的成功实施，离不开公司管理水平的提升，管理再提升战略将是前续战略的有力保障。</w:t>
      </w:r>
      <w:r>
        <w:rPr>
          <w:rFonts w:ascii="Times New Roman" w:hAnsi="Times New Roman" w:cs="Times New Roman" w:eastAsia="Times New Roman" w:hint="default"/>
          <w:spacing w:val="-2"/>
        </w:rPr>
        <w:t>2015</w:t>
      </w:r>
      <w:r>
        <w:rPr>
          <w:spacing w:val="-2"/>
        </w:rPr>
        <w:t>年，将在公司</w:t>
      </w:r>
    </w:p>
    <w:p>
      <w:pPr>
        <w:pStyle w:val="BodyText"/>
        <w:spacing w:line="201" w:lineRule="exact"/>
        <w:ind w:left="153" w:right="0"/>
        <w:jc w:val="left"/>
      </w:pPr>
      <w:r>
        <w:rPr>
          <w:spacing w:val="-4"/>
        </w:rPr>
        <w:t>范围内对生产管理、成本管理、财务管理、市场营销管理、技术研发管理、质量管理各个环节进行统一整合，提升管理效率。</w:t>
      </w:r>
    </w:p>
    <w:p>
      <w:pPr>
        <w:pStyle w:val="BodyText"/>
        <w:spacing w:line="319" w:lineRule="auto" w:before="76"/>
        <w:ind w:left="153" w:right="1130"/>
        <w:jc w:val="both"/>
      </w:pPr>
      <w:r>
        <w:rPr>
          <w:spacing w:val="-2"/>
        </w:rPr>
        <w:t>适时调整公司管理结构，及时建立和完善与市场发展相适应的研发、生产、市场营销、技术支持与服务和管理体系，通过专</w:t>
      </w:r>
      <w:r>
        <w:rPr>
          <w:spacing w:val="-66"/>
        </w:rPr>
        <w:t> </w:t>
      </w:r>
      <w:r>
        <w:rPr>
          <w:spacing w:val="-66"/>
        </w:rPr>
      </w:r>
      <w:r>
        <w:rPr>
          <w:spacing w:val="-2"/>
        </w:rPr>
        <w:t>业化、规范化、高效化的组织管理，适应现代企业发展的需要。同时，将集团化战略作为管理提升的重中之重，加强员工作</w:t>
      </w:r>
      <w:r>
        <w:rPr>
          <w:spacing w:val="-68"/>
        </w:rPr>
        <w:t> </w:t>
      </w:r>
      <w:r>
        <w:rPr>
          <w:spacing w:val="-68"/>
        </w:rPr>
      </w:r>
      <w:r>
        <w:rPr/>
        <w:t>为美盛人对于美盛大集团的归属。</w:t>
      </w:r>
    </w:p>
    <w:p>
      <w:pPr>
        <w:pStyle w:val="BodyText"/>
        <w:spacing w:line="357" w:lineRule="auto" w:before="56"/>
        <w:ind w:left="514" w:right="0"/>
        <w:jc w:val="left"/>
      </w:pPr>
      <w:r>
        <w:rPr/>
        <w:t>（五）品牌再美誉 </w:t>
      </w:r>
      <w:r>
        <w:rPr>
          <w:spacing w:val="-2"/>
        </w:rPr>
        <w:t>前四部战略的实施，保证了公司整体水平登上新台阶。公司原创</w:t>
      </w:r>
      <w:r>
        <w:rPr>
          <w:rFonts w:ascii="Times New Roman" w:hAnsi="Times New Roman" w:cs="Times New Roman" w:eastAsia="Times New Roman" w:hint="default"/>
          <w:spacing w:val="-2"/>
        </w:rPr>
        <w:t>IP</w:t>
      </w:r>
      <w:r>
        <w:rPr>
          <w:spacing w:val="-2"/>
        </w:rPr>
        <w:t>形象的树立、推广、延伸、变现等多环节多层次的综</w:t>
      </w:r>
    </w:p>
    <w:p>
      <w:pPr>
        <w:pStyle w:val="BodyText"/>
        <w:spacing w:line="201" w:lineRule="exact"/>
        <w:ind w:right="0"/>
        <w:jc w:val="left"/>
      </w:pPr>
      <w:r>
        <w:rPr/>
        <w:t>合运作，加大了用户的沉淀；公司产品的不断延伸，丰富了市场，加强了用户对公司的忠诚度。公司品牌美誉度和知名度将</w:t>
      </w:r>
    </w:p>
    <w:p>
      <w:pPr>
        <w:pStyle w:val="BodyText"/>
        <w:spacing w:line="302" w:lineRule="auto" w:before="76"/>
        <w:ind w:right="0"/>
        <w:jc w:val="left"/>
      </w:pPr>
      <w:r>
        <w:rPr>
          <w:spacing w:val="-2"/>
        </w:rPr>
        <w:t>随着公司资源的不断推陈出新而得到极大的提升。</w:t>
      </w:r>
      <w:r>
        <w:rPr>
          <w:rFonts w:ascii="Times New Roman" w:hAnsi="Times New Roman" w:cs="Times New Roman" w:eastAsia="Times New Roman" w:hint="default"/>
          <w:spacing w:val="-2"/>
        </w:rPr>
        <w:t>2015</w:t>
      </w:r>
      <w:r>
        <w:rPr>
          <w:spacing w:val="-2"/>
        </w:rPr>
        <w:t>年，针对公司跨越式发展的一年，公司将在品牌提升运营和维护上着</w:t>
      </w:r>
      <w:r>
        <w:rPr>
          <w:spacing w:val="-61"/>
        </w:rPr>
        <w:t> </w:t>
      </w:r>
      <w:r>
        <w:rPr>
          <w:spacing w:val="-61"/>
        </w:rPr>
      </w:r>
      <w:r>
        <w:rPr/>
        <w:t>重投入，在国内外文化动漫领域中唱响</w:t>
      </w:r>
      <w:r>
        <w:rPr>
          <w:rFonts w:ascii="Times New Roman" w:hAnsi="Times New Roman" w:cs="Times New Roman" w:eastAsia="Times New Roman" w:hint="default"/>
        </w:rPr>
        <w:t>“</w:t>
      </w:r>
      <w:r>
        <w:rPr/>
        <w:t>美盛</w:t>
      </w:r>
      <w:r>
        <w:rPr>
          <w:rFonts w:ascii="Times New Roman" w:hAnsi="Times New Roman" w:cs="Times New Roman" w:eastAsia="Times New Roman" w:hint="default"/>
        </w:rPr>
        <w:t>”</w:t>
      </w:r>
      <w:r>
        <w:rPr/>
        <w:t>品牌</w:t>
      </w:r>
    </w:p>
    <w:p>
      <w:pPr>
        <w:pStyle w:val="BodyText"/>
        <w:spacing w:line="302" w:lineRule="auto" w:before="50"/>
        <w:ind w:left="153" w:right="1132" w:firstLine="360"/>
        <w:jc w:val="both"/>
      </w:pPr>
      <w:r>
        <w:rPr>
          <w:spacing w:val="-2"/>
        </w:rPr>
        <w:t>综上，</w:t>
      </w:r>
      <w:r>
        <w:rPr>
          <w:rFonts w:ascii="Times New Roman" w:hAnsi="Times New Roman" w:cs="Times New Roman" w:eastAsia="Times New Roman" w:hint="default"/>
          <w:spacing w:val="-2"/>
        </w:rPr>
        <w:t>2015</w:t>
      </w:r>
      <w:r>
        <w:rPr>
          <w:spacing w:val="-2"/>
        </w:rPr>
        <w:t>年将是公司发展的一年、奋进的一年，公司将遵循</w:t>
      </w:r>
      <w:r>
        <w:rPr>
          <w:rFonts w:ascii="Times New Roman" w:hAnsi="Times New Roman" w:cs="Times New Roman" w:eastAsia="Times New Roman" w:hint="default"/>
          <w:spacing w:val="-2"/>
        </w:rPr>
        <w:t>“</w:t>
      </w:r>
      <w:r>
        <w:rPr>
          <w:spacing w:val="-2"/>
        </w:rPr>
        <w:t>文化传承、创意美盛</w:t>
      </w:r>
      <w:r>
        <w:rPr>
          <w:rFonts w:ascii="Times New Roman" w:hAnsi="Times New Roman" w:cs="Times New Roman" w:eastAsia="Times New Roman" w:hint="default"/>
          <w:spacing w:val="-2"/>
        </w:rPr>
        <w:t>”</w:t>
      </w:r>
      <w:r>
        <w:rPr>
          <w:spacing w:val="-2"/>
        </w:rPr>
        <w:t>的指导思想，占领文化制高点，在</w:t>
      </w:r>
      <w:r>
        <w:rPr/>
        <w:t> 文化创意的版图中画出美盛的绚丽画卷。</w:t>
      </w:r>
    </w:p>
    <w:p>
      <w:pPr>
        <w:spacing w:after="0" w:line="302"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董事会、监事会对会计师事务所本报告期“非标准审计报告”的说明" w:id="50"/>
      <w:bookmarkEnd w:id="50"/>
      <w:r>
        <w:rPr>
          <w:b w:val="0"/>
          <w:bCs w:val="0"/>
        </w:rPr>
      </w:r>
      <w:r>
        <w:rPr/>
        <w:t>八、董事会、监事会对会计师事务所本报告期“非标准审计报告”的说明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九、与上年度财务报告相比，会计政策、会计估计和核算方法发生变化的情况说明" w:id="51"/>
      <w:bookmarkEnd w:id="51"/>
      <w:r>
        <w:rPr>
          <w:b w:val="0"/>
          <w:bCs w:val="0"/>
        </w:rPr>
      </w: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pStyle w:val="BodyText"/>
        <w:spacing w:line="300" w:lineRule="auto" w:before="115"/>
        <w:ind w:left="153" w:right="0" w:firstLine="290"/>
        <w:jc w:val="left"/>
      </w:pPr>
      <w:r>
        <w:rPr>
          <w:spacing w:val="-2"/>
        </w:rPr>
        <w:t>根据《企业会计准则第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spacing w:val="-2"/>
        </w:rPr>
        <w:t>公司对持有的不具有控制、共同控制、重大影响</w:t>
      </w:r>
      <w:r>
        <w:rPr>
          <w:rFonts w:ascii="Times New Roman" w:hAnsi="Times New Roman" w:cs="Times New Roman" w:eastAsia="Times New Roman" w:hint="default"/>
          <w:spacing w:val="-2"/>
        </w:rPr>
        <w:t>,</w:t>
      </w:r>
      <w:r>
        <w:rPr>
          <w:spacing w:val="-2"/>
        </w:rPr>
        <w:t>且其公允价值不能可靠计量</w:t>
      </w:r>
      <w:r>
        <w:rPr/>
        <w:t> 的股权投资</w:t>
      </w:r>
      <w:r>
        <w:rPr>
          <w:rFonts w:ascii="Times New Roman" w:hAnsi="Times New Roman" w:cs="Times New Roman" w:eastAsia="Times New Roman" w:hint="default"/>
        </w:rPr>
        <w:t>,</w:t>
      </w:r>
      <w:r>
        <w:rPr/>
        <w:t>作为按成本计量的可供出售金融资产进行核算</w:t>
      </w:r>
      <w:r>
        <w:rPr>
          <w:rFonts w:ascii="Times New Roman" w:hAnsi="Times New Roman" w:cs="Times New Roman" w:eastAsia="Times New Roman" w:hint="default"/>
        </w:rPr>
        <w:t>,</w:t>
      </w:r>
      <w:r>
        <w:rPr/>
        <w:t>不作为长期股权投资核算</w:t>
      </w:r>
      <w:r>
        <w:rPr>
          <w:rFonts w:ascii="Times New Roman" w:hAnsi="Times New Roman" w:cs="Times New Roman" w:eastAsia="Times New Roman" w:hint="default"/>
        </w:rPr>
        <w:t>,</w:t>
      </w:r>
      <w:r>
        <w:rPr/>
        <w:t>并对其采用追溯调整法进行调整。</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报告期内发生重大会计差错更正需追溯重述的情况说明" w:id="52"/>
      <w:bookmarkEnd w:id="52"/>
      <w:r>
        <w:rPr>
          <w:b w:val="0"/>
          <w:bCs w:val="0"/>
        </w:rPr>
      </w:r>
      <w:r>
        <w:rPr/>
        <w:t>十、报告期内发生重大会计差错更正需追溯重述的情况说明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十一、与上年度财务报告相比，合并报表范围发生变化的情况说明" w:id="53"/>
      <w:bookmarkEnd w:id="53"/>
      <w:r>
        <w:rPr>
          <w:b w:val="0"/>
          <w:bCs w:val="0"/>
        </w:rPr>
      </w:r>
      <w:r>
        <w:rPr/>
        <w:t>十一、与上年度财务报告相比，合并报表范围发生变化的情况说明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29"/>
        <w:jc w:val="right"/>
      </w:pPr>
      <w:r>
        <w:rPr/>
        <w:t>单位：</w:t>
      </w:r>
      <w:r>
        <w:rPr>
          <w:spacing w:val="-17"/>
        </w:rPr>
        <w:t> </w:t>
      </w:r>
      <w:r>
        <w:rPr/>
        <w:t>元</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46" w:hRule="exact"/>
        </w:trPr>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33"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34" w:right="73"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34" w:right="72"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35" w:right="72"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34" w:right="73"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5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253"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73" w:right="7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74" w:right="71"/>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3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4"/>
              <w:jc w:val="left"/>
              <w:rPr>
                <w:rFonts w:ascii="宋体" w:hAnsi="宋体" w:cs="宋体" w:eastAsia="宋体" w:hint="default"/>
                <w:sz w:val="18"/>
                <w:szCs w:val="18"/>
              </w:rPr>
            </w:pPr>
            <w:r>
              <w:rPr>
                <w:rFonts w:ascii="宋体" w:hAnsi="宋体" w:cs="宋体" w:eastAsia="宋体" w:hint="default"/>
                <w:sz w:val="18"/>
                <w:szCs w:val="18"/>
              </w:rPr>
              <w:t>纯真年代公 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98,000,000.00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3"/>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-1,305,930.04</w:t>
            </w:r>
          </w:p>
        </w:tc>
      </w:tr>
      <w:tr>
        <w:trPr>
          <w:trHeight w:val="73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4"/>
              <w:jc w:val="left"/>
              <w:rPr>
                <w:rFonts w:ascii="宋体" w:hAnsi="宋体" w:cs="宋体" w:eastAsia="宋体" w:hint="default"/>
                <w:sz w:val="18"/>
                <w:szCs w:val="18"/>
              </w:rPr>
            </w:pPr>
            <w:r>
              <w:rPr>
                <w:rFonts w:ascii="宋体" w:hAnsi="宋体" w:cs="宋体" w:eastAsia="宋体" w:hint="default"/>
                <w:sz w:val="18"/>
                <w:szCs w:val="18"/>
              </w:rPr>
              <w:t>星梦工坊公 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15,300,000.00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51.06%</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5"/>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3"/>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sz w:val="18"/>
              </w:rPr>
              <w:t>1,407,051.65</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-339,601.67</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公司利润分配及分红派息情况" w:id="54"/>
      <w:bookmarkEnd w:id="54"/>
      <w:r>
        <w:rPr>
          <w:b w:val="0"/>
          <w:bCs w:val="0"/>
        </w:rPr>
      </w: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报告期内利润分配政策的制定、执行或调整情况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left="153" w:right="1129" w:firstLine="290"/>
        <w:jc w:val="both"/>
      </w:pPr>
      <w:r>
        <w:rPr/>
        <w:t>根据中国证监会《上市公司监管指引第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上市公司现金分红》、《关于进一步落实上市公司现金分红有关事项的 </w:t>
      </w:r>
      <w:r>
        <w:rPr>
          <w:spacing w:val="-5"/>
        </w:rPr>
        <w:t>通知》及《公司章程》的有关规定，为健全公司利润分配事项的决策程序和机制，增加股利分配决策透明度和可操作性，</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4"/>
        </w:rPr>
        <w:t> </w:t>
      </w:r>
      <w:r>
        <w:rPr/>
        <w:t>年第二次临时股东大会审议通过了《公司未来三年（</w:t>
      </w:r>
      <w:r>
        <w:rPr>
          <w:rFonts w:ascii="Times New Roman" w:hAnsi="Times New Roman" w:cs="Times New Roman" w:eastAsia="Times New Roman" w:hint="default"/>
        </w:rPr>
        <w:t>2014-2016</w:t>
      </w:r>
      <w:r>
        <w:rPr/>
        <w:t>年）股东回报规划》。</w:t>
      </w:r>
    </w:p>
    <w:p>
      <w:pPr>
        <w:spacing w:line="240" w:lineRule="auto" w:before="5"/>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left="453" w:right="1138" w:hanging="30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经天健会计师事务所审计，</w:t>
      </w:r>
      <w:r>
        <w:rPr>
          <w:rFonts w:ascii="Times New Roman" w:hAnsi="Times New Roman" w:cs="Times New Roman" w:eastAsia="Times New Roman" w:hint="default"/>
        </w:rPr>
        <w:t>2014</w:t>
      </w:r>
      <w:r>
        <w:rPr/>
        <w:t>年度母公司实现净利润</w:t>
      </w:r>
      <w:r>
        <w:rPr>
          <w:rFonts w:ascii="Times New Roman" w:hAnsi="Times New Roman" w:cs="Times New Roman" w:eastAsia="Times New Roman" w:hint="default"/>
        </w:rPr>
        <w:t>96,942,315.71</w:t>
      </w:r>
      <w:r>
        <w:rPr/>
        <w:t>元，根据公司章程及公司法规定，提取法定盈余公</w:t>
      </w:r>
    </w:p>
    <w:p>
      <w:pPr>
        <w:pStyle w:val="BodyText"/>
        <w:spacing w:line="230" w:lineRule="exact"/>
        <w:ind w:left="153" w:right="0"/>
        <w:jc w:val="both"/>
      </w:pPr>
      <w:r>
        <w:rPr/>
        <w:t>积</w:t>
      </w:r>
      <w:r>
        <w:rPr>
          <w:rFonts w:ascii="Times New Roman" w:hAnsi="Times New Roman" w:cs="Times New Roman" w:eastAsia="Times New Roman" w:hint="default"/>
        </w:rPr>
        <w:t>9,694,231.57</w:t>
      </w:r>
      <w:r>
        <w:rPr/>
        <w:t>元，加年初未分配利润</w:t>
      </w:r>
      <w:r>
        <w:rPr>
          <w:rFonts w:ascii="Times New Roman" w:hAnsi="Times New Roman" w:cs="Times New Roman" w:eastAsia="Times New Roman" w:hint="default"/>
        </w:rPr>
        <w:t>126,921,501.46</w:t>
      </w:r>
      <w:r>
        <w:rPr/>
        <w:t>元，扣除</w:t>
      </w:r>
      <w:r>
        <w:rPr>
          <w:rFonts w:ascii="Times New Roman" w:hAnsi="Times New Roman" w:cs="Times New Roman" w:eastAsia="Times New Roman" w:hint="default"/>
        </w:rPr>
        <w:t>2013</w:t>
      </w:r>
      <w:r>
        <w:rPr/>
        <w:t>年度利润分配</w:t>
      </w:r>
      <w:r>
        <w:rPr>
          <w:rFonts w:ascii="Times New Roman" w:hAnsi="Times New Roman" w:cs="Times New Roman" w:eastAsia="Times New Roman" w:hint="default"/>
        </w:rPr>
        <w:t>4,675,000.00</w:t>
      </w:r>
      <w:r>
        <w:rPr/>
        <w:t>元，</w:t>
      </w:r>
      <w:r>
        <w:rPr>
          <w:rFonts w:ascii="Times New Roman" w:hAnsi="Times New Roman" w:cs="Times New Roman" w:eastAsia="Times New Roman" w:hint="default"/>
        </w:rPr>
        <w:t>2014</w:t>
      </w:r>
      <w:r>
        <w:rPr/>
        <w:t>年度可供股东分配的利</w:t>
      </w:r>
    </w:p>
    <w:p>
      <w:pPr>
        <w:pStyle w:val="BodyText"/>
        <w:spacing w:line="300" w:lineRule="auto" w:before="63"/>
        <w:ind w:right="1130"/>
        <w:jc w:val="both"/>
      </w:pPr>
      <w:r>
        <w:rPr/>
        <w:t>润为</w:t>
      </w:r>
      <w:r>
        <w:rPr>
          <w:rFonts w:ascii="Times New Roman" w:hAnsi="Times New Roman" w:cs="Times New Roman" w:eastAsia="Times New Roman" w:hint="default"/>
        </w:rPr>
        <w:t>209,494,585.60</w:t>
      </w:r>
      <w:r>
        <w:rPr/>
        <w:t>元。本年度董事会提议利润分配预案为：以报告期末总股本</w:t>
      </w:r>
      <w:r>
        <w:rPr>
          <w:rFonts w:ascii="Times New Roman" w:hAnsi="Times New Roman" w:cs="Times New Roman" w:eastAsia="Times New Roman" w:hint="default"/>
        </w:rPr>
        <w:t>205,700,000</w:t>
      </w:r>
      <w:r>
        <w:rPr/>
        <w:t>股为基数，向全体股东每</w:t>
      </w:r>
      <w:r>
        <w:rPr>
          <w:rFonts w:ascii="Times New Roman" w:hAnsi="Times New Roman" w:cs="Times New Roman" w:eastAsia="Times New Roman" w:hint="default"/>
        </w:rPr>
        <w:t>10</w:t>
      </w:r>
      <w:r>
        <w:rPr/>
        <w:t>股派 </w:t>
      </w:r>
      <w:r>
        <w:rPr>
          <w:spacing w:val="-2"/>
        </w:rPr>
        <w:t>发现金股利</w:t>
      </w:r>
      <w:r>
        <w:rPr>
          <w:rFonts w:ascii="Times New Roman" w:hAnsi="Times New Roman" w:cs="Times New Roman" w:eastAsia="Times New Roman" w:hint="default"/>
          <w:spacing w:val="-2"/>
        </w:rPr>
        <w:t>1</w:t>
      </w:r>
      <w:r>
        <w:rPr>
          <w:spacing w:val="-2"/>
        </w:rPr>
        <w:t>元（含税），共计</w:t>
      </w:r>
      <w:r>
        <w:rPr>
          <w:rFonts w:ascii="Times New Roman" w:hAnsi="Times New Roman" w:cs="Times New Roman" w:eastAsia="Times New Roman" w:hint="default"/>
          <w:spacing w:val="-2"/>
        </w:rPr>
        <w:t>20,570,000</w:t>
      </w:r>
      <w:r>
        <w:rPr>
          <w:spacing w:val="-2"/>
        </w:rPr>
        <w:t>元，向全体股东以资本公积每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205,700,000</w:t>
      </w:r>
      <w:r>
        <w:rPr>
          <w:spacing w:val="-2"/>
        </w:rPr>
        <w:t>股，转增后公司</w:t>
      </w:r>
      <w:r>
        <w:rPr>
          <w:spacing w:val="-45"/>
        </w:rPr>
        <w:t> </w:t>
      </w:r>
      <w:r>
        <w:rPr>
          <w:spacing w:val="-45"/>
        </w:rPr>
      </w:r>
      <w:r>
        <w:rPr/>
        <w:t>总股本为</w:t>
      </w:r>
      <w:r>
        <w:rPr>
          <w:rFonts w:ascii="Times New Roman" w:hAnsi="Times New Roman" w:cs="Times New Roman" w:eastAsia="Times New Roman" w:hint="default"/>
        </w:rPr>
        <w:t>411,400,000</w:t>
      </w:r>
      <w:r>
        <w:rPr/>
        <w:t>股。上述分配预案，需提交股东大会审议通过后方可实施。</w:t>
      </w:r>
    </w:p>
    <w:p>
      <w:pPr>
        <w:pStyle w:val="BodyText"/>
        <w:spacing w:line="300" w:lineRule="auto" w:before="13"/>
        <w:ind w:left="153" w:right="0" w:firstLine="300"/>
        <w:jc w:val="left"/>
      </w:pPr>
      <w:r>
        <w:rPr>
          <w:rFonts w:ascii="Times New Roman" w:hAnsi="Times New Roman" w:cs="Times New Roman" w:eastAsia="Times New Roman" w:hint="default"/>
          <w:spacing w:val="-2"/>
        </w:rPr>
        <w:t>2013</w:t>
      </w:r>
      <w:r>
        <w:rPr>
          <w:spacing w:val="-2"/>
        </w:rPr>
        <w:t>年公司以报告期末总股本</w:t>
      </w:r>
      <w:r>
        <w:rPr>
          <w:rFonts w:ascii="Times New Roman" w:hAnsi="Times New Roman" w:cs="Times New Roman" w:eastAsia="Times New Roman" w:hint="default"/>
          <w:spacing w:val="-2"/>
        </w:rPr>
        <w:t>93,500,000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w:t>
      </w:r>
      <w:r>
        <w:rPr>
          <w:spacing w:val="-2"/>
        </w:rPr>
        <w:t>元（含税），共计</w:t>
      </w:r>
      <w:r>
        <w:rPr>
          <w:rFonts w:ascii="Times New Roman" w:hAnsi="Times New Roman" w:cs="Times New Roman" w:eastAsia="Times New Roman" w:hint="default"/>
          <w:spacing w:val="-2"/>
        </w:rPr>
        <w:t>4,675,000.00</w:t>
      </w:r>
      <w:r>
        <w:rPr>
          <w:spacing w:val="-2"/>
        </w:rPr>
        <w:t>元，</w:t>
      </w:r>
      <w:r>
        <w:rPr/>
        <w:t> 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股，共计转增</w:t>
      </w:r>
      <w:r>
        <w:rPr>
          <w:rFonts w:ascii="Times New Roman" w:hAnsi="Times New Roman" w:cs="Times New Roman" w:eastAsia="Times New Roman" w:hint="default"/>
        </w:rPr>
        <w:t>112,200,000</w:t>
      </w:r>
      <w:r>
        <w:rPr/>
        <w:t>股，转增后公司总股本为</w:t>
      </w:r>
      <w:r>
        <w:rPr>
          <w:rFonts w:ascii="Times New Roman" w:hAnsi="Times New Roman" w:cs="Times New Roman" w:eastAsia="Times New Roman" w:hint="default"/>
        </w:rPr>
        <w:t>205,700,000</w:t>
      </w:r>
      <w:r>
        <w:rPr/>
        <w:t>股。</w:t>
      </w:r>
    </w:p>
    <w:p>
      <w:pPr>
        <w:pStyle w:val="BodyText"/>
        <w:spacing w:line="240" w:lineRule="auto" w:before="13"/>
        <w:ind w:left="45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年度公司以总股本</w:t>
      </w:r>
      <w:r>
        <w:rPr>
          <w:rFonts w:ascii="Times New Roman" w:hAnsi="Times New Roman" w:cs="Times New Roman" w:eastAsia="Times New Roman" w:hint="default"/>
        </w:rPr>
        <w:t>93500000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5</w:t>
      </w:r>
      <w:r>
        <w:rPr>
          <w:spacing w:val="-83"/>
        </w:rPr>
        <w:t>元</w:t>
      </w:r>
      <w:r>
        <w:rPr/>
        <w:t>（含税</w:t>
      </w:r>
      <w:r>
        <w:rPr>
          <w:spacing w:val="-83"/>
        </w:rPr>
        <w:t>），</w:t>
      </w:r>
      <w:r>
        <w:rPr/>
        <w:t>合计</w:t>
      </w:r>
      <w:r>
        <w:rPr>
          <w:spacing w:val="1"/>
        </w:rPr>
        <w:t>派</w:t>
      </w:r>
      <w:r>
        <w:rPr/>
        <w:t>发现金</w:t>
      </w:r>
      <w:r>
        <w:rPr>
          <w:rFonts w:ascii="Times New Roman" w:hAnsi="Times New Roman" w:cs="Times New Roman" w:eastAsia="Times New Roman" w:hint="default"/>
        </w:rPr>
        <w:t>46,750,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w:t>
      </w:r>
    </w:p>
    <w:p>
      <w:pPr>
        <w:pStyle w:val="BodyText"/>
        <w:spacing w:line="360" w:lineRule="auto" w:before="63"/>
        <w:ind w:right="8232"/>
        <w:jc w:val="left"/>
      </w:pPr>
      <w:r>
        <w:rPr/>
        <w:t>元，其余未分配利润结转下年。 公司近三年现金分红情况表</w:t>
      </w:r>
    </w:p>
    <w:p>
      <w:pPr>
        <w:pStyle w:val="BodyText"/>
        <w:spacing w:line="240" w:lineRule="auto" w:before="2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97,125,358.48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41,730,227.18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49,015,839.49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三、本报告期利润分配及资本公积金转增股本预案" w:id="55"/>
      <w:bookmarkEnd w:id="55"/>
      <w:r>
        <w:rPr>
          <w:b w:val="0"/>
          <w:bCs w:val="0"/>
        </w:rPr>
      </w:r>
      <w:r>
        <w:rPr/>
        <w:t>十三、本报告期利润分配及资本公积金转增股本预案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209,494,585.60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r>
        <w:rPr/>
        <w:pict>
          <v:shape style="position:absolute;margin-left:397.963013pt;margin-top:609.459961pt;width:137pt;height:23.4pt;mso-position-horizontal-relative:page;mso-position-vertical-relative:page;z-index:-846376" type="#_x0000_t202" filled="false" stroked="false">
            <v:textbox inset="0,0,0,0">
              <w:txbxContent>
                <w:p>
                  <w:pPr>
                    <w:pStyle w:val="BodyText"/>
                    <w:spacing w:line="240" w:lineRule="auto" w:before="51"/>
                    <w:ind w:left="0" w:right="0"/>
                    <w:jc w:val="left"/>
                  </w:pPr>
                  <w:r>
                    <w:rPr/>
                    <w:t>区志航、</w:t>
                  </w:r>
                </w:p>
              </w:txbxContent>
            </v:textbox>
            <w10:wrap type="none"/>
          </v:shape>
        </w:pict>
      </w: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2888" w:right="0"/>
                    <w:jc w:val="left"/>
                  </w:pPr>
                  <w:r>
                    <w:rPr/>
                    <w:t>利润分配或资本公积金转增预案的详细情况说明</w:t>
                  </w:r>
                </w:p>
              </w:txbxContent>
            </v:textbox>
            <v:fill type="solid"/>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社会责任情况" w:id="56"/>
      <w:bookmarkEnd w:id="56"/>
      <w:r>
        <w:rPr>
          <w:b w:val="0"/>
          <w:bCs w:val="0"/>
        </w:rPr>
      </w:r>
      <w:r>
        <w:rPr/>
        <w:t>十四、社会责任情况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44" w:right="0" w:hanging="291"/>
        <w:jc w:val="left"/>
      </w:pPr>
      <w:r>
        <w:rPr/>
        <w:t>√ 适用 □ 不适用 </w:t>
      </w:r>
      <w:r>
        <w:rPr>
          <w:spacing w:val="-1"/>
        </w:rPr>
        <w:t>作为一家上市公司，重视股东特别是中小股东的利益，维护股东的合法权益，是公司最基本的社会责任。公司根据《公</w:t>
      </w:r>
    </w:p>
    <w:p>
      <w:pPr>
        <w:pStyle w:val="BodyText"/>
        <w:spacing w:line="225" w:lineRule="exact"/>
        <w:ind w:right="0"/>
        <w:jc w:val="left"/>
      </w:pPr>
      <w:r>
        <w:rPr/>
        <w:t>司法》、《证券法》、《上市公司治理准则》等法律法规，切实从全体股东利益出发，保障全体股东的权益。</w:t>
      </w:r>
    </w:p>
    <w:p>
      <w:pPr>
        <w:pStyle w:val="BodyText"/>
        <w:spacing w:line="240" w:lineRule="auto" w:before="116"/>
        <w:ind w:left="588" w:right="0"/>
        <w:jc w:val="left"/>
      </w:pPr>
      <w:r>
        <w:rPr>
          <w:rFonts w:ascii="Times New Roman" w:hAnsi="Times New Roman" w:cs="Times New Roman" w:eastAsia="Times New Roman" w:hint="default"/>
        </w:rPr>
        <w:t>1</w:t>
      </w:r>
      <w:r>
        <w:rPr/>
        <w:t>、本报告期内，公司坚持为广大投资者服务，坚持对全体股民负责的理念，经营管理公司生产、销售。</w:t>
      </w:r>
    </w:p>
    <w:p>
      <w:pPr>
        <w:pStyle w:val="BodyText"/>
        <w:spacing w:line="302" w:lineRule="auto" w:before="101"/>
        <w:ind w:left="153" w:right="0" w:firstLine="434"/>
        <w:jc w:val="left"/>
      </w:pPr>
      <w:r>
        <w:rPr>
          <w:rFonts w:ascii="Times New Roman" w:hAnsi="Times New Roman" w:cs="Times New Roman" w:eastAsia="Times New Roman" w:hint="default"/>
          <w:spacing w:val="-2"/>
        </w:rPr>
        <w:t>2</w:t>
      </w:r>
      <w:r>
        <w:rPr>
          <w:spacing w:val="-2"/>
        </w:rPr>
        <w:t>、坚持以人为本，积极为员工提供现实服务，公司先后采购员工接送车五辆，保障员工上下班交通。公司先后建设员</w:t>
      </w:r>
      <w:r>
        <w:rPr/>
        <w:t> 工宿舍保证员工休息。给予员工五险一金的保障。本报告期内，公司先后组织全体员工旅游达到劳逸结合。</w:t>
      </w:r>
    </w:p>
    <w:p>
      <w:pPr>
        <w:pStyle w:val="BodyText"/>
        <w:spacing w:line="240" w:lineRule="auto" w:before="70"/>
        <w:ind w:left="588" w:right="0"/>
        <w:jc w:val="left"/>
      </w:pPr>
      <w:r>
        <w:rPr>
          <w:rFonts w:ascii="Times New Roman" w:hAnsi="Times New Roman" w:cs="Times New Roman" w:eastAsia="Times New Roman" w:hint="default"/>
        </w:rPr>
        <w:t>3</w:t>
      </w:r>
      <w:r>
        <w:rPr/>
        <w:t>、诚信经营，依法纳税，吸纳社会就业，社会贡献值较高。公司连续多年被评为地方先进纳税企业。</w:t>
      </w:r>
    </w:p>
    <w:p>
      <w:pPr>
        <w:pStyle w:val="BodyText"/>
        <w:spacing w:line="240" w:lineRule="auto" w:before="102"/>
        <w:ind w:left="588" w:right="0"/>
        <w:jc w:val="left"/>
      </w:pPr>
      <w:r>
        <w:rPr>
          <w:rFonts w:ascii="Times New Roman" w:hAnsi="Times New Roman" w:cs="Times New Roman" w:eastAsia="Times New Roman" w:hint="default"/>
        </w:rPr>
        <w:t>4</w:t>
      </w:r>
      <w:r>
        <w:rPr/>
        <w:t>、公司严格把守质量关，定期检查产品质量问题保障消费者安全。</w:t>
      </w:r>
    </w:p>
    <w:p>
      <w:pPr>
        <w:pStyle w:val="BodyText"/>
        <w:spacing w:line="340" w:lineRule="auto" w:before="102"/>
        <w:ind w:left="153" w:right="4469" w:firstLine="434"/>
        <w:jc w:val="left"/>
      </w:pPr>
      <w:r>
        <w:rPr>
          <w:rFonts w:ascii="Times New Roman" w:hAnsi="Times New Roman" w:cs="Times New Roman" w:eastAsia="Times New Roman" w:hint="default"/>
        </w:rPr>
        <w:t>5</w:t>
      </w:r>
      <w:r>
        <w:rPr/>
        <w:t>、积极响应国家政策，降低能耗，提高生产效率，努力建设节约型企业。 上市公司及其子公司是否属于国家环境保护部门规定的重污染行业</w:t>
      </w:r>
    </w:p>
    <w:p>
      <w:pPr>
        <w:pStyle w:val="BodyText"/>
        <w:spacing w:line="338" w:lineRule="auto" w:before="40"/>
        <w:ind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十五、报告期内接待调研、沟通、采访等活动登记表" w:id="57"/>
      <w:bookmarkEnd w:id="57"/>
      <w:r>
        <w:rPr>
          <w:b w:val="0"/>
          <w:bCs w:val="0"/>
        </w:rPr>
      </w:r>
      <w:r>
        <w:rPr/>
        <w:t>十五、报告期内接待调研、沟通、采访等活动登记表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控股子公司四楼会 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国泰君安证券：李 佳嘉、浦银安盛基 金：陈承志、银河 证券：花小伟、天 弘基金：田俊维、 华泰柏瑞：张慧、 财通基金：庄颖</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72"/>
              <w:jc w:val="left"/>
              <w:rPr>
                <w:rFonts w:ascii="宋体" w:hAnsi="宋体" w:cs="宋体" w:eastAsia="宋体" w:hint="default"/>
                <w:sz w:val="18"/>
                <w:szCs w:val="18"/>
              </w:rPr>
            </w:pPr>
            <w:r>
              <w:rPr>
                <w:rFonts w:ascii="宋体" w:hAnsi="宋体" w:cs="宋体" w:eastAsia="宋体" w:hint="default"/>
                <w:sz w:val="18"/>
                <w:szCs w:val="18"/>
              </w:rPr>
              <w:t>详见公司投资者关系活动 记录表</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控股子公司四楼会 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长城证券： 黄淑研、浦银安盛 基金：陈承志、瑞 银证券：陈欣、华 商基金：梁皓</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03.9pt;height:23.4pt;mso-position-horizontal-relative:char;mso-position-vertical-relative:line" coordorigin="0,0" coordsize="2078,468">
                  <v:group style="position:absolute;left:0;top:0;width:2078;height:468" coordorigin="0,0" coordsize="2078,468">
                    <v:shape style="position:absolute;left:0;top:0;width:2078;height:468" coordorigin="0,0" coordsize="2078,468" path="m0,468l2077,468,2077,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详见公司投资者关系活动 记录表</w:t>
            </w:r>
          </w:p>
        </w:tc>
      </w:tr>
      <w:tr>
        <w:trPr>
          <w:trHeight w:val="129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控股子公司缔顺科 技四楼会议室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283" w:val="left" w:leader="none"/>
              </w:tabs>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中国国际金融：曹 晏</w:t>
              <w:tab/>
              <w:t>鹏</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华基金：姜山、李 慧杰中海基金：谢</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详见公司披露的投资者活 动记录表</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7.963013pt;margin-top:72.47998pt;width:137pt;height:189.3pt;mso-position-horizontal-relative:page;mso-position-vertical-relative:page;z-index:-846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636" w:lineRule="auto"/>
                    <w:ind w:left="0" w:right="2017"/>
                    <w:jc w:val="left"/>
                  </w:pPr>
                  <w:r>
                    <w:rPr/>
                    <w:t>王立平、 詹凌燕、</w:t>
                  </w:r>
                </w:p>
              </w:txbxContent>
            </v:textbox>
            <w10:wrap type="none"/>
          </v:shape>
        </w:pict>
      </w:r>
      <w:r>
        <w:rPr/>
        <w:pict>
          <v:shape style="position:absolute;margin-left:397.963013pt;margin-top:262.219971pt;width:137pt;height:62.4pt;mso-position-horizontal-relative:page;mso-position-vertical-relative:page;z-index:-846328" type="#_x0000_t202" filled="false" stroked="false">
            <v:textbox inset="0,0,0,0">
              <w:txbxContent>
                <w:p>
                  <w:pPr>
                    <w:pStyle w:val="BodyText"/>
                    <w:spacing w:line="240" w:lineRule="auto" w:before="51"/>
                    <w:ind w:left="0" w:right="0"/>
                    <w:jc w:val="left"/>
                  </w:pPr>
                  <w:r>
                    <w:rPr/>
                    <w:t>鞠兴海、</w:t>
                  </w:r>
                </w:p>
              </w:txbxContent>
            </v:textbox>
            <w10:wrap type="none"/>
          </v:shape>
        </w:pict>
      </w:r>
      <w:r>
        <w:rPr/>
        <w:pict>
          <v:shape style="position:absolute;margin-left:397.963013pt;margin-top:422.73999pt;width:137pt;height:101.4pt;mso-position-horizontal-relative:page;mso-position-vertical-relative:page;z-index:-846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316" w:lineRule="auto" w:before="155"/>
                    <w:ind w:left="0" w:right="2017"/>
                    <w:jc w:val="left"/>
                  </w:pPr>
                  <w:r>
                    <w:rPr/>
                    <w:t>王静明， 陈派卿、</w:t>
                  </w:r>
                </w:p>
              </w:txbxContent>
            </v:textbox>
            <w10:wrap type="none"/>
          </v:shape>
        </w:pict>
      </w:r>
      <w:r>
        <w:rPr/>
        <w:pict>
          <v:shape style="position:absolute;margin-left:388.963013pt;margin-top:559.359985pt;width:146pt;height:101.4pt;mso-position-horizontal-relative:page;mso-position-vertical-relative:page;z-index:-846280" type="#_x0000_t202" filled="false" stroked="false">
            <v:textbox inset="0,0,0,0">
              <w:txbxContent>
                <w:p>
                  <w:pPr>
                    <w:pStyle w:val="BodyText"/>
                    <w:spacing w:line="636" w:lineRule="auto" w:before="125"/>
                    <w:ind w:left="0" w:right="2017" w:firstLine="180"/>
                    <w:jc w:val="right"/>
                  </w:pPr>
                  <w:r>
                    <w:rPr/>
                    <w:t>黄淑研， 苏林洁， 招商基金：</w:t>
                  </w:r>
                </w:p>
              </w:txbxContent>
            </v:textbox>
            <w10:wrap type="none"/>
          </v:shape>
        </w:pict>
      </w:r>
      <w:r>
        <w:rPr/>
        <w:pict>
          <v:group style="position:absolute;margin-left:431.100006pt;margin-top:72.47998pt;width:103.9pt;height:252.15pt;mso-position-horizontal-relative:page;mso-position-vertical-relative:page;z-index:-846256" coordorigin="8622,1450" coordsize="2078,5043">
            <v:group style="position:absolute;left:8622;top:1450;width:2078;height:3786" coordorigin="8622,1450" coordsize="2078,3786">
              <v:shape style="position:absolute;left:8622;top:1450;width:2078;height:3786" coordorigin="8622,1450" coordsize="2078,3786" path="m8622,5235l10699,5235,10699,1450,8622,1450,8622,5235xe" filled="true" fillcolor="#ffffff" stroked="false">
                <v:path arrowok="t"/>
                <v:fill type="solid"/>
              </v:shape>
            </v:group>
            <v:group style="position:absolute;left:8622;top:5244;width:2078;height:1248" coordorigin="8622,5244" coordsize="2078,1248">
              <v:shape style="position:absolute;left:8622;top:5244;width:2078;height:1248" coordorigin="8622,5244" coordsize="2078,1248" path="m8622,6492l10699,6492,10699,5244,8622,5244,8622,6492xe" filled="true" fillcolor="#ffffff" stroked="false">
                <v:path arrowok="t"/>
                <v:fill type="solid"/>
              </v:shape>
            </v:group>
            <w10:wrap type="none"/>
          </v:group>
        </w:pict>
      </w:r>
      <w:r>
        <w:rPr/>
        <w:pict>
          <v:group style="position:absolute;margin-left:432.23999pt;margin-top:342.199982pt;width:101.6pt;height:17.650pt;mso-position-horizontal-relative:page;mso-position-vertical-relative:page;z-index:-846232" coordorigin="8645,6844" coordsize="2032,353">
            <v:shape style="position:absolute;left:8645;top:6844;width:2032;height:353" coordorigin="8645,6844" coordsize="2032,353" path="m8645,7197l10676,7197,10676,6844,8645,6844,8645,7197xe" filled="true" fillcolor="#ffffff" stroked="false">
              <v:path arrowok="t"/>
              <v:fill type="solid"/>
            </v:shape>
            <w10:wrap type="none"/>
          </v:group>
        </w:pict>
      </w:r>
      <w:r>
        <w:rPr/>
        <w:pict>
          <v:group style="position:absolute;margin-left:431.100006pt;margin-top:422.73999pt;width:103.9pt;height:101.4pt;mso-position-horizontal-relative:page;mso-position-vertical-relative:page;z-index:-846208" coordorigin="8622,8455" coordsize="2078,2028">
            <v:shape style="position:absolute;left:8622;top:8455;width:2078;height:2028" coordorigin="8622,8455" coordsize="2078,2028" path="m8622,10483l10699,10483,10699,8455,8622,8455,8622,10483xe" filled="true" fillcolor="#ffffff" stroked="false">
              <v:path arrowok="t"/>
              <v:fill type="solid"/>
            </v:shape>
            <w10:wrap type="none"/>
          </v:group>
        </w:pict>
      </w:r>
      <w:r>
        <w:rPr/>
        <w:pict>
          <v:group style="position:absolute;margin-left:431.100006pt;margin-top:559.359985pt;width:103.9pt;height:101.4pt;mso-position-horizontal-relative:page;mso-position-vertical-relative:page;z-index:-846184" coordorigin="8622,11187" coordsize="2078,2028">
            <v:shape style="position:absolute;left:8622;top:11187;width:2078;height:2028" coordorigin="8622,11187" coordsize="2078,2028" path="m8622,13215l10699,13215,10699,11187,8622,11187,8622,1321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17"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w:t>
            </w:r>
          </w:p>
        </w:tc>
        <w:tc>
          <w:tcPr>
            <w:tcW w:w="2087" w:type="dxa"/>
            <w:vMerge w:val="restart"/>
            <w:tcBorders>
              <w:top w:val="single" w:sz="4" w:space="0" w:color="000000"/>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长江证券：雷玉</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申银万国：</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吴远怡</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彤源投资：</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杨霞中邮基金：聂</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璐</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华商基金：何奇峰</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天弘基金：田俊维</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长信基金：刘亮</w:t>
            </w:r>
          </w:p>
        </w:tc>
        <w:tc>
          <w:tcPr>
            <w:tcW w:w="2087" w:type="dxa"/>
            <w:vMerge/>
            <w:tcBorders>
              <w:left w:val="single" w:sz="4" w:space="0" w:color="000000"/>
              <w:right w:val="single" w:sz="4" w:space="0" w:color="000000"/>
            </w:tcBorders>
          </w:tcPr>
          <w:p>
            <w:pPr/>
          </w:p>
        </w:tc>
      </w:tr>
      <w:tr>
        <w:trPr>
          <w:trHeight w:val="31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嘉实基金：张昊</w:t>
            </w:r>
          </w:p>
        </w:tc>
        <w:tc>
          <w:tcPr>
            <w:tcW w:w="2087" w:type="dxa"/>
            <w:vMerge/>
            <w:tcBorders>
              <w:left w:val="single" w:sz="4" w:space="0" w:color="000000"/>
              <w:right w:val="single" w:sz="4" w:space="0" w:color="000000"/>
            </w:tcBorders>
          </w:tcPr>
          <w:p>
            <w:pPr/>
          </w:p>
        </w:tc>
      </w:tr>
      <w:tr>
        <w:trPr>
          <w:trHeight w:val="357"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平安证券：叶青</w:t>
            </w:r>
          </w:p>
        </w:tc>
        <w:tc>
          <w:tcPr>
            <w:tcW w:w="2087" w:type="dxa"/>
            <w:vMerge/>
            <w:tcBorders>
              <w:left w:val="single" w:sz="4" w:space="0" w:color="000000"/>
              <w:bottom w:val="single" w:sz="4" w:space="0" w:color="000000"/>
              <w:right w:val="single" w:sz="4" w:space="0" w:color="000000"/>
            </w:tcBorders>
          </w:tcPr>
          <w:p>
            <w:pP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薛缘，国投瑞银基</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金：李研蓉，华夏</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基金：林阳，太平</w:t>
            </w:r>
          </w:p>
        </w:tc>
        <w:tc>
          <w:tcPr>
            <w:tcW w:w="2087"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公司五楼会议室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洋资产：吴晓丹， </w:t>
            </w:r>
            <w:r>
              <w:rPr>
                <w:rFonts w:ascii="宋体" w:hAnsi="宋体" w:cs="宋体" w:eastAsia="宋体" w:hint="default"/>
                <w:spacing w:val="-14"/>
                <w:sz w:val="18"/>
                <w:szCs w:val="18"/>
              </w:rPr>
              <w:t>诺德基金：罗世锋，</w:t>
            </w:r>
            <w:r>
              <w:rPr>
                <w:rFonts w:ascii="宋体" w:hAnsi="宋体" w:cs="宋体" w:eastAsia="宋体" w:hint="default"/>
                <w:sz w:val="18"/>
                <w:szCs w:val="18"/>
              </w:rPr>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316" w:lineRule="auto" w:before="11"/>
              <w:ind w:left="11" w:right="72"/>
              <w:jc w:val="left"/>
              <w:rPr>
                <w:rFonts w:ascii="宋体" w:hAnsi="宋体" w:cs="宋体" w:eastAsia="宋体" w:hint="default"/>
                <w:sz w:val="18"/>
                <w:szCs w:val="18"/>
              </w:rPr>
            </w:pPr>
            <w:r>
              <w:rPr>
                <w:rFonts w:ascii="宋体" w:hAnsi="宋体" w:cs="宋体" w:eastAsia="宋体" w:hint="default"/>
                <w:sz w:val="18"/>
                <w:szCs w:val="18"/>
              </w:rPr>
              <w:t>详见公司披露的投资者活 动记录表</w:t>
            </w:r>
          </w:p>
        </w:tc>
      </w:tr>
      <w:tr>
        <w:trPr>
          <w:trHeight w:val="316"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中国基金：饶</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海宁，华富基金：</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包思遥，申万：季</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新星</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大摩华鑫：徐达，</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永诚财险：</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华富基金：</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王帅，天隼投资：</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陈奇，博时基金：</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唐天、汤舒婷，富</w:t>
            </w:r>
          </w:p>
        </w:tc>
        <w:tc>
          <w:tcPr>
            <w:tcW w:w="20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控股子公司缔顺科 技四楼会议室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敦投资：朱佳，博 道投资：王晓莹， 工行瑞信：林梦，</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详见公司披露的投资者活 动记录表</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海通证券：唐苓，</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光大保德信基金：</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许文星，</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黄馨宜</w:t>
            </w:r>
          </w:p>
        </w:tc>
        <w:tc>
          <w:tcPr>
            <w:tcW w:w="208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02"/>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控股股东及其关联方对上市公司的非经营性占用资金情况" w:id="60"/>
      <w:bookmarkEnd w:id="60"/>
      <w:r>
        <w:rPr>
          <w:b w:val="0"/>
          <w:bCs w:val="0"/>
        </w:rPr>
      </w:r>
      <w:r>
        <w:rPr/>
        <w:t>一、控股股东及其关联方对上市公司的非经营性占用资金情况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资产交易事项" w:id="61"/>
      <w:bookmarkEnd w:id="61"/>
      <w:r>
        <w:rPr>
          <w:b w:val="0"/>
          <w:bCs w:val="0"/>
        </w:rPr>
      </w:r>
      <w:r>
        <w:rPr/>
        <w:t>二、资产交易事项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2"/>
      <w:bookmarkEnd w:id="6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浙江缔顺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34.83%</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5,400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22"/>
              <w:jc w:val="left"/>
              <w:rPr>
                <w:rFonts w:ascii="宋体" w:hAnsi="宋体" w:cs="宋体" w:eastAsia="宋体" w:hint="default"/>
                <w:sz w:val="18"/>
                <w:szCs w:val="18"/>
              </w:rPr>
            </w:pPr>
            <w:r>
              <w:rPr>
                <w:rFonts w:ascii="宋体" w:hAnsi="宋体" w:cs="宋体" w:eastAsia="宋体" w:hint="default"/>
                <w:sz w:val="18"/>
                <w:szCs w:val="18"/>
              </w:rPr>
              <w:t>公司上游 </w:t>
            </w:r>
            <w:r>
              <w:rPr>
                <w:rFonts w:ascii="宋体" w:hAnsi="宋体" w:cs="宋体" w:eastAsia="宋体" w:hint="default"/>
                <w:spacing w:val="-18"/>
                <w:sz w:val="18"/>
                <w:szCs w:val="18"/>
              </w:rPr>
              <w:t>产业，是公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司产业链 上的转型 升级的重 要布局之 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缔顺科技 业绩目标 期限为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2015 </w:t>
            </w:r>
            <w:r>
              <w:rPr>
                <w:rFonts w:ascii="宋体" w:hAnsi="宋体" w:cs="宋体" w:eastAsia="宋体" w:hint="default"/>
                <w:spacing w:val="-13"/>
                <w:sz w:val="18"/>
                <w:szCs w:val="18"/>
              </w:rPr>
              <w:t>年度、</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pacing w:val="-18"/>
                <w:sz w:val="18"/>
                <w:szCs w:val="18"/>
              </w:rPr>
              <w:t>年度，计划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实现净利 润分别为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45"/>
                <w:sz w:val="18"/>
                <w:szCs w:val="18"/>
              </w:rPr>
              <w:t>报》、《中国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证券报》、</w:t>
            </w:r>
          </w:p>
          <w:p>
            <w:pPr>
              <w:pStyle w:val="TableParagraph"/>
              <w:spacing w:line="316"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《上海证 </w:t>
            </w:r>
            <w:r>
              <w:rPr>
                <w:rFonts w:ascii="宋体" w:hAnsi="宋体" w:cs="宋体" w:eastAsia="宋体" w:hint="default"/>
                <w:spacing w:val="-45"/>
                <w:sz w:val="18"/>
                <w:szCs w:val="18"/>
              </w:rPr>
              <w:t>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券日报》及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巨潮资讯 网</w:t>
            </w:r>
          </w:p>
          <w:p>
            <w:pPr>
              <w:pStyle w:val="TableParagraph"/>
              <w:spacing w:line="319"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r>
              <w:rPr>
                <w:rFonts w:ascii="宋体" w:hAnsi="宋体" w:cs="宋体" w:eastAsia="宋体" w:hint="default"/>
                <w:sz w:val="18"/>
                <w:szCs w:val="18"/>
              </w:rPr>
              <w:t>）关于收 购控股子 公司参股 股东股权 的公告。</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杭州星梦 工坊文化 创意有限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51.06%</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公司上游 </w:t>
            </w:r>
            <w:r>
              <w:rPr>
                <w:rFonts w:ascii="宋体" w:hAnsi="宋体" w:cs="宋体" w:eastAsia="宋体" w:hint="default"/>
                <w:spacing w:val="-18"/>
                <w:sz w:val="18"/>
                <w:szCs w:val="18"/>
              </w:rPr>
              <w:t>产业，是公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司产业链 上的转型 升级的重 要布局之 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星梦工坊 业绩目标 期限为 </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p>
          <w:p>
            <w:pPr>
              <w:pStyle w:val="TableParagraph"/>
              <w:spacing w:line="24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2016</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18"/>
                <w:sz w:val="18"/>
                <w:szCs w:val="18"/>
              </w:rPr>
              <w:t>年度，计划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实现的净 利润分别</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45"/>
                <w:sz w:val="18"/>
                <w:szCs w:val="18"/>
              </w:rPr>
              <w:t>报》、《中国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证券报》、</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《上海证 </w:t>
            </w:r>
            <w:r>
              <w:rPr>
                <w:rFonts w:ascii="宋体" w:hAnsi="宋体" w:cs="宋体" w:eastAsia="宋体" w:hint="default"/>
                <w:spacing w:val="-45"/>
                <w:sz w:val="18"/>
                <w:szCs w:val="18"/>
              </w:rPr>
              <w:t>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券日报》及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巨潮资讯 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31.800003pt;margin-top:479.319977pt;width:40.8pt;height:31.2pt;mso-position-horizontal-relative:page;mso-position-vertical-relative:page;z-index:-846160" coordorigin="4636,9586" coordsize="816,624">
            <v:group style="position:absolute;left:4636;top:9586;width:816;height:312" coordorigin="4636,9586" coordsize="816,312">
              <v:shape style="position:absolute;left:4636;top:9586;width:816;height:312" coordorigin="4636,9586" coordsize="816,312" path="m4636,9898l5451,9898,5451,9586,4636,9586,4636,9898xe" filled="true" fillcolor="#ffffff" stroked="false">
                <v:path arrowok="t"/>
                <v:fill type="solid"/>
              </v:shape>
            </v:group>
            <v:group style="position:absolute;left:4636;top:9898;width:816;height:312" coordorigin="4636,9898" coordsize="816,312">
              <v:shape style="position:absolute;left:4636;top:9898;width:816;height:312" coordorigin="4636,9898" coordsize="816,312" path="m4636,10210l5451,10210,5451,9898,4636,9898,4636,1021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611"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r>
              <w:rPr>
                <w:rFonts w:ascii="宋体" w:hAnsi="宋体" w:cs="宋体" w:eastAsia="宋体" w:hint="default"/>
                <w:sz w:val="18"/>
                <w:szCs w:val="18"/>
              </w:rPr>
              <w:t>）关于对 外投资的 公告。</w:t>
            </w:r>
          </w:p>
        </w:tc>
      </w:tr>
      <w:tr>
        <w:trPr>
          <w:trHeight w:val="477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11"/>
              <w:jc w:val="both"/>
              <w:rPr>
                <w:rFonts w:ascii="宋体" w:hAnsi="宋体" w:cs="宋体" w:eastAsia="宋体" w:hint="default"/>
                <w:sz w:val="18"/>
                <w:szCs w:val="18"/>
              </w:rPr>
            </w:pPr>
            <w:r>
              <w:rPr>
                <w:rFonts w:ascii="宋体" w:hAnsi="宋体" w:cs="宋体" w:eastAsia="宋体" w:hint="default"/>
                <w:sz w:val="18"/>
                <w:szCs w:val="18"/>
              </w:rPr>
              <w:t>上海纯真 年代影视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9,800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2"/>
              <w:jc w:val="left"/>
              <w:rPr>
                <w:rFonts w:ascii="宋体" w:hAnsi="宋体" w:cs="宋体" w:eastAsia="宋体" w:hint="default"/>
                <w:sz w:val="18"/>
                <w:szCs w:val="18"/>
              </w:rPr>
            </w:pPr>
            <w:r>
              <w:rPr>
                <w:rFonts w:ascii="宋体" w:hAnsi="宋体" w:cs="宋体" w:eastAsia="宋体" w:hint="default"/>
                <w:sz w:val="18"/>
                <w:szCs w:val="18"/>
              </w:rPr>
              <w:t>公司上游 </w:t>
            </w:r>
            <w:r>
              <w:rPr>
                <w:rFonts w:ascii="宋体" w:hAnsi="宋体" w:cs="宋体" w:eastAsia="宋体" w:hint="default"/>
                <w:spacing w:val="-18"/>
                <w:sz w:val="18"/>
                <w:szCs w:val="18"/>
              </w:rPr>
              <w:t>产业，是公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司产业链 上的转型 升级的重 要布局之 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71"/>
              <w:jc w:val="both"/>
              <w:rPr>
                <w:rFonts w:ascii="宋体" w:hAnsi="宋体" w:cs="宋体" w:eastAsia="宋体" w:hint="default"/>
                <w:sz w:val="18"/>
                <w:szCs w:val="18"/>
              </w:rPr>
            </w:pPr>
            <w:r>
              <w:rPr>
                <w:rFonts w:ascii="宋体" w:hAnsi="宋体" w:cs="宋体" w:eastAsia="宋体" w:hint="default"/>
                <w:sz w:val="18"/>
                <w:szCs w:val="18"/>
              </w:rPr>
              <w:t>上海纯真 年代业绩 目标期限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2017</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18"/>
                <w:sz w:val="18"/>
                <w:szCs w:val="18"/>
              </w:rPr>
              <w:t>年度，计划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实现的净 利润分别 不低于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45"/>
                <w:sz w:val="18"/>
                <w:szCs w:val="18"/>
              </w:rPr>
              <w:t>报》、《中国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证券报》、</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《上海证 </w:t>
            </w:r>
            <w:r>
              <w:rPr>
                <w:rFonts w:ascii="宋体" w:hAnsi="宋体" w:cs="宋体" w:eastAsia="宋体" w:hint="default"/>
                <w:spacing w:val="-45"/>
                <w:sz w:val="18"/>
                <w:szCs w:val="18"/>
              </w:rPr>
              <w:t>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券日报》及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巨潮资讯 网</w:t>
            </w:r>
          </w:p>
          <w:p>
            <w:pPr>
              <w:pStyle w:val="TableParagraph"/>
              <w:spacing w:line="319"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r>
              <w:rPr>
                <w:rFonts w:ascii="宋体" w:hAnsi="宋体" w:cs="宋体" w:eastAsia="宋体" w:hint="default"/>
                <w:sz w:val="18"/>
                <w:szCs w:val="18"/>
              </w:rPr>
              <w:t>）关于使 用部分超 募资金对 外投资的 公告。</w:t>
            </w:r>
          </w:p>
        </w:tc>
      </w:tr>
      <w:tr>
        <w:trPr>
          <w:trHeight w:val="477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11"/>
              <w:jc w:val="both"/>
              <w:rPr>
                <w:rFonts w:ascii="宋体" w:hAnsi="宋体" w:cs="宋体" w:eastAsia="宋体" w:hint="default"/>
                <w:sz w:val="18"/>
                <w:szCs w:val="18"/>
              </w:rPr>
            </w:pPr>
            <w:r>
              <w:rPr>
                <w:rFonts w:ascii="宋体" w:hAnsi="宋体" w:cs="宋体" w:eastAsia="宋体" w:hint="default"/>
                <w:sz w:val="18"/>
                <w:szCs w:val="18"/>
              </w:rPr>
              <w:t>天津酷米 网络科技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40.10%</w:t>
            </w:r>
            <w:r>
              <w:rPr>
                <w:rFonts w:ascii="宋体" w:hAnsi="宋体" w:cs="宋体" w:eastAsia="宋体" w:hint="default"/>
                <w:sz w:val="18"/>
                <w:szCs w:val="18"/>
              </w:rPr>
              <w:t>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50.17%</w:t>
            </w:r>
            <w:r>
              <w:rPr>
                <w:rFonts w:ascii="宋体" w:hAnsi="宋体" w:cs="宋体" w:eastAsia="宋体" w:hint="default"/>
                <w:sz w:val="18"/>
                <w:szCs w:val="18"/>
              </w:rPr>
              <w:t>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决权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4,200</w:t>
            </w:r>
          </w:p>
        </w:tc>
        <w:tc>
          <w:tcPr>
            <w:tcW w:w="87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尚未完成 工商变更 中</w:t>
            </w:r>
          </w:p>
        </w:tc>
        <w:tc>
          <w:tcPr>
            <w:tcW w:w="8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 w:right="22"/>
              <w:jc w:val="both"/>
              <w:rPr>
                <w:rFonts w:ascii="宋体" w:hAnsi="宋体" w:cs="宋体" w:eastAsia="宋体" w:hint="default"/>
                <w:sz w:val="18"/>
                <w:szCs w:val="18"/>
              </w:rPr>
            </w:pPr>
            <w:r>
              <w:rPr>
                <w:rFonts w:ascii="宋体" w:hAnsi="宋体" w:cs="宋体" w:eastAsia="宋体" w:hint="default"/>
                <w:sz w:val="18"/>
                <w:szCs w:val="18"/>
              </w:rPr>
              <w:t>公司平台 运营的重 </w:t>
            </w:r>
            <w:r>
              <w:rPr>
                <w:rFonts w:ascii="宋体" w:hAnsi="宋体" w:cs="宋体" w:eastAsia="宋体" w:hint="default"/>
                <w:spacing w:val="-18"/>
                <w:sz w:val="18"/>
                <w:szCs w:val="18"/>
              </w:rPr>
              <w:t>要布局，对</w:t>
            </w:r>
          </w:p>
          <w:p>
            <w:pPr>
              <w:pStyle w:val="TableParagraph"/>
              <w:spacing w:line="196" w:lineRule="exact" w:before="19"/>
              <w:ind w:left="16" w:right="0"/>
              <w:jc w:val="both"/>
              <w:rPr>
                <w:rFonts w:ascii="宋体" w:hAnsi="宋体" w:cs="宋体" w:eastAsia="宋体" w:hint="default"/>
                <w:sz w:val="18"/>
                <w:szCs w:val="18"/>
              </w:rPr>
            </w:pPr>
            <w:r>
              <w:rPr>
                <w:rFonts w:ascii="宋体" w:hAnsi="宋体" w:cs="宋体" w:eastAsia="宋体" w:hint="default"/>
                <w:sz w:val="18"/>
                <w:szCs w:val="18"/>
              </w:rPr>
              <w:t>于完善公</w:t>
            </w:r>
          </w:p>
          <w:p>
            <w:pPr>
              <w:pStyle w:val="TableParagraph"/>
              <w:spacing w:line="15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both"/>
              <w:rPr>
                <w:rFonts w:ascii="宋体" w:hAnsi="宋体" w:cs="宋体" w:eastAsia="宋体" w:hint="default"/>
                <w:sz w:val="18"/>
                <w:szCs w:val="18"/>
              </w:rPr>
            </w:pPr>
            <w:r>
              <w:rPr>
                <w:rFonts w:ascii="宋体" w:hAnsi="宋体" w:cs="宋体" w:eastAsia="宋体" w:hint="default"/>
                <w:sz w:val="18"/>
                <w:szCs w:val="18"/>
              </w:rPr>
              <w:t>司产业链</w:t>
            </w:r>
          </w:p>
          <w:p>
            <w:pPr>
              <w:pStyle w:val="TableParagraph"/>
              <w:spacing w:line="319" w:lineRule="auto" w:before="76"/>
              <w:ind w:left="16" w:right="117"/>
              <w:jc w:val="both"/>
              <w:rPr>
                <w:rFonts w:ascii="宋体" w:hAnsi="宋体" w:cs="宋体" w:eastAsia="宋体" w:hint="default"/>
                <w:sz w:val="18"/>
                <w:szCs w:val="18"/>
              </w:rPr>
            </w:pPr>
            <w:r>
              <w:rPr>
                <w:rFonts w:ascii="宋体" w:hAnsi="宋体" w:cs="宋体" w:eastAsia="宋体" w:hint="default"/>
                <w:sz w:val="18"/>
                <w:szCs w:val="18"/>
              </w:rPr>
              <w:t>和进行产 业转型升 级都具有 积极的意 义。</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45"/>
                <w:sz w:val="18"/>
                <w:szCs w:val="18"/>
              </w:rPr>
              <w:t>报》、《中国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证券报》、</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《上海证 </w:t>
            </w:r>
            <w:r>
              <w:rPr>
                <w:rFonts w:ascii="宋体" w:hAnsi="宋体" w:cs="宋体" w:eastAsia="宋体" w:hint="default"/>
                <w:spacing w:val="-45"/>
                <w:sz w:val="18"/>
                <w:szCs w:val="18"/>
              </w:rPr>
              <w:t>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券日报》及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巨潮资讯 网</w:t>
            </w:r>
          </w:p>
          <w:p>
            <w:pPr>
              <w:pStyle w:val="TableParagraph"/>
              <w:spacing w:line="319" w:lineRule="auto" w:before="19"/>
              <w:ind w:left="22" w:right="2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info.com.c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）关于使 用部分超 募资金对 外投资的 公告。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63"/>
      <w:bookmarkEnd w:id="6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64"/>
      <w:bookmarkEnd w:id="64"/>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公司报告期未发生企业合并情况。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重大关联交易" w:id="65"/>
      <w:bookmarkEnd w:id="65"/>
      <w:r>
        <w:rPr>
          <w:b w:val="0"/>
          <w:bCs w:val="0"/>
        </w:rPr>
      </w:r>
      <w:r>
        <w:rPr/>
        <w:t>三、重大关联交易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6"/>
      <w:bookmarkEnd w:id="66"/>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67"/>
      <w:bookmarkEnd w:id="67"/>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共同对外投资的关联交易" w:id="68"/>
      <w:bookmarkEnd w:id="68"/>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69"/>
      <w:bookmarkEnd w:id="6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0"/>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36"/>
        <w:gridCol w:w="1118"/>
        <w:gridCol w:w="1120"/>
        <w:gridCol w:w="1118"/>
        <w:gridCol w:w="1120"/>
        <w:gridCol w:w="1119"/>
        <w:gridCol w:w="1120"/>
        <w:gridCol w:w="1118"/>
      </w:tblGrid>
      <w:tr>
        <w:trPr>
          <w:trHeight w:val="102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74" w:right="21"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96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浙江莱盛实业有限公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拆借款系公 司取得莱盛 实业无息借 款</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15,000,000.00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5,485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1,500</w:t>
            </w:r>
          </w:p>
        </w:tc>
      </w:tr>
      <w:tr>
        <w:trPr>
          <w:trHeight w:val="1027"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5"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4" w:right="-24"/>
              <w:jc w:val="left"/>
              <w:rPr>
                <w:rFonts w:ascii="宋体" w:hAnsi="宋体" w:cs="宋体" w:eastAsia="宋体" w:hint="default"/>
                <w:sz w:val="18"/>
                <w:szCs w:val="18"/>
              </w:rPr>
            </w:pPr>
            <w:r>
              <w:rPr>
                <w:rFonts w:ascii="宋体" w:hAnsi="宋体" w:cs="宋体" w:eastAsia="宋体" w:hint="default"/>
                <w:sz w:val="18"/>
                <w:szCs w:val="18"/>
              </w:rPr>
              <w:t>本次财务资助体现了控股股东对控股子公司的支持，有利于提高控股子公司的持续运 营能力，对公司持续经营能力、损益及资产状况无不良影响</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对公司的独立性无影响</w:t>
            </w:r>
            <w:r>
              <w:rPr>
                <w:rFonts w:ascii="Times New Roman" w:hAnsi="Times New Roman" w:cs="Times New Roman" w:eastAsia="Times New Roman" w:hint="default"/>
                <w:sz w:val="18"/>
                <w:szCs w:val="18"/>
              </w:rPr>
              <w:t>, </w:t>
            </w:r>
            <w:r>
              <w:rPr>
                <w:rFonts w:ascii="宋体" w:hAnsi="宋体" w:cs="宋体" w:eastAsia="宋体" w:hint="default"/>
                <w:sz w:val="18"/>
                <w:szCs w:val="18"/>
              </w:rPr>
              <w:t>未损害公司及股东的利益</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公司的主要生产经营业务亦不会因此而对关联方形成依赖。</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关联交易" w:id="70"/>
      <w:bookmarkEnd w:id="70"/>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重大合同及其履行情况" w:id="71"/>
      <w:bookmarkEnd w:id="71"/>
      <w:r>
        <w:rPr>
          <w:b w:val="0"/>
          <w:bCs w:val="0"/>
        </w:rPr>
      </w:r>
      <w:r>
        <w:rPr/>
        <w:t>四、重大合同及其履行情况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担保情况" w:id="72"/>
      <w:bookmarkEnd w:id="72"/>
      <w:r>
        <w:rPr>
          <w:b w:val="0"/>
          <w:bCs w:val="0"/>
        </w:rPr>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其他重大合同" w:id="73"/>
      <w:bookmarkEnd w:id="73"/>
      <w:r>
        <w:rPr>
          <w:b w:val="0"/>
          <w:bCs w:val="0"/>
        </w:rPr>
      </w:r>
      <w:r>
        <w:rPr>
          <w:rFonts w:ascii="Times New Roman" w:hAnsi="Times New Roman" w:cs="Times New Roman" w:eastAsia="Times New Roman" w:hint="default"/>
        </w:rPr>
        <w:t>2</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其他重大交易" w:id="74"/>
      <w:bookmarkEnd w:id="74"/>
      <w:r>
        <w:rPr>
          <w:b w:val="0"/>
          <w:bCs w:val="0"/>
        </w:rPr>
      </w:r>
      <w:r>
        <w:rPr>
          <w:rFonts w:ascii="Times New Roman" w:hAnsi="Times New Roman" w:cs="Times New Roman" w:eastAsia="Times New Roman" w:hint="default"/>
        </w:rPr>
        <w:t>3</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承诺事项履行情况" w:id="75"/>
      <w:bookmarkEnd w:id="75"/>
      <w:r>
        <w:rPr>
          <w:b w:val="0"/>
          <w:bCs w:val="0"/>
        </w:rPr>
      </w:r>
      <w:r>
        <w:rPr/>
        <w:t>五、承诺事项履行情况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76"/>
      <w:bookmarkEnd w:id="76"/>
      <w:r>
        <w:rPr>
          <w:b w:val="0"/>
          <w:bCs w:val="0"/>
        </w:rPr>
      </w:r>
      <w:r>
        <w:rPr>
          <w:rFonts w:ascii="Times New Roman" w:hAnsi="Times New Roman" w:cs="Times New Roman" w:eastAsia="Times New Roman" w:hint="default"/>
        </w:rPr>
        <w:t>1</w:t>
      </w:r>
      <w:r>
        <w:rPr/>
        <w:t>、公司或持股</w:t>
      </w:r>
      <w:r>
        <w:rPr>
          <w:spacing w:val="-61"/>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3"/>
        <w:gridCol w:w="1276"/>
        <w:gridCol w:w="1276"/>
        <w:gridCol w:w="1276"/>
        <w:gridCol w:w="1277"/>
        <w:gridCol w:w="126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214"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6" w:right="-24"/>
              <w:jc w:val="both"/>
              <w:rPr>
                <w:rFonts w:ascii="宋体" w:hAnsi="宋体" w:cs="宋体" w:eastAsia="宋体" w:hint="default"/>
                <w:sz w:val="18"/>
                <w:szCs w:val="18"/>
              </w:rPr>
            </w:pPr>
            <w:r>
              <w:rPr>
                <w:rFonts w:ascii="宋体" w:hAnsi="宋体" w:cs="宋体" w:eastAsia="宋体" w:hint="default"/>
                <w:spacing w:val="-6"/>
                <w:sz w:val="18"/>
                <w:szCs w:val="18"/>
              </w:rPr>
              <w:t>莱盛实业、宏盛</w:t>
            </w:r>
            <w:r>
              <w:rPr>
                <w:rFonts w:ascii="宋体" w:hAnsi="宋体" w:cs="宋体" w:eastAsia="宋体" w:hint="default"/>
                <w:sz w:val="18"/>
                <w:szCs w:val="18"/>
              </w:rPr>
              <w:t> 投资、赵小强、 石炜萍</w:t>
            </w:r>
          </w:p>
        </w:tc>
        <w:tc>
          <w:tcPr>
            <w:tcW w:w="1276" w:type="dxa"/>
            <w:vMerge w:val="restart"/>
            <w:tcBorders>
              <w:top w:val="single" w:sz="4" w:space="0" w:color="000000"/>
              <w:left w:val="single" w:sz="9" w:space="0" w:color="FFFFFF"/>
              <w:right w:val="single" w:sz="4" w:space="0" w:color="000000"/>
            </w:tcBorders>
          </w:tcPr>
          <w:p>
            <w:pPr>
              <w:pStyle w:val="TableParagraph"/>
              <w:spacing w:line="316" w:lineRule="auto" w:before="51"/>
              <w:ind w:left="16" w:right="-17"/>
              <w:jc w:val="left"/>
              <w:rPr>
                <w:rFonts w:ascii="宋体" w:hAnsi="宋体" w:cs="宋体" w:eastAsia="宋体" w:hint="default"/>
                <w:sz w:val="18"/>
                <w:szCs w:val="18"/>
              </w:rPr>
            </w:pPr>
            <w:r>
              <w:rPr>
                <w:rFonts w:ascii="宋体" w:hAnsi="宋体" w:cs="宋体" w:eastAsia="宋体" w:hint="default"/>
                <w:sz w:val="18"/>
                <w:szCs w:val="18"/>
              </w:rPr>
              <w:t>自公司股票在 证券交易所上 市交易之日起 三十六个月内， 不转让或者委 托他人管理其 直接或间接持 有的公司股份， 也不由公司收 购该部分股份。</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92"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9" w:space="0" w:color="FFFFFF"/>
            </w:tcBorders>
          </w:tcPr>
          <w:p>
            <w:pPr/>
          </w:p>
        </w:tc>
        <w:tc>
          <w:tcPr>
            <w:tcW w:w="1276" w:type="dxa"/>
            <w:vMerge/>
            <w:tcBorders>
              <w:left w:val="single" w:sz="9" w:space="0" w:color="FFFFFF"/>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604" w:hRule="exact"/>
        </w:trPr>
        <w:tc>
          <w:tcPr>
            <w:tcW w:w="3193"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9" w:space="0" w:color="FFFFFF"/>
            </w:tcBorders>
          </w:tcPr>
          <w:p>
            <w:pPr/>
          </w:p>
        </w:tc>
        <w:tc>
          <w:tcPr>
            <w:tcW w:w="1276" w:type="dxa"/>
            <w:vMerge/>
            <w:tcBorders>
              <w:left w:val="single" w:sz="9" w:space="0" w:color="FFFFFF"/>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611" w:hRule="exact"/>
        </w:trPr>
        <w:tc>
          <w:tcPr>
            <w:tcW w:w="319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6"/>
                <w:sz w:val="18"/>
                <w:szCs w:val="18"/>
              </w:rPr>
              <w:t>赵小强、石炜萍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上述锁定期满 </w:t>
            </w:r>
            <w:r>
              <w:rPr>
                <w:rFonts w:ascii="宋体" w:hAnsi="宋体" w:cs="宋体" w:eastAsia="宋体" w:hint="default"/>
                <w:spacing w:val="-6"/>
                <w:sz w:val="18"/>
                <w:szCs w:val="18"/>
              </w:rPr>
              <w:t>后，若本人仍担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任公司董事或 监事或高级管 </w:t>
            </w:r>
            <w:r>
              <w:rPr>
                <w:rFonts w:ascii="宋体" w:hAnsi="宋体" w:cs="宋体" w:eastAsia="宋体" w:hint="default"/>
                <w:spacing w:val="-6"/>
                <w:sz w:val="18"/>
                <w:szCs w:val="18"/>
              </w:rPr>
              <w:t>理人员，在任职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66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期间本人每年 转让股份不超 过直接或间接 所持公司股票 总数的百分之 </w:t>
            </w:r>
            <w:r>
              <w:rPr>
                <w:rFonts w:ascii="宋体" w:hAnsi="宋体" w:cs="宋体" w:eastAsia="宋体" w:hint="default"/>
                <w:spacing w:val="-6"/>
                <w:sz w:val="18"/>
                <w:szCs w:val="18"/>
              </w:rPr>
              <w:t>二十五。本人离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任后六个月内， 不转让直接或 间接所持公司 </w:t>
            </w:r>
            <w:r>
              <w:rPr>
                <w:rFonts w:ascii="宋体" w:hAnsi="宋体" w:cs="宋体" w:eastAsia="宋体" w:hint="default"/>
                <w:spacing w:val="-6"/>
                <w:sz w:val="18"/>
                <w:szCs w:val="18"/>
              </w:rPr>
              <w:t>的任何股份。本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人在申报离任 六个月后的十 二个月内通过 证券交易所挂 牌交易出售公 司股票数量占 其所直接或间 接持有公司股 票总数的比例 不得超过百分 之五十。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77"/>
      <w:bookmarkEnd w:id="7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聘任、解聘会计师事务所情况" w:id="78"/>
      <w:bookmarkEnd w:id="78"/>
      <w:r>
        <w:rPr>
          <w:b w:val="0"/>
          <w:bCs w:val="0"/>
        </w:rPr>
      </w:r>
      <w:r>
        <w:rPr/>
        <w:t>六、聘任、解聘会计师事务所情况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吕苏阳、周小民</w:t>
            </w:r>
          </w:p>
        </w:tc>
      </w:tr>
    </w:tbl>
    <w:p>
      <w:pPr>
        <w:pStyle w:val="BodyText"/>
        <w:spacing w:line="240" w:lineRule="auto" w:before="51"/>
        <w:ind w:right="0"/>
        <w:jc w:val="left"/>
      </w:pPr>
      <w:r>
        <w:rPr/>
        <w:t>当期是否改聘会计师事务所</w:t>
      </w:r>
    </w:p>
    <w:p>
      <w:pPr>
        <w:pStyle w:val="BodyText"/>
        <w:spacing w:line="340" w:lineRule="auto" w:before="116"/>
        <w:ind w:left="15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独立董事（如适用）对会计师事务所本报告期“非标准审计报告”的说明" w:id="79"/>
      <w:bookmarkEnd w:id="79"/>
      <w:r>
        <w:rPr>
          <w:b w:val="0"/>
          <w:bCs w:val="0"/>
        </w:rPr>
      </w:r>
      <w:r>
        <w:rPr/>
        <w:t>七、监事会、独立董事（如适用）对会计师事务所本报告期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处罚及整改情况" w:id="80"/>
      <w:bookmarkEnd w:id="80"/>
      <w:r>
        <w:rPr>
          <w:b w:val="0"/>
          <w:bCs w:val="0"/>
        </w:rPr>
      </w:r>
      <w:r>
        <w:rPr/>
        <w:t>八、处罚及整改情况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年度报告披露后面临暂停上市和终止上市情况" w:id="81"/>
      <w:bookmarkEnd w:id="8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其他重大事项的说明" w:id="82"/>
      <w:bookmarkEnd w:id="82"/>
      <w:r>
        <w:rPr>
          <w:b w:val="0"/>
          <w:bCs w:val="0"/>
        </w:rPr>
      </w:r>
      <w:r>
        <w:rPr/>
        <w:t>十、其他重大事项的说明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3" w:right="1129" w:firstLine="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非公开发行股票 </w:t>
      </w:r>
      <w:r>
        <w:rPr>
          <w:spacing w:val="-3"/>
        </w:rPr>
        <w:t>根据公司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14</w:t>
      </w:r>
      <w:r>
        <w:rPr>
          <w:spacing w:val="-3"/>
        </w:rPr>
        <w:t>日召开的第二届董事会第十五次会议决议，本公司拟非公开发行股票</w:t>
      </w:r>
      <w:r>
        <w:rPr>
          <w:rFonts w:ascii="Times New Roman" w:hAnsi="Times New Roman" w:cs="Times New Roman" w:eastAsia="Times New Roman" w:hint="default"/>
          <w:spacing w:val="-3"/>
        </w:rPr>
        <w:t>1,730</w:t>
      </w:r>
      <w:r>
        <w:rPr>
          <w:spacing w:val="-3"/>
        </w:rPr>
        <w:t>万股，发行价格为</w:t>
      </w:r>
      <w:r>
        <w:rPr>
          <w:rFonts w:ascii="Times New Roman" w:hAnsi="Times New Roman" w:cs="Times New Roman" w:eastAsia="Times New Roman" w:hint="default"/>
          <w:spacing w:val="-3"/>
        </w:rPr>
        <w:t>21.29</w:t>
      </w:r>
    </w:p>
    <w:p>
      <w:pPr>
        <w:pStyle w:val="BodyText"/>
        <w:spacing w:line="300" w:lineRule="auto" w:before="13"/>
        <w:ind w:right="0"/>
        <w:jc w:val="left"/>
      </w:pPr>
      <w:r>
        <w:rPr/>
        <w:t>元</w:t>
      </w:r>
      <w:r>
        <w:rPr>
          <w:rFonts w:ascii="Times New Roman" w:hAnsi="Times New Roman" w:cs="Times New Roman" w:eastAsia="Times New Roman" w:hint="default"/>
        </w:rPr>
        <w:t>/</w:t>
      </w:r>
      <w:r>
        <w:rPr/>
        <w:t>股，募集资金不超过</w:t>
      </w:r>
      <w:r>
        <w:rPr>
          <w:rFonts w:ascii="Times New Roman" w:hAnsi="Times New Roman" w:cs="Times New Roman" w:eastAsia="Times New Roman" w:hint="default"/>
        </w:rPr>
        <w:t>36,831.70</w:t>
      </w:r>
      <w:r>
        <w:rPr/>
        <w:t>万元人民币，在扣除相关发行费用后，将全部用于补充公司流动资金。本次非公开发行的</w:t>
      </w:r>
      <w:r>
        <w:rPr>
          <w:spacing w:val="-51"/>
        </w:rPr>
        <w:t> </w:t>
      </w:r>
      <w:r>
        <w:rPr>
          <w:spacing w:val="-51"/>
        </w:rPr>
      </w:r>
      <w:r>
        <w:rPr/>
        <w:t>发行对象为赵小强、郭瑞、杭州比因美特卡通影视有限公司。</w:t>
      </w:r>
    </w:p>
    <w:p>
      <w:pPr>
        <w:pStyle w:val="BodyText"/>
        <w:spacing w:line="240" w:lineRule="auto" w:before="31"/>
        <w:ind w:left="514" w:right="0"/>
        <w:jc w:val="left"/>
      </w:pPr>
      <w:r>
        <w:rPr/>
        <w:t>发行对象均与上市公司签订了附条件生效的《股份认购协议》，发行对象具体为：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024"/>
        <w:gridCol w:w="3338"/>
        <w:gridCol w:w="2126"/>
        <w:gridCol w:w="1851"/>
      </w:tblGrid>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5"/>
              <w:jc w:val="right"/>
              <w:rPr>
                <w:rFonts w:ascii="宋体" w:hAnsi="宋体" w:cs="宋体" w:eastAsia="宋体" w:hint="default"/>
                <w:sz w:val="18"/>
                <w:szCs w:val="18"/>
              </w:rPr>
            </w:pPr>
            <w:r>
              <w:rPr>
                <w:rFonts w:ascii="宋体" w:hAnsi="宋体" w:cs="宋体" w:eastAsia="宋体" w:hint="default"/>
                <w:sz w:val="18"/>
                <w:szCs w:val="18"/>
              </w:rPr>
              <w:t>序号</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发行对象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拟认购股数（股）</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认购比例（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9"/>
              <w:jc w:val="right"/>
              <w:rPr>
                <w:rFonts w:ascii="Times New Roman" w:hAnsi="Times New Roman" w:cs="Times New Roman" w:eastAsia="Times New Roman" w:hint="default"/>
                <w:sz w:val="18"/>
                <w:szCs w:val="18"/>
              </w:rPr>
            </w:pPr>
            <w:r>
              <w:rPr>
                <w:rFonts w:ascii="Times New Roman"/>
                <w:sz w:val="18"/>
              </w:rPr>
              <w:t>1</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赵小强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68.20</w:t>
            </w:r>
          </w:p>
        </w:tc>
      </w:tr>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9"/>
              <w:jc w:val="right"/>
              <w:rPr>
                <w:rFonts w:ascii="Times New Roman" w:hAnsi="Times New Roman" w:cs="Times New Roman" w:eastAsia="Times New Roman" w:hint="default"/>
                <w:sz w:val="18"/>
                <w:szCs w:val="18"/>
              </w:rPr>
            </w:pPr>
            <w:r>
              <w:rPr>
                <w:rFonts w:ascii="Times New Roman"/>
                <w:sz w:val="18"/>
              </w:rPr>
              <w:t>2</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郭瑞</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5.80</w:t>
            </w:r>
          </w:p>
        </w:tc>
      </w:tr>
      <w:tr>
        <w:trPr>
          <w:trHeight w:val="348"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9"/>
              <w:jc w:val="right"/>
              <w:rPr>
                <w:rFonts w:ascii="Times New Roman" w:hAnsi="Times New Roman" w:cs="Times New Roman" w:eastAsia="Times New Roman" w:hint="default"/>
                <w:sz w:val="18"/>
                <w:szCs w:val="18"/>
              </w:rPr>
            </w:pPr>
            <w:r>
              <w:rPr>
                <w:rFonts w:ascii="Times New Roman"/>
                <w:sz w:val="18"/>
              </w:rPr>
              <w:t>3</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杭州比因美特卡通影视有限公司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26.00</w:t>
            </w:r>
          </w:p>
        </w:tc>
      </w:tr>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17,300,000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513" w:right="1303"/>
        <w:jc w:val="left"/>
      </w:pPr>
      <w:r>
        <w:rPr/>
        <w:t>本次非公开发行全部认购对象认购的股票自发行结束之日起</w:t>
      </w:r>
      <w:r>
        <w:rPr>
          <w:rFonts w:ascii="Times New Roman" w:hAnsi="Times New Roman" w:cs="Times New Roman" w:eastAsia="Times New Roman" w:hint="default"/>
        </w:rPr>
        <w:t>36</w:t>
      </w:r>
      <w:r>
        <w:rPr/>
        <w:t>个月内不得转让。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日召开</w:t>
      </w:r>
      <w:r>
        <w:rPr>
          <w:rFonts w:ascii="Times New Roman" w:hAnsi="Times New Roman" w:cs="Times New Roman" w:eastAsia="Times New Roman" w:hint="default"/>
        </w:rPr>
        <w:t>2014</w:t>
      </w:r>
      <w:r>
        <w:rPr/>
        <w:t>年第二次临时股东大会，会议决议通过本次非公开发行股票并补充流动资金的议案。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业绩承诺补偿</w:t>
      </w:r>
    </w:p>
    <w:p>
      <w:pPr>
        <w:pStyle w:val="BodyText"/>
        <w:spacing w:line="300" w:lineRule="auto" w:before="13"/>
        <w:ind w:left="153" w:right="1130"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月，公司出资</w:t>
      </w:r>
      <w:r>
        <w:rPr>
          <w:rFonts w:ascii="Times New Roman" w:hAnsi="Times New Roman" w:cs="Times New Roman" w:eastAsia="Times New Roman" w:hint="default"/>
        </w:rPr>
        <w:t>1,530</w:t>
      </w:r>
      <w:r>
        <w:rPr/>
        <w:t>万元向星梦工坊公司增资，该次增资完成后公司持有星梦工坊公司</w:t>
      </w:r>
      <w:r>
        <w:rPr>
          <w:rFonts w:ascii="Times New Roman" w:hAnsi="Times New Roman" w:cs="Times New Roman" w:eastAsia="Times New Roman" w:hint="default"/>
        </w:rPr>
        <w:t>51.06%</w:t>
      </w:r>
      <w:r>
        <w:rPr/>
        <w:t>的股权。星梦</w:t>
      </w:r>
      <w:r>
        <w:rPr>
          <w:w w:val="99"/>
        </w:rPr>
        <w:t> </w:t>
      </w:r>
      <w:r>
        <w:rPr>
          <w:spacing w:val="-2"/>
        </w:rPr>
        <w:t>工坊公司原股东针对该笔投资向本公司承诺，星梦工坊公司经审计的</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2015</w:t>
      </w:r>
      <w:r>
        <w:rPr>
          <w:spacing w:val="-2"/>
        </w:rPr>
        <w:t>年度归属于母公司所有者的净利润若达不到</w:t>
      </w:r>
      <w:r>
        <w:rPr>
          <w:spacing w:val="-57"/>
        </w:rPr>
        <w:t> </w:t>
      </w:r>
      <w:r>
        <w:rPr>
          <w:spacing w:val="-2"/>
        </w:rPr>
        <w:t>承诺的业绩，不足部分在每年度审计报告出具后</w:t>
      </w:r>
      <w:r>
        <w:rPr>
          <w:rFonts w:ascii="Times New Roman" w:hAnsi="Times New Roman" w:cs="Times New Roman" w:eastAsia="Times New Roman" w:hint="default"/>
          <w:spacing w:val="-2"/>
        </w:rPr>
        <w:t>10</w:t>
      </w:r>
      <w:r>
        <w:rPr>
          <w:spacing w:val="-2"/>
        </w:rPr>
        <w:t>日内，由星梦工坊公司原股东按照股权比例向美盛文化创意股份有限公司</w:t>
      </w:r>
      <w:r>
        <w:rPr>
          <w:spacing w:val="-63"/>
        </w:rPr>
        <w:t> </w:t>
      </w:r>
      <w:r>
        <w:rPr>
          <w:spacing w:val="-63"/>
        </w:rPr>
      </w:r>
      <w:r>
        <w:rPr>
          <w:spacing w:val="-2"/>
        </w:rPr>
        <w:t>以现金补足；星梦工坊公司经审计的</w:t>
      </w:r>
      <w:r>
        <w:rPr>
          <w:rFonts w:ascii="Times New Roman" w:hAnsi="Times New Roman" w:cs="Times New Roman" w:eastAsia="Times New Roman" w:hint="default"/>
          <w:spacing w:val="-2"/>
        </w:rPr>
        <w:t>2016</w:t>
      </w:r>
      <w:r>
        <w:rPr>
          <w:spacing w:val="-2"/>
        </w:rPr>
        <w:t>年度归属于母公司所有者的净利润若达不到承诺的业绩，不足部分在每年度审计报</w:t>
      </w:r>
      <w:r>
        <w:rPr>
          <w:spacing w:val="-61"/>
        </w:rPr>
        <w:t> </w:t>
      </w:r>
      <w:r>
        <w:rPr>
          <w:spacing w:val="-61"/>
        </w:rPr>
      </w:r>
      <w:r>
        <w:rPr/>
        <w:t>告出具后</w:t>
      </w:r>
      <w:r>
        <w:rPr>
          <w:rFonts w:ascii="Times New Roman" w:hAnsi="Times New Roman" w:cs="Times New Roman" w:eastAsia="Times New Roman" w:hint="default"/>
        </w:rPr>
        <w:t>10</w:t>
      </w:r>
      <w:r>
        <w:rPr/>
        <w:t>日内，由黄勤向美盛文化创意股份有限公司以现金补足。星梦工坊公司原股东所作的业绩承诺如下：</w:t>
      </w:r>
    </w:p>
    <w:p>
      <w:pPr>
        <w:pStyle w:val="BodyText"/>
        <w:spacing w:line="240" w:lineRule="auto" w:before="1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27"/>
        <w:gridCol w:w="1844"/>
        <w:gridCol w:w="1702"/>
        <w:gridCol w:w="1701"/>
      </w:tblGrid>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400.00</w:t>
            </w:r>
          </w:p>
        </w:tc>
      </w:tr>
    </w:tbl>
    <w:p>
      <w:pPr>
        <w:pStyle w:val="BodyText"/>
        <w:spacing w:line="300" w:lineRule="auto" w:before="10"/>
        <w:ind w:left="153"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月，公司出资</w:t>
      </w:r>
      <w:r>
        <w:rPr>
          <w:rFonts w:ascii="Times New Roman" w:hAnsi="Times New Roman" w:cs="Times New Roman" w:eastAsia="Times New Roman" w:hint="default"/>
          <w:spacing w:val="-2"/>
        </w:rPr>
        <w:t>9,800</w:t>
      </w:r>
      <w:r>
        <w:rPr>
          <w:spacing w:val="-2"/>
        </w:rPr>
        <w:t>万元向纯真年代公司增资，该次增资完成后公司持有纯真年代公司</w:t>
      </w:r>
      <w:r>
        <w:rPr>
          <w:rFonts w:ascii="Times New Roman" w:hAnsi="Times New Roman" w:cs="Times New Roman" w:eastAsia="Times New Roman" w:hint="default"/>
          <w:spacing w:val="-2"/>
        </w:rPr>
        <w:t>70%</w:t>
      </w:r>
      <w:r>
        <w:rPr>
          <w:spacing w:val="-2"/>
        </w:rPr>
        <w:t>的股权。纯真年代</w:t>
      </w:r>
      <w:r>
        <w:rPr>
          <w:w w:val="99"/>
        </w:rPr>
        <w:t> </w:t>
      </w:r>
      <w:r>
        <w:rPr/>
        <w:t>公司原股东向本公司承诺，纯真年代公司</w:t>
      </w:r>
      <w:r>
        <w:rPr>
          <w:rFonts w:ascii="Times New Roman" w:hAnsi="Times New Roman" w:cs="Times New Roman" w:eastAsia="Times New Roman" w:hint="default"/>
        </w:rPr>
        <w:t>2014-2017</w:t>
      </w:r>
      <w:r>
        <w:rPr/>
        <w:t>年度经审计的净利润若达不到承诺的业绩，不足部分在每年度审计报告</w:t>
      </w:r>
      <w:r>
        <w:rPr>
          <w:spacing w:val="-56"/>
        </w:rPr>
        <w:t> </w:t>
      </w:r>
      <w:r>
        <w:rPr>
          <w:spacing w:val="-56"/>
        </w:rPr>
      </w:r>
      <w:r>
        <w:rPr>
          <w:spacing w:val="-2"/>
        </w:rPr>
        <w:t>出具后</w:t>
      </w:r>
      <w:r>
        <w:rPr>
          <w:rFonts w:ascii="Times New Roman" w:hAnsi="Times New Roman" w:cs="Times New Roman" w:eastAsia="Times New Roman" w:hint="default"/>
          <w:spacing w:val="-2"/>
        </w:rPr>
        <w:t>10</w:t>
      </w:r>
      <w:r>
        <w:rPr>
          <w:spacing w:val="-2"/>
        </w:rPr>
        <w:t>日内，由纯真年代公司原股东按照股权比例向美盛文化创意股份有限公司以现金补足。纯真年代公司原股东所作的</w:t>
      </w:r>
      <w:r>
        <w:rPr>
          <w:spacing w:val="-63"/>
        </w:rPr>
        <w:t> </w:t>
      </w:r>
      <w:r>
        <w:rPr>
          <w:spacing w:val="-63"/>
        </w:rPr>
      </w:r>
      <w:r>
        <w:rPr/>
        <w:t>业绩承诺如下：</w:t>
      </w:r>
    </w:p>
    <w:p>
      <w:pPr>
        <w:pStyle w:val="BodyText"/>
        <w:spacing w:line="240" w:lineRule="auto" w:before="31"/>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5"/>
        <w:gridCol w:w="1529"/>
        <w:gridCol w:w="1274"/>
        <w:gridCol w:w="1276"/>
        <w:gridCol w:w="1418"/>
      </w:tblGrid>
      <w:tr>
        <w:trPr>
          <w:trHeight w:val="34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75"/>
        <w:gridCol w:w="1529"/>
        <w:gridCol w:w="1274"/>
        <w:gridCol w:w="1276"/>
        <w:gridCol w:w="1418"/>
      </w:tblGrid>
      <w:tr>
        <w:trPr>
          <w:trHeight w:val="34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1" w:right="0"/>
              <w:jc w:val="left"/>
              <w:rPr>
                <w:rFonts w:ascii="Times New Roman" w:hAnsi="Times New Roman" w:cs="Times New Roman" w:eastAsia="Times New Roman" w:hint="default"/>
                <w:sz w:val="18"/>
                <w:szCs w:val="18"/>
              </w:rPr>
            </w:pPr>
            <w:r>
              <w:rPr>
                <w:rFonts w:ascii="Times New Roman"/>
                <w:sz w:val="18"/>
              </w:rPr>
              <w:t>1,500.00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7" w:right="0"/>
              <w:jc w:val="left"/>
              <w:rPr>
                <w:rFonts w:ascii="Times New Roman" w:hAnsi="Times New Roman" w:cs="Times New Roman" w:eastAsia="Times New Roman" w:hint="default"/>
                <w:sz w:val="18"/>
                <w:szCs w:val="18"/>
              </w:rPr>
            </w:pPr>
            <w:r>
              <w:rPr>
                <w:rFonts w:ascii="Times New Roman"/>
                <w:sz w:val="18"/>
              </w:rPr>
              <w:t>2,500.00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8" w:right="0"/>
              <w:jc w:val="left"/>
              <w:rPr>
                <w:rFonts w:ascii="Times New Roman" w:hAnsi="Times New Roman" w:cs="Times New Roman" w:eastAsia="Times New Roman" w:hint="default"/>
                <w:sz w:val="18"/>
                <w:szCs w:val="18"/>
              </w:rPr>
            </w:pPr>
            <w:r>
              <w:rPr>
                <w:rFonts w:ascii="Times New Roman"/>
                <w:sz w:val="18"/>
              </w:rPr>
              <w:t>3,000.00</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771" w:right="0"/>
              <w:jc w:val="left"/>
              <w:rPr>
                <w:rFonts w:ascii="Times New Roman" w:hAnsi="Times New Roman" w:cs="Times New Roman" w:eastAsia="Times New Roman" w:hint="default"/>
                <w:sz w:val="18"/>
                <w:szCs w:val="18"/>
              </w:rPr>
            </w:pPr>
            <w:r>
              <w:rPr>
                <w:rFonts w:ascii="Times New Roman"/>
                <w:sz w:val="18"/>
              </w:rPr>
              <w:t>4,000.00</w:t>
            </w:r>
          </w:p>
        </w:tc>
      </w:tr>
    </w:tbl>
    <w:p>
      <w:pPr>
        <w:pStyle w:val="BodyText"/>
        <w:spacing w:line="240" w:lineRule="auto" w:before="10"/>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纯真年代公司、星梦工坊公司承诺的</w:t>
      </w:r>
      <w:r>
        <w:rPr>
          <w:rFonts w:ascii="Times New Roman" w:hAnsi="Times New Roman" w:cs="Times New Roman" w:eastAsia="Times New Roman" w:hint="default"/>
        </w:rPr>
        <w:t>2014</w:t>
      </w:r>
      <w:r>
        <w:rPr/>
        <w:t>年度业绩及实现情况如下：</w:t>
      </w:r>
    </w:p>
    <w:p>
      <w:pPr>
        <w:pStyle w:val="BodyText"/>
        <w:spacing w:line="240" w:lineRule="auto" w:before="6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18"/>
        <w:gridCol w:w="2127"/>
        <w:gridCol w:w="1985"/>
        <w:gridCol w:w="1844"/>
      </w:tblGrid>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5"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5" w:right="0"/>
              <w:jc w:val="left"/>
              <w:rPr>
                <w:rFonts w:ascii="宋体" w:hAnsi="宋体" w:cs="宋体" w:eastAsia="宋体" w:hint="default"/>
                <w:sz w:val="18"/>
                <w:szCs w:val="18"/>
              </w:rPr>
            </w:pPr>
            <w:r>
              <w:rPr>
                <w:rFonts w:ascii="宋体" w:hAnsi="宋体" w:cs="宋体" w:eastAsia="宋体" w:hint="default"/>
                <w:sz w:val="18"/>
                <w:szCs w:val="18"/>
              </w:rPr>
              <w:t>实现业绩</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应补偿金额</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-30.65</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1,530.65</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-281.11</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481.11</w:t>
            </w:r>
          </w:p>
        </w:tc>
      </w:tr>
    </w:tbl>
    <w:p>
      <w:pPr>
        <w:pStyle w:val="BodyText"/>
        <w:spacing w:line="300" w:lineRule="auto" w:before="10"/>
        <w:ind w:left="153" w:right="1131" w:firstLine="360"/>
        <w:jc w:val="both"/>
      </w:pPr>
      <w:r>
        <w:rPr>
          <w:spacing w:val="-2"/>
        </w:rPr>
        <w:t>业绩承诺补偿金额合计</w:t>
      </w:r>
      <w:r>
        <w:rPr>
          <w:rFonts w:ascii="Times New Roman" w:hAnsi="Times New Roman" w:cs="Times New Roman" w:eastAsia="Times New Roman" w:hint="default"/>
          <w:spacing w:val="-2"/>
        </w:rPr>
        <w:t>2,011.76</w:t>
      </w:r>
      <w:r>
        <w:rPr>
          <w:spacing w:val="-2"/>
        </w:rPr>
        <w:t>万元。</w:t>
      </w:r>
      <w:r>
        <w:rPr>
          <w:rFonts w:ascii="Times New Roman" w:hAnsi="Times New Roman" w:cs="Times New Roman" w:eastAsia="Times New Roman" w:hint="default"/>
          <w:spacing w:val="-2"/>
        </w:rPr>
        <w:t>2014</w:t>
      </w:r>
      <w:r>
        <w:rPr>
          <w:spacing w:val="-2"/>
        </w:rPr>
        <w:t>年期末，公司确认公允价值变动收益</w:t>
      </w:r>
      <w:r>
        <w:rPr>
          <w:rFonts w:ascii="Times New Roman" w:hAnsi="Times New Roman" w:cs="Times New Roman" w:eastAsia="Times New Roman" w:hint="default"/>
          <w:spacing w:val="-2"/>
        </w:rPr>
        <w:t>2,011.76</w:t>
      </w:r>
      <w:r>
        <w:rPr>
          <w:spacing w:val="-2"/>
        </w:rPr>
        <w:t>万元，确认以公允价值计量且其</w:t>
      </w:r>
      <w:r>
        <w:rPr/>
        <w:t> 变动计入当期损益的金融资产</w:t>
      </w:r>
      <w:r>
        <w:rPr>
          <w:rFonts w:ascii="Times New Roman" w:hAnsi="Times New Roman" w:cs="Times New Roman" w:eastAsia="Times New Roman" w:hint="default"/>
        </w:rPr>
        <w:t>2,011.76</w:t>
      </w:r>
      <w:r>
        <w:rPr/>
        <w:t>万元。公司于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日收到纯真年代公司、星梦工坊公司原股东补偿款</w:t>
      </w:r>
      <w:r>
        <w:rPr>
          <w:rFonts w:ascii="Times New Roman" w:hAnsi="Times New Roman" w:cs="Times New Roman" w:eastAsia="Times New Roman" w:hint="default"/>
        </w:rPr>
        <w:t>2,011.76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万元。</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十一、公司子公司重要事项" w:id="83"/>
      <w:bookmarkEnd w:id="83"/>
      <w:r>
        <w:rPr>
          <w:b w:val="0"/>
          <w:bCs w:val="0"/>
        </w:rPr>
      </w:r>
      <w:r>
        <w:rPr/>
        <w:t>十一、公司子公司重要事项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pStyle w:val="BodyText"/>
        <w:spacing w:line="300" w:lineRule="auto" w:before="115"/>
        <w:ind w:left="153" w:right="1132" w:firstLine="290"/>
        <w:jc w:val="left"/>
      </w:pPr>
      <w:r>
        <w:rPr>
          <w:spacing w:val="-1"/>
        </w:rPr>
        <w:t>根据公司全资子公司香港美盛公司与</w:t>
      </w:r>
      <w:r>
        <w:rPr>
          <w:rFonts w:ascii="Times New Roman" w:hAnsi="Times New Roman" w:cs="Times New Roman" w:eastAsia="Times New Roman" w:hint="default"/>
          <w:spacing w:val="-1"/>
        </w:rPr>
        <w:t>S.B.</w:t>
      </w:r>
      <w:r>
        <w:rPr>
          <w:rFonts w:ascii="Times New Roman" w:hAnsi="Times New Roman" w:cs="Times New Roman" w:eastAsia="Times New Roman" w:hint="default"/>
        </w:rPr>
        <w:t> Sevenum</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B.V.</w:t>
      </w:r>
      <w:r>
        <w:rPr>
          <w:spacing w:val="-2"/>
        </w:rPr>
        <w:t>签订的《收购协议》。香港美盛以固定支付</w:t>
      </w:r>
      <w:r>
        <w:rPr>
          <w:rFonts w:ascii="Times New Roman" w:hAnsi="Times New Roman" w:cs="Times New Roman" w:eastAsia="Times New Roman" w:hint="default"/>
          <w:spacing w:val="-2"/>
        </w:rPr>
        <w:t>850</w:t>
      </w:r>
      <w:r>
        <w:rPr>
          <w:spacing w:val="-2"/>
        </w:rPr>
        <w:t>万欧元和浮动支付</w:t>
      </w:r>
      <w:r>
        <w:rPr/>
        <w:t> 约</w:t>
      </w:r>
      <w:r>
        <w:rPr>
          <w:rFonts w:ascii="Times New Roman" w:hAnsi="Times New Roman" w:cs="Times New Roman" w:eastAsia="Times New Roman" w:hint="default"/>
        </w:rPr>
        <w:t>232.50</w:t>
      </w:r>
      <w:r>
        <w:rPr/>
        <w:t>万欧元合计约</w:t>
      </w:r>
      <w:r>
        <w:rPr>
          <w:rFonts w:ascii="Times New Roman" w:hAnsi="Times New Roman" w:cs="Times New Roman" w:eastAsia="Times New Roman" w:hint="default"/>
        </w:rPr>
        <w:t>1,082.50</w:t>
      </w:r>
      <w:r>
        <w:rPr/>
        <w:t>万欧元受让</w:t>
      </w:r>
      <w:r>
        <w:rPr>
          <w:rFonts w:ascii="Times New Roman" w:hAnsi="Times New Roman" w:cs="Times New Roman" w:eastAsia="Times New Roman" w:hint="default"/>
        </w:rPr>
        <w:t>S.B. Sevenum</w:t>
      </w:r>
      <w:r>
        <w:rPr>
          <w:rFonts w:ascii="Times New Roman" w:hAnsi="Times New Roman" w:cs="Times New Roman" w:eastAsia="Times New Roman" w:hint="default"/>
          <w:spacing w:val="-4"/>
        </w:rPr>
        <w:t> </w:t>
      </w:r>
      <w:r>
        <w:rPr>
          <w:rFonts w:ascii="Times New Roman" w:hAnsi="Times New Roman" w:cs="Times New Roman" w:eastAsia="Times New Roman" w:hint="default"/>
        </w:rPr>
        <w:t>B.V.</w:t>
      </w:r>
      <w:r>
        <w:rPr/>
        <w:t>持有荷兰公司</w:t>
      </w:r>
      <w:r>
        <w:rPr>
          <w:rFonts w:ascii="Times New Roman" w:hAnsi="Times New Roman" w:cs="Times New Roman" w:eastAsia="Times New Roman" w:hint="default"/>
        </w:rPr>
        <w:t>85%</w:t>
      </w:r>
      <w:r>
        <w:rPr/>
        <w:t>的股权，另外公司将按照年利息率</w:t>
      </w:r>
      <w:r>
        <w:rPr>
          <w:rFonts w:ascii="Times New Roman" w:hAnsi="Times New Roman" w:cs="Times New Roman" w:eastAsia="Times New Roman" w:hint="default"/>
        </w:rPr>
        <w:t>3%</w:t>
      </w:r>
      <w:r>
        <w:rPr/>
        <w:t>以浮动 支付部分为基数向</w:t>
      </w:r>
      <w:r>
        <w:rPr>
          <w:rFonts w:ascii="Times New Roman" w:hAnsi="Times New Roman" w:cs="Times New Roman" w:eastAsia="Times New Roman" w:hint="default"/>
        </w:rPr>
        <w:t>S.B.</w:t>
      </w:r>
      <w:r>
        <w:rPr>
          <w:rFonts w:ascii="Times New Roman" w:hAnsi="Times New Roman" w:cs="Times New Roman" w:eastAsia="Times New Roman" w:hint="default"/>
          <w:spacing w:val="-26"/>
        </w:rPr>
        <w:t> </w:t>
      </w:r>
      <w:r>
        <w:rPr>
          <w:rFonts w:ascii="Times New Roman" w:hAnsi="Times New Roman" w:cs="Times New Roman" w:eastAsia="Times New Roman" w:hint="default"/>
        </w:rPr>
        <w:t>Sevenum</w:t>
      </w:r>
      <w:r>
        <w:rPr>
          <w:rFonts w:ascii="Times New Roman" w:hAnsi="Times New Roman" w:cs="Times New Roman" w:eastAsia="Times New Roman" w:hint="default"/>
          <w:spacing w:val="-26"/>
        </w:rPr>
        <w:t> </w:t>
      </w:r>
      <w:r>
        <w:rPr>
          <w:rFonts w:ascii="Times New Roman" w:hAnsi="Times New Roman" w:cs="Times New Roman" w:eastAsia="Times New Roman" w:hint="default"/>
        </w:rPr>
        <w:t>B.V.</w:t>
      </w:r>
      <w:r>
        <w:rPr/>
        <w:t>支付自交割日起至浮动部分实际支付日止的利息。其中浮动支付部分具体金额视荷兰公 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-2016</w:t>
      </w:r>
      <w:r>
        <w:rPr/>
        <w:t>年三个会计年度（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日）合计经调整的</w:t>
      </w:r>
      <w:r>
        <w:rPr>
          <w:rFonts w:ascii="Times New Roman" w:hAnsi="Times New Roman" w:cs="Times New Roman" w:eastAsia="Times New Roman" w:hint="default"/>
        </w:rPr>
        <w:t>EBITDA</w:t>
      </w:r>
      <w:r>
        <w:rPr/>
        <w:t>（税息折旧及摊销前利润）结算。 香港美盛已于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日支付股权转让款</w:t>
      </w:r>
      <w:r>
        <w:rPr>
          <w:rFonts w:ascii="Times New Roman" w:hAnsi="Times New Roman" w:cs="Times New Roman" w:eastAsia="Times New Roman" w:hint="default"/>
        </w:rPr>
        <w:t>870</w:t>
      </w:r>
      <w:r>
        <w:rPr/>
        <w:t>万欧元，并办理了相应的财产权交接手续。公司预计届时很可能向</w:t>
      </w:r>
      <w:r>
        <w:rPr>
          <w:rFonts w:ascii="Times New Roman" w:hAnsi="Times New Roman" w:cs="Times New Roman" w:eastAsia="Times New Roman" w:hint="default"/>
        </w:rPr>
        <w:t>S.B. Sevenum </w:t>
      </w:r>
      <w:r>
        <w:rPr>
          <w:rFonts w:ascii="Times New Roman" w:hAnsi="Times New Roman" w:cs="Times New Roman" w:eastAsia="Times New Roman" w:hint="default"/>
          <w:spacing w:val="-1"/>
        </w:rPr>
        <w:t>B.V.</w:t>
      </w:r>
      <w:r>
        <w:rPr>
          <w:spacing w:val="-1"/>
        </w:rPr>
        <w:t>支付约</w:t>
      </w:r>
      <w:r>
        <w:rPr>
          <w:rFonts w:ascii="Times New Roman" w:hAnsi="Times New Roman" w:cs="Times New Roman" w:eastAsia="Times New Roman" w:hint="default"/>
          <w:spacing w:val="-1"/>
        </w:rPr>
        <w:t>2,125,000.00</w:t>
      </w:r>
      <w:r>
        <w:rPr>
          <w:spacing w:val="-1"/>
        </w:rPr>
        <w:t>欧元及其利息</w:t>
      </w:r>
      <w:r>
        <w:rPr>
          <w:rFonts w:ascii="Times New Roman" w:hAnsi="Times New Roman" w:cs="Times New Roman" w:eastAsia="Times New Roman" w:hint="default"/>
          <w:spacing w:val="-1"/>
        </w:rPr>
        <w:t>154,062.50</w:t>
      </w:r>
      <w:r>
        <w:rPr>
          <w:spacing w:val="-1"/>
        </w:rPr>
        <w:t>欧元合计</w:t>
      </w:r>
      <w:r>
        <w:rPr>
          <w:rFonts w:ascii="Times New Roman" w:hAnsi="Times New Roman" w:cs="Times New Roman" w:eastAsia="Times New Roman" w:hint="default"/>
          <w:spacing w:val="-1"/>
        </w:rPr>
        <w:t>2,279,062.50</w:t>
      </w:r>
      <w:r>
        <w:rPr>
          <w:spacing w:val="-1"/>
        </w:rPr>
        <w:t>欧元。公司将到期应支付金额与其现值之间的</w:t>
      </w:r>
      <w:r>
        <w:rPr>
          <w:spacing w:val="-88"/>
        </w:rPr>
        <w:t> </w:t>
      </w:r>
      <w:r>
        <w:rPr>
          <w:spacing w:val="-88"/>
        </w:rPr>
      </w:r>
      <w:r>
        <w:rPr/>
        <w:t>差异计入未确认融资费用，并自交割日起至浮动部分实际支付日止进行平均摊销。</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84"/>
      <w:bookmarkEnd w:id="84"/>
      <w:r>
        <w:rPr>
          <w:b w:val="0"/>
          <w:bCs w:val="0"/>
        </w:rPr>
      </w:r>
      <w:bookmarkStart w:name="_bookmark5" w:id="85"/>
      <w:bookmarkEnd w:id="8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6"/>
      <w:bookmarkEnd w:id="86"/>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66.26%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66.26%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66.26%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66.26%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53.57%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53.57%</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12.69%</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12.69%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33.74%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33.74%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33.74%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33.74%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444" w:right="1033"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w:t>
      </w:r>
      <w:r>
        <w:rPr>
          <w:rFonts w:ascii="Times New Roman" w:hAnsi="Times New Roman" w:cs="Times New Roman" w:eastAsia="Times New Roman" w:hint="default"/>
          <w:spacing w:val="-1"/>
        </w:rPr>
        <w:t>2013</w:t>
      </w:r>
      <w:r>
        <w:rPr>
          <w:spacing w:val="-1"/>
        </w:rPr>
        <w:t>年年度权益分派方案包括以公司现有总股本</w:t>
      </w:r>
      <w:r>
        <w:rPr>
          <w:rFonts w:ascii="Times New Roman" w:hAnsi="Times New Roman" w:cs="Times New Roman" w:eastAsia="Times New Roman" w:hint="default"/>
          <w:spacing w:val="-1"/>
        </w:rPr>
        <w:t>93,500,000</w:t>
      </w:r>
      <w:r>
        <w:rPr>
          <w:spacing w:val="-1"/>
        </w:rPr>
        <w:t>股为基数，向全体股东以资本公积金每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12</w:t>
      </w:r>
      <w:r>
        <w:rPr>
          <w:spacing w:val="-1"/>
        </w:rPr>
        <w:t>股。</w:t>
      </w:r>
    </w:p>
    <w:p>
      <w:pPr>
        <w:pStyle w:val="BodyText"/>
        <w:spacing w:line="240" w:lineRule="auto" w:before="22"/>
        <w:ind w:left="153" w:right="0"/>
        <w:jc w:val="left"/>
      </w:pPr>
      <w:r>
        <w:rPr/>
        <w:t>股份变动的批准情况</w:t>
      </w:r>
    </w:p>
    <w:p>
      <w:pPr>
        <w:pStyle w:val="BodyText"/>
        <w:spacing w:line="240" w:lineRule="auto" w:before="117"/>
        <w:ind w:left="153" w:right="0"/>
        <w:jc w:val="left"/>
      </w:pPr>
      <w:r>
        <w:rPr/>
        <w:t>√ 适用 □ 不适用</w:t>
      </w:r>
    </w:p>
    <w:p>
      <w:pPr>
        <w:pStyle w:val="BodyText"/>
        <w:spacing w:line="340" w:lineRule="auto" w:before="115"/>
        <w:ind w:left="153" w:right="3083" w:firstLine="290"/>
        <w:jc w:val="left"/>
      </w:pPr>
      <w:r>
        <w:rPr>
          <w:rFonts w:ascii="Times New Roman" w:hAnsi="Times New Roman" w:cs="Times New Roman" w:eastAsia="Times New Roman" w:hint="default"/>
        </w:rPr>
        <w:t>2013</w:t>
      </w:r>
      <w:r>
        <w:rPr/>
        <w:t>年度利润分配方案已于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日经公司</w:t>
      </w:r>
      <w:r>
        <w:rPr>
          <w:rFonts w:ascii="Times New Roman" w:hAnsi="Times New Roman" w:cs="Times New Roman" w:eastAsia="Times New Roman" w:hint="default"/>
        </w:rPr>
        <w:t>2013</w:t>
      </w:r>
      <w:r>
        <w:rPr/>
        <w:t>年度股东大会以现场表决方式审议通过。 股份变动的过户情况</w:t>
      </w:r>
    </w:p>
    <w:p>
      <w:pPr>
        <w:pStyle w:val="BodyText"/>
        <w:spacing w:line="338" w:lineRule="auto" w:before="41"/>
        <w:ind w:left="444" w:right="803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以于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日完成过户。</w:t>
      </w:r>
    </w:p>
    <w:p>
      <w:pPr>
        <w:pStyle w:val="BodyText"/>
        <w:spacing w:line="240" w:lineRule="auto" w:before="22"/>
        <w:ind w:right="0"/>
        <w:jc w:val="left"/>
      </w:pPr>
      <w:r>
        <w:rPr/>
        <w:t>股份变动对最近一年和最近一期基本每股收益和稀释每股收益、归属于公司普通股股东的每股净资产等财务指标的影响</w:t>
      </w:r>
    </w:p>
    <w:p>
      <w:pPr>
        <w:pStyle w:val="BodyText"/>
        <w:spacing w:line="357" w:lineRule="auto" w:before="117"/>
        <w:ind w:left="444" w:right="3037" w:hanging="291"/>
        <w:jc w:val="left"/>
      </w:pPr>
      <w:r>
        <w:rPr/>
        <w:t>√ 适用 □ 不适用 本次实施送（转）股后，按新股本</w:t>
      </w:r>
      <w:r>
        <w:rPr>
          <w:rFonts w:ascii="Times New Roman" w:hAnsi="Times New Roman" w:cs="Times New Roman" w:eastAsia="Times New Roman" w:hint="default"/>
        </w:rPr>
        <w:t>205,700,000</w:t>
      </w:r>
      <w:r>
        <w:rPr/>
        <w:t>股摊薄计算，</w:t>
      </w:r>
      <w:r>
        <w:rPr>
          <w:rFonts w:ascii="Times New Roman" w:hAnsi="Times New Roman" w:cs="Times New Roman" w:eastAsia="Times New Roman" w:hint="default"/>
        </w:rPr>
        <w:t>2013</w:t>
      </w:r>
      <w:r>
        <w:rPr/>
        <w:t>年年度，每股净收益为</w:t>
      </w:r>
      <w:r>
        <w:rPr>
          <w:rFonts w:ascii="Times New Roman" w:hAnsi="Times New Roman" w:cs="Times New Roman" w:eastAsia="Times New Roman" w:hint="default"/>
        </w:rPr>
        <w:t>0.2</w:t>
      </w:r>
      <w:r>
        <w:rPr/>
        <w:t>元。</w:t>
      </w:r>
    </w:p>
    <w:p>
      <w:pPr>
        <w:pStyle w:val="BodyText"/>
        <w:spacing w:line="240" w:lineRule="auto" w:before="6"/>
        <w:ind w:left="153" w:right="0"/>
        <w:jc w:val="left"/>
      </w:pPr>
      <w:r>
        <w:rPr/>
        <w:t>公司认为必要或证券监管机构要求披露的其他内容</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87"/>
      <w:bookmarkEnd w:id="8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88"/>
      <w:bookmarkEnd w:id="8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23,500,000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2"/>
        <w:ind w:left="444" w:right="1192" w:hanging="291"/>
        <w:jc w:val="left"/>
      </w:pPr>
      <w:r>
        <w:rPr/>
        <w:t>前三年历次证券发行情况的说明 经中国证券监督管理委员会批准，公司于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日发行人民币普通股</w:t>
      </w:r>
      <w:r>
        <w:rPr>
          <w:rFonts w:ascii="Times New Roman" w:hAnsi="Times New Roman" w:cs="Times New Roman" w:eastAsia="Times New Roman" w:hint="default"/>
        </w:rPr>
        <w:t>2350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w:t>
      </w:r>
    </w:p>
    <w:p>
      <w:pPr>
        <w:pStyle w:val="BodyText"/>
        <w:spacing w:line="214" w:lineRule="exact"/>
        <w:ind w:right="0"/>
        <w:jc w:val="left"/>
      </w:pPr>
      <w:r>
        <w:rPr/>
        <w:t>易所正式挂牌上市，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日完成工商变更登记。</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89"/>
      <w:bookmarkEnd w:id="8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 适用 □ 不适用 </w:t>
      </w:r>
      <w:r>
        <w:rPr>
          <w:spacing w:val="-1"/>
        </w:rPr>
        <w:t>本公司</w:t>
      </w:r>
      <w:r>
        <w:rPr>
          <w:rFonts w:ascii="Times New Roman" w:hAnsi="Times New Roman" w:cs="Times New Roman" w:eastAsia="Times New Roman" w:hint="default"/>
          <w:spacing w:val="-1"/>
        </w:rPr>
        <w:t>2013</w:t>
      </w:r>
      <w:r>
        <w:rPr>
          <w:spacing w:val="-1"/>
        </w:rPr>
        <w:t>年年度权益分派方案包括以公司现有总股本</w:t>
      </w:r>
      <w:r>
        <w:rPr>
          <w:rFonts w:ascii="Times New Roman" w:hAnsi="Times New Roman" w:cs="Times New Roman" w:eastAsia="Times New Roman" w:hint="default"/>
          <w:spacing w:val="-1"/>
        </w:rPr>
        <w:t>93,500,000</w:t>
      </w:r>
      <w:r>
        <w:rPr>
          <w:spacing w:val="-1"/>
        </w:rPr>
        <w:t>股为基数，向全体股东以资本公积金每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12</w:t>
      </w:r>
      <w:r>
        <w:rPr>
          <w:spacing w:val="-1"/>
        </w:rPr>
        <w:t>股。</w:t>
      </w:r>
    </w:p>
    <w:p>
      <w:pPr>
        <w:pStyle w:val="BodyText"/>
        <w:spacing w:line="215" w:lineRule="exact"/>
        <w:ind w:left="153" w:right="0"/>
        <w:jc w:val="left"/>
      </w:pPr>
      <w:r>
        <w:rPr/>
        <w:t>分配实施后公司总股本为</w:t>
      </w:r>
      <w:r>
        <w:rPr>
          <w:rFonts w:ascii="Times New Roman" w:hAnsi="Times New Roman" w:cs="Times New Roman" w:eastAsia="Times New Roman" w:hint="default"/>
        </w:rPr>
        <w:t>205,700,000</w:t>
      </w:r>
      <w:r>
        <w:rPr/>
        <w:t>股。</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90"/>
      <w:bookmarkEnd w:id="9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91"/>
      <w:bookmarkEnd w:id="9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92"/>
      <w:bookmarkEnd w:id="9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2"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10,900</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8,938</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FFFFFF"/>
            </w:tcBorders>
            <w:shd w:val="clear" w:color="auto" w:fill="D2D2D2"/>
          </w:tcPr>
          <w:p>
            <w:pPr/>
          </w:p>
        </w:tc>
        <w:tc>
          <w:tcPr>
            <w:tcW w:w="798"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FFFFFF"/>
            </w:tcBorders>
            <w:shd w:val="clear" w:color="auto" w:fill="D2D2D2"/>
          </w:tcPr>
          <w:p>
            <w:pPr/>
          </w:p>
        </w:tc>
        <w:tc>
          <w:tcPr>
            <w:tcW w:w="798" w:type="dxa"/>
            <w:vMerge/>
            <w:tcBorders>
              <w:left w:val="single" w:sz="4" w:space="0" w:color="FFFFFF"/>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FFFFFF"/>
            </w:tcBorders>
            <w:shd w:val="clear" w:color="auto" w:fill="D2D2D2"/>
          </w:tcPr>
          <w:p>
            <w:pPr/>
          </w:p>
        </w:tc>
        <w:tc>
          <w:tcPr>
            <w:tcW w:w="798"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浙江莱盛实业有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46.38%</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52,038,00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549.25pt;width:340.45pt;height:20.8pt;mso-position-horizontal-relative:page;mso-position-vertical-relative:page;z-index:-846136" coordorigin="3868,10985" coordsize="6809,416">
            <v:group style="position:absolute;left:3879;top:10996;width:2;height:393" coordorigin="3879,10996" coordsize="2,393">
              <v:shape style="position:absolute;left:3879;top:10996;width:2;height:393" coordorigin="3879,10996" coordsize="0,393" path="m3879,10996l3879,11389e" filled="false" stroked="true" strokeweight="1.140pt" strokecolor="#ffffff">
                <v:path arrowok="t"/>
              </v:shape>
            </v:group>
            <v:group style="position:absolute;left:3891;top:10996;width:6786;height:393" coordorigin="3891,10996" coordsize="6786,393">
              <v:shape style="position:absolute;left:3891;top:10996;width:6786;height:393" coordorigin="3891,10996" coordsize="6786,393" path="m3891,11389l10676,11389,10676,10996,3891,10996,3891,1138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14,238,00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25,792,000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8,064,000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汇添富成长焦点 股票型证券投资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3,699,921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3,699,921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3,699,921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苏宗伟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2,681,000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2,681,000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广发银行股份有 限公司－中欧盛 世成长分级股票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2,430,762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2,240,770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2,430,762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中国工商银行－ 汇添富美丽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 票型证券投资基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中国银行股份有 限公司－华泰柏 瑞盛世中国股票 型开放式证券投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1,642,751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1,642,751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1,642,751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苏亦龙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1,565,371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1,565,371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1,565,371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中银持续增长股 票型证券投资基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1,548,909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1,548,909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1,548,909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赵小强为浙江莱盛实业有限公司和新昌县宏盛投资有限公司的实际控制人，未知其他股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东是否有关联关系。</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中国工商银行－汇添富成长焦点 股票型证券投资基金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3,699,921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3,699,921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苏宗伟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广发银行股份有限公司－中欧盛</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2,430,762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2,430,762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36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世成长分级股票型证券投资基金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中国工商银行－汇添富美丽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中国银行股份有限公司－华泰柏 瑞盛世中国股票型开放式证券投 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1,642,751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1,642,751</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苏亦龙</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1,565,371</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中国工商银行－中银持续增长股 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1,548,909</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何晓玲</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1,544,400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宏源证券股份有限公司约定购回 专用账户</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1,276,200</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汇添富基金－建设银行－中国人 寿－中国人寿委托汇添富基金公 司股票型组合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1,217,595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1,217,595</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6" w:right="56"/>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间关联关系或一致行动关系。</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0" w:firstLine="290"/>
        <w:jc w:val="left"/>
      </w:pPr>
      <w:r>
        <w:rPr>
          <w:spacing w:val="-2"/>
        </w:rPr>
        <w:t>宏源证券股份有限公司约定购回专用账户股东与持股数分别是：中意恒信（北京）科技有限公司持股</w:t>
      </w:r>
      <w:r>
        <w:rPr>
          <w:rFonts w:ascii="Times New Roman" w:hAnsi="Times New Roman" w:cs="Times New Roman" w:eastAsia="Times New Roman" w:hint="default"/>
          <w:spacing w:val="-2"/>
        </w:rPr>
        <w:t>550,000</w:t>
      </w:r>
      <w:r>
        <w:rPr>
          <w:spacing w:val="-2"/>
        </w:rPr>
        <w:t>股，持股比</w:t>
      </w:r>
      <w:r>
        <w:rPr/>
        <w:t> 例为</w:t>
      </w:r>
      <w:r>
        <w:rPr>
          <w:rFonts w:ascii="Times New Roman" w:hAnsi="Times New Roman" w:cs="Times New Roman" w:eastAsia="Times New Roman" w:hint="default"/>
        </w:rPr>
        <w:t>0.27%</w:t>
      </w:r>
      <w:r>
        <w:rPr/>
        <w:t>；黄善玉持股</w:t>
      </w:r>
      <w:r>
        <w:rPr>
          <w:rFonts w:ascii="Times New Roman" w:hAnsi="Times New Roman" w:cs="Times New Roman" w:eastAsia="Times New Roman" w:hint="default"/>
        </w:rPr>
        <w:t>726,200</w:t>
      </w:r>
      <w:r>
        <w:rPr/>
        <w:t>股，持股比例</w:t>
      </w:r>
      <w:r>
        <w:rPr>
          <w:rFonts w:ascii="Times New Roman" w:hAnsi="Times New Roman" w:cs="Times New Roman" w:eastAsia="Times New Roman" w:hint="default"/>
        </w:rPr>
        <w:t>0.35%</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公司控股股东情况" w:id="93"/>
      <w:bookmarkEnd w:id="9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浙江莱盛实业有限公 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668325905</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r>
        <w:trPr>
          <w:trHeight w:val="402"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控股股东未来以投资战略为主。</w:t>
            </w:r>
          </w:p>
        </w:tc>
      </w:tr>
      <w:tr>
        <w:trPr>
          <w:trHeight w:val="716"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控股股东经营状况、财务状况、现金流良好，目前主要以投资等业务为主。</w:t>
            </w:r>
          </w:p>
        </w:tc>
      </w:tr>
    </w:tbl>
    <w:p>
      <w:pPr>
        <w:pStyle w:val="BodyText"/>
        <w:spacing w:line="240" w:lineRule="auto" w:before="51"/>
        <w:ind w:right="0"/>
        <w:jc w:val="left"/>
      </w:pPr>
      <w:r>
        <w:rPr/>
        <w:t>控股股东报告期内变更</w:t>
      </w:r>
    </w:p>
    <w:p>
      <w:pPr>
        <w:pStyle w:val="BodyText"/>
        <w:spacing w:line="360" w:lineRule="auto" w:before="116"/>
        <w:ind w:right="8052"/>
        <w:jc w:val="left"/>
      </w:pPr>
      <w:r>
        <w:rPr/>
        <w:t>□ 适用 √ 不适用 公司报告期控股股东未发生变更。</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实际控制人情况" w:id="94"/>
      <w:bookmarkEnd w:id="9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详见第八节 董事、监事、高级管理人员和员工情况之任职情况。</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60" w:lineRule="auto" w:before="116"/>
        <w:ind w:right="6792"/>
        <w:jc w:val="left"/>
      </w:pPr>
      <w:r>
        <w:rPr/>
        <w:t>□ 适用 √ 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4065" w:lineRule="exact"/>
        <w:ind w:left="1762"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075964"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4075964"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2"/>
          <w:szCs w:val="22"/>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95"/>
      <w:bookmarkEnd w:id="9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股东及其一致行动人在报告期提出或实施股份增持计划的情况" w:id="96"/>
      <w:bookmarkEnd w:id="96"/>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367"/>
        <w:gridCol w:w="1367"/>
        <w:gridCol w:w="1367"/>
      </w:tblGrid>
      <w:tr>
        <w:trPr>
          <w:trHeight w:val="714"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2" w:right="96" w:hanging="11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 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4" w:right="62"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4"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11,800,000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其他情况说明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left="153" w:right="1129" w:firstLine="290"/>
        <w:jc w:val="both"/>
      </w:pPr>
      <w:r>
        <w:rPr>
          <w:spacing w:val="-1"/>
        </w:rPr>
        <w:t>公司</w:t>
      </w:r>
      <w:r>
        <w:rPr>
          <w:rFonts w:ascii="Times New Roman" w:hAnsi="Times New Roman" w:cs="Times New Roman" w:eastAsia="Times New Roman" w:hint="default"/>
          <w:spacing w:val="-1"/>
        </w:rPr>
        <w:t>2014</w:t>
      </w:r>
      <w:r>
        <w:rPr>
          <w:spacing w:val="-1"/>
        </w:rPr>
        <w:t>年第二次临时股东大会审议通过非公开发行相关议案，公司计划非公开发行</w:t>
      </w:r>
      <w:r>
        <w:rPr>
          <w:rFonts w:ascii="Times New Roman" w:hAnsi="Times New Roman" w:cs="Times New Roman" w:eastAsia="Times New Roman" w:hint="default"/>
          <w:spacing w:val="-1"/>
        </w:rPr>
        <w:t>1730</w:t>
      </w:r>
      <w:r>
        <w:rPr>
          <w:spacing w:val="-1"/>
        </w:rPr>
        <w:t>万股，其中赵小强认购</w:t>
      </w:r>
      <w:r>
        <w:rPr>
          <w:rFonts w:ascii="Times New Roman" w:hAnsi="Times New Roman" w:cs="Times New Roman" w:eastAsia="Times New Roman" w:hint="default"/>
          <w:spacing w:val="-1"/>
        </w:rPr>
        <w:t>1180</w:t>
      </w:r>
      <w:r>
        <w:rPr>
          <w:spacing w:val="-1"/>
        </w:rPr>
        <w:t>万</w:t>
      </w:r>
      <w:r>
        <w:rPr/>
        <w:t> </w:t>
      </w:r>
      <w:r>
        <w:rPr>
          <w:spacing w:val="-2"/>
        </w:rPr>
        <w:t>股。公司于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日收到中国证券监督管理委员会出具的《中国证监会行政许可申请受理通知书》（</w:t>
      </w:r>
      <w:r>
        <w:rPr>
          <w:rFonts w:ascii="Times New Roman" w:hAnsi="Times New Roman" w:cs="Times New Roman" w:eastAsia="Times New Roman" w:hint="default"/>
          <w:spacing w:val="-2"/>
        </w:rPr>
        <w:t>141670</w:t>
      </w:r>
      <w:r>
        <w:rPr>
          <w:spacing w:val="-2"/>
        </w:rPr>
        <w:t>号），中</w:t>
      </w:r>
      <w:r>
        <w:rPr>
          <w:spacing w:val="-53"/>
        </w:rPr>
        <w:t> </w:t>
      </w:r>
      <w:r>
        <w:rPr>
          <w:spacing w:val="-53"/>
        </w:rPr>
      </w:r>
      <w:r>
        <w:rPr>
          <w:spacing w:val="-2"/>
        </w:rPr>
        <w:t>国证监会对公司提交的《上市公司非公开发行股票》行政许可申请材料进行了审查，认为申请材料齐全，符合法定形式，决</w:t>
      </w:r>
      <w:r>
        <w:rPr>
          <w:spacing w:val="-66"/>
        </w:rPr>
        <w:t> </w:t>
      </w:r>
      <w:r>
        <w:rPr>
          <w:spacing w:val="-66"/>
        </w:rPr>
      </w:r>
      <w:r>
        <w:rPr/>
        <w:t>定对该行政许可申请予以受理。</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97"/>
      <w:bookmarkEnd w:id="97"/>
      <w:r>
        <w:rPr>
          <w:b w:val="0"/>
          <w:bCs w:val="0"/>
        </w:rPr>
      </w:r>
      <w:bookmarkStart w:name="_bookmark6" w:id="98"/>
      <w:bookmarkEnd w:id="9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60" w:lineRule="auto" w:before="44"/>
        <w:ind w:right="8592"/>
        <w:jc w:val="left"/>
      </w:pPr>
      <w:r>
        <w:rPr/>
        <w:t>□ 适用 √ 不适用 报告期公司不存在优先股。</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99"/>
      <w:bookmarkEnd w:id="99"/>
      <w:r>
        <w:rPr>
          <w:b w:val="0"/>
          <w:bCs w:val="0"/>
        </w:rPr>
      </w:r>
      <w:bookmarkStart w:name="_bookmark7" w:id="100"/>
      <w:bookmarkEnd w:id="10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1"/>
      <w:bookmarkEnd w:id="10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26,103,000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26,103,000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二、任职情况" w:id="102"/>
      <w:bookmarkEnd w:id="102"/>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both"/>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16" w:lineRule="auto" w:before="101"/>
        <w:ind w:left="514" w:right="0" w:firstLine="1"/>
        <w:jc w:val="left"/>
        <w:rPr>
          <w:rFonts w:ascii="Times New Roman" w:hAnsi="Times New Roman" w:cs="Times New Roman" w:eastAsia="Times New Roman" w:hint="default"/>
        </w:rPr>
      </w:pPr>
      <w:r>
        <w:rPr>
          <w:rFonts w:ascii="宋体" w:hAnsi="宋体" w:cs="宋体" w:eastAsia="宋体" w:hint="default"/>
          <w:b/>
          <w:bCs/>
        </w:rPr>
        <w:t>（一）现任董事主要工作经历</w:t>
      </w:r>
      <w:r>
        <w:rPr>
          <w:rFonts w:ascii="宋体" w:hAnsi="宋体" w:cs="宋体" w:eastAsia="宋体" w:hint="default"/>
          <w:b/>
          <w:bCs/>
          <w:w w:val="99"/>
        </w:rPr>
        <w:t> </w:t>
      </w:r>
      <w:r>
        <w:rPr>
          <w:spacing w:val="-2"/>
        </w:rPr>
        <w:t>赵小强先生，</w:t>
      </w:r>
      <w:r>
        <w:rPr>
          <w:rFonts w:ascii="Times New Roman" w:hAnsi="Times New Roman" w:cs="Times New Roman" w:eastAsia="Times New Roman" w:hint="default"/>
          <w:spacing w:val="-2"/>
        </w:rPr>
        <w:t>1967</w:t>
      </w:r>
      <w:r>
        <w:rPr>
          <w:spacing w:val="-2"/>
        </w:rPr>
        <w:t>年出生，中国国籍，无永久境外居留权。浙江大学</w:t>
      </w:r>
      <w:r>
        <w:rPr>
          <w:rFonts w:ascii="Times New Roman" w:hAnsi="Times New Roman" w:cs="Times New Roman" w:eastAsia="Times New Roman" w:hint="default"/>
          <w:spacing w:val="-2"/>
        </w:rPr>
        <w:t>EMBA</w:t>
      </w:r>
      <w:r>
        <w:rPr>
          <w:spacing w:val="-2"/>
        </w:rPr>
        <w:t>，绍兴市第七届人大代表。赵小强先生</w:t>
      </w:r>
      <w:r>
        <w:rPr>
          <w:rFonts w:ascii="Times New Roman" w:hAnsi="Times New Roman" w:cs="Times New Roman" w:eastAsia="Times New Roman" w:hint="default"/>
          <w:spacing w:val="-2"/>
        </w:rPr>
        <w:t>1988</w:t>
      </w:r>
    </w:p>
    <w:p>
      <w:pPr>
        <w:pStyle w:val="BodyText"/>
        <w:spacing w:line="316" w:lineRule="auto"/>
        <w:ind w:right="1131"/>
        <w:jc w:val="both"/>
      </w:pPr>
      <w:r>
        <w:rPr>
          <w:spacing w:val="-2"/>
        </w:rPr>
        <w:t>年开始个人创业；先后创办新昌县通利针织制衣厂、新昌泰盛织造有限公司、新昌美盛饰品有限公司、新昌县万盛进出口有</w:t>
      </w:r>
      <w:r>
        <w:rPr>
          <w:spacing w:val="-66"/>
        </w:rPr>
        <w:t> </w:t>
      </w:r>
      <w:r>
        <w:rPr>
          <w:spacing w:val="-66"/>
        </w:rPr>
      </w:r>
      <w:r>
        <w:rPr>
          <w:spacing w:val="-2"/>
        </w:rPr>
        <w:t>限公司、新昌美源工艺有限公司、浙江莱盛实业有限公司。赵小强先生曾被评为浙江省中小企业优秀企业家，是公司的主要</w:t>
      </w:r>
      <w:r>
        <w:rPr>
          <w:spacing w:val="-66"/>
        </w:rPr>
        <w:t> </w:t>
      </w:r>
      <w:r>
        <w:rPr>
          <w:spacing w:val="-66"/>
        </w:rPr>
      </w:r>
      <w:r>
        <w:rPr/>
        <w:t>创立者之一、实际控制人，现任公司董事长。</w:t>
      </w:r>
    </w:p>
    <w:p>
      <w:pPr>
        <w:pStyle w:val="BodyText"/>
        <w:spacing w:line="300" w:lineRule="auto" w:before="19"/>
        <w:ind w:right="1032" w:firstLine="360"/>
        <w:jc w:val="left"/>
      </w:pPr>
      <w:r>
        <w:rPr/>
        <w:t>石炜萍女士，</w:t>
      </w:r>
      <w:r>
        <w:rPr>
          <w:rFonts w:ascii="Times New Roman" w:hAnsi="Times New Roman" w:cs="Times New Roman" w:eastAsia="Times New Roman" w:hint="default"/>
        </w:rPr>
        <w:t>1973</w:t>
      </w:r>
      <w:r>
        <w:rPr/>
        <w:t>年出生，中国国籍，无永久境外居留权，为公司主要创立者之一。石炜萍女士系赵小强先生之配偶， 现任公司董事。</w:t>
      </w:r>
    </w:p>
    <w:p>
      <w:pPr>
        <w:pStyle w:val="BodyText"/>
        <w:spacing w:line="300" w:lineRule="auto" w:before="31"/>
        <w:ind w:right="0" w:firstLine="360"/>
        <w:jc w:val="left"/>
      </w:pPr>
      <w:r>
        <w:rPr>
          <w:spacing w:val="-2"/>
        </w:rPr>
        <w:t>郭瑞先生，</w:t>
      </w:r>
      <w:r>
        <w:rPr>
          <w:rFonts w:ascii="Times New Roman" w:hAnsi="Times New Roman" w:cs="Times New Roman" w:eastAsia="Times New Roman" w:hint="default"/>
          <w:spacing w:val="-2"/>
        </w:rPr>
        <w:t>1979</w:t>
      </w:r>
      <w:r>
        <w:rPr>
          <w:spacing w:val="-2"/>
        </w:rPr>
        <w:t>年出生，中国国籍，无永久境外居留权。本科学历，毕业于上海交通大学国际金融专业。曾任职于上海</w:t>
      </w:r>
      <w:r>
        <w:rPr/>
        <w:t> 微创软件有限公司、明基逐鹿软件（苏州）有限公司、浙江新和成股份有限公司。现任公司董事、总经理、董事会秘书。</w:t>
      </w:r>
    </w:p>
    <w:p>
      <w:pPr>
        <w:pStyle w:val="BodyText"/>
        <w:spacing w:line="300" w:lineRule="auto" w:before="31"/>
        <w:ind w:right="0" w:firstLine="360"/>
        <w:jc w:val="left"/>
      </w:pPr>
      <w:r>
        <w:rPr>
          <w:spacing w:val="-2"/>
        </w:rPr>
        <w:t>袁贤苗先生，</w:t>
      </w:r>
      <w:r>
        <w:rPr>
          <w:rFonts w:ascii="Times New Roman" w:hAnsi="Times New Roman" w:cs="Times New Roman" w:eastAsia="Times New Roman" w:hint="default"/>
          <w:spacing w:val="-2"/>
        </w:rPr>
        <w:t>1965</w:t>
      </w:r>
      <w:r>
        <w:rPr>
          <w:spacing w:val="-2"/>
        </w:rPr>
        <w:t>年出生，中国国籍，无永久境外居留权。大专学历。曾任职于新昌丝绸服装股份有限公司。现任公司</w:t>
      </w:r>
      <w:r>
        <w:rPr/>
        <w:t> 董事、副总经理。</w:t>
      </w:r>
    </w:p>
    <w:p>
      <w:pPr>
        <w:pStyle w:val="BodyText"/>
        <w:spacing w:line="309" w:lineRule="auto" w:before="31"/>
        <w:ind w:right="1130" w:firstLine="360"/>
        <w:jc w:val="both"/>
      </w:pPr>
      <w:r>
        <w:rPr>
          <w:spacing w:val="-2"/>
        </w:rPr>
        <w:t>胡小平先生，</w:t>
      </w:r>
      <w:r>
        <w:rPr>
          <w:rFonts w:ascii="Times New Roman" w:hAnsi="Times New Roman" w:cs="Times New Roman" w:eastAsia="Times New Roman" w:hint="default"/>
          <w:spacing w:val="-2"/>
        </w:rPr>
        <w:t>1962</w:t>
      </w:r>
      <w:r>
        <w:rPr>
          <w:spacing w:val="-2"/>
        </w:rPr>
        <w:t>年出生，中国国籍，无永久境外居留权。浙江大学经济系硕士研究生，高级国际商务师。历任杭州师</w:t>
      </w:r>
      <w:r>
        <w:rPr/>
        <w:t> </w:t>
      </w:r>
      <w:r>
        <w:rPr>
          <w:spacing w:val="-2"/>
        </w:rPr>
        <w:t>范大学讲师，浙江中大集团股份有限公司企管部主管，浙江中大期货经纪有限公司总经理。现任浙江物产中大元通集团股份</w:t>
      </w:r>
      <w:r>
        <w:rPr>
          <w:spacing w:val="-66"/>
        </w:rPr>
        <w:t> </w:t>
      </w:r>
      <w:r>
        <w:rPr>
          <w:spacing w:val="-66"/>
        </w:rPr>
      </w:r>
      <w:r>
        <w:rPr/>
        <w:t>有限公司副总经理，浙江中大元通汽车云服务有限公司董事长，三维通信股份有限公司独立董事。现任公司独立董事。</w:t>
      </w:r>
    </w:p>
    <w:p>
      <w:pPr>
        <w:pStyle w:val="BodyText"/>
        <w:spacing w:line="300" w:lineRule="auto" w:before="24"/>
        <w:ind w:left="153" w:right="0" w:firstLine="360"/>
        <w:jc w:val="left"/>
      </w:pPr>
      <w:r>
        <w:rPr>
          <w:spacing w:val="-4"/>
        </w:rPr>
        <w:t>舒敏先生，</w:t>
      </w:r>
      <w:r>
        <w:rPr>
          <w:rFonts w:ascii="Times New Roman" w:hAnsi="Times New Roman" w:cs="Times New Roman" w:eastAsia="Times New Roman" w:hint="default"/>
          <w:spacing w:val="-4"/>
        </w:rPr>
        <w:t>1962</w:t>
      </w:r>
      <w:r>
        <w:rPr>
          <w:spacing w:val="-4"/>
        </w:rPr>
        <w:t>年出生，中国国籍，民盟盟员，无永久境外居留权。中南财经大学硕士学历，中国注册会计师，副教授。</w:t>
      </w:r>
      <w:r>
        <w:rPr/>
        <w:t> </w:t>
      </w:r>
      <w:r>
        <w:rPr>
          <w:rFonts w:ascii="Times New Roman" w:hAnsi="Times New Roman" w:cs="Times New Roman" w:eastAsia="Times New Roman" w:hint="default"/>
          <w:spacing w:val="-5"/>
        </w:rPr>
        <w:t>1983</w:t>
      </w:r>
      <w:r>
        <w:rPr>
          <w:spacing w:val="-5"/>
        </w:rPr>
        <w:t>年毕业于江西财经学院（现江西财经大学）会计系，获学士学位；</w:t>
      </w:r>
      <w:r>
        <w:rPr>
          <w:rFonts w:ascii="Times New Roman" w:hAnsi="Times New Roman" w:cs="Times New Roman" w:eastAsia="Times New Roman" w:hint="default"/>
          <w:spacing w:val="-5"/>
        </w:rPr>
        <w:t>1991</w:t>
      </w:r>
      <w:r>
        <w:rPr>
          <w:spacing w:val="-5"/>
        </w:rPr>
        <w:t>年结业于中南财经大学会计系，获硕士学位。</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月就职于江西财经学院，曾任会计系（现会计学院）财务管理教研室主任、会计系副主任、会计专业硕士研</w:t>
      </w:r>
      <w:r>
        <w:rPr>
          <w:spacing w:val="-60"/>
        </w:rPr>
        <w:t> </w:t>
      </w:r>
      <w:r>
        <w:rPr>
          <w:spacing w:val="-60"/>
        </w:rPr>
      </w:r>
      <w:r>
        <w:rPr/>
        <w:t>究生导师。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月至今在浙江财经学院任教。现任公司独立董事。</w:t>
      </w:r>
    </w:p>
    <w:p>
      <w:pPr>
        <w:pStyle w:val="BodyText"/>
        <w:spacing w:line="312" w:lineRule="auto" w:before="13"/>
        <w:ind w:right="1032" w:firstLine="360"/>
        <w:jc w:val="left"/>
      </w:pPr>
      <w:r>
        <w:rPr/>
        <w:t>傅争光先生，</w:t>
      </w:r>
      <w:r>
        <w:rPr>
          <w:rFonts w:ascii="Times New Roman" w:hAnsi="Times New Roman" w:cs="Times New Roman" w:eastAsia="Times New Roman" w:hint="default"/>
        </w:rPr>
        <w:t>1966</w:t>
      </w:r>
      <w:r>
        <w:rPr/>
        <w:t>年出生，中国国籍，无永久境外居留权。上海交通大学学士学位。曾担任上海有线电视台信息频道、 </w:t>
      </w:r>
      <w:r>
        <w:rPr>
          <w:spacing w:val="-2"/>
        </w:rPr>
        <w:t>财经频道制片人、责任编辑、财经记者；上海有线电视台总编室节目购销管理主管；上海文广新闻传媒集团影视剧中心制作</w:t>
      </w:r>
      <w:r>
        <w:rPr>
          <w:spacing w:val="-66"/>
        </w:rPr>
        <w:t> </w:t>
      </w:r>
      <w:r>
        <w:rPr>
          <w:spacing w:val="-66"/>
        </w:rPr>
      </w:r>
      <w:r>
        <w:rPr>
          <w:spacing w:val="-2"/>
        </w:rPr>
        <w:t>部、上海录像影视公司市场发展经理；上海畅想音像版权服务有限公司董事总经理；上海东方之星文化发展有限公司常务副</w:t>
      </w:r>
      <w:r>
        <w:rPr>
          <w:spacing w:val="-66"/>
        </w:rPr>
        <w:t> </w:t>
      </w:r>
      <w:r>
        <w:rPr>
          <w:spacing w:val="-66"/>
        </w:rPr>
      </w:r>
      <w:r>
        <w:rPr/>
        <w:t>总经理。现任上海广电影视制作有限公司副总经理。现任公司独立董事。</w:t>
      </w:r>
    </w:p>
    <w:p>
      <w:pPr>
        <w:spacing w:line="319" w:lineRule="auto" w:before="22"/>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（二）现任监事主要工作经历</w:t>
      </w:r>
      <w:r>
        <w:rPr>
          <w:rFonts w:ascii="宋体" w:hAnsi="宋体" w:cs="宋体" w:eastAsia="宋体" w:hint="default"/>
          <w:b/>
          <w:bCs/>
          <w:w w:val="99"/>
          <w:sz w:val="18"/>
          <w:szCs w:val="18"/>
        </w:rPr>
        <w:t> </w:t>
      </w:r>
      <w:r>
        <w:rPr>
          <w:rFonts w:ascii="宋体" w:hAnsi="宋体" w:cs="宋体" w:eastAsia="宋体" w:hint="default"/>
          <w:spacing w:val="-2"/>
          <w:sz w:val="18"/>
          <w:szCs w:val="18"/>
        </w:rPr>
        <w:t>赵风云女士，</w:t>
      </w: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年出生，中国国籍，无永久境外居留权。本科学历，毕业于青岛科技大学英语专业。先后任职于东莞</w:t>
      </w:r>
    </w:p>
    <w:p>
      <w:pPr>
        <w:pStyle w:val="BodyText"/>
        <w:spacing w:line="316" w:lineRule="auto"/>
        <w:ind w:left="514" w:right="0" w:hanging="360"/>
        <w:jc w:val="left"/>
      </w:pPr>
      <w:r>
        <w:rPr/>
        <w:t>晨光印刷有限公司、迪华商贸有限公司。现任公司监事、行政经理。 </w:t>
      </w:r>
      <w:r>
        <w:rPr>
          <w:spacing w:val="-4"/>
        </w:rPr>
        <w:t>丁秀萍女士，</w:t>
      </w:r>
      <w:r>
        <w:rPr>
          <w:rFonts w:ascii="Times New Roman" w:hAnsi="Times New Roman" w:cs="Times New Roman" w:eastAsia="Times New Roman" w:hint="default"/>
          <w:spacing w:val="-4"/>
        </w:rPr>
        <w:t>1979</w:t>
      </w:r>
      <w:r>
        <w:rPr>
          <w:spacing w:val="-4"/>
        </w:rPr>
        <w:t>年出生，中国国籍，无永久境外居留权，大专学历。曾任职于浙江莎美针织有限公司。现任公司监事、</w:t>
      </w:r>
    </w:p>
    <w:p>
      <w:pPr>
        <w:pStyle w:val="BodyText"/>
        <w:spacing w:line="235" w:lineRule="exact"/>
        <w:ind w:right="0"/>
        <w:jc w:val="both"/>
      </w:pPr>
      <w:r>
        <w:rPr/>
        <w:t>生产部经理。</w:t>
      </w:r>
    </w:p>
    <w:p>
      <w:pPr>
        <w:spacing w:after="0" w:line="235"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李学文先生，</w:t>
      </w:r>
      <w:r>
        <w:rPr>
          <w:rFonts w:ascii="Times New Roman" w:hAnsi="Times New Roman" w:cs="Times New Roman" w:eastAsia="Times New Roman" w:hint="default"/>
        </w:rPr>
        <w:t>1961</w:t>
      </w:r>
      <w:r>
        <w:rPr/>
        <w:t>年出生，中国国籍，无永久境外居留权，高中学历。现任公司监事、荣盛文化董事长。</w:t>
      </w:r>
    </w:p>
    <w:p>
      <w:pPr>
        <w:spacing w:line="309" w:lineRule="auto" w:before="63"/>
        <w:ind w:left="513" w:right="5553" w:firstLine="1"/>
        <w:jc w:val="left"/>
        <w:rPr>
          <w:rFonts w:ascii="宋体" w:hAnsi="宋体" w:cs="宋体" w:eastAsia="宋体" w:hint="default"/>
          <w:sz w:val="18"/>
          <w:szCs w:val="18"/>
        </w:rPr>
      </w:pPr>
      <w:r>
        <w:rPr>
          <w:rFonts w:ascii="宋体" w:hAnsi="宋体" w:cs="宋体" w:eastAsia="宋体" w:hint="default"/>
          <w:b/>
          <w:bCs/>
          <w:sz w:val="18"/>
          <w:szCs w:val="18"/>
        </w:rPr>
        <w:t>（三）现任高级管理人员主要工作经历</w:t>
      </w:r>
      <w:r>
        <w:rPr>
          <w:rFonts w:ascii="宋体" w:hAnsi="宋体" w:cs="宋体" w:eastAsia="宋体" w:hint="default"/>
          <w:b/>
          <w:bCs/>
          <w:w w:val="99"/>
          <w:sz w:val="18"/>
          <w:szCs w:val="18"/>
        </w:rPr>
        <w:t> </w:t>
      </w:r>
      <w:r>
        <w:rPr>
          <w:rFonts w:ascii="宋体" w:hAnsi="宋体" w:cs="宋体" w:eastAsia="宋体" w:hint="default"/>
          <w:sz w:val="18"/>
          <w:szCs w:val="18"/>
        </w:rPr>
        <w:t>郭瑞先生，详见</w:t>
      </w:r>
      <w:r>
        <w:rPr>
          <w:rFonts w:ascii="Times New Roman" w:hAnsi="Times New Roman" w:cs="Times New Roman" w:eastAsia="Times New Roman" w:hint="default"/>
          <w:sz w:val="18"/>
          <w:szCs w:val="18"/>
        </w:rPr>
        <w:t>“</w:t>
      </w:r>
      <w:r>
        <w:rPr>
          <w:rFonts w:ascii="宋体" w:hAnsi="宋体" w:cs="宋体" w:eastAsia="宋体" w:hint="default"/>
          <w:sz w:val="18"/>
          <w:szCs w:val="18"/>
        </w:rPr>
        <w:t>（一）现任董事主要工作经历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袁贤苗先生，详见</w:t>
      </w:r>
      <w:r>
        <w:rPr>
          <w:rFonts w:ascii="Times New Roman" w:hAnsi="Times New Roman" w:cs="Times New Roman" w:eastAsia="Times New Roman" w:hint="default"/>
          <w:sz w:val="18"/>
          <w:szCs w:val="18"/>
        </w:rPr>
        <w:t>“</w:t>
      </w:r>
      <w:r>
        <w:rPr>
          <w:rFonts w:ascii="宋体" w:hAnsi="宋体" w:cs="宋体" w:eastAsia="宋体" w:hint="default"/>
          <w:sz w:val="18"/>
          <w:szCs w:val="18"/>
        </w:rPr>
        <w:t>（一）现任董事主要工作经历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pStyle w:val="BodyText"/>
        <w:spacing w:line="300" w:lineRule="auto" w:before="5"/>
        <w:ind w:right="0" w:firstLine="360"/>
        <w:jc w:val="left"/>
      </w:pPr>
      <w:r>
        <w:rPr>
          <w:spacing w:val="-2"/>
        </w:rPr>
        <w:t>全浩华女士，</w:t>
      </w:r>
      <w:r>
        <w:rPr>
          <w:rFonts w:ascii="Times New Roman" w:hAnsi="Times New Roman" w:cs="Times New Roman" w:eastAsia="Times New Roman" w:hint="default"/>
          <w:spacing w:val="-2"/>
        </w:rPr>
        <w:t>1970</w:t>
      </w:r>
      <w:r>
        <w:rPr>
          <w:spacing w:val="-2"/>
        </w:rPr>
        <w:t>年出生，中国国籍，无永久境外居留权。本科学历，毕业于浙江广播电视大学。先后任职于嘉兴阳湖</w:t>
      </w:r>
      <w:r>
        <w:rPr/>
        <w:t> 制衣有限公司、浙江依爱夫纺织有限公司。</w:t>
      </w:r>
      <w:r>
        <w:rPr>
          <w:rFonts w:ascii="Times New Roman" w:hAnsi="Times New Roman" w:cs="Times New Roman" w:eastAsia="Times New Roman" w:hint="default"/>
        </w:rPr>
        <w:t>2011</w:t>
      </w:r>
      <w:r>
        <w:rPr/>
        <w:t>年进入公司工作。现任公司副总经理。</w:t>
      </w:r>
    </w:p>
    <w:p>
      <w:pPr>
        <w:pStyle w:val="BodyText"/>
        <w:spacing w:line="300" w:lineRule="auto" w:before="13"/>
        <w:ind w:right="0" w:firstLine="360"/>
        <w:jc w:val="left"/>
      </w:pPr>
      <w:r>
        <w:rPr>
          <w:spacing w:val="-2"/>
        </w:rPr>
        <w:t>熊旭锋先生，</w:t>
      </w:r>
      <w:r>
        <w:rPr>
          <w:rFonts w:ascii="Times New Roman" w:hAnsi="Times New Roman" w:cs="Times New Roman" w:eastAsia="Times New Roman" w:hint="default"/>
          <w:spacing w:val="-2"/>
        </w:rPr>
        <w:t>1979</w:t>
      </w:r>
      <w:r>
        <w:rPr>
          <w:spacing w:val="-2"/>
        </w:rPr>
        <w:t>年出生，中国国籍，无永久境外居留权，本科学历，毕业于三峡大学工商管理专业。先后任职于浙江</w:t>
      </w:r>
      <w:r>
        <w:rPr/>
        <w:t> 五洲新春集团、浙江美力弹簧有限公司、浙江同星制冷有限公司。</w:t>
      </w:r>
      <w:r>
        <w:rPr>
          <w:rFonts w:ascii="Times New Roman" w:hAnsi="Times New Roman" w:cs="Times New Roman" w:eastAsia="Times New Roman" w:hint="default"/>
        </w:rPr>
        <w:t>2012</w:t>
      </w:r>
      <w:r>
        <w:rPr/>
        <w:t>年进入公司工作。现任公司副总经理。</w:t>
      </w:r>
    </w:p>
    <w:p>
      <w:pPr>
        <w:pStyle w:val="BodyText"/>
        <w:spacing w:line="312" w:lineRule="auto" w:before="13"/>
        <w:ind w:right="1129" w:firstLine="360"/>
        <w:jc w:val="both"/>
      </w:pPr>
      <w:r>
        <w:rPr>
          <w:spacing w:val="-2"/>
        </w:rPr>
        <w:t>陈文女士，</w:t>
      </w:r>
      <w:r>
        <w:rPr>
          <w:rFonts w:ascii="Times New Roman" w:hAnsi="Times New Roman" w:cs="Times New Roman" w:eastAsia="Times New Roman" w:hint="default"/>
          <w:spacing w:val="-2"/>
        </w:rPr>
        <w:t>1952</w:t>
      </w:r>
      <w:r>
        <w:rPr>
          <w:spacing w:val="-2"/>
        </w:rPr>
        <w:t>年出生，中国国籍，无永久境外居留权。复旦大学工商管理硕士，国家艺术系列一级编辑，全国三八红</w:t>
      </w:r>
      <w:r>
        <w:rPr/>
        <w:t> </w:t>
      </w:r>
      <w:r>
        <w:rPr>
          <w:spacing w:val="-2"/>
        </w:rPr>
        <w:t>旗手。原上海文广新闻传媒集团影视剧中心主任，上海炫动卡通卫视娱乐有限公司董事、常务副总裁，上海录像影视公司总</w:t>
      </w:r>
      <w:r>
        <w:rPr>
          <w:spacing w:val="-66"/>
        </w:rPr>
        <w:t> </w:t>
      </w:r>
      <w:r>
        <w:rPr>
          <w:spacing w:val="-66"/>
        </w:rPr>
      </w:r>
      <w:r>
        <w:rPr>
          <w:spacing w:val="-2"/>
        </w:rPr>
        <w:t>经理。现任中国动画学会常务理事，中国电视剧制片人协会常务理事，上海市数字内容产业促进中心理事，苏河当代艺术中</w:t>
      </w:r>
      <w:r>
        <w:rPr>
          <w:spacing w:val="-66"/>
        </w:rPr>
        <w:t> </w:t>
      </w:r>
      <w:r>
        <w:rPr>
          <w:spacing w:val="-66"/>
        </w:rPr>
      </w:r>
      <w:r>
        <w:rPr/>
        <w:t>心执行董事。曾任公司独立董事。现任公司副总经理。</w:t>
      </w:r>
    </w:p>
    <w:p>
      <w:pPr>
        <w:pStyle w:val="BodyText"/>
        <w:spacing w:line="319" w:lineRule="auto" w:before="22"/>
        <w:ind w:left="153" w:right="1118" w:firstLine="360"/>
        <w:jc w:val="left"/>
      </w:pPr>
      <w:r>
        <w:rPr>
          <w:spacing w:val="-2"/>
        </w:rPr>
        <w:t>竺林芳女士，</w:t>
      </w:r>
      <w:r>
        <w:rPr>
          <w:rFonts w:ascii="Times New Roman" w:hAnsi="Times New Roman" w:cs="Times New Roman" w:eastAsia="Times New Roman" w:hint="default"/>
          <w:spacing w:val="-2"/>
        </w:rPr>
        <w:t>1979</w:t>
      </w:r>
      <w:r>
        <w:rPr>
          <w:spacing w:val="-2"/>
        </w:rPr>
        <w:t>年出生，中国国籍，无永久境外居留权，本科学历，毕业于中南大学会计学专业，中级会计师。先后</w:t>
      </w:r>
      <w:r>
        <w:rPr/>
        <w:t> 任职于浙江万丰奥威汽轮股份有限公司、浙江华发茶业有限公司。</w:t>
      </w:r>
      <w:r>
        <w:rPr>
          <w:rFonts w:ascii="Times New Roman" w:hAnsi="Times New Roman" w:cs="Times New Roman" w:eastAsia="Times New Roman" w:hint="default"/>
        </w:rPr>
        <w:t>2013</w:t>
      </w:r>
      <w:r>
        <w:rPr/>
        <w:t>年进入公司工作。现任公司财务总监。 在股东单位任职情况</w:t>
      </w:r>
    </w:p>
    <w:p>
      <w:pPr>
        <w:pStyle w:val="BodyText"/>
        <w:spacing w:line="240" w:lineRule="auto" w:before="5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缔顺科技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缔顺科技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浙江物产中大元通集团股份有限公司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浙江中大元通汽车云服务有限公司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浙江财经学院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上海广电影视制作有限公司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中国动画学会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中国电视剧制片人协会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上海市数字内容产业促进中心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苏河当代艺术中心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浦发村镇银行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03"/>
      <w:bookmarkEnd w:id="103"/>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1028" w:hanging="291"/>
        <w:jc w:val="left"/>
      </w:pPr>
      <w:r>
        <w:rPr/>
        <w:t>董事、监事、高级管理人员报酬的决策程序、确定依据、实际支付情况 </w:t>
      </w:r>
      <w:r>
        <w:rPr>
          <w:spacing w:val="-2"/>
        </w:rPr>
        <w:t>公司董事、监事的报酬是根据公司章程规定和经营情况，由董事会、监事会提出议案，股东大会批准决定，公司总经理、</w:t>
      </w:r>
    </w:p>
    <w:p>
      <w:pPr>
        <w:pStyle w:val="BodyText"/>
        <w:spacing w:line="224" w:lineRule="exact"/>
        <w:ind w:left="153" w:right="0"/>
        <w:jc w:val="left"/>
      </w:pPr>
      <w:r>
        <w:rPr/>
        <w:t>副总经理、财务总监、董事会秘书等高级管理人员的报酬由公司董事会薪酬与考核委员会提出议案，报董事会批准决定。报</w:t>
      </w:r>
    </w:p>
    <w:p>
      <w:pPr>
        <w:pStyle w:val="BodyText"/>
        <w:spacing w:line="319" w:lineRule="auto" w:before="77"/>
        <w:ind w:left="153" w:right="0"/>
        <w:jc w:val="left"/>
      </w:pPr>
      <w:r>
        <w:rPr>
          <w:spacing w:val="-2"/>
        </w:rPr>
        <w:t>告期，实际发放额的确定依据是根据公司总体发展战略和年度的经营目标、其在公司担任的职务以及行业平均标准，结合公</w:t>
      </w:r>
      <w:r>
        <w:rPr>
          <w:spacing w:val="-66"/>
        </w:rPr>
        <w:t> </w:t>
      </w:r>
      <w:r>
        <w:rPr>
          <w:spacing w:val="-66"/>
        </w:rPr>
      </w:r>
      <w:r>
        <w:rPr/>
        <w:t>司的工资制度、考核办法而确定的。</w:t>
      </w:r>
    </w:p>
    <w:p>
      <w:pPr>
        <w:pStyle w:val="BodyText"/>
        <w:spacing w:line="240" w:lineRule="auto" w:before="56"/>
        <w:ind w:left="153"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559" w:lineRule="exact"/>
              <w:ind w:left="1"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59.3pt;height:28pt;mso-position-horizontal-relative:char;mso-position-vertical-relative:line" coordorigin="0,0" coordsize="1186,560">
                  <v:group style="position:absolute;left:0;top:0;width:1186;height:156" coordorigin="0,0" coordsize="1186,156">
                    <v:shape style="position:absolute;left:0;top:0;width:1186;height:156" coordorigin="0,0" coordsize="1186,156" path="m0,156l1186,156,1186,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140;height:393" coordorigin="23,156" coordsize="1140,393">
                    <v:shape style="position:absolute;left:23;top:156;width:1140;height:393" coordorigin="23,156" coordsize="1140,393" path="m23,548l1163,548,1163,156,23,156,23,548xe" filled="true" fillcolor="#ffffff" stroked="false">
                      <v:path arrowok="t"/>
                      <v:fill type="solid"/>
                    </v:shape>
                  </v:group>
                </v:group>
              </w:pict>
            </w:r>
            <w:r>
              <w:rPr>
                <w:rFonts w:ascii="宋体" w:hAnsi="宋体" w:cs="宋体" w:eastAsia="宋体" w:hint="default"/>
                <w:position w:val="-10"/>
                <w:sz w:val="20"/>
                <w:szCs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袁贤苗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239,700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熊旭锋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148,500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212,605.34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212,605.34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2,595,905.34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2,595,905.34</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董事、监事、高级管理人员变动情况" w:id="104"/>
      <w:bookmarkEnd w:id="10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05"/>
      <w:bookmarkEnd w:id="10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4" w:right="0"/>
        <w:jc w:val="left"/>
      </w:pPr>
      <w:r>
        <w:rPr/>
        <w:t>报告期内，公司核心技术团队或关键技术人员无重大变动。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06"/>
      <w:bookmarkEnd w:id="106"/>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2" w:firstLine="290"/>
        <w:jc w:val="both"/>
      </w:pPr>
      <w:r>
        <w:rPr>
          <w:spacing w:val="-1"/>
        </w:rPr>
        <w:t>公司管理层高度重视特定工作岗位所需的用途能力水平的设定，以及对达到该水平所必需的知识和能力的要求。全公司</w:t>
      </w:r>
      <w:r>
        <w:rPr/>
        <w:t> </w:t>
      </w:r>
      <w:r>
        <w:rPr>
          <w:spacing w:val="-2"/>
        </w:rPr>
        <w:t>目前共有</w:t>
      </w:r>
      <w:r>
        <w:rPr>
          <w:rFonts w:ascii="Times New Roman" w:hAnsi="Times New Roman" w:cs="Times New Roman" w:eastAsia="Times New Roman" w:hint="default"/>
          <w:spacing w:val="-2"/>
        </w:rPr>
        <w:t>996</w:t>
      </w:r>
      <w:r>
        <w:rPr>
          <w:spacing w:val="-2"/>
        </w:rPr>
        <w:t>员工，其中具有高级职称的</w:t>
      </w:r>
      <w:r>
        <w:rPr>
          <w:rFonts w:ascii="Times New Roman" w:hAnsi="Times New Roman" w:cs="Times New Roman" w:eastAsia="Times New Roman" w:hint="default"/>
          <w:spacing w:val="-2"/>
        </w:rPr>
        <w:t>3</w:t>
      </w:r>
      <w:r>
        <w:rPr>
          <w:spacing w:val="-2"/>
        </w:rPr>
        <w:t>人，具有中级职称的</w:t>
      </w:r>
      <w:r>
        <w:rPr>
          <w:rFonts w:ascii="Times New Roman" w:hAnsi="Times New Roman" w:cs="Times New Roman" w:eastAsia="Times New Roman" w:hint="default"/>
          <w:spacing w:val="-2"/>
        </w:rPr>
        <w:t>5</w:t>
      </w:r>
      <w:r>
        <w:rPr>
          <w:spacing w:val="-2"/>
        </w:rPr>
        <w:t>人，具有初级职称的</w:t>
      </w:r>
      <w:r>
        <w:rPr>
          <w:rFonts w:ascii="Times New Roman" w:hAnsi="Times New Roman" w:cs="Times New Roman" w:eastAsia="Times New Roman" w:hint="default"/>
          <w:spacing w:val="-2"/>
        </w:rPr>
        <w:t>226</w:t>
      </w:r>
      <w:r>
        <w:rPr>
          <w:spacing w:val="-2"/>
        </w:rPr>
        <w:t>人。公司还根据实际工作的需要，针</w:t>
      </w:r>
      <w:r>
        <w:rPr>
          <w:spacing w:val="-60"/>
        </w:rPr>
        <w:t> </w:t>
      </w:r>
      <w:r>
        <w:rPr>
          <w:spacing w:val="-60"/>
        </w:rPr>
      </w:r>
      <w:r>
        <w:rPr/>
        <w:t>对不同岗位展开多种形式的后期培训教育，使员工都能胜任目前所处的工作岗位。</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02"/>
        <w:jc w:val="center"/>
        <w:rPr>
          <w:b w:val="0"/>
          <w:bCs w:val="0"/>
        </w:rPr>
      </w:pPr>
      <w:bookmarkStart w:name="第九节 公司治理" w:id="107"/>
      <w:bookmarkEnd w:id="107"/>
      <w:r>
        <w:rPr>
          <w:b w:val="0"/>
          <w:bCs w:val="0"/>
        </w:rPr>
      </w:r>
      <w:bookmarkStart w:name="_bookmark8" w:id="108"/>
      <w:bookmarkEnd w:id="10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09"/>
      <w:bookmarkEnd w:id="10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3"/>
        <w:jc w:val="both"/>
      </w:pPr>
      <w:r>
        <w:rPr>
          <w:spacing w:val="-2"/>
        </w:rPr>
        <w:t>报告期内，公司严格按照《公司法》、《证券法》、《上市公司治理准则》、《深圳证券交易所股票上市规则》、《中小板</w:t>
      </w:r>
      <w:r>
        <w:rPr>
          <w:spacing w:val="-69"/>
        </w:rPr>
        <w:t> </w:t>
      </w:r>
      <w:r>
        <w:rPr>
          <w:spacing w:val="-69"/>
        </w:rPr>
      </w:r>
      <w:r>
        <w:rPr>
          <w:spacing w:val="-2"/>
        </w:rPr>
        <w:t>企业上市公司规范运作指引》及其他相关法律、法规的要求，不断完善公司治理结构，建立健全内部控制制度，不断加强信</w:t>
      </w:r>
      <w:r>
        <w:rPr>
          <w:spacing w:val="-66"/>
        </w:rPr>
        <w:t> </w:t>
      </w:r>
      <w:r>
        <w:rPr>
          <w:spacing w:val="-66"/>
        </w:rPr>
      </w:r>
      <w:r>
        <w:rPr/>
        <w:t>息披露工作，积极开展投资者关系管理，不断提高公司治理水平。</w:t>
      </w:r>
    </w:p>
    <w:p>
      <w:pPr>
        <w:pStyle w:val="BodyText"/>
        <w:spacing w:line="357" w:lineRule="auto" w:before="56"/>
        <w:ind w:left="153" w:right="3013"/>
        <w:jc w:val="left"/>
      </w:pPr>
      <w:r>
        <w:rPr/>
        <w:t>截止报告期末，公司治理的实际状况基本符合中国证监会发布的有关上市公司治理的规范性文件。 公司已建立的各项制度名称和公开信息披露情况：</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val="restart"/>
            <w:tcBorders>
              <w:top w:val="single" w:sz="6" w:space="0" w:color="000000"/>
              <w:left w:val="single" w:sz="6" w:space="0" w:color="000000"/>
              <w:right w:val="single" w:sz="6" w:space="0" w:color="000000"/>
            </w:tcBorders>
          </w:tcPr>
          <w:p>
            <w:pPr>
              <w:pStyle w:val="TableParagraph"/>
              <w:spacing w:line="302"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z w:val="18"/>
                <w:szCs w:val="18"/>
              </w:rPr>
              <w:t> 过。</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2" w:type="dxa"/>
            <w:vMerge/>
            <w:tcBorders>
              <w:left w:val="single" w:sz="6" w:space="0" w:color="000000"/>
              <w:bottom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z w:val="18"/>
                <w:szCs w:val="18"/>
              </w:rPr>
              <w:t> 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1"/>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2" w:type="dxa"/>
            <w:vMerge/>
            <w:tcBorders>
              <w:left w:val="single" w:sz="6" w:space="0" w:color="000000"/>
              <w:bottom w:val="single" w:sz="6" w:space="0" w:color="000000"/>
              <w:right w:val="single" w:sz="6" w:space="0" w:color="000000"/>
            </w:tcBorders>
          </w:tcPr>
          <w:p>
            <w:pPr/>
          </w:p>
        </w:tc>
      </w:tr>
    </w:tbl>
    <w:p>
      <w:pPr>
        <w:pStyle w:val="BodyText"/>
        <w:spacing w:line="326" w:lineRule="auto" w:before="69"/>
        <w:ind w:right="0"/>
        <w:jc w:val="left"/>
      </w:pPr>
      <w:r>
        <w:rPr>
          <w:rFonts w:ascii="Times New Roman" w:hAnsi="Times New Roman" w:cs="Times New Roman" w:eastAsia="Times New Roman" w:hint="default"/>
        </w:rPr>
        <w:t>1</w:t>
      </w:r>
      <w:r>
        <w:rPr/>
        <w:t>、关于股东与股东大会 </w:t>
      </w:r>
      <w:r>
        <w:rPr>
          <w:spacing w:val="-2"/>
        </w:rPr>
        <w:t>公司严格遵守法律法规，按程序召集、召开股东大会。股东大会的召集、召开程序、出席股东大会的人员资格及股东大会的</w:t>
      </w:r>
      <w:r>
        <w:rPr>
          <w:spacing w:val="-66"/>
        </w:rPr>
        <w:t> </w:t>
      </w:r>
      <w:r>
        <w:rPr>
          <w:spacing w:val="-66"/>
        </w:rPr>
      </w:r>
      <w:r>
        <w:rPr>
          <w:spacing w:val="-2"/>
        </w:rPr>
        <w:t>表决程序均符合《公司法》、《公司章程》及其他法律法规的规定，能够确保全体股东尤其是中小股东享有平等地位，充分</w:t>
      </w:r>
      <w:r>
        <w:rPr>
          <w:spacing w:val="-70"/>
        </w:rPr>
        <w:t> </w:t>
      </w:r>
      <w:r>
        <w:rPr>
          <w:spacing w:val="-70"/>
        </w:rPr>
      </w:r>
      <w:r>
        <w:rPr/>
        <w:t>行使自己的权利。报告期内召开的股东大会均由公司董事会召集召开，并邀请律师进行现场见证。</w:t>
      </w:r>
    </w:p>
    <w:p>
      <w:pPr>
        <w:spacing w:after="0" w:line="32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24" w:lineRule="auto" w:before="44"/>
        <w:ind w:left="153" w:right="0"/>
        <w:jc w:val="left"/>
      </w:pPr>
      <w:r>
        <w:rPr>
          <w:rFonts w:ascii="Times New Roman" w:hAnsi="Times New Roman" w:cs="Times New Roman" w:eastAsia="Times New Roman" w:hint="default"/>
        </w:rPr>
        <w:t>2</w:t>
      </w:r>
      <w:r>
        <w:rPr/>
        <w:t>、关于公司与控股股东 </w:t>
      </w:r>
      <w:r>
        <w:rPr>
          <w:spacing w:val="-2"/>
        </w:rPr>
        <w:t>公司在业务、人员、资产、机构、财务等方面与控股股东相互独立，公司董事会、监事会和内部机构独立运作，公司的重大</w:t>
      </w:r>
      <w:r>
        <w:rPr>
          <w:spacing w:val="-72"/>
        </w:rPr>
        <w:t> </w:t>
      </w:r>
      <w:r>
        <w:rPr>
          <w:spacing w:val="-72"/>
        </w:rPr>
      </w:r>
      <w:r>
        <w:rPr>
          <w:spacing w:val="-2"/>
        </w:rPr>
        <w:t>决策由股东大会依法做出，控股股东依法行使股东权利，没有超越公司股东大会直接或者间接干预公司的决策和经营活动行</w:t>
      </w:r>
      <w:r>
        <w:rPr>
          <w:spacing w:val="-64"/>
        </w:rPr>
        <w:t> </w:t>
      </w:r>
      <w:r>
        <w:rPr>
          <w:spacing w:val="-64"/>
        </w:rPr>
      </w:r>
      <w:r>
        <w:rPr/>
        <w:t>为。本报告期内，不存在控股股东占用公司资金的现象，也不存在公司为控股股东及其子公司提供担保的行为。</w:t>
      </w:r>
    </w:p>
    <w:p>
      <w:pPr>
        <w:pStyle w:val="BodyText"/>
        <w:spacing w:line="319" w:lineRule="auto" w:before="54"/>
        <w:ind w:left="153" w:right="0"/>
        <w:jc w:val="left"/>
      </w:pPr>
      <w:r>
        <w:rPr>
          <w:rFonts w:ascii="Times New Roman" w:hAnsi="Times New Roman" w:cs="Times New Roman" w:eastAsia="Times New Roman" w:hint="default"/>
        </w:rPr>
        <w:t>3</w:t>
      </w:r>
      <w:r>
        <w:rPr/>
        <w:t>、关于董事与董事会 </w:t>
      </w:r>
      <w:r>
        <w:rPr>
          <w:spacing w:val="-2"/>
        </w:rPr>
        <w:t>公司严格按照法律法规和《公司章程》规定选举董事：董事会目前人数</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人，人数和人员构成符合法律法</w:t>
      </w:r>
      <w:r>
        <w:rPr>
          <w:spacing w:val="-64"/>
        </w:rPr>
        <w:t> </w:t>
      </w:r>
      <w:r>
        <w:rPr>
          <w:spacing w:val="-64"/>
        </w:rPr>
      </w:r>
      <w:r>
        <w:rPr>
          <w:spacing w:val="-2"/>
        </w:rPr>
        <w:t>规和《公司章程》的要求。公司董事会设立了审计委员会、提名委员会、薪酬与考核委员会和发展战略委员会，为董事会的</w:t>
      </w:r>
      <w:r>
        <w:rPr>
          <w:spacing w:val="-67"/>
        </w:rPr>
        <w:t> </w:t>
      </w:r>
      <w:r>
        <w:rPr>
          <w:spacing w:val="-67"/>
        </w:rPr>
      </w:r>
      <w:r>
        <w:rPr>
          <w:spacing w:val="-2"/>
        </w:rPr>
        <w:t>决策提供专业意见。公司全体董事能够依据《董事会议事规则》、《独立董事制度》等制度开展工作。公司三名独立董事在</w:t>
      </w:r>
      <w:r>
        <w:rPr>
          <w:spacing w:val="-70"/>
        </w:rPr>
        <w:t> </w:t>
      </w:r>
      <w:r>
        <w:rPr>
          <w:spacing w:val="-70"/>
        </w:rPr>
      </w:r>
      <w:r>
        <w:rPr/>
        <w:t>工作中保持充分的独立性，认真审议各项议案，对有关事项发表了独立意见，切实维护了公司和中小股东的利益。</w:t>
      </w:r>
    </w:p>
    <w:p>
      <w:pPr>
        <w:pStyle w:val="BodyText"/>
        <w:spacing w:line="319" w:lineRule="auto" w:before="56"/>
        <w:ind w:left="153" w:right="1123"/>
        <w:jc w:val="left"/>
      </w:pPr>
      <w:r>
        <w:rPr>
          <w:rFonts w:ascii="Times New Roman" w:hAnsi="Times New Roman" w:cs="Times New Roman" w:eastAsia="Times New Roman" w:hint="default"/>
        </w:rPr>
        <w:t>4</w:t>
      </w:r>
      <w:r>
        <w:rPr/>
        <w:t>、关于监事和监事会 公司监事会由</w:t>
      </w:r>
      <w:r>
        <w:rPr>
          <w:rFonts w:ascii="Times New Roman" w:hAnsi="Times New Roman" w:cs="Times New Roman" w:eastAsia="Times New Roman" w:hint="default"/>
        </w:rPr>
        <w:t>3</w:t>
      </w:r>
      <w:r>
        <w:rPr/>
        <w:t>名监事组成，监事人数和人员构成符合法律、法规及《公司章程》的要求。报告期内，公司监事会按照《监 </w:t>
      </w:r>
      <w:r>
        <w:rPr>
          <w:spacing w:val="-2"/>
        </w:rPr>
        <w:t>事会议事规则》和有关法律、法规的规定履行职责，本着对股东负责的态度，对公司经营运作、财务状况以及公司董事、经</w:t>
      </w:r>
      <w:r>
        <w:rPr>
          <w:spacing w:val="-67"/>
        </w:rPr>
        <w:t> </w:t>
      </w:r>
      <w:r>
        <w:rPr>
          <w:spacing w:val="-67"/>
        </w:rPr>
      </w:r>
      <w:r>
        <w:rPr/>
        <w:t>理和其他管理人员履行职责的合法合规性进行监督，维护了公司及股东的权益。</w:t>
      </w:r>
    </w:p>
    <w:p>
      <w:pPr>
        <w:pStyle w:val="BodyText"/>
        <w:spacing w:line="240" w:lineRule="auto" w:before="56"/>
        <w:ind w:left="153" w:right="0"/>
        <w:jc w:val="left"/>
      </w:pPr>
      <w:r>
        <w:rPr/>
        <w:t>公司治理与《公司法》和中国证监会相关规定的要求是否存在差异</w:t>
      </w:r>
    </w:p>
    <w:p>
      <w:pPr>
        <w:pStyle w:val="BodyText"/>
        <w:spacing w:line="360" w:lineRule="auto" w:before="116"/>
        <w:ind w:left="153" w:right="5533"/>
        <w:jc w:val="left"/>
      </w:pPr>
      <w:r>
        <w:rPr/>
        <w:t>□ 是 √ 否 公司治理与《公司法》和中国证监会相关规定的要求不存在差异。</w:t>
      </w:r>
    </w:p>
    <w:p>
      <w:pPr>
        <w:pStyle w:val="BodyText"/>
        <w:spacing w:line="240" w:lineRule="auto" w:before="26"/>
        <w:ind w:left="153" w:right="0"/>
        <w:jc w:val="left"/>
      </w:pPr>
      <w:r>
        <w:rPr/>
        <w:t>公司治理专项活动开展情况以及内幕信息知情人登记管理制度的制定、实施情况</w:t>
      </w:r>
    </w:p>
    <w:p>
      <w:pPr>
        <w:pStyle w:val="BodyText"/>
        <w:spacing w:line="300" w:lineRule="auto" w:before="115"/>
        <w:ind w:left="153" w:right="1131" w:firstLine="360"/>
        <w:jc w:val="both"/>
      </w:pPr>
      <w:r>
        <w:rPr>
          <w:rFonts w:ascii="Times New Roman" w:hAnsi="Times New Roman" w:cs="Times New Roman" w:eastAsia="Times New Roman" w:hint="default"/>
        </w:rPr>
        <w:t>2012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 </w:t>
      </w:r>
      <w:r>
        <w:rPr>
          <w:spacing w:val="-3"/>
        </w:rPr>
        <w:t>日，经公司第一届董事会第十次会议审议通过了《内幕知情人管理制度》，并于</w:t>
      </w:r>
      <w:r>
        <w:rPr>
          <w:spacing w:val="-44"/>
        </w:rPr>
        <w:t> </w:t>
      </w:r>
      <w:r>
        <w:rPr>
          <w:rFonts w:ascii="Times New Roman" w:hAnsi="Times New Roman" w:cs="Times New Roman" w:eastAsia="Times New Roman" w:hint="default"/>
        </w:rPr>
        <w:t>2012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日刊登 </w:t>
      </w:r>
      <w:r>
        <w:rPr>
          <w:spacing w:val="-2"/>
          <w:w w:val="99"/>
        </w:rPr>
        <w:t>于公司指定信息披露媒体巨潮资讯网（</w:t>
      </w:r>
      <w:hyperlink r:id="rId12">
        <w:r>
          <w:rPr>
            <w:rFonts w:ascii="Times New Roman" w:hAnsi="Times New Roman" w:cs="Times New Roman" w:eastAsia="Times New Roman" w:hint="default"/>
            <w:spacing w:val="-2"/>
            <w:w w:val="99"/>
          </w:rPr>
          <w:t>www.cninfo.com.cn</w:t>
        </w:r>
      </w:hyperlink>
      <w:r>
        <w:rPr>
          <w:spacing w:val="-2"/>
          <w:w w:val="99"/>
        </w:rPr>
        <w:t>）。报告期内公司严格按照制度执行，认真做好内幕知情人的等级</w:t>
      </w:r>
      <w:r>
        <w:rPr>
          <w:spacing w:val="-76"/>
          <w:w w:val="99"/>
        </w:rPr>
        <w:t> </w:t>
      </w:r>
      <w:r>
        <w:rPr>
          <w:spacing w:val="-76"/>
          <w:w w:val="99"/>
        </w:rPr>
      </w:r>
      <w:r>
        <w:rPr/>
        <w:t>备案工作。</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报告期内召开的年度股东大会和临时股东大会的有关情况" w:id="110"/>
      <w:bookmarkEnd w:id="110"/>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11"/>
      <w:bookmarkEnd w:id="11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left="0" w:right="1148"/>
        <w:jc w:val="right"/>
      </w:pPr>
      <w:r>
        <w:rPr/>
        <w:pict>
          <v:shape style="position:absolute;margin-left:56.459999pt;margin-top:-85.518295pt;width:479.1pt;height:196.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 </w:t>
                        </w:r>
                        <w:r>
                          <w:rPr>
                            <w:rFonts w:ascii="宋体" w:hAnsi="宋体" w:cs="宋体" w:eastAsia="宋体" w:hint="default"/>
                            <w:spacing w:val="-12"/>
                            <w:sz w:val="18"/>
                            <w:szCs w:val="18"/>
                          </w:rPr>
                          <w:t>告及报告摘要》、</w:t>
                        </w:r>
                      </w:p>
                      <w:p>
                        <w:pPr>
                          <w:pStyle w:val="TableParagraph"/>
                          <w:spacing w:line="300" w:lineRule="auto" w:before="28"/>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 </w:t>
                        </w:r>
                        <w:r>
                          <w:rPr>
                            <w:rFonts w:ascii="宋体" w:hAnsi="宋体" w:cs="宋体" w:eastAsia="宋体" w:hint="default"/>
                            <w:spacing w:val="-18"/>
                            <w:sz w:val="18"/>
                            <w:szCs w:val="18"/>
                          </w:rPr>
                          <w:t>算报告》、《</w:t>
                        </w:r>
                        <w:r>
                          <w:rPr>
                            <w:rFonts w:ascii="Times New Roman" w:hAnsi="Times New Roman" w:cs="Times New Roman" w:eastAsia="Times New Roman" w:hint="default"/>
                            <w:spacing w:val="-18"/>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度利润分配预案》、</w:t>
                        </w:r>
                      </w:p>
                      <w:p>
                        <w:pPr>
                          <w:pStyle w:val="TableParagraph"/>
                          <w:spacing w:line="309" w:lineRule="auto" w:before="31"/>
                          <w:ind w:left="23" w:right="75"/>
                          <w:jc w:val="left"/>
                          <w:rPr>
                            <w:rFonts w:ascii="宋体" w:hAnsi="宋体" w:cs="宋体" w:eastAsia="宋体" w:hint="default"/>
                            <w:sz w:val="18"/>
                            <w:szCs w:val="18"/>
                          </w:rPr>
                        </w:pPr>
                        <w:r>
                          <w:rPr>
                            <w:rFonts w:ascii="宋体" w:hAnsi="宋体" w:cs="宋体" w:eastAsia="宋体" w:hint="default"/>
                            <w:sz w:val="18"/>
                            <w:szCs w:val="18"/>
                          </w:rPr>
                          <w:t>《关于续聘公司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9" w:lineRule="auto"/>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所有议案决议情况 均如下：同意 </w:t>
                        </w:r>
                        <w:r>
                          <w:rPr>
                            <w:rFonts w:ascii="Times New Roman" w:hAnsi="Times New Roman" w:cs="Times New Roman" w:eastAsia="Times New Roman" w:hint="default"/>
                            <w:sz w:val="18"/>
                            <w:szCs w:val="18"/>
                          </w:rPr>
                          <w:t>61950000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 席会议的股东所持 表决权的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；反</w:t>
                        </w:r>
                        <w:r>
                          <w:rPr>
                            <w:rFonts w:ascii="宋体" w:hAnsi="宋体" w:cs="宋体" w:eastAsia="宋体" w:hint="default"/>
                            <w:spacing w:val="-8"/>
                            <w:sz w:val="18"/>
                            <w:szCs w:val="18"/>
                          </w:rPr>
                          <w:t> </w:t>
                        </w: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12"/>
                            <w:sz w:val="18"/>
                            <w:szCs w:val="18"/>
                          </w:rPr>
                          <w:t>股，占出席会议</w:t>
                        </w:r>
                        <w:r>
                          <w:rPr>
                            <w:rFonts w:ascii="宋体" w:hAnsi="宋体" w:cs="宋体" w:eastAsia="宋体" w:hint="default"/>
                            <w:sz w:val="18"/>
                            <w:szCs w:val="18"/>
                          </w:rPr>
                          <w:t> 的股东所持表决权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 占出席会议的股东 所持表决权的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2014-018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1"/>
                          <w:ind w:left="23" w:right="119"/>
                          <w:jc w:val="left"/>
                          <w:rPr>
                            <w:rFonts w:ascii="宋体" w:hAnsi="宋体" w:cs="宋体" w:eastAsia="宋体" w:hint="default"/>
                            <w:sz w:val="18"/>
                            <w:szCs w:val="18"/>
                          </w:rPr>
                        </w:pPr>
                        <w:r>
                          <w:rPr>
                            <w:rFonts w:ascii="宋体" w:hAnsi="宋体" w:cs="宋体" w:eastAsia="宋体" w:hint="default"/>
                            <w:sz w:val="18"/>
                            <w:szCs w:val="18"/>
                          </w:rPr>
                          <w:t>股东大会决议公告 巨潮资讯</w:t>
                        </w:r>
                      </w:p>
                      <w:p>
                        <w:pPr>
                          <w:pStyle w:val="TableParagraph"/>
                          <w:spacing w:line="302" w:lineRule="auto" w:before="19"/>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right="0"/>
        <w:jc w:val="left"/>
        <w:rPr>
          <w:b w:val="0"/>
          <w:bCs w:val="0"/>
        </w:rPr>
      </w:pPr>
      <w:bookmarkStart w:name="2、本报告期临时股东大会情况" w:id="112"/>
      <w:bookmarkEnd w:id="11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《关于增补傅争光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所有议案决议情况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2014-027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7.339996pt;margin-top:506.019989pt;width:76.95pt;height:31.2pt;mso-position-horizontal-relative:page;mso-position-vertical-relative:page;z-index:-846064" coordorigin="5947,10120" coordsize="1539,624">
            <v:group style="position:absolute;left:5947;top:10120;width:1539;height:312" coordorigin="5947,10120" coordsize="1539,312">
              <v:shape style="position:absolute;left:5947;top:10120;width:1539;height:312" coordorigin="5947,10120" coordsize="1539,312" path="m5947,10432l7485,10432,7485,10120,5947,10120,5947,10432xe" filled="true" fillcolor="#ffffff" stroked="false">
                <v:path arrowok="t"/>
                <v:fill type="solid"/>
              </v:shape>
            </v:group>
            <v:group style="position:absolute;left:5947;top:10432;width:1539;height:312" coordorigin="5947,10432" coordsize="1539,312">
              <v:shape style="position:absolute;left:5947;top:10432;width:1539;height:312" coordorigin="5947,10432" coordsize="1539,312" path="m5947,10744l7485,10744,7485,10432,5947,10432,5947,107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先生为公司第二届 董事会独立董事的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均如下：同意 </w:t>
            </w:r>
            <w:r>
              <w:rPr>
                <w:rFonts w:ascii="Times New Roman" w:hAnsi="Times New Roman" w:cs="Times New Roman" w:eastAsia="Times New Roman" w:hint="default"/>
                <w:sz w:val="18"/>
                <w:szCs w:val="18"/>
              </w:rPr>
              <w:t>61950000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 席会议的股东所持 表决权的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；反</w:t>
            </w:r>
            <w:r>
              <w:rPr>
                <w:rFonts w:ascii="宋体" w:hAnsi="宋体" w:cs="宋体" w:eastAsia="宋体" w:hint="default"/>
                <w:spacing w:val="-8"/>
                <w:sz w:val="18"/>
                <w:szCs w:val="18"/>
              </w:rPr>
              <w:t> </w:t>
            </w: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12"/>
                <w:sz w:val="18"/>
                <w:szCs w:val="18"/>
              </w:rPr>
              <w:t>股，占出席会议</w:t>
            </w:r>
            <w:r>
              <w:rPr>
                <w:rFonts w:ascii="宋体" w:hAnsi="宋体" w:cs="宋体" w:eastAsia="宋体" w:hint="default"/>
                <w:sz w:val="18"/>
                <w:szCs w:val="18"/>
              </w:rPr>
              <w:t> 的股东所持表决权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 占出席会议的股东 所持表决权的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一次临时股东大会 决议公告。巨潮资</w:t>
            </w:r>
          </w:p>
          <w:p>
            <w:pPr>
              <w:pStyle w:val="TableParagraph"/>
              <w:spacing w:line="302" w:lineRule="auto" w:before="19"/>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6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《关于公司前次募 集资金使用情况报 </w:t>
            </w:r>
            <w:r>
              <w:rPr>
                <w:rFonts w:ascii="宋体" w:hAnsi="宋体" w:cs="宋体" w:eastAsia="宋体" w:hint="default"/>
                <w:spacing w:val="-27"/>
                <w:sz w:val="18"/>
                <w:szCs w:val="18"/>
              </w:rPr>
              <w:t>告的议案》、《关于公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司符合非公开发行 </w:t>
            </w:r>
            <w:r>
              <w:rPr>
                <w:rFonts w:ascii="宋体" w:hAnsi="宋体" w:cs="宋体" w:eastAsia="宋体" w:hint="default"/>
                <w:spacing w:val="-10"/>
                <w:sz w:val="18"/>
                <w:szCs w:val="18"/>
              </w:rPr>
              <w:t>股票条件的议案》、</w:t>
            </w:r>
          </w:p>
          <w:p>
            <w:pPr>
              <w:pStyle w:val="TableParagraph"/>
              <w:spacing w:line="316" w:lineRule="auto" w:before="19"/>
              <w:ind w:left="23" w:right="14"/>
              <w:jc w:val="left"/>
              <w:rPr>
                <w:rFonts w:ascii="宋体" w:hAnsi="宋体" w:cs="宋体" w:eastAsia="宋体" w:hint="default"/>
                <w:sz w:val="18"/>
                <w:szCs w:val="18"/>
              </w:rPr>
            </w:pPr>
            <w:r>
              <w:rPr>
                <w:rFonts w:ascii="宋体" w:hAnsi="宋体" w:cs="宋体" w:eastAsia="宋体" w:hint="default"/>
                <w:sz w:val="18"/>
                <w:szCs w:val="18"/>
              </w:rPr>
              <w:t>《关于公司本次非 公开发行股票方案 </w:t>
            </w:r>
            <w:r>
              <w:rPr>
                <w:rFonts w:ascii="宋体" w:hAnsi="宋体" w:cs="宋体" w:eastAsia="宋体" w:hint="default"/>
                <w:spacing w:val="-27"/>
                <w:sz w:val="18"/>
                <w:szCs w:val="18"/>
              </w:rPr>
              <w:t>的议案》、《关于公司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本次非公开发行股 </w:t>
            </w:r>
            <w:r>
              <w:rPr>
                <w:rFonts w:ascii="宋体" w:hAnsi="宋体" w:cs="宋体" w:eastAsia="宋体" w:hint="default"/>
                <w:spacing w:val="-27"/>
                <w:sz w:val="18"/>
                <w:szCs w:val="18"/>
              </w:rPr>
              <w:t>票预案的议案》、《关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于公司本次非公开 发行方案涉及关联 </w:t>
            </w:r>
            <w:r>
              <w:rPr>
                <w:rFonts w:ascii="宋体" w:hAnsi="宋体" w:cs="宋体" w:eastAsia="宋体" w:hint="default"/>
                <w:spacing w:val="-10"/>
                <w:sz w:val="18"/>
                <w:szCs w:val="18"/>
              </w:rPr>
              <w:t>交易事项的议案》、</w:t>
            </w:r>
          </w:p>
          <w:p>
            <w:pPr>
              <w:pStyle w:val="TableParagraph"/>
              <w:spacing w:line="316" w:lineRule="auto" w:before="19"/>
              <w:ind w:left="23" w:right="24"/>
              <w:jc w:val="both"/>
              <w:rPr>
                <w:rFonts w:ascii="宋体" w:hAnsi="宋体" w:cs="宋体" w:eastAsia="宋体" w:hint="default"/>
                <w:sz w:val="18"/>
                <w:szCs w:val="18"/>
              </w:rPr>
            </w:pPr>
            <w:r>
              <w:rPr>
                <w:rFonts w:ascii="宋体" w:hAnsi="宋体" w:cs="宋体" w:eastAsia="宋体" w:hint="default"/>
                <w:sz w:val="18"/>
                <w:szCs w:val="18"/>
              </w:rPr>
              <w:t>《关于公司本次非 公开发行股票募集 资金运用的可行性 </w:t>
            </w:r>
            <w:r>
              <w:rPr>
                <w:rFonts w:ascii="宋体" w:hAnsi="宋体" w:cs="宋体" w:eastAsia="宋体" w:hint="default"/>
                <w:spacing w:val="-10"/>
                <w:sz w:val="18"/>
                <w:szCs w:val="18"/>
              </w:rPr>
              <w:t>研究报告的议案》、</w:t>
            </w:r>
          </w:p>
          <w:p>
            <w:pPr>
              <w:pStyle w:val="TableParagraph"/>
              <w:spacing w:line="316" w:lineRule="auto" w:before="19"/>
              <w:ind w:left="23" w:right="14"/>
              <w:jc w:val="left"/>
              <w:rPr>
                <w:rFonts w:ascii="宋体" w:hAnsi="宋体" w:cs="宋体" w:eastAsia="宋体" w:hint="default"/>
                <w:sz w:val="18"/>
                <w:szCs w:val="18"/>
              </w:rPr>
            </w:pPr>
            <w:r>
              <w:rPr>
                <w:rFonts w:ascii="宋体" w:hAnsi="宋体" w:cs="宋体" w:eastAsia="宋体" w:hint="default"/>
                <w:sz w:val="18"/>
                <w:szCs w:val="18"/>
              </w:rPr>
              <w:t>《关于公司与本次 非公开发行对象签 署〈股份认购协议 </w:t>
            </w:r>
            <w:r>
              <w:rPr>
                <w:rFonts w:ascii="宋体" w:hAnsi="宋体" w:cs="宋体" w:eastAsia="宋体" w:hint="default"/>
                <w:spacing w:val="-27"/>
                <w:sz w:val="18"/>
                <w:szCs w:val="18"/>
              </w:rPr>
              <w:t>的议案》、《关于提请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股东大会授权董事 会全权办理本次非 公开发行相关事项 </w:t>
            </w:r>
            <w:r>
              <w:rPr>
                <w:rFonts w:ascii="宋体" w:hAnsi="宋体" w:cs="宋体" w:eastAsia="宋体" w:hint="default"/>
                <w:spacing w:val="-27"/>
                <w:sz w:val="18"/>
                <w:szCs w:val="18"/>
              </w:rPr>
              <w:t>的议案》、《关于制定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〈公司未来三年</w:t>
            </w:r>
          </w:p>
          <w:p>
            <w:pPr>
              <w:pStyle w:val="TableParagraph"/>
              <w:spacing w:line="316" w:lineRule="auto" w:before="76"/>
              <w:ind w:left="23"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年）股</w:t>
            </w:r>
            <w:r>
              <w:rPr>
                <w:rFonts w:ascii="宋体" w:hAnsi="宋体" w:cs="宋体" w:eastAsia="宋体" w:hint="default"/>
                <w:sz w:val="18"/>
                <w:szCs w:val="18"/>
              </w:rPr>
              <w:t> 东回报规划〉的议 </w:t>
            </w:r>
            <w:r>
              <w:rPr>
                <w:rFonts w:ascii="宋体" w:hAnsi="宋体" w:cs="宋体" w:eastAsia="宋体" w:hint="default"/>
                <w:spacing w:val="-27"/>
                <w:sz w:val="18"/>
                <w:szCs w:val="18"/>
              </w:rPr>
              <w:t>案》、《关于修改公司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章程的议案》、《关于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修改股东大会议事 </w:t>
            </w:r>
            <w:r>
              <w:rPr>
                <w:rFonts w:ascii="宋体" w:hAnsi="宋体" w:cs="宋体" w:eastAsia="宋体" w:hint="default"/>
                <w:spacing w:val="-27"/>
                <w:sz w:val="18"/>
                <w:szCs w:val="18"/>
              </w:rPr>
              <w:t>规则的议案》、《关于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增补公司董事的议 案》</w:t>
            </w:r>
          </w:p>
        </w:tc>
        <w:tc>
          <w:tcPr>
            <w:tcW w:w="15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4"/>
              <w:ind w:left="16"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其中议案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关联 </w:t>
            </w:r>
            <w:r>
              <w:rPr>
                <w:rFonts w:ascii="宋体" w:hAnsi="宋体" w:cs="宋体" w:eastAsia="宋体" w:hint="default"/>
                <w:spacing w:val="-10"/>
                <w:sz w:val="18"/>
                <w:szCs w:val="18"/>
              </w:rPr>
              <w:t>股东回避表决，其所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持有表决权的股份 不计入有效表决权 </w:t>
            </w:r>
            <w:r>
              <w:rPr>
                <w:rFonts w:ascii="宋体" w:hAnsi="宋体" w:cs="宋体" w:eastAsia="宋体" w:hint="default"/>
                <w:spacing w:val="-10"/>
                <w:sz w:val="18"/>
                <w:szCs w:val="18"/>
              </w:rPr>
              <w:t>的股份总数，中小投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资者表决单独计票 的情况为</w:t>
            </w:r>
            <w:r>
              <w:rPr>
                <w:rFonts w:ascii="Times New Roman" w:hAnsi="Times New Roman" w:cs="Times New Roman" w:eastAsia="Times New Roman" w:hint="default"/>
                <w:sz w:val="18"/>
                <w:szCs w:val="18"/>
              </w:rPr>
              <w:t>:</w:t>
            </w:r>
            <w:r>
              <w:rPr>
                <w:rFonts w:ascii="宋体" w:hAnsi="宋体" w:cs="宋体" w:eastAsia="宋体" w:hint="default"/>
                <w:sz w:val="18"/>
                <w:szCs w:val="18"/>
              </w:rPr>
              <w:t>同意 </w:t>
            </w:r>
            <w:r>
              <w:rPr>
                <w:rFonts w:ascii="Times New Roman" w:hAnsi="Times New Roman" w:cs="Times New Roman" w:eastAsia="Times New Roman" w:hint="default"/>
                <w:sz w:val="18"/>
                <w:szCs w:val="18"/>
              </w:rPr>
              <w:t>1,557,400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反对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p>
          <w:p>
            <w:pPr>
              <w:pStyle w:val="TableParagraph"/>
              <w:spacing w:line="309" w:lineRule="auto" w:before="3"/>
              <w:ind w:left="16" w:right="2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pacing w:val="-28"/>
                <w:sz w:val="18"/>
                <w:szCs w:val="18"/>
              </w:rPr>
              <w:t>股，同</w:t>
            </w:r>
            <w:r>
              <w:rPr>
                <w:rFonts w:ascii="宋体" w:hAnsi="宋体" w:cs="宋体" w:eastAsia="宋体" w:hint="default"/>
                <w:sz w:val="18"/>
                <w:szCs w:val="18"/>
              </w:rPr>
              <w:t> 意股数占出席会议 中小投资者有效表</w:t>
            </w:r>
          </w:p>
          <w:p>
            <w:pPr>
              <w:pStyle w:val="TableParagraph"/>
              <w:spacing w:line="196" w:lineRule="exact" w:before="24"/>
              <w:ind w:left="16" w:right="0"/>
              <w:jc w:val="left"/>
              <w:rPr>
                <w:rFonts w:ascii="宋体" w:hAnsi="宋体" w:cs="宋体" w:eastAsia="宋体" w:hint="default"/>
                <w:sz w:val="18"/>
                <w:szCs w:val="18"/>
              </w:rPr>
            </w:pPr>
            <w:r>
              <w:rPr>
                <w:rFonts w:ascii="宋体" w:hAnsi="宋体" w:cs="宋体" w:eastAsia="宋体" w:hint="default"/>
                <w:sz w:val="18"/>
                <w:szCs w:val="18"/>
              </w:rPr>
              <w:t>决权总数的</w:t>
            </w:r>
          </w:p>
          <w:p>
            <w:pPr>
              <w:pStyle w:val="TableParagraph"/>
              <w:spacing w:line="15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99.9102%</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议案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137,847,400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pStyle w:val="TableParagraph"/>
              <w:spacing w:line="309"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反对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弃权</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同意股数占出席 会议所有股东所持 有效表决权的 </w:t>
            </w:r>
            <w:r>
              <w:rPr>
                <w:rFonts w:ascii="Times New Roman" w:hAnsi="Times New Roman" w:cs="Times New Roman" w:eastAsia="Times New Roman" w:hint="default"/>
                <w:sz w:val="18"/>
                <w:szCs w:val="18"/>
              </w:rPr>
              <w:t>99.9990%</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2014-047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6" w:lineRule="auto" w:before="61"/>
              <w:ind w:left="23" w:right="119"/>
              <w:jc w:val="left"/>
              <w:rPr>
                <w:rFonts w:ascii="宋体" w:hAnsi="宋体" w:cs="宋体" w:eastAsia="宋体" w:hint="default"/>
                <w:sz w:val="18"/>
                <w:szCs w:val="18"/>
              </w:rPr>
            </w:pPr>
            <w:r>
              <w:rPr>
                <w:rFonts w:ascii="宋体" w:hAnsi="宋体" w:cs="宋体" w:eastAsia="宋体" w:hint="default"/>
                <w:sz w:val="18"/>
                <w:szCs w:val="18"/>
              </w:rPr>
              <w:t>一次临时股东大会 决议公告。巨潮资</w:t>
            </w:r>
          </w:p>
          <w:p>
            <w:pPr>
              <w:pStyle w:val="TableParagraph"/>
              <w:spacing w:line="302" w:lineRule="auto" w:before="19"/>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3、表决权恢夊的优先股股东请求召开临时股东大会" w:id="113"/>
      <w:bookmarkEnd w:id="11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三、报告期内独立董事履行职责的情况" w:id="114"/>
      <w:bookmarkEnd w:id="114"/>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15"/>
      <w:bookmarkEnd w:id="11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16"/>
      <w:bookmarkEnd w:id="11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6"/>
        <w:ind w:left="153" w:right="6973"/>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独立董事履行职责的其他说明" w:id="117"/>
      <w:bookmarkEnd w:id="11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独立董事对公司有关建议是否被采纳</w:t>
      </w:r>
    </w:p>
    <w:p>
      <w:pPr>
        <w:pStyle w:val="BodyText"/>
        <w:spacing w:line="357" w:lineRule="auto" w:before="116"/>
        <w:ind w:left="153" w:right="6793"/>
        <w:jc w:val="left"/>
      </w:pPr>
      <w:r>
        <w:rPr/>
        <w:t>√ 是 □ 否 独立董事对公司有关建议被采纳或未被采纳的说明</w:t>
      </w:r>
    </w:p>
    <w:p>
      <w:pPr>
        <w:pStyle w:val="BodyText"/>
        <w:spacing w:line="309" w:lineRule="auto" w:before="28"/>
        <w:ind w:left="153" w:right="0" w:firstLine="290"/>
        <w:jc w:val="left"/>
      </w:pPr>
      <w:r>
        <w:rPr>
          <w:rFonts w:ascii="Times New Roman" w:hAnsi="Times New Roman" w:cs="Times New Roman" w:eastAsia="Times New Roman" w:hint="default"/>
        </w:rPr>
        <w:t>2014</w:t>
      </w:r>
      <w:r>
        <w:rPr/>
        <w:t>年度，独立董事对公司进行了多次现场考察，了解公司的生产经营情况、内部控制和财务状况；与公司其他董事、 </w:t>
      </w:r>
      <w:r>
        <w:rPr>
          <w:spacing w:val="-4"/>
        </w:rPr>
        <w:t>高管人员及相关工作人员保持密切联系，及时获悉公司各重大事项的进展情况，时刻关注外部环境及市场变化对公司的影响，</w:t>
      </w:r>
      <w:r>
        <w:rPr>
          <w:spacing w:val="-44"/>
        </w:rPr>
        <w:t> </w:t>
      </w:r>
      <w:r>
        <w:rPr>
          <w:spacing w:val="-44"/>
        </w:rPr>
      </w:r>
      <w:r>
        <w:rPr/>
        <w:t>积极对公司经营管理提出建议。</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四、董事会下设专门委员会在报告期内履行职责情况" w:id="118"/>
      <w:bookmarkEnd w:id="118"/>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033" w:firstLine="290"/>
        <w:jc w:val="left"/>
      </w:pPr>
      <w:r>
        <w:rPr/>
        <w:t>报告期内，董事会下设专门委员会，各委员在报告期内恪尽职守、诚实守信地履行职责，积极参加董事会和股东大会， 召开相关会议，发挥各自的专业特长、技能和经验，积极地履行职责，切实维护公司及股东特别是社会公众股股东的权益。</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五、监事会工作情况" w:id="119"/>
      <w:bookmarkEnd w:id="11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公司相对于控股股东在业务、人员、资产、机构、财务等方面的独立完整情况" w:id="120"/>
      <w:bookmarkEnd w:id="120"/>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050" w:firstLine="290"/>
        <w:jc w:val="both"/>
      </w:pPr>
      <w:r>
        <w:rPr/>
        <w:t>公司自设立以来，严格按照《公司法》、《证券法》等有关法律、法规和公司章程的要求规范运作，公司与控股股东在 </w:t>
      </w:r>
      <w:r>
        <w:rPr>
          <w:spacing w:val="-2"/>
        </w:rPr>
        <w:t>业务、人员、资产、机构、财务等方面完全分开，具有独立完整的自主经营能力。（一）业务独立情况，公司拥有完整的供</w:t>
      </w:r>
      <w:r>
        <w:rPr>
          <w:spacing w:val="-69"/>
        </w:rPr>
        <w:t> </w:t>
      </w:r>
      <w:r>
        <w:rPr>
          <w:spacing w:val="-69"/>
        </w:rPr>
      </w:r>
      <w:r>
        <w:rPr/>
        <w:t>应、研发、生产和销售体系，具有独立面向市场自主经营的能力，独立开展业务，独立核算和决策，独立承担责任与风险。</w:t>
      </w:r>
    </w:p>
    <w:p>
      <w:pPr>
        <w:pStyle w:val="BodyText"/>
        <w:spacing w:line="319" w:lineRule="auto" w:before="19"/>
        <w:ind w:left="153" w:right="1033"/>
        <w:jc w:val="left"/>
      </w:pPr>
      <w:r>
        <w:rPr>
          <w:spacing w:val="-2"/>
        </w:rPr>
        <w:t>（二）资产完整情况，公司与控股股东产权关系明晰，公司对所有资产有完全的控制支配权，不存在资产、资金被控股股东</w:t>
      </w:r>
      <w:r>
        <w:rPr>
          <w:spacing w:val="-66"/>
        </w:rPr>
        <w:t> </w:t>
      </w:r>
      <w:r>
        <w:rPr>
          <w:spacing w:val="-66"/>
        </w:rPr>
      </w:r>
      <w:r>
        <w:rPr/>
        <w:t>占用而损害公司利益的情况。（三）人员独立情况，公司董事、监事、高级管理人员均严格按照《公司法》、《公司章程》 </w:t>
      </w:r>
      <w:r>
        <w:rPr>
          <w:spacing w:val="-2"/>
        </w:rPr>
        <w:t>的有关规定产生，不存在在股东公司或下属企业兼任除董事、监事以外的执行职务的情况。（四）机构独立情况，公司拥有</w:t>
      </w:r>
      <w:r>
        <w:rPr>
          <w:spacing w:val="-66"/>
        </w:rPr>
        <w:t> </w:t>
      </w:r>
      <w:r>
        <w:rPr>
          <w:spacing w:val="-66"/>
        </w:rPr>
      </w:r>
      <w:r>
        <w:rPr>
          <w:spacing w:val="-2"/>
        </w:rPr>
        <w:t>独立完整的组织机构，建立健全了股东大会、董事会、监事会和总经理等相互约束的法人治理结构。不存在股东公司及其它</w:t>
      </w:r>
      <w:r>
        <w:rPr>
          <w:spacing w:val="-66"/>
        </w:rPr>
        <w:t> </w:t>
      </w:r>
      <w:r>
        <w:rPr>
          <w:spacing w:val="-66"/>
        </w:rPr>
      </w:r>
      <w:r>
        <w:rPr>
          <w:spacing w:val="-2"/>
        </w:rPr>
        <w:t>关联公司干预公司机构设置的情况。（五）财务独立情况，公司设有独立的财务会计部门和内部审计部门，建立了独立的会</w:t>
      </w:r>
      <w:r>
        <w:rPr>
          <w:spacing w:val="-66"/>
        </w:rPr>
        <w:t> </w:t>
      </w:r>
      <w:r>
        <w:rPr>
          <w:spacing w:val="-66"/>
        </w:rPr>
      </w:r>
      <w:r>
        <w:rPr/>
        <w:t>计核算体系和规范的财务管理制度，独立进行财务决策。不存在与股东共用银行账户或者混合纳税现象。</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高级管理人员的考评及激励情况" w:id="121"/>
      <w:bookmarkEnd w:id="121"/>
      <w:r>
        <w:rPr>
          <w:b w:val="0"/>
          <w:bCs w:val="0"/>
        </w:rPr>
      </w:r>
      <w:r>
        <w:rPr/>
        <w:t>七、高级管理人员的考评及激励情况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0" w:firstLine="290"/>
        <w:jc w:val="both"/>
      </w:pPr>
      <w:r>
        <w:rPr>
          <w:spacing w:val="-1"/>
        </w:rPr>
        <w:t>高级管理人员实行年薪制，根据行业薪酬水平，结合经营效益、岗位情况等因素确定。年终对高级管理人员履行职责情</w:t>
      </w:r>
      <w:r>
        <w:rPr/>
        <w:t> 况和年度实际业绩进行考评。</w:t>
      </w:r>
      <w:r>
        <w:rPr>
          <w:rFonts w:ascii="Times New Roman" w:hAnsi="Times New Roman" w:cs="Times New Roman" w:eastAsia="Times New Roman" w:hint="default"/>
        </w:rPr>
        <w:t>2014</w:t>
      </w:r>
      <w:r>
        <w:rPr/>
        <w:t>年度公司未实行股权激励等事项。</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02"/>
        <w:jc w:val="center"/>
        <w:rPr>
          <w:b w:val="0"/>
          <w:bCs w:val="0"/>
        </w:rPr>
      </w:pPr>
      <w:bookmarkStart w:name="第十节 内部控制" w:id="122"/>
      <w:bookmarkEnd w:id="122"/>
      <w:r>
        <w:rPr>
          <w:b w:val="0"/>
          <w:bCs w:val="0"/>
        </w:rPr>
      </w:r>
      <w:bookmarkStart w:name="_bookmark9" w:id="123"/>
      <w:bookmarkEnd w:id="123"/>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24"/>
      <w:bookmarkEnd w:id="124"/>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2" w:firstLine="290"/>
        <w:jc w:val="both"/>
      </w:pPr>
      <w:r>
        <w:rPr>
          <w:spacing w:val="-1"/>
        </w:rPr>
        <w:t>根据《企业内部控制基本规范》、《深圳证券交易所上市公司内部控制指引》以及公司《内部审计工作制度》等有关法</w:t>
      </w:r>
      <w:r>
        <w:rPr/>
        <w:t> </w:t>
      </w:r>
      <w:r>
        <w:rPr>
          <w:spacing w:val="-2"/>
        </w:rPr>
        <w:t>律、法规要求，结合公司自身特点和企业发展需要，按照全面性、重要性、制衡性、成本效益性原则，充分考虑企业内部环</w:t>
      </w:r>
      <w:r>
        <w:rPr>
          <w:spacing w:val="-72"/>
        </w:rPr>
        <w:t> </w:t>
      </w:r>
      <w:r>
        <w:rPr>
          <w:spacing w:val="-72"/>
        </w:rPr>
      </w:r>
      <w:r>
        <w:rPr/>
        <w:t>境、风险评估、控制活动、信息与沟通、内部监督等要素，逐步建立、健全公司内部控制管理体系。</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25"/>
      <w:bookmarkEnd w:id="125"/>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22" w:firstLine="290"/>
        <w:jc w:val="both"/>
      </w:pPr>
      <w:r>
        <w:rPr/>
        <w:t>公司董事会及全体董事保证内部控制相关内容不存在任何虚假记载、误导性陈述或者重大遗漏，并对其内容的真实性、 准确性和完整性承担个别及连带责任。</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126"/>
      <w:bookmarkEnd w:id="126"/>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2" w:firstLine="290"/>
        <w:jc w:val="both"/>
      </w:pPr>
      <w:r>
        <w:rPr>
          <w:spacing w:val="-1"/>
        </w:rPr>
        <w:t>公司依据《会计法》、《企业会计准则》、《企业内部控制基本规范》以及监管部门相关规范性文件，建立了财务报告</w:t>
      </w:r>
      <w:r>
        <w:rPr/>
        <w:t> 内部控制。</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27"/>
      <w:bookmarkEnd w:id="127"/>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日在巨潮资讯网披露的相关公告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28"/>
      <w:bookmarkEnd w:id="128"/>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我们认为，美盛文化公司按照深圳证券交易所《中小企业板上市公司规范运作指引》规定于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详见公司披露的《关于美盛文化创意股份有限公司内部控制审计报告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left="15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年度报告重大差错责任追究制度的建立与执行情况" w:id="129"/>
      <w:bookmarkEnd w:id="129"/>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290"/>
        <w:jc w:val="both"/>
      </w:pPr>
      <w:r>
        <w:rPr>
          <w:spacing w:val="-1"/>
        </w:rPr>
        <w:t>公司董事、监事、高级管理人员以及相关的其他人员在年报信息披露工作中严格执行国家有关法律、规范性文件以及公</w:t>
      </w:r>
      <w:r>
        <w:rPr/>
        <w:t> </w:t>
      </w:r>
      <w:r>
        <w:rPr>
          <w:spacing w:val="-2"/>
        </w:rPr>
        <w:t>司规章制度要求，勤勉尽责并认真对照相关制度的要求，努力提高公司规范运作水平，增强信息披露的真实性、准确性、完</w:t>
      </w:r>
      <w:r>
        <w:rPr>
          <w:spacing w:val="-67"/>
        </w:rPr>
        <w:t> </w:t>
      </w:r>
      <w:r>
        <w:rPr>
          <w:spacing w:val="-67"/>
        </w:rPr>
      </w:r>
      <w:r>
        <w:rPr>
          <w:spacing w:val="-2"/>
        </w:rPr>
        <w:t>整性和及时性，提高年报信息披露的质量和透明度。报告期内，公司严格按照该制度做好年报信息披露工作，未发生重大会</w:t>
      </w:r>
      <w:r>
        <w:rPr>
          <w:spacing w:val="-66"/>
        </w:rPr>
        <w:t> </w:t>
      </w:r>
      <w:r>
        <w:rPr>
          <w:spacing w:val="-66"/>
        </w:rPr>
      </w:r>
      <w:r>
        <w:rPr/>
        <w:t>计差错更正、重大遗漏信息补充等情况。</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30"/>
      <w:bookmarkEnd w:id="130"/>
      <w:r>
        <w:rPr>
          <w:b w:val="0"/>
          <w:bCs w:val="0"/>
        </w:rPr>
      </w:r>
      <w:bookmarkStart w:name="_bookmark10" w:id="131"/>
      <w:bookmarkEnd w:id="13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2"/>
      <w:bookmarkEnd w:id="132"/>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吕苏阳、周小民</w:t>
            </w:r>
          </w:p>
        </w:tc>
      </w:tr>
    </w:tbl>
    <w:p>
      <w:pPr>
        <w:pStyle w:val="BodyText"/>
        <w:spacing w:line="240" w:lineRule="auto" w:before="51"/>
        <w:ind w:left="424" w:right="1400"/>
        <w:jc w:val="center"/>
      </w:pPr>
      <w:r>
        <w:rPr/>
        <w:t>审计报告正文</w:t>
      </w:r>
    </w:p>
    <w:p>
      <w:pPr>
        <w:pStyle w:val="BodyText"/>
        <w:spacing w:line="240" w:lineRule="auto" w:before="116"/>
        <w:ind w:left="153" w:right="0"/>
        <w:jc w:val="left"/>
      </w:pPr>
      <w:r>
        <w:rPr/>
        <w:t>美盛文化创意股份有限公司全体股东：</w:t>
      </w:r>
    </w:p>
    <w:p>
      <w:pPr>
        <w:pStyle w:val="BodyText"/>
        <w:spacing w:line="300" w:lineRule="auto" w:before="76"/>
        <w:ind w:left="153" w:right="1131" w:firstLine="360"/>
        <w:jc w:val="both"/>
      </w:pPr>
      <w:r>
        <w:rPr>
          <w:spacing w:val="-2"/>
        </w:rPr>
        <w:t>我们审计了后附的美盛文化创意股份有限公司（以下简称美盛文化公司）财务报表，包括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年度的合并及母公司利润表、合并及母公司现金流量表、合并及母公司所有者权益变动表，以及财务报</w:t>
      </w:r>
      <w:r>
        <w:rPr>
          <w:spacing w:val="-61"/>
        </w:rPr>
        <w:t> </w:t>
      </w:r>
      <w:r>
        <w:rPr>
          <w:spacing w:val="-61"/>
        </w:rPr>
      </w:r>
      <w:r>
        <w:rPr/>
        <w:t>表附注。</w:t>
      </w:r>
    </w:p>
    <w:p>
      <w:pPr>
        <w:spacing w:line="240" w:lineRule="auto" w:before="3"/>
        <w:rPr>
          <w:rFonts w:ascii="宋体" w:hAnsi="宋体" w:cs="宋体" w:eastAsia="宋体" w:hint="default"/>
          <w:sz w:val="26"/>
          <w:szCs w:val="26"/>
        </w:rPr>
      </w:pPr>
    </w:p>
    <w:p>
      <w:pPr>
        <w:pStyle w:val="BodyText"/>
        <w:spacing w:line="316" w:lineRule="auto"/>
        <w:ind w:left="513" w:right="0"/>
        <w:jc w:val="left"/>
      </w:pPr>
      <w:r>
        <w:rPr/>
        <w:t>一、管理层对财务报表的责任 </w:t>
      </w:r>
      <w:r>
        <w:rPr>
          <w:spacing w:val="-2"/>
        </w:rPr>
        <w:t>编制和公允列报财务报表是美盛文化公司管理层的责任，这种责任包括：（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248" w:lineRule="exact"/>
        <w:ind w:left="153"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9"/>
        <w:ind w:left="153"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w:t>
      </w:r>
    </w:p>
    <w:p>
      <w:pPr>
        <w:pStyle w:val="BodyText"/>
        <w:spacing w:line="240" w:lineRule="auto" w:before="19"/>
        <w:ind w:left="5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3" w:right="1118"/>
        <w:jc w:val="left"/>
        <w:rPr>
          <w:rFonts w:ascii="Times New Roman" w:hAnsi="Times New Roman" w:cs="Times New Roman" w:eastAsia="Times New Roman" w:hint="default"/>
        </w:rPr>
      </w:pPr>
      <w:r>
        <w:rPr/>
        <w:t>三、审计意见 我们认为，美盛文化公司财务报表在所有重大方面按照企业会计准则的规定编制，公允反映了美盛文化公司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p>
    <w:p>
      <w:pPr>
        <w:pStyle w:val="BodyText"/>
        <w:spacing w:line="248" w:lineRule="exact"/>
        <w:ind w:left="153" w:right="0"/>
        <w:jc w:val="left"/>
      </w:pP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tabs>
          <w:tab w:pos="7813" w:val="left" w:leader="none"/>
        </w:tabs>
        <w:spacing w:line="240" w:lineRule="auto"/>
        <w:ind w:left="4543" w:right="0"/>
        <w:jc w:val="left"/>
      </w:pPr>
      <w:r>
        <w:rPr/>
        <w:t>天健会计师事务所（特殊普通合伙）</w:t>
        <w:tab/>
        <w:t>中国注册会计师：吕苏阳</w:t>
      </w:r>
    </w:p>
    <w:p>
      <w:pPr>
        <w:spacing w:line="240" w:lineRule="auto" w:before="0"/>
        <w:rPr>
          <w:rFonts w:ascii="宋体" w:hAnsi="宋体" w:cs="宋体" w:eastAsia="宋体" w:hint="default"/>
          <w:sz w:val="18"/>
          <w:szCs w:val="18"/>
        </w:rPr>
      </w:pPr>
    </w:p>
    <w:p>
      <w:pPr>
        <w:pStyle w:val="BodyText"/>
        <w:tabs>
          <w:tab w:pos="7813" w:val="left" w:leader="none"/>
        </w:tabs>
        <w:spacing w:line="240" w:lineRule="auto" w:before="153"/>
        <w:ind w:left="6553" w:right="0"/>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中国注册会计师：周小民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30"/>
        <w:jc w:val="right"/>
      </w:pPr>
      <w:r>
        <w:rPr/>
        <w:t>二〇一五年二月三日</w:t>
      </w:r>
    </w:p>
    <w:p>
      <w:pPr>
        <w:spacing w:line="240" w:lineRule="auto" w:before="2"/>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33"/>
      <w:bookmarkEnd w:id="133"/>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34"/>
      <w:bookmarkEnd w:id="13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0"/>
        <w:jc w:val="left"/>
      </w:pPr>
      <w:r>
        <w:rPr/>
        <w:t>编制单位：美盛文化创意股份有限公司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249,627,548.13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133,107,842.79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60,208,835.73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33,049,820.99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13,900,707.88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5,976,527.51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7,977,632.87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2,949,001.48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175,683,766.71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56,768,384.52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24,870,912.62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225,001,845.02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552,387,005.20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459,406,772.31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2,551,466.12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233,586,573.23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201,325,085.02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53,901,144.63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52,671,772.97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23,959,188.68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24,420,538.73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91,276,780.88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64,246,500.90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1,347,501.33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451,206.61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447,133.86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413,171,165.49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348,562,238.09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965,558,170.69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807,969,010.40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60,068,472.50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23,055,276.99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540,495.17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5,310,650.53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5,723,112.04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8,519,754.81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10,995,593.43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319,397.12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282,539.18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33,838,572.21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4,794,205.16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111,329,405.35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45,391,221.97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69,560,792.00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69,309,559.20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16,175,399.21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15,916,836.13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16,321,402.76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14,424,321.90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638,337.50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110,086,994.29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100,289,054.73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221,416,399.64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145,680,276.70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266,189,872.50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412,009,560.82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-4,012,131.97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523,570.11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28,991,065.07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19,296,833.50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202,752,591.54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119,996,464.63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699,621,397.14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645,326,429.06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44,520,373.91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16,962,304.64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744,141,771.05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662,288,733.70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965,558,170.69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807,969,010.40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法定代表人：赵小强</w:t>
        <w:tab/>
        <w:t>主管会计工作负责人：竺林芳</w:t>
        <w:tab/>
        <w:t>会计机构负责人：石军龙</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35"/>
      <w:bookmarkEnd w:id="13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176,194,054.60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96,071,171.63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51,937,625.75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27,573,671.19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4,884,251.19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1,465,340.83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8,762,691.51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3,622,222.91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39,036,520.58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35,781,745.66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20,000,380.88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320,933,125.77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392,067,502.22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230,739,873.20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71,721,473.20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231,451,535.71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198,718,147.07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53,901,144.63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27,671,772.97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12,086,998.54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11,375,218.28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1,580,633.22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451,082.82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534,760,185.30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314,937,694.34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855,693,311.07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707,005,196.56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57,296,755.67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21,670,587.60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173,999.78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214,281.58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5,190,452.53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4,485,046.59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6,493,182.85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10,035,100.47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18,309,715.91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4,571,765.46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90,477,911.52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40,976,781.70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13,058,731.95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13,530,125.79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638,337.50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21,088,132.27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14,168,463.29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111,566,043.79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55,145,244.99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299,941,616.61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412,141,616.61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28,991,065.07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19,296,833.50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209,494,585.60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126,921,501.46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744,127,267.28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651,859,951.57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855,693,311.07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707,005,196.56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36"/>
      <w:bookmarkEnd w:id="13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455,996,687.08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231,134,162.86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455,996,687.08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231,134,162.86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366,000,308.76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189,031,575.70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289,596,998.44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149,216,275.76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41.419983pt;width:157.7pt;height:19.650pt;mso-position-horizontal-relative:page;mso-position-vertical-relative:page;z-index:-846040" coordorigin="4245,10828" coordsize="3154,393">
            <v:shape style="position:absolute;left:4245;top:10828;width:3154;height:393" coordorigin="4245,10828" coordsize="3154,393" path="m4245,11221l7399,11221,7399,10828,4245,10828,4245,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2,522,710.54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2,047,533.53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13,569,135.35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8,188,733.09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50,501,352.72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32,363,567.93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1,154,076.25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-2,360,729.21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8,656,035.46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-423,805.40</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14,550,446.48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3,813,247.05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10,133,917.62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4,126,290.41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114,680,742.42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50,042,124.62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20,661,896.01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7,478,655.82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1,133,168.59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353,079.87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2,109.49</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134,209,469.84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57,167,700.57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36,098,816.38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15,770,235.34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98,110,653.46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41,397,465.23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97,125,358.48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41,730,227.18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985,294.98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-332,761.95</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-5,388,269.89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523,570.11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-4,535,702.08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523,570.11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-4,535,702.08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523,570.11</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-4,535,702.08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523,570.11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-852,567.81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92,722,383.57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41,921,035.34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92,589,656.40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42,253,797.29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132,727.17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-332,761.95</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bl>
    <w:p>
      <w:pPr>
        <w:pStyle w:val="BodyText"/>
        <w:tabs>
          <w:tab w:pos="3574" w:val="left" w:leader="none"/>
          <w:tab w:pos="7715" w:val="left" w:leader="none"/>
        </w:tabs>
        <w:spacing w:line="624" w:lineRule="auto" w:before="51"/>
        <w:ind w:left="153" w:right="1229"/>
        <w:jc w:val="left"/>
      </w:pPr>
      <w:r>
        <w:rPr/>
        <w:t>本期发生同一控制下企业合并的，被合并方在合并前实现的净利润为：元，上期被合并方实现的净利润为：元。 法定代表人：赵小强</w:t>
        <w:tab/>
        <w:t>主管会计工作负责人：竺林芳</w:t>
        <w:tab/>
        <w:t>会计机构负责人：石军龙</w:t>
      </w:r>
    </w:p>
    <w:p>
      <w:pPr>
        <w:pStyle w:val="Heading3"/>
        <w:spacing w:line="240" w:lineRule="auto" w:before="63"/>
        <w:ind w:left="153" w:right="0"/>
        <w:jc w:val="left"/>
        <w:rPr>
          <w:b w:val="0"/>
          <w:bCs w:val="0"/>
        </w:rPr>
      </w:pPr>
      <w:bookmarkStart w:name="4、母公司利润表" w:id="137"/>
      <w:bookmarkEnd w:id="13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385,767,931.98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219,560,650.82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254,826,135.11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142,455,531.82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2,337,453.17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2,027,438.38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7,998,329.22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6,844,332.72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30,370,340.73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23,996,894.78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-2,959,096.91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2,732,276.48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27,609.22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14,550,446.48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3,813,247.05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10,445,328.31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4,126,290.41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112,474,839.59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55,107,478.27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18,408,243.84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6,011,670.07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801,609.15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312,944.21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130,081,474.28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60,806,204.13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33,139,158.57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15,655,305.72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45,150,898.41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45,150,898.41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38"/>
      <w:bookmarkEnd w:id="13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427,300,400.93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236,696,693.04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21,403,344.98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12,063,439.66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28,978,160.69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11,575,994.69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477,681,906.60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260,336,127.39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343,764,234.15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129,631,152.07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78,334,724.35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44,653,865.11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37,933,279.06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15,286,413.16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40,145,476.07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21,046,427.47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500,177,713.63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210,617,857.81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-22,495,807.03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49,718,269.58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10,580,270.77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11,609,516.61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20,447.46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10,256.41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287,803,711.99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321,677,480.00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298,404,430.22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333,297,253.02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70,494,682.29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127,514,179.30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23,009,139.00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5,755,790.67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67,918,653.19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102,259,611.96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426,432,832.49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196,144,818.26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-93,135,579.47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69,719,944.00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92,919,944.00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6,205,153.98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46,853,570.44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26,393,000.00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32,598,153.98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65,853,570.44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-17,598,153.98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27,066,373.56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-2,541,151.91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78,096.38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153,509,705.34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-16,272,839.95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96,117,842.79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112,390,682.74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249,627,548.13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39"/>
      <w:bookmarkEnd w:id="13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361,778,606.41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222,276,108.73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21,403,344.98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12,063,439.66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19,535,837.92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11,007,730.06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402,717,789.31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245,347,278.45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202,794,390.57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120,100,562.44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58,039,747.47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38,447,190.04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34,381,991.85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14,986,818.98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27,564,261.38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14,834,654.63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322,780,391.27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188,369,226.09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79,937,398.04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56,978,052.36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10,445,328.31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11,591,996.05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10,256.41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321,677,480.00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266,454,939.96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333,279,732.46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68,834,383.15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101,338,879.10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141,543,400.00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57,611,473.20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230,377,783.15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383,950,352.30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36,077,156.81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-50,670,619.84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-226,671.88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-448,040.50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111,112,882.97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-40,890,607.98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65,081,171.63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105,971,779.61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176,194,054.60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65,081,171.63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40"/>
      <w:bookmarkEnd w:id="14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,560.82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119,996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,464.63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304.64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662,288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,733.70</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119,996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,464.63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662,288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,733.70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-4,535,7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82,756,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126.91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27,558,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81,853,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037.35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-4,535,7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97,125,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358.48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132,727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92,722,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383.57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688.32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688.32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688.32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688.32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-14,369,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112,20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2" w:right="0"/>
              <w:jc w:val="left"/>
              <w:rPr>
                <w:rFonts w:ascii="Times New Roman" w:hAnsi="Times New Roman" w:cs="Times New Roman" w:eastAsia="Times New Roman" w:hint="default"/>
                <w:sz w:val="18"/>
                <w:szCs w:val="18"/>
              </w:rPr>
            </w:pPr>
            <w:r>
              <w:rPr>
                <w:rFonts w:ascii="Times New Roman"/>
                <w:sz w:val="18"/>
              </w:rPr>
              <w:t>-112,20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27,425,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342.10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27,425,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342.10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266,189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-4,012,1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202,752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373.91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744,141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,771.05</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,560.82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743.66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129,531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,327.29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651,072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,631.77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,560.82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743.66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129,531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,327.29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651,072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,631.77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-9,534,8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15,712,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304.64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101.93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41,730,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227.18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-332,76</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1.95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41,921,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035.34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-51,265,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089.84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89.84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066.59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16,045,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066.59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119,996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,464.63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16,962,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304.64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662,288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8、母公司所有者权益变动表" w:id="141"/>
      <w:bookmarkEnd w:id="14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19,296,83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126,921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,501.46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651,859,9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51.57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19,296,83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126,921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,501.46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651,859,9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51.57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82,573,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92,267,31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315.71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-14,369,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231.57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31.57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299,941,6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28,991,06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209,494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,585.60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744,127,2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67.28</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14,781,74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133,035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,692.89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653,459,0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53.16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14,781,74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133,035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,692.89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653,459,0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53.16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4,515,089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-6,114,1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-1,599,10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898.41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45,150,89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8.41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4,515,089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-51,265,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089.84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4,515,089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89.84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19,296,83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126,921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651,859,9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51.57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42"/>
      <w:bookmarkEnd w:id="14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0" w:firstLine="420"/>
        <w:jc w:val="left"/>
      </w:pPr>
      <w:r>
        <w:rPr/>
        <w:t>美盛文化创意股份有限公司（以下简称公司或本公司）系由原新昌美盛饰品有限公司以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日为基准日整体 变更设立的股份有限公司，于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日在浙江省工商行政管理局重新登记注册，总部位于浙江省绍兴市新昌县。公司</w:t>
      </w:r>
      <w:r>
        <w:rPr>
          <w:spacing w:val="-83"/>
        </w:rPr>
        <w:t> </w:t>
      </w:r>
      <w:r>
        <w:rPr>
          <w:spacing w:val="-83"/>
        </w:rPr>
      </w:r>
      <w:r>
        <w:rPr>
          <w:spacing w:val="-2"/>
        </w:rPr>
        <w:t>现持有注册号为</w:t>
      </w:r>
      <w:r>
        <w:rPr>
          <w:rFonts w:ascii="Times New Roman" w:hAnsi="Times New Roman" w:cs="Times New Roman" w:eastAsia="Times New Roman" w:hint="default"/>
          <w:spacing w:val="-2"/>
        </w:rPr>
        <w:t>330600400009081</w:t>
      </w:r>
      <w:r>
        <w:rPr>
          <w:spacing w:val="-2"/>
        </w:rPr>
        <w:t>的企业法人营业执照，注册资本</w:t>
      </w:r>
      <w:r>
        <w:rPr>
          <w:rFonts w:ascii="Times New Roman" w:hAnsi="Times New Roman" w:cs="Times New Roman" w:eastAsia="Times New Roman" w:hint="default"/>
          <w:spacing w:val="-2"/>
        </w:rPr>
        <w:t>20,570</w:t>
      </w:r>
      <w:r>
        <w:rPr>
          <w:spacing w:val="-2"/>
        </w:rPr>
        <w:t>万元，股份总数</w:t>
      </w:r>
      <w:r>
        <w:rPr>
          <w:rFonts w:ascii="Times New Roman" w:hAnsi="Times New Roman" w:cs="Times New Roman" w:eastAsia="Times New Roman" w:hint="default"/>
          <w:spacing w:val="-2"/>
        </w:rPr>
        <w:t>20,570</w:t>
      </w:r>
      <w:r>
        <w:rPr>
          <w:spacing w:val="-2"/>
        </w:rPr>
        <w:t>万股（每股面值</w:t>
      </w:r>
      <w:r>
        <w:rPr>
          <w:rFonts w:ascii="Times New Roman" w:hAnsi="Times New Roman" w:cs="Times New Roman" w:eastAsia="Times New Roman" w:hint="default"/>
          <w:spacing w:val="-2"/>
        </w:rPr>
        <w:t>1</w:t>
      </w:r>
      <w:r>
        <w:rPr>
          <w:spacing w:val="-2"/>
        </w:rPr>
        <w:t>元）。其中，</w:t>
      </w:r>
      <w:r>
        <w:rPr>
          <w:spacing w:val="-38"/>
        </w:rPr>
        <w:t> </w:t>
      </w:r>
      <w:r>
        <w:rPr>
          <w:spacing w:val="-38"/>
        </w:rPr>
      </w:r>
      <w:r>
        <w:rPr>
          <w:spacing w:val="-2"/>
        </w:rPr>
        <w:t>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13,629</w:t>
      </w:r>
      <w:r>
        <w:rPr>
          <w:spacing w:val="-2"/>
        </w:rPr>
        <w:t>万股；无限售条件的流通股份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6,941</w:t>
      </w:r>
      <w:r>
        <w:rPr>
          <w:spacing w:val="-2"/>
        </w:rPr>
        <w:t>万股。公司股票已于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日在深圳证券交</w:t>
      </w:r>
      <w:r>
        <w:rPr>
          <w:spacing w:val="-38"/>
        </w:rPr>
        <w:t> </w:t>
      </w:r>
      <w:r>
        <w:rPr/>
        <w:t>易所挂牌交易。</w:t>
      </w:r>
    </w:p>
    <w:p>
      <w:pPr>
        <w:pStyle w:val="BodyText"/>
        <w:spacing w:line="316" w:lineRule="auto" w:before="31"/>
        <w:ind w:left="153" w:right="0" w:firstLine="360"/>
        <w:jc w:val="left"/>
      </w:pPr>
      <w:r>
        <w:rPr>
          <w:spacing w:val="-2"/>
        </w:rPr>
        <w:t>本公司属动漫服饰行业。经营范围：动漫衍生产品设计开发、动漫饰品、节日礼品及工艺品开发设计、生产和销售，动</w:t>
      </w:r>
      <w:r>
        <w:rPr/>
        <w:t> 漫制作，服装、工艺品辅助材料的生产、销售，经营进出口业务。主要产品：动漫服饰。</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22"/>
        <w:jc w:val="left"/>
      </w:pPr>
      <w:r>
        <w:rPr/>
        <w:t>本财务报表业经公司</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日二届十八次董事会批准对外报出。 本公司将浙江缔顺科技有限公司、上海纯真年代影视投资有限公司、香港美盛文化有限公司等</w:t>
      </w:r>
      <w:r>
        <w:rPr>
          <w:rFonts w:ascii="Times New Roman" w:hAnsi="Times New Roman" w:cs="Times New Roman" w:eastAsia="Times New Roman" w:hint="default"/>
        </w:rPr>
        <w:t>8</w:t>
      </w:r>
      <w:r>
        <w:rPr/>
        <w:t>家子公司纳入本期合并</w:t>
      </w:r>
    </w:p>
    <w:p>
      <w:pPr>
        <w:pStyle w:val="BodyText"/>
        <w:spacing w:line="316" w:lineRule="auto" w:before="13"/>
        <w:ind w:left="153" w:right="1118"/>
        <w:jc w:val="left"/>
      </w:pPr>
      <w:r>
        <w:rPr>
          <w:spacing w:val="-2"/>
        </w:rPr>
        <w:t>财务报表范围，部分子公司、孙公司全称及简称如下表所示，情况详见本财务报告附注合并范围的变更和在其他主体中的权</w:t>
      </w:r>
      <w:r>
        <w:rPr>
          <w:spacing w:val="-66"/>
        </w:rPr>
        <w:t> </w:t>
      </w:r>
      <w:r>
        <w:rPr>
          <w:spacing w:val="-66"/>
        </w:rPr>
      </w:r>
      <w:r>
        <w:rPr/>
        <w:t>益之说明。</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子公司及孙公司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公司简称</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莱盛童话公司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杭州美盛动漫有限公司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美盛动漫公司</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香港美盛文化有限公司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香港美盛公司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美源饰品公司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浙江缔顺科技有限公司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缔顺科技公司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荣盛文化公司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星梦工坊公司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上海纯真年代影视投资有限公司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纯真年代公司</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Agenturen en Handelsmij Scheepers</w:t>
            </w:r>
            <w:r>
              <w:rPr>
                <w:rFonts w:ascii="Times New Roman"/>
                <w:spacing w:val="-7"/>
                <w:sz w:val="18"/>
              </w:rPr>
              <w:t> </w:t>
            </w:r>
            <w:r>
              <w:rPr>
                <w:rFonts w:ascii="Times New Roman"/>
                <w:sz w:val="18"/>
              </w:rPr>
              <w:t>B.V.</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荷兰公司</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154" w:right="0"/>
        <w:jc w:val="left"/>
        <w:rPr>
          <w:b w:val="0"/>
          <w:bCs w:val="0"/>
        </w:rPr>
      </w:pPr>
      <w:bookmarkStart w:name="四、财务报表的编制基础" w:id="143"/>
      <w:bookmarkEnd w:id="14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44"/>
      <w:bookmarkEnd w:id="14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本公司财务报表以持续经营为编制基础。</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持续经营" w:id="145"/>
      <w:bookmarkEnd w:id="14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46"/>
      <w:bookmarkEnd w:id="14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3622" w:hanging="291"/>
        <w:jc w:val="left"/>
      </w:pPr>
      <w:r>
        <w:rPr/>
        <w:t>具体会计政策和会计估计提示： 以下披露内容已涵盖了本公司根据实际生产经营特点制定的具体会计政策和会计估计。</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1、遵循企业会计准则的声明" w:id="147"/>
      <w:bookmarkEnd w:id="14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18" w:firstLine="290"/>
        <w:jc w:val="left"/>
      </w:pPr>
      <w:r>
        <w:rPr>
          <w:spacing w:val="-1"/>
        </w:rPr>
        <w:t>本公司所编制的财务报表符合企业会计准则的要求，真实、完整地反映了公司的财务状况、经营成果和现金流量等有关</w:t>
      </w:r>
      <w:r>
        <w:rPr/>
        <w:t> 信息。</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48"/>
      <w:bookmarkEnd w:id="14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3、营业周期" w:id="149"/>
      <w:bookmarkEnd w:id="14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4、记账本位币" w:id="150"/>
      <w:bookmarkEnd w:id="15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4" w:right="8302"/>
        <w:jc w:val="center"/>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5、同一控制下和非同一控制下企业合并的会计处理方法" w:id="151"/>
      <w:bookmarkEnd w:id="15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left="153" w:right="1050"/>
        <w:jc w:val="both"/>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31"/>
        <w:ind w:left="153"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6、合并财务报表的编制方法" w:id="152"/>
      <w:bookmarkEnd w:id="15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13"/>
        <w:rPr>
          <w:rFonts w:ascii="宋体" w:hAnsi="宋体" w:cs="宋体" w:eastAsia="宋体" w:hint="default"/>
          <w:sz w:val="20"/>
          <w:szCs w:val="20"/>
        </w:rPr>
      </w:pPr>
    </w:p>
    <w:p>
      <w:pPr>
        <w:pStyle w:val="Heading3"/>
        <w:spacing w:line="240" w:lineRule="auto"/>
        <w:ind w:left="153" w:right="0"/>
        <w:jc w:val="both"/>
        <w:rPr>
          <w:b w:val="0"/>
          <w:bCs w:val="0"/>
        </w:rPr>
      </w:pPr>
      <w:bookmarkStart w:name="7、现金及现金等价物的确定标准" w:id="153"/>
      <w:bookmarkEnd w:id="153"/>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420"/>
        <w:jc w:val="left"/>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外币业务和外币报表折算" w:id="154"/>
      <w:bookmarkEnd w:id="154"/>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外币业务折算 外币交易在初始确认时，采用交易发生日的即期汇率折算为人民币金额。资产负债表日，外币货币性项目采用资产负</w:t>
      </w:r>
    </w:p>
    <w:p>
      <w:pPr>
        <w:pStyle w:val="BodyText"/>
        <w:spacing w:line="316" w:lineRule="auto" w:before="31"/>
        <w:ind w:right="1130"/>
        <w:jc w:val="both"/>
      </w:pPr>
      <w:r>
        <w:rPr>
          <w:spacing w:val="-2"/>
        </w:rPr>
        <w:t>债表日即期汇率折算，因汇率不同而产生的汇兑差额，除与购建符合资本化条件资产有关的外币专门借款本金及利息的汇兑</w:t>
      </w:r>
      <w:r>
        <w:rPr>
          <w:spacing w:val="-63"/>
        </w:rPr>
        <w:t> </w:t>
      </w:r>
      <w:r>
        <w:rPr>
          <w:spacing w:val="-63"/>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left="153" w:right="1133"/>
        <w:jc w:val="both"/>
      </w:pPr>
      <w:r>
        <w:rPr>
          <w:spacing w:val="-2"/>
        </w:rPr>
        <w:t>项目采用交易发生日的即期汇率折算；利润表中的收入和费用项目，采用交易发生日即期汇率的近似汇率折算。按照上述折</w:t>
      </w:r>
      <w:r>
        <w:rPr>
          <w:spacing w:val="-66"/>
        </w:rPr>
        <w:t> </w:t>
      </w:r>
      <w:r>
        <w:rPr>
          <w:spacing w:val="-66"/>
        </w:rPr>
      </w:r>
      <w:r>
        <w:rPr/>
        <w:t>算产生的外币财务报表折算差额，计入其他综合收益。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金融工具" w:id="155"/>
      <w:bookmarkEnd w:id="155"/>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31"/>
        <w:ind w:left="153" w:right="1131"/>
        <w:jc w:val="both"/>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240" w:lineRule="auto" w:before="19"/>
        <w:ind w:left="573" w:right="0"/>
        <w:jc w:val="left"/>
      </w:pPr>
      <w:r>
        <w:rPr/>
        <w:t>金融负债在初始确认时划分为以下两类：以公允价值计量且其变动计入当期损益的金融负债（包括交易性金融负债和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在初始确认时指定为以公允价值计量且其变动计入当期损益的金融负债）、其他金融负债。</w:t>
      </w:r>
    </w:p>
    <w:p>
      <w:pPr>
        <w:pStyle w:val="BodyText"/>
        <w:spacing w:line="300" w:lineRule="auto" w:before="7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19" w:lineRule="auto" w:before="31"/>
        <w:ind w:right="0"/>
        <w:jc w:val="left"/>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09" w:lineRule="auto" w:before="17"/>
        <w:ind w:right="1033" w:firstLine="420"/>
        <w:jc w:val="left"/>
      </w:pPr>
      <w:r>
        <w:rPr>
          <w:spacing w:val="-2"/>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02" w:lineRule="auto" w:before="24"/>
        <w:ind w:right="1127" w:firstLine="420"/>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6"/>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3"/>
        </w:rPr>
        <w:t> </w:t>
      </w:r>
      <w:r>
        <w:rPr>
          <w:spacing w:val="-63"/>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1"/>
        </w:rPr>
        <w:t> </w:t>
      </w:r>
      <w:r>
        <w:rPr>
          <w:spacing w:val="-61"/>
        </w:rPr>
      </w:r>
      <w:r>
        <w:rPr/>
        <w:t>的余额。</w:t>
      </w:r>
    </w:p>
    <w:p>
      <w:pPr>
        <w:pStyle w:val="BodyText"/>
        <w:spacing w:line="312" w:lineRule="auto" w:before="29"/>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1"/>
        </w:rPr>
        <w:t> </w:t>
      </w:r>
      <w:r>
        <w:rPr>
          <w:spacing w:val="-1"/>
        </w:rPr>
        <w:t>以公允价值计量</w:t>
      </w:r>
      <w:r>
        <w:rPr/>
        <w:t>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9" w:lineRule="auto" w:before="22"/>
        <w:ind w:right="1133"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00" w:lineRule="auto" w:before="1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 公司已将金融资产所有权上几乎所有的风险和报酬转移给了转入方的，终止确认该金融资产；保留了金融资产所有权</w:t>
      </w:r>
    </w:p>
    <w:p>
      <w:pPr>
        <w:pStyle w:val="BodyText"/>
        <w:spacing w:line="309" w:lineRule="auto" w:before="31"/>
        <w:ind w:right="1028"/>
        <w:jc w:val="left"/>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2"/>
        </w:rPr>
        <w:t>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1"/>
        </w:rPr>
        <w:t> </w:t>
      </w:r>
      <w:r>
        <w:rPr>
          <w:spacing w:val="-2"/>
        </w:rPr>
        <w:t>放弃了对该金融资产控制的，终止确认该金融资产；</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未放弃对该金融资产控制的，按照继续涉入所转移金融资产的程度确认有关金融资产，并相应确认有关负债。</w:t>
      </w:r>
    </w:p>
    <w:p>
      <w:pPr>
        <w:pStyle w:val="BodyText"/>
        <w:spacing w:line="309" w:lineRule="auto" w:before="5"/>
        <w:ind w:right="1129"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6"/>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14" w:right="0" w:firstLine="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right="0"/>
        <w:jc w:val="left"/>
      </w:pPr>
      <w:r>
        <w:rPr/>
        <w:t>值。公司将估值技术使用的输入值分以下层级，并依次使用：</w:t>
      </w:r>
    </w:p>
    <w:p>
      <w:pPr>
        <w:pStyle w:val="BodyText"/>
        <w:spacing w:line="240" w:lineRule="auto" w:before="76"/>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09" w:lineRule="auto" w:before="63"/>
        <w:ind w:right="113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113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1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p>
    <w:p>
      <w:pPr>
        <w:pStyle w:val="BodyText"/>
        <w:spacing w:line="240" w:lineRule="auto" w:before="63"/>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资产负债表日对以公允价值计量且其变动计入当期损益的金融资产以外的金融资产的账面价值进行检查，如有客观</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证据表明该金融资产发生减值的，计提减值准备。</w:t>
      </w:r>
    </w:p>
    <w:p>
      <w:pPr>
        <w:pStyle w:val="BodyText"/>
        <w:spacing w:line="312" w:lineRule="auto" w:before="76"/>
        <w:ind w:left="153" w:right="1132"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测试。测试结果表明其发生了减值的，根据其账面价值高于预计未来现金流量现值之间的差额确认减值损失。</w:t>
      </w:r>
    </w:p>
    <w:p>
      <w:pPr>
        <w:pStyle w:val="BodyText"/>
        <w:spacing w:line="240" w:lineRule="auto" w:before="22"/>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表明可供出售债务工具投资发生减值的客观证据包括：</w:t>
      </w:r>
    </w:p>
    <w:p>
      <w:pPr>
        <w:pStyle w:val="BodyText"/>
        <w:spacing w:line="240" w:lineRule="auto" w:before="63"/>
        <w:ind w:left="513" w:right="0"/>
        <w:jc w:val="left"/>
      </w:pPr>
      <w:r>
        <w:rPr/>
        <w:t>①</w:t>
      </w:r>
      <w:r>
        <w:rPr>
          <w:spacing w:val="-19"/>
        </w:rPr>
        <w:t> </w:t>
      </w:r>
      <w:r>
        <w:rPr/>
        <w:t>债务人发生严重财务困难；</w:t>
      </w:r>
    </w:p>
    <w:p>
      <w:pPr>
        <w:pStyle w:val="BodyText"/>
        <w:spacing w:line="240" w:lineRule="auto" w:before="76"/>
        <w:ind w:left="513" w:right="0"/>
        <w:jc w:val="left"/>
      </w:pPr>
      <w:r>
        <w:rPr/>
        <w:t>②</w:t>
      </w:r>
      <w:r>
        <w:rPr>
          <w:spacing w:val="-19"/>
        </w:rPr>
        <w:t> </w:t>
      </w:r>
      <w:r>
        <w:rPr/>
        <w:t>债务人违反了合同条款，如偿付利息或本金发生违约或逾期；</w:t>
      </w:r>
    </w:p>
    <w:p>
      <w:pPr>
        <w:pStyle w:val="BodyText"/>
        <w:spacing w:line="240" w:lineRule="auto" w:before="76"/>
        <w:ind w:left="513" w:right="0"/>
        <w:jc w:val="left"/>
      </w:pPr>
      <w:r>
        <w:rPr/>
        <w:t>③</w:t>
      </w:r>
      <w:r>
        <w:rPr>
          <w:spacing w:val="-19"/>
        </w:rPr>
        <w:t> </w:t>
      </w:r>
      <w:r>
        <w:rPr/>
        <w:t>公司出于经济或法律等方面因素的考虑，对发生财务困难的债务人作出让步；</w:t>
      </w:r>
    </w:p>
    <w:p>
      <w:pPr>
        <w:pStyle w:val="BodyText"/>
        <w:spacing w:line="240" w:lineRule="auto" w:before="76"/>
        <w:ind w:left="513" w:right="0"/>
        <w:jc w:val="left"/>
      </w:pPr>
      <w:r>
        <w:rPr/>
        <w:t>④</w:t>
      </w:r>
      <w:r>
        <w:rPr>
          <w:spacing w:val="-19"/>
        </w:rPr>
        <w:t> </w:t>
      </w:r>
      <w:r>
        <w:rPr/>
        <w:t>债务人很可能倒闭或进行其他财务重组；</w:t>
      </w:r>
    </w:p>
    <w:p>
      <w:pPr>
        <w:pStyle w:val="BodyText"/>
        <w:spacing w:line="240" w:lineRule="auto" w:before="76"/>
        <w:ind w:left="513" w:right="0"/>
        <w:jc w:val="left"/>
      </w:pPr>
      <w:r>
        <w:rPr/>
        <w:t>⑤</w:t>
      </w:r>
      <w:r>
        <w:rPr>
          <w:spacing w:val="-19"/>
        </w:rPr>
        <w:t> </w:t>
      </w:r>
      <w:r>
        <w:rPr/>
        <w:t>因债务人发生重大财务困难，该债务工具无法在活跃市场继续交易；</w:t>
      </w:r>
    </w:p>
    <w:p>
      <w:pPr>
        <w:pStyle w:val="BodyText"/>
        <w:spacing w:line="240" w:lineRule="auto" w:before="76"/>
        <w:ind w:left="513" w:right="0"/>
        <w:jc w:val="left"/>
      </w:pPr>
      <w:r>
        <w:rPr/>
        <w:t>⑥</w:t>
      </w:r>
      <w:r>
        <w:rPr>
          <w:spacing w:val="-19"/>
        </w:rPr>
        <w:t> </w:t>
      </w:r>
      <w:r>
        <w:rPr/>
        <w:t>其他表明可供出售债务工具已经发生减值的情况。</w:t>
      </w:r>
    </w:p>
    <w:p>
      <w:pPr>
        <w:pStyle w:val="BodyText"/>
        <w:spacing w:line="300" w:lineRule="auto" w:before="76"/>
        <w:ind w:left="153" w:right="111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表明可供出售权益工具投资发生减值的客观证据包括权益工具投资的公允价值发生严重或非暂时性下跌，以及被投</w:t>
      </w:r>
      <w:r>
        <w:rPr>
          <w:w w:val="99"/>
        </w:rPr>
        <w:t> </w:t>
      </w:r>
      <w:r>
        <w:rPr/>
        <w:t>资单位经营所处的技术、市场、经济或法律环境等发生重大不利变化使公司可能无法收回投资成本。</w:t>
      </w:r>
    </w:p>
    <w:p>
      <w:pPr>
        <w:pStyle w:val="BodyText"/>
        <w:spacing w:line="307" w:lineRule="auto" w:before="31"/>
        <w:ind w:left="153" w:right="0" w:firstLine="420"/>
        <w:jc w:val="left"/>
      </w:pPr>
      <w:r>
        <w:rPr/>
        <w:t>本公司于资产负债表日对各项可供出售权益工具投资单独进行检查。对于以公允价值计量的权益工具投资，若其于资 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 </w:t>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59"/>
        </w:rPr>
        <w:t> </w:t>
      </w:r>
      <w:r>
        <w:rPr>
          <w:spacing w:val="-59"/>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r>
        <w:rPr>
          <w:spacing w:val="-83"/>
        </w:rPr>
        <w:t> </w:t>
      </w:r>
      <w:r>
        <w:rPr>
          <w:spacing w:val="-83"/>
        </w:rPr>
      </w:r>
      <w:r>
        <w:rPr>
          <w:spacing w:val="-4"/>
        </w:rPr>
        <w:t>于以成本计量的权益工具投资，公司综合考虑被投资单位经营所处的技术、市场、经济或法律环境等是否发生重大不利变化，</w:t>
      </w:r>
      <w:r>
        <w:rPr>
          <w:spacing w:val="-44"/>
        </w:rPr>
        <w:t> </w:t>
      </w:r>
      <w:r>
        <w:rPr>
          <w:spacing w:val="-44"/>
        </w:rPr>
      </w:r>
      <w:r>
        <w:rPr/>
        <w:t>判断该权益工具是否发生减值。</w:t>
      </w:r>
    </w:p>
    <w:p>
      <w:pPr>
        <w:pStyle w:val="BodyText"/>
        <w:spacing w:line="319" w:lineRule="auto" w:before="26"/>
        <w:ind w:right="1130" w:firstLine="420"/>
        <w:jc w:val="both"/>
      </w:pPr>
      <w:r>
        <w:rPr/>
        <w:t>以公允价值计量的可供出售金融资产发生减值时，原直接计入所有者权益的因公允价值下降形成的累计损失予以转出 </w:t>
      </w:r>
      <w:r>
        <w:rPr>
          <w:spacing w:val="-2"/>
        </w:rPr>
        <w:t>并计入减值损失。对已确认减值损失的可供出售债务工具投资，在期后公允价值上升且客观上与确认原减值损失后发生的事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项有关的，原确认的减值损失予以转回并计入当期损益。对已确认减值损失的可供出售权益工具投资，期后公允价值上升直</w:t>
      </w:r>
      <w:r>
        <w:rPr>
          <w:spacing w:val="-66"/>
        </w:rPr>
        <w:t> </w:t>
      </w:r>
      <w:r>
        <w:rPr>
          <w:spacing w:val="-66"/>
        </w:rPr>
      </w:r>
      <w:r>
        <w:rPr/>
        <w:t>接计入所有者权益。</w:t>
      </w:r>
    </w:p>
    <w:p>
      <w:pPr>
        <w:pStyle w:val="BodyText"/>
        <w:spacing w:line="316" w:lineRule="auto" w:before="17"/>
        <w:ind w:left="153" w:right="0" w:firstLine="360"/>
        <w:jc w:val="left"/>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来现金流量折现确定的现值之间的差额，确认为减值损失，计入当期损益，并且在以后年度不予转回。</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0、应收款项" w:id="156"/>
      <w:bookmarkEnd w:id="156"/>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57"/>
      <w:bookmarkEnd w:id="15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58"/>
      <w:bookmarkEnd w:id="15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left="15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59"/>
      <w:bookmarkEnd w:id="15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其未来现金流量现值与以账龄为信用风险特征的应收款项组 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1、存货" w:id="160"/>
      <w:bookmarkEnd w:id="160"/>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存货包括在日常活动中持有以备出售的产成品或商品、处在生产过程中的在产品、在生产过程或提供劳务过程中耗用</w:t>
      </w:r>
    </w:p>
    <w:p>
      <w:pPr>
        <w:pStyle w:val="BodyText"/>
        <w:spacing w:line="240" w:lineRule="auto" w:before="31"/>
        <w:ind w:left="153" w:right="0"/>
        <w:jc w:val="left"/>
      </w:pPr>
      <w:r>
        <w:rPr/>
        <w:t>的材料和物料、动漫、影视作品等。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BodyText"/>
        <w:spacing w:line="316" w:lineRule="auto" w:before="5"/>
        <w:ind w:left="153" w:right="1131"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9"/>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BodyText"/>
        <w:spacing w:line="309"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r>
        <w:rPr>
          <w:w w:val="99"/>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动漫、影视作品</w:t>
      </w:r>
    </w:p>
    <w:p>
      <w:pPr>
        <w:pStyle w:val="BodyText"/>
        <w:spacing w:line="300" w:lineRule="auto" w:before="5"/>
        <w:ind w:left="153"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公司动漫、影视作品按照实际成本进行初始计量。公司从事与境内外其他单位合作摄制影片业务的，按以下规定和</w:t>
      </w:r>
      <w:r>
        <w:rPr>
          <w:w w:val="99"/>
        </w:rPr>
        <w:t> </w:t>
      </w:r>
      <w:r>
        <w:rPr>
          <w:spacing w:val="-2"/>
        </w:rPr>
        <w:t>方法执行：公司负责摄制成本核算的，在收到合作方按合同约定预付的制片款项时，先通过</w:t>
      </w:r>
      <w:r>
        <w:rPr>
          <w:rFonts w:ascii="Times New Roman" w:hAnsi="Times New Roman" w:cs="Times New Roman" w:eastAsia="Times New Roman" w:hint="default"/>
          <w:spacing w:val="-2"/>
        </w:rPr>
        <w:t>“</w:t>
      </w:r>
      <w:r>
        <w:rPr>
          <w:spacing w:val="-2"/>
        </w:rPr>
        <w:t>预收款项－预收制片款</w:t>
      </w:r>
      <w:r>
        <w:rPr>
          <w:rFonts w:ascii="Times New Roman" w:hAnsi="Times New Roman" w:cs="Times New Roman" w:eastAsia="Times New Roman" w:hint="default"/>
          <w:spacing w:val="-2"/>
        </w:rPr>
        <w:t>”</w:t>
      </w:r>
      <w:r>
        <w:rPr>
          <w:spacing w:val="-2"/>
        </w:rPr>
        <w:t>科目进</w:t>
      </w:r>
      <w:r>
        <w:rPr>
          <w:spacing w:val="-44"/>
        </w:rPr>
        <w:t> </w:t>
      </w:r>
      <w:r>
        <w:rPr>
          <w:spacing w:val="-2"/>
        </w:rPr>
        <w:t>行核算；当动漫、影视作品完成摄制结转入库时，再将该款项转作动漫、影视作品库存成本的备抵，并在结转销售成本时予</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3" w:right="1129"/>
        <w:jc w:val="both"/>
      </w:pPr>
      <w:r>
        <w:rPr>
          <w:spacing w:val="-2"/>
        </w:rPr>
        <w:t>以冲抵。其他合作方负责摄制成本核算的，公司按合同约定支付合作方的制片款，先通过</w:t>
      </w:r>
      <w:r>
        <w:rPr>
          <w:rFonts w:ascii="Times New Roman" w:hAnsi="Times New Roman" w:cs="Times New Roman" w:eastAsia="Times New Roman" w:hint="default"/>
          <w:spacing w:val="-2"/>
        </w:rPr>
        <w:t>“</w:t>
      </w:r>
      <w:r>
        <w:rPr>
          <w:spacing w:val="-2"/>
        </w:rPr>
        <w:t>预付款项－预付制片款</w:t>
      </w:r>
      <w:r>
        <w:rPr>
          <w:rFonts w:ascii="Times New Roman" w:hAnsi="Times New Roman" w:cs="Times New Roman" w:eastAsia="Times New Roman" w:hint="default"/>
          <w:spacing w:val="-2"/>
        </w:rPr>
        <w:t>”</w:t>
      </w:r>
      <w:r>
        <w:rPr>
          <w:spacing w:val="-2"/>
        </w:rPr>
        <w:t>科目进行</w:t>
      </w:r>
      <w:r>
        <w:rPr>
          <w:spacing w:val="-43"/>
        </w:rPr>
        <w:t> </w:t>
      </w:r>
      <w:r>
        <w:rPr>
          <w:spacing w:val="-2"/>
        </w:rPr>
        <w:t>核算，当动漫、影视作品完成摄制并收到其他合作方出具的经审计或双方确认的有关成本、费用结算凭据或报表时，按实际</w:t>
      </w:r>
      <w:r>
        <w:rPr>
          <w:spacing w:val="-66"/>
        </w:rPr>
        <w:t> </w:t>
      </w:r>
      <w:r>
        <w:rPr>
          <w:spacing w:val="-66"/>
        </w:rPr>
      </w:r>
      <w:r>
        <w:rPr>
          <w:spacing w:val="-2"/>
        </w:rPr>
        <w:t>结算金额将该款项转作动漫、影视作品库存成本。当动漫、影视作品完成摄制并取得《国产动画片播放许可证》、《电影片</w:t>
      </w:r>
      <w:r>
        <w:rPr>
          <w:spacing w:val="-71"/>
        </w:rPr>
        <w:t> </w:t>
      </w:r>
      <w:r>
        <w:rPr>
          <w:spacing w:val="-71"/>
        </w:rPr>
      </w:r>
      <w:r>
        <w:rPr/>
        <w:t>公映许可证》或《电视剧发行许可证》时，结转至</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w:t>
      </w:r>
    </w:p>
    <w:p>
      <w:pPr>
        <w:pStyle w:val="BodyText"/>
        <w:spacing w:line="240" w:lineRule="auto" w:before="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发出存货采用个别计价法，自符合收入确认条件之日起，按以下方法和规定结转销售成本：</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一次性卖断国内全部著作权的，在确认收入时，将全部实际成本一次性结转销售成本。</w:t>
      </w:r>
    </w:p>
    <w:p>
      <w:pPr>
        <w:pStyle w:val="BodyText"/>
        <w:spacing w:line="314" w:lineRule="auto" w:before="63"/>
        <w:ind w:left="153"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采用按票款、发行收入等分账结算方式，或采用多次、局部（特定院线或一定区域、一定时期内）将发行权、放映</w:t>
      </w:r>
      <w:r>
        <w:rPr>
          <w:w w:val="99"/>
        </w:rPr>
        <w:t> </w:t>
      </w:r>
      <w:r>
        <w:rPr>
          <w:spacing w:val="-2"/>
        </w:rPr>
        <w:t>权转让给部分电影院线（发行公司）或电视台等，且仍可继续向其他单位发行、销售的影视剧，一般在符合收入确认条件之</w:t>
      </w:r>
      <w:r>
        <w:rPr>
          <w:spacing w:val="-67"/>
        </w:rPr>
        <w:t> </w:t>
      </w:r>
      <w:r>
        <w:rPr>
          <w:spacing w:val="-67"/>
        </w:rPr>
      </w:r>
      <w:r>
        <w:rPr>
          <w:spacing w:val="-2"/>
        </w:rPr>
        <w:t>日起，在一定期限内（提供给电视台播映电视剧片可在不超过五年的期间内、动漫作品可在不超过三年的期间内、电影作品</w:t>
      </w:r>
      <w:r>
        <w:rPr>
          <w:spacing w:val="-67"/>
        </w:rPr>
        <w:t> </w:t>
      </w:r>
      <w:r>
        <w:rPr>
          <w:spacing w:val="-67"/>
        </w:rPr>
      </w:r>
      <w:r>
        <w:rPr/>
        <w:t>可在不超过两年的期间内），采用计划收入比例法将其全部实际成本逐笔（期）结转销售成本。 计划收入比例法具体的计</w:t>
      </w:r>
      <w:r>
        <w:rPr>
          <w:spacing w:val="-86"/>
        </w:rPr>
        <w:t> </w:t>
      </w:r>
      <w:r>
        <w:rPr>
          <w:spacing w:val="-86"/>
        </w:rPr>
      </w:r>
      <w:r>
        <w:rPr>
          <w:spacing w:val="-2"/>
        </w:rPr>
        <w:t>算原则和方法：从符合收入确认条件之日起，在各收入确认的期间内，以本期确认收入占预计总收入的比例为权数，计算确</w:t>
      </w:r>
      <w:r>
        <w:rPr>
          <w:spacing w:val="-67"/>
        </w:rPr>
        <w:t> </w:t>
      </w:r>
      <w:r>
        <w:rPr>
          <w:spacing w:val="-67"/>
        </w:rPr>
      </w:r>
      <w:r>
        <w:rPr/>
        <w:t>定本期应结转的销售成本。即当期应结转的销售成本＝总成本</w:t>
      </w:r>
      <w:r>
        <w:rPr>
          <w:rFonts w:ascii="Times New Roman" w:hAnsi="Times New Roman" w:cs="Times New Roman" w:eastAsia="Times New Roman" w:hint="default"/>
        </w:rPr>
        <w:t>×</w:t>
      </w:r>
      <w:r>
        <w:rPr/>
        <w:t>（当期收入</w:t>
      </w:r>
      <w:r>
        <w:rPr>
          <w:rFonts w:ascii="Times New Roman" w:hAnsi="Times New Roman" w:cs="Times New Roman" w:eastAsia="Times New Roman" w:hint="default"/>
        </w:rPr>
        <w:t>÷</w:t>
      </w:r>
      <w:r>
        <w:rPr/>
        <w:t>预计总收入）。</w:t>
      </w:r>
    </w:p>
    <w:p>
      <w:pPr>
        <w:spacing w:line="240" w:lineRule="auto" w:before="2"/>
        <w:rPr>
          <w:rFonts w:ascii="宋体" w:hAnsi="宋体" w:cs="宋体" w:eastAsia="宋体" w:hint="default"/>
          <w:sz w:val="21"/>
          <w:szCs w:val="21"/>
        </w:rPr>
      </w:pPr>
    </w:p>
    <w:p>
      <w:pPr>
        <w:pStyle w:val="Heading3"/>
        <w:spacing w:line="240" w:lineRule="auto"/>
        <w:ind w:left="153" w:right="0"/>
        <w:jc w:val="both"/>
        <w:rPr>
          <w:b w:val="0"/>
          <w:bCs w:val="0"/>
        </w:rPr>
      </w:pPr>
      <w:bookmarkStart w:name="12、长期股权投资" w:id="161"/>
      <w:bookmarkEnd w:id="161"/>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共同控制、重要影响的判断 按照相关约定对某项安排所共有的控制，并且该安排的相关活动必须经过分享控制权的参与方一致同意后才能决策，</w:t>
      </w:r>
    </w:p>
    <w:p>
      <w:pPr>
        <w:pStyle w:val="BodyText"/>
        <w:spacing w:line="316" w:lineRule="auto" w:before="31"/>
        <w:ind w:right="1132"/>
        <w:jc w:val="both"/>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投资成本的确定</w:t>
      </w:r>
    </w:p>
    <w:p>
      <w:pPr>
        <w:pStyle w:val="BodyText"/>
        <w:spacing w:line="312" w:lineRule="auto" w:before="63"/>
        <w:ind w:right="1033"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0" w:lineRule="auto" w:before="22"/>
        <w:ind w:left="573" w:right="0"/>
        <w:jc w:val="left"/>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的，在合并日，根</w:t>
      </w:r>
    </w:p>
    <w:p>
      <w:pPr>
        <w:pStyle w:val="BodyText"/>
        <w:spacing w:line="316" w:lineRule="auto" w:before="13"/>
        <w:ind w:left="153" w:right="1130"/>
        <w:jc w:val="both"/>
      </w:pPr>
      <w:r>
        <w:rPr>
          <w:spacing w:val="-2"/>
        </w:rPr>
        <w:t>据合并后应享有被合并方净资产在最终控制方合并财务报表中的账面价值的份额确定初始投资成本。合并日长期股权投资的</w:t>
      </w:r>
      <w:r>
        <w:rPr>
          <w:spacing w:val="-64"/>
        </w:rPr>
        <w:t> </w:t>
      </w:r>
      <w:r>
        <w:rPr>
          <w:spacing w:val="-64"/>
        </w:rPr>
      </w:r>
      <w:r>
        <w:rPr>
          <w:spacing w:val="-2"/>
        </w:rPr>
        <w:t>初始投资成本，与达到合并前的长期股权投资账面价值加上合并日进一步取得股份新支付对价的账面价值之和的差额，调整</w:t>
      </w:r>
      <w:r>
        <w:rPr>
          <w:spacing w:val="-63"/>
        </w:rPr>
        <w:t> </w:t>
      </w:r>
      <w:r>
        <w:rPr>
          <w:spacing w:val="-63"/>
        </w:rPr>
      </w:r>
      <w:r>
        <w:rPr/>
        <w:t>资本公积；资本公积不足冲减的，调整留存收益。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left="153" w:right="0"/>
        <w:jc w:val="both"/>
      </w:pPr>
      <w:r>
        <w:rPr/>
        <w:t>会计处理：</w:t>
      </w:r>
    </w:p>
    <w:p>
      <w:pPr>
        <w:pStyle w:val="BodyText"/>
        <w:spacing w:line="240" w:lineRule="auto" w:before="76"/>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w:t>
      </w:r>
    </w:p>
    <w:p>
      <w:pPr>
        <w:pStyle w:val="BodyText"/>
        <w:spacing w:line="240" w:lineRule="auto" w:before="63"/>
        <w:ind w:left="153" w:right="0"/>
        <w:jc w:val="left"/>
      </w:pPr>
      <w:r>
        <w:rPr/>
        <w:t>本。</w:t>
      </w:r>
    </w:p>
    <w:p>
      <w:pPr>
        <w:pStyle w:val="BodyText"/>
        <w:spacing w:line="300" w:lineRule="auto" w:before="7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w:t>
      </w:r>
    </w:p>
    <w:p>
      <w:pPr>
        <w:pStyle w:val="BodyText"/>
        <w:spacing w:line="316" w:lineRule="auto" w:before="13"/>
        <w:ind w:left="153" w:right="0"/>
        <w:jc w:val="left"/>
      </w:pPr>
      <w:r>
        <w:rPr>
          <w:spacing w:val="-4"/>
        </w:rPr>
        <w:t>前持有的被购买方的股权，按照该股权在购买日的公允价值进行重新计量，公允价值与其账面价值的差额计入当期投资收益；</w:t>
      </w:r>
      <w:r>
        <w:rPr>
          <w:spacing w:val="-44"/>
        </w:rPr>
        <w:t> </w:t>
      </w:r>
      <w:r>
        <w:rPr>
          <w:spacing w:val="-44"/>
        </w:rPr>
      </w:r>
      <w:r>
        <w:rPr>
          <w:spacing w:val="-2"/>
        </w:rPr>
        <w:t>购买日之前持有的被购买方的股权涉及权益法核算下的其他综合收益等的，与其相关的其他综合收益等转为购买日所属当期</w:t>
      </w:r>
      <w:r>
        <w:rPr>
          <w:spacing w:val="-64"/>
        </w:rPr>
        <w:t> </w:t>
      </w:r>
      <w:r>
        <w:rPr>
          <w:spacing w:val="-64"/>
        </w:rPr>
      </w:r>
      <w:r>
        <w:rPr/>
        <w:t>收益。但由于被投资方重新计量设定受益计划净负债或净资产变动而产生的其他综合收益除外。</w:t>
      </w:r>
    </w:p>
    <w:p>
      <w:pPr>
        <w:pStyle w:val="BodyText"/>
        <w:spacing w:line="300" w:lineRule="auto" w:before="19"/>
        <w:ind w:left="153"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pStyle w:val="BodyText"/>
        <w:spacing w:line="240" w:lineRule="auto" w:before="3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后续计量及损益确认方法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对被投资单位实施控制的长期股权投资采用成本法核算；对联营企业和合营企业的长期股权投资，采用权益法核算。</w:t>
      </w:r>
    </w:p>
    <w:p>
      <w:pPr>
        <w:pStyle w:val="BodyText"/>
        <w:spacing w:line="240" w:lineRule="auto" w:before="76"/>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通过多次交易分步处置对子公司投资至丧失控制权的的处理方法</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2"/>
        <w:ind w:left="153"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合并财务报表</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0" w:hanging="420"/>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6" w:lineRule="auto" w:before="19"/>
        <w:ind w:left="153"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left="153" w:right="1131"/>
        <w:jc w:val="both"/>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13、固定资产" w:id="162"/>
      <w:bookmarkEnd w:id="162"/>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63"/>
      <w:bookmarkEnd w:id="16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固定资产是指为生产商品、提供劳务、出租或经营管理而持有的，使用年限超过一个会计年度的有形资产。固定资产在</w:t>
      </w:r>
      <w:r>
        <w:rPr/>
        <w:t> 同时满足经济利益很可能流入、成本能够可靠计量时予以确认。</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折旧方法" w:id="164"/>
      <w:bookmarkEnd w:id="16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4、在建工程" w:id="165"/>
      <w:bookmarkEnd w:id="165"/>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111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15、借款费用" w:id="166"/>
      <w:bookmarkEnd w:id="166"/>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2"/>
        <w:ind w:right="0"/>
        <w:jc w:val="both"/>
      </w:pPr>
      <w:r>
        <w:rPr/>
        <w:t>他借款费用，在发生时确认为费用，计入当期损益。</w:t>
      </w:r>
    </w:p>
    <w:p>
      <w:pPr>
        <w:pStyle w:val="BodyText"/>
        <w:spacing w:line="240" w:lineRule="auto" w:before="76"/>
        <w:ind w:left="574" w:right="0"/>
        <w:jc w:val="left"/>
      </w:pPr>
      <w:r>
        <w:rPr>
          <w:rFonts w:ascii="Times New Roman" w:hAnsi="Times New Roman" w:cs="Times New Roman" w:eastAsia="Times New Roman" w:hint="default"/>
        </w:rPr>
        <w:t>2</w:t>
      </w:r>
      <w:r>
        <w:rPr/>
        <w:t>．借款费用资本化期间</w:t>
      </w:r>
    </w:p>
    <w:p>
      <w:pPr>
        <w:pStyle w:val="BodyText"/>
        <w:spacing w:line="300" w:lineRule="auto" w:before="63"/>
        <w:ind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为使资产达到预</w:t>
      </w:r>
      <w:r>
        <w:rPr>
          <w:w w:val="99"/>
        </w:rPr>
        <w:t> </w:t>
      </w:r>
      <w:r>
        <w:rPr/>
        <w:t>定可使用或可销售状态所必要的购建或者生产活动已经开始。</w:t>
      </w:r>
    </w:p>
    <w:p>
      <w:pPr>
        <w:pStyle w:val="BodyText"/>
        <w:spacing w:line="300" w:lineRule="auto" w:before="31"/>
        <w:ind w:left="153"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300" w:lineRule="auto" w:before="31"/>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t>．借款费用资本化率以及资本化金额</w:t>
      </w:r>
      <w:r>
        <w:rPr>
          <w:w w:val="99"/>
        </w:rPr>
        <w:t> </w:t>
      </w:r>
      <w:r>
        <w:rPr/>
        <w:t>为购建或者生产符合资本化条件的资产而借入专门借款的，以专门借款当期实际发生的利息费用（包括按照实际利率</w:t>
      </w:r>
    </w:p>
    <w:p>
      <w:pPr>
        <w:pStyle w:val="BodyText"/>
        <w:spacing w:line="316" w:lineRule="auto" w:before="31"/>
        <w:ind w:left="153" w:right="1132"/>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16、无形资产" w:id="167"/>
      <w:bookmarkEnd w:id="167"/>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68"/>
      <w:bookmarkEnd w:id="16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无形资产包括土地使用权、管理软件及游戏版权等，按成本进行初始计量。</w:t>
      </w:r>
    </w:p>
    <w:p>
      <w:pPr>
        <w:pStyle w:val="BodyText"/>
        <w:spacing w:line="300" w:lineRule="auto" w:before="63"/>
        <w:ind w:left="153" w:right="111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50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center"/>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5</w:t>
            </w:r>
          </w:p>
        </w:tc>
      </w:tr>
    </w:tbl>
    <w:p>
      <w:pPr>
        <w:pStyle w:val="BodyText"/>
        <w:spacing w:line="309" w:lineRule="auto" w:before="31"/>
        <w:ind w:right="1132" w:firstLine="420"/>
        <w:jc w:val="both"/>
      </w:pPr>
      <w:r>
        <w:rPr>
          <w:rFonts w:ascii="Times New Roman" w:hAnsi="Times New Roman" w:cs="Times New Roman" w:eastAsia="Times New Roman" w:hint="default"/>
        </w:rPr>
        <w:t>3</w:t>
      </w:r>
      <w:r>
        <w:rPr/>
        <w:t>．</w:t>
      </w:r>
      <w:r>
        <w:rPr>
          <w:spacing w:val="20"/>
        </w:rPr>
        <w:t> </w:t>
      </w:r>
      <w:r>
        <w:rPr/>
        <w:t>使用寿命确定的无形资产，在资产负债表日有迹象表明发生减值的，按照账面价值高于可收回金额的差额计提相</w:t>
      </w:r>
      <w:r>
        <w:rPr/>
        <w:t> </w:t>
      </w:r>
      <w:r>
        <w:rPr>
          <w:spacing w:val="-2"/>
        </w:rPr>
        <w:t>应的减值准备；使用寿命不确定的无形资产和尚未达到可使用状态的无形资产，无论是否存在减值迹象，每年均进行减值测</w:t>
      </w:r>
      <w:r>
        <w:rPr>
          <w:spacing w:val="-66"/>
        </w:rPr>
        <w:t> </w:t>
      </w:r>
      <w:r>
        <w:rPr>
          <w:spacing w:val="-66"/>
        </w:rPr>
      </w:r>
      <w:r>
        <w:rPr/>
        <w:t>试。</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69"/>
      <w:bookmarkEnd w:id="16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28" w:firstLine="290"/>
        <w:jc w:val="left"/>
      </w:pPr>
      <w:r>
        <w:rPr>
          <w:spacing w:val="-2"/>
        </w:rPr>
        <w:t>内部研究开发项目研究阶段的支出，于发生时计入当期损益。内部研究开发项目开发阶段的支出，同时满足下列条件的，</w:t>
      </w:r>
      <w:r>
        <w:rPr/>
        <w:t> 确认为无形资产：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具有完成该无形资产并使用或出售 的意图；</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无形资产产生经济利益的方式，包括能够证明运用该无形资产生产的产品存在市场或无形资产自身存在市场， 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有足够的技术、财务资源和其他资源支持，以完成该无形资产的开发，并 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归属于该无形资产开发阶段的支出能够可靠地计量。</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17、长期资产减值" w:id="170"/>
      <w:bookmarkEnd w:id="170"/>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对长期股权投资、固定资产、在建工程、使用寿命有限的无形资产等长期资产</w:t>
      </w:r>
      <w:r>
        <w:rPr>
          <w:rFonts w:ascii="Times New Roman" w:hAnsi="Times New Roman" w:cs="Times New Roman" w:eastAsia="Times New Roman" w:hint="default"/>
        </w:rPr>
        <w:t>,</w:t>
      </w:r>
      <w:r>
        <w:rPr/>
        <w:t>在资产负债表日有迹象表明发生减值的，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估计其可收回金额。对因企业合并所形成的商誉和使用寿命不确定的无形资产，无论是否存在减值迹象，每年都进行减值测</w:t>
      </w:r>
      <w:r>
        <w:rPr>
          <w:spacing w:val="-66"/>
        </w:rPr>
        <w:t> </w:t>
      </w:r>
      <w:r>
        <w:rPr>
          <w:spacing w:val="-66"/>
        </w:rPr>
      </w:r>
      <w:r>
        <w:rPr/>
        <w:t>试。商誉结合与其相关的资产组或者资产组组合进行减值测试。</w:t>
      </w:r>
    </w:p>
    <w:p>
      <w:pPr>
        <w:pStyle w:val="BodyText"/>
        <w:spacing w:line="316" w:lineRule="auto" w:before="19"/>
        <w:ind w:left="153" w:right="1128" w:firstLine="420"/>
        <w:jc w:val="both"/>
      </w:pPr>
      <w:r>
        <w:rPr/>
        <w:t>可收回金额的计量结果表明，该等长期资产的可收回金额低于其账面价值的，将资产的账面价值减记至可收回金额， 减记的金额确认为资产减值损失，计入当期损益，同时计提相应的资产减值准备。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8、长期待摊费用" w:id="171"/>
      <w:bookmarkEnd w:id="171"/>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1" w:firstLine="420"/>
        <w:jc w:val="both"/>
      </w:pPr>
      <w:r>
        <w:rPr/>
        <w:t>长期待摊费用核算已经支出，但摊销期限在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 </w:t>
      </w:r>
      <w:r>
        <w:rPr>
          <w:spacing w:val="-2"/>
        </w:rPr>
        <w:t>益期或规定的期限内分期平均摊销。如果长期待摊的费用项目不能使以后会计期间受益则将尚未摊销的该项目的摊余价值全</w:t>
      </w:r>
      <w:r>
        <w:rPr>
          <w:spacing w:val="-64"/>
        </w:rPr>
        <w:t> </w:t>
      </w:r>
      <w:r>
        <w:rPr>
          <w:spacing w:val="-64"/>
        </w:rPr>
      </w:r>
      <w:r>
        <w:rPr/>
        <w:t>部转入当期损益。</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19、职工薪酬" w:id="172"/>
      <w:bookmarkEnd w:id="172"/>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73"/>
      <w:bookmarkEnd w:id="17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在职工为公司提供服务的会计期间，将实际发生的短期薪酬确认为负债，并计入当期损益或相关资产成本。</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离职后福利的会计处理方法" w:id="174"/>
      <w:bookmarkEnd w:id="17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离职后福利分为设定提存计划和设定受益计划。</w:t>
      </w:r>
    </w:p>
    <w:p>
      <w:pPr>
        <w:pStyle w:val="BodyText"/>
        <w:spacing w:line="300" w:lineRule="auto" w:before="76"/>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pStyle w:val="BodyText"/>
        <w:spacing w:line="309" w:lineRule="auto" w:before="2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12" w:lineRule="auto" w:before="2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期末，将设定受益计划产生的职工薪酬成本确认为服务成本、设定受益计划净负债或净资产的利息净额以及重新计</w:t>
      </w:r>
      <w:r>
        <w:rPr>
          <w:w w:val="99"/>
        </w:rPr>
        <w:t> </w:t>
      </w:r>
      <w:r>
        <w:rPr>
          <w:spacing w:val="-2"/>
          <w:w w:val="99"/>
        </w:rPr>
        <w:t>量设定受益计划净负债或净资产所产生的变动等三部分，其中服务成本和设定受益计划净负债或净资产的利息净额计入当期</w:t>
      </w:r>
      <w:r>
        <w:rPr>
          <w:spacing w:val="-64"/>
          <w:w w:val="99"/>
        </w:rPr>
        <w:t> </w:t>
      </w:r>
      <w:r>
        <w:rPr>
          <w:spacing w:val="-64"/>
          <w:w w:val="99"/>
        </w:rPr>
      </w:r>
      <w:r>
        <w:rPr>
          <w:spacing w:val="-2"/>
        </w:rPr>
        <w:t>损益或相关资产成本，重新计量设定受益计划净负债或净资产所产生的变动计入其他综合收益，并且在后续会计期间不允许</w:t>
      </w:r>
      <w:r>
        <w:rPr>
          <w:spacing w:val="-65"/>
        </w:rPr>
        <w:t> </w:t>
      </w:r>
      <w:r>
        <w:rPr>
          <w:spacing w:val="-65"/>
        </w:rPr>
      </w:r>
      <w:r>
        <w:rPr/>
        <w:t>转回至损益，但可以在权益范围内转移这些在其他综合收益确认的金额。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75"/>
      <w:bookmarkEnd w:id="17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7" w:firstLine="420"/>
        <w:jc w:val="both"/>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0"/>
        </w:rPr>
        <w:t> </w:t>
      </w:r>
      <w:r>
        <w:rPr>
          <w:spacing w:val="-1"/>
        </w:rPr>
        <w:t>公司不能单方面</w:t>
      </w:r>
      <w:r>
        <w:rPr/>
        <w:t>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76"/>
      <w:bookmarkEnd w:id="17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290"/>
        <w:jc w:val="left"/>
      </w:pPr>
      <w:r>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0、预计负债" w:id="177"/>
      <w:bookmarkEnd w:id="177"/>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2"/>
        <w:ind w:right="111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公司按照履行相关现时义务所需支出的最佳估计数对预计负债进行初始计量，并在资产负债表日对预计负债的账面 价值进行复核。</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21、收入" w:id="178"/>
      <w:bookmarkEnd w:id="178"/>
      <w:r>
        <w:rPr>
          <w:b w:val="0"/>
          <w:bCs w:val="0"/>
        </w:rPr>
      </w:r>
      <w:r>
        <w:rPr>
          <w:rFonts w:ascii="Times New Roman" w:hAnsi="Times New Roman" w:cs="Times New Roman" w:eastAsia="Times New Roman" w:hint="default"/>
        </w:rPr>
        <w:t>21</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销售商品</w:t>
      </w:r>
    </w:p>
    <w:p>
      <w:pPr>
        <w:pStyle w:val="BodyText"/>
        <w:spacing w:line="240" w:lineRule="auto" w:before="63"/>
        <w:ind w:left="513" w:right="0"/>
        <w:jc w:val="left"/>
      </w:pPr>
      <w:r>
        <w:rPr/>
        <w:t>销售商品收入在同时满足下列条件时予以确认： </w:t>
      </w:r>
      <w:r>
        <w:rPr>
          <w:rFonts w:ascii="Times New Roman" w:hAnsi="Times New Roman" w:cs="Times New Roman" w:eastAsia="Times New Roman" w:hint="default"/>
        </w:rPr>
        <w:t>1)  </w:t>
      </w:r>
      <w:r>
        <w:rPr/>
        <w:t>将商品所有权上的主要风险和报酬转移给购货方；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公司不再保</w:t>
      </w:r>
    </w:p>
    <w:p>
      <w:pPr>
        <w:pStyle w:val="BodyText"/>
        <w:spacing w:line="240" w:lineRule="auto" w:before="63"/>
        <w:ind w:left="153" w:right="0"/>
        <w:jc w:val="both"/>
      </w:pPr>
      <w:r>
        <w:rPr/>
        <w:t>留通常与所有权相联系的继续管理权，也不再对已售出的商品实施有效控制； </w:t>
      </w:r>
      <w:r>
        <w:rPr>
          <w:rFonts w:ascii="Times New Roman" w:hAnsi="Times New Roman" w:cs="Times New Roman" w:eastAsia="Times New Roman" w:hint="default"/>
        </w:rPr>
        <w:t>3)  </w:t>
      </w:r>
      <w:r>
        <w:rPr/>
        <w:t>收入的金额能够可靠地计量；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相关的</w:t>
      </w:r>
    </w:p>
    <w:p>
      <w:pPr>
        <w:pStyle w:val="BodyText"/>
        <w:spacing w:line="240" w:lineRule="auto" w:before="63"/>
        <w:ind w:left="153" w:right="0"/>
        <w:jc w:val="both"/>
      </w:pPr>
      <w:r>
        <w:rPr/>
        <w:t>经济利益很可能流入；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相关的已发生或将发生的成本能够可靠地计量。</w:t>
      </w:r>
    </w:p>
    <w:p>
      <w:pPr>
        <w:pStyle w:val="BodyText"/>
        <w:spacing w:line="300" w:lineRule="auto" w:before="63"/>
        <w:ind w:left="51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提供劳务 </w:t>
      </w:r>
      <w:r>
        <w:rPr>
          <w:spacing w:val="-2"/>
        </w:rPr>
        <w:t>提供劳务收入采用交付并验收合格后确认提供劳务的收入（同时满足收入的金额能够可靠地计量、相关经济利益很可能</w:t>
      </w:r>
    </w:p>
    <w:p>
      <w:pPr>
        <w:pStyle w:val="BodyText"/>
        <w:spacing w:line="316" w:lineRule="auto" w:before="31"/>
        <w:ind w:left="153" w:right="1131"/>
        <w:jc w:val="both"/>
      </w:pPr>
      <w:r>
        <w:rPr>
          <w:spacing w:val="-2"/>
        </w:rPr>
        <w:t>流入、交易中已发生和将发生的成本能够可靠地计量）。提供劳务交易的结果在资产负债表日不能够可靠估计的，若已经发</w:t>
      </w:r>
      <w:r>
        <w:rPr>
          <w:spacing w:val="-66"/>
        </w:rPr>
        <w:t> </w:t>
      </w:r>
      <w:r>
        <w:rPr>
          <w:spacing w:val="-66"/>
        </w:rPr>
      </w:r>
      <w:r>
        <w:rPr>
          <w:spacing w:val="-2"/>
        </w:rPr>
        <w:t>生的劳务成本预计能够得到补偿，按已经发生的劳务成本金额确认提供劳务收入，并按相同金额结转劳务成本；若已经发生</w:t>
      </w:r>
      <w:r>
        <w:rPr>
          <w:spacing w:val="-66"/>
        </w:rPr>
        <w:t> </w:t>
      </w:r>
      <w:r>
        <w:rPr>
          <w:spacing w:val="-66"/>
        </w:rPr>
      </w:r>
      <w:r>
        <w:rPr/>
        <w:t>的劳务成本预计不能够得到补偿，将已经发生的劳务成本计入当期损益，不确认劳务收入。</w:t>
      </w:r>
    </w:p>
    <w:p>
      <w:pPr>
        <w:pStyle w:val="BodyText"/>
        <w:spacing w:line="300" w:lineRule="auto" w:before="19"/>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让渡资产使用权 </w:t>
      </w:r>
      <w:r>
        <w:rPr>
          <w:spacing w:val="-2"/>
        </w:rPr>
        <w:t>让渡资产使用权在同时满足相关的经济利益很可能流入、收入金额能够可靠计量时，确认让渡资产使用权的收入。利息</w:t>
      </w:r>
    </w:p>
    <w:p>
      <w:pPr>
        <w:pStyle w:val="BodyText"/>
        <w:spacing w:line="316" w:lineRule="auto" w:before="31"/>
        <w:ind w:left="153" w:right="1131"/>
        <w:jc w:val="both"/>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309" w:lineRule="auto" w:before="19"/>
        <w:ind w:left="573" w:right="15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动漫作品收入的确认方法 在动漫作品取得《国产动画片播放许可证》、母带已经交付，且交易相关的经济利益很可能流入本公司时确认。 动漫作品授权形象收入在取得《国产动画片播放许可证》且交易相关的经济利益很可能流入本公司时确认。</w:t>
      </w:r>
    </w:p>
    <w:p>
      <w:pPr>
        <w:pStyle w:val="BodyText"/>
        <w:spacing w:line="240" w:lineRule="auto" w:before="24"/>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游戏版权收入</w:t>
      </w:r>
    </w:p>
    <w:p>
      <w:pPr>
        <w:pStyle w:val="BodyText"/>
        <w:spacing w:line="309" w:lineRule="auto" w:before="63"/>
        <w:ind w:left="573" w:right="29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移动终端单机游戏</w:t>
      </w:r>
      <w:r>
        <w:rPr>
          <w:w w:val="99"/>
        </w:rPr>
        <w:t> </w:t>
      </w:r>
      <w:r>
        <w:rPr/>
        <w:t>在收到电信运营商或服务商提供的计费账单并经公司相关部门核对结算金额后，确认为收入。</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移动终端联网游戏、互联网页面游戏</w:t>
      </w:r>
    </w:p>
    <w:p>
      <w:pPr>
        <w:pStyle w:val="BodyText"/>
        <w:spacing w:line="316" w:lineRule="auto" w:before="5"/>
        <w:ind w:left="573" w:right="0"/>
        <w:jc w:val="left"/>
      </w:pPr>
      <w:r>
        <w:rPr/>
        <w:t>公司官方网站上运营的自有网络游戏：道具收费模式下，在游戏玩家实际使用虚拟货币购买虚拟道具时确认收入。 公司官方网站上运营的合作网络游戏、公司与网络游戏平台合作运营的网络游戏：在取得合作方提供的按协议约定计</w:t>
      </w:r>
    </w:p>
    <w:p>
      <w:pPr>
        <w:pStyle w:val="BodyText"/>
        <w:spacing w:line="240" w:lineRule="auto" w:before="19"/>
        <w:ind w:left="153" w:right="0"/>
        <w:jc w:val="left"/>
      </w:pPr>
      <w:r>
        <w:rPr/>
        <w:t>算并经双方核对无误的计费账单后，确认为收入。</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2、政府补助" w:id="179"/>
      <w:bookmarkEnd w:id="179"/>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80"/>
      <w:bookmarkEnd w:id="18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公司取得的、用于购建或以其他方式形成长期资产的政府补助划分为与资产相关的政府补助。与资产相关的政府补助，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w:id="181"/>
      <w:bookmarkEnd w:id="18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除与资产相关的政府补助之外的政府补助划分为与收益相关的政府补助。与收益相关的政府补助，用于补偿以后期间的</w:t>
      </w:r>
      <w:r>
        <w:rPr/>
        <w:t> </w:t>
      </w:r>
      <w:r>
        <w:rPr>
          <w:spacing w:val="-2"/>
        </w:rPr>
        <w:t>相关费用或损失的，确认为递延收益，在确认相关费用的期间，计入当期损益；用于补偿已发生的相关费用或损失的，直接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计入当期损益。</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3、递延所得税资产/递延所得税负债" w:id="182"/>
      <w:bookmarkEnd w:id="182"/>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2"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根据资产、负债的账面价值与其计税基础之间的差额（未作为资产和负债确认的项目按照税法规定可以确定其计税</w:t>
      </w:r>
      <w:r>
        <w:rPr>
          <w:spacing w:val="1"/>
        </w:rPr>
        <w:t>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24"/>
        <w:ind w:left="153" w:right="1133"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left="153" w:right="113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资产负债表日，对递延所得税资产的账面价值进行复核，如果未来期间很可能无法获得足够的应纳税所得额用以抵</w:t>
      </w:r>
      <w:r>
        <w:rPr>
          <w:spacing w:val="1"/>
        </w:rPr>
        <w:t> </w:t>
      </w:r>
      <w:r>
        <w:rPr/>
        <w:t>扣递延所得税资产的利益，则减记递延所得税资产的账面价值。在很可能获得足够的应纳税所得额时，转回减记的金额。</w:t>
      </w:r>
    </w:p>
    <w:p>
      <w:pPr>
        <w:pStyle w:val="BodyText"/>
        <w:spacing w:line="240" w:lineRule="auto" w:before="31"/>
        <w:ind w:left="513" w:right="0"/>
        <w:jc w:val="left"/>
      </w:pPr>
      <w:r>
        <w:rPr>
          <w:rFonts w:ascii="Times New Roman" w:hAnsi="Times New Roman" w:cs="Times New Roman" w:eastAsia="Times New Roman" w:hint="default"/>
        </w:rPr>
        <w:t>4.  </w:t>
      </w:r>
      <w:r>
        <w:rPr>
          <w:spacing w:val="-3"/>
        </w:rPr>
        <w:t>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8"/>
        </w:rPr>
        <w:t> </w:t>
      </w:r>
      <w:r>
        <w:rPr/>
        <w:t>企业合并；</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直接在所有者权益中确认的交易或者事项。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4、租赁" w:id="183"/>
      <w:bookmarkEnd w:id="183"/>
      <w:r>
        <w:rPr>
          <w:b w:val="0"/>
          <w:bCs w:val="0"/>
        </w:rPr>
      </w:r>
      <w:r>
        <w:rPr>
          <w:rFonts w:ascii="Times New Roman" w:hAnsi="Times New Roman" w:cs="Times New Roman" w:eastAsia="Times New Roman" w:hint="default"/>
        </w:rPr>
        <w:t>24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84"/>
      <w:bookmarkEnd w:id="18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9"/>
        <w:ind w:left="153" w:right="1133" w:firstLine="360"/>
        <w:jc w:val="both"/>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重要会计政策和会计估计变更" w:id="185"/>
      <w:bookmarkEnd w:id="185"/>
      <w:r>
        <w:rPr>
          <w:b w:val="0"/>
          <w:bCs w:val="0"/>
        </w:rPr>
      </w:r>
      <w:r>
        <w:rPr>
          <w:rFonts w:ascii="Times New Roman" w:hAnsi="Times New Roman" w:cs="Times New Roman" w:eastAsia="Times New Roman" w:hint="default"/>
        </w:rPr>
        <w:t>25</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186"/>
      <w:bookmarkEnd w:id="18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年修订或新制定发布的《企业会</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职工薪酬》等八项具体 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本次变更经公司二届十六次董事会审议 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受重要影响的报表项目和金额</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28"/>
        <w:gridCol w:w="2700"/>
        <w:gridCol w:w="2295"/>
      </w:tblGrid>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2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55"/>
                <w:sz w:val="18"/>
                <w:szCs w:val="18"/>
              </w:rPr>
              <w:t> </w:t>
            </w:r>
            <w:r>
              <w:rPr>
                <w:rFonts w:ascii="宋体" w:hAnsi="宋体" w:cs="宋体" w:eastAsia="宋体" w:hint="default"/>
                <w:sz w:val="18"/>
                <w:szCs w:val="18"/>
              </w:rPr>
              <w:t>注</w:t>
            </w:r>
          </w:p>
        </w:tc>
      </w:tr>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270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14,424,321.90</w:t>
            </w: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-14,424,321.90</w:t>
            </w: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523,570.11</w:t>
            </w:r>
          </w:p>
        </w:tc>
        <w:tc>
          <w:tcPr>
            <w:tcW w:w="229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-523,570.11</w:t>
            </w:r>
            <w:r>
              <w:rPr>
                <w:rFonts w:ascii="Times New Roman"/>
                <w:sz w:val="18"/>
              </w:rPr>
            </w:r>
          </w:p>
        </w:tc>
        <w:tc>
          <w:tcPr>
            <w:tcW w:w="2295"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会计估计变更" w:id="187"/>
      <w:bookmarkEnd w:id="18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税项" w:id="188"/>
      <w:bookmarkEnd w:id="18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189"/>
      <w:bookmarkEnd w:id="18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17%</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3%</w:t>
            </w:r>
            <w:r>
              <w:rPr>
                <w:rFonts w:ascii="宋体" w:hAnsi="宋体" w:cs="宋体" w:eastAsia="宋体" w:hint="default"/>
                <w:spacing w:val="-90"/>
                <w:w w:val="99"/>
                <w:sz w:val="18"/>
                <w:szCs w:val="18"/>
              </w:rPr>
              <w:t>、</w:t>
            </w:r>
            <w:r>
              <w:rPr>
                <w:rFonts w:ascii="宋体" w:hAnsi="宋体" w:cs="宋体" w:eastAsia="宋体" w:hint="default"/>
                <w:w w:val="99"/>
                <w:sz w:val="18"/>
                <w:szCs w:val="18"/>
              </w:rPr>
              <w:t>（荷兰公司</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21%</w:t>
            </w:r>
            <w:r>
              <w:rPr>
                <w:rFonts w:ascii="宋体" w:hAnsi="宋体" w:cs="宋体" w:eastAsia="宋体" w:hint="default"/>
                <w:w w:val="99"/>
                <w:sz w:val="18"/>
                <w:szCs w:val="18"/>
              </w:rPr>
              <w:t>）</w:t>
            </w:r>
            <w:r>
              <w:rPr>
                <w:rFonts w:ascii="宋体" w:hAnsi="宋体" w:cs="宋体" w:eastAsia="宋体" w:hint="default"/>
                <w:sz w:val="18"/>
                <w:szCs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25%</w:t>
            </w:r>
            <w:r>
              <w:rPr>
                <w:rFonts w:ascii="宋体" w:hAnsi="宋体" w:cs="宋体" w:eastAsia="宋体" w:hint="default"/>
                <w:spacing w:val="-90"/>
                <w:w w:val="99"/>
                <w:sz w:val="18"/>
                <w:szCs w:val="18"/>
              </w:rPr>
              <w:t>、</w:t>
            </w:r>
            <w:r>
              <w:rPr>
                <w:rFonts w:ascii="宋体" w:hAnsi="宋体" w:cs="宋体" w:eastAsia="宋体" w:hint="default"/>
                <w:w w:val="99"/>
                <w:sz w:val="18"/>
                <w:szCs w:val="18"/>
              </w:rPr>
              <w:t>（荷兰公司</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w:t>
            </w:r>
            <w:r>
              <w:rPr>
                <w:rFonts w:ascii="宋体" w:hAnsi="宋体" w:cs="宋体" w:eastAsia="宋体" w:hint="default"/>
                <w:w w:val="99"/>
                <w:sz w:val="18"/>
                <w:szCs w:val="18"/>
              </w:rPr>
              <w:t>）</w:t>
            </w:r>
            <w:r>
              <w:rPr>
                <w:rFonts w:ascii="宋体" w:hAnsi="宋体" w:cs="宋体" w:eastAsia="宋体" w:hint="default"/>
                <w:sz w:val="18"/>
                <w:szCs w:val="18"/>
              </w:rPr>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合并财务报表项目注释" w:id="190"/>
      <w:bookmarkEnd w:id="19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91"/>
      <w:bookmarkEnd w:id="19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104,507.44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118,317.84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248,960,589.22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132,920,180.24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562,451.47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69,344.71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133,107,842.79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18,418,085.12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20,331,973.53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以公允价值计量且其变动计入当期损益的金融资产" w:id="192"/>
      <w:bookmarkEnd w:id="19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20,117,601.26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2,553,350.00</w:t>
            </w:r>
          </w:p>
        </w:tc>
      </w:tr>
    </w:tbl>
    <w:p>
      <w:pPr>
        <w:pStyle w:val="BodyText"/>
        <w:spacing w:line="240" w:lineRule="auto" w:before="51"/>
        <w:ind w:right="0"/>
        <w:jc w:val="left"/>
      </w:pPr>
      <w:r>
        <w:rPr/>
        <w:t>其他说明：</w:t>
      </w:r>
    </w:p>
    <w:p>
      <w:pPr>
        <w:pStyle w:val="BodyText"/>
        <w:spacing w:line="300" w:lineRule="auto" w:before="116"/>
        <w:ind w:right="1147" w:firstLine="290"/>
        <w:jc w:val="left"/>
      </w:pPr>
      <w:r>
        <w:rPr/>
        <w:t>公司将年末应收的业绩承诺补偿款</w:t>
      </w:r>
      <w:r>
        <w:rPr>
          <w:rFonts w:ascii="Times New Roman" w:hAnsi="Times New Roman" w:cs="Times New Roman" w:eastAsia="Times New Roman" w:hint="default"/>
        </w:rPr>
        <w:t>20,117,601.26</w:t>
      </w:r>
      <w:r>
        <w:rPr/>
        <w:t>元确认为以公允价值计量且其变动计入当期损益的金融资产，该补偿款 已于期后收回，详见本财务报告附注其他重要事项之说明。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衍生金融资产" w:id="193"/>
      <w:bookmarkEnd w:id="19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应收账款" w:id="194"/>
      <w:bookmarkEnd w:id="19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5"/>
      <w:bookmarkEnd w:id="19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63,952,8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3,744,05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60,208,83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35,142,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370.69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2,092,549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33,049,820.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63,952,8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90.70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3,744,05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60,208,83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35,142,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370.69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2,092,549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33,049,820.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62,202,381.49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3,110,119.11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1,078,242.93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107,824.29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39,004.87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633,261.41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506,609.13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63,952,890.70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3,744,054.97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196"/>
      <w:bookmarkEnd w:id="19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3" w:right="-12"/>
        <w:jc w:val="left"/>
      </w:pPr>
      <w:r>
        <w:rPr/>
        <w:t>本期计提坏账准备金额</w:t>
      </w:r>
      <w:r>
        <w:rPr>
          <w:spacing w:val="-47"/>
        </w:rPr>
        <w:t> </w:t>
      </w:r>
      <w:r>
        <w:rPr>
          <w:rFonts w:ascii="Times New Roman" w:hAnsi="Times New Roman" w:cs="Times New Roman" w:eastAsia="Times New Roman" w:hint="default"/>
        </w:rPr>
        <w:t>1,651,505.27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吊的应收账款情况" w:id="197"/>
      <w:bookmarkEnd w:id="19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290"/>
        <w:jc w:val="left"/>
      </w:pPr>
      <w:r>
        <w:rPr>
          <w:rFonts w:ascii="Times New Roman" w:hAnsi="Times New Roman" w:cs="Times New Roman" w:eastAsia="Times New Roman" w:hint="default"/>
          <w:spacing w:val="-2"/>
        </w:rPr>
        <w:t>2014</w:t>
      </w:r>
      <w:r>
        <w:rPr>
          <w:spacing w:val="-2"/>
        </w:rPr>
        <w:t>年期末余额前</w:t>
      </w:r>
      <w:r>
        <w:rPr>
          <w:rFonts w:ascii="Times New Roman" w:hAnsi="Times New Roman" w:cs="Times New Roman" w:eastAsia="Times New Roman" w:hint="default"/>
          <w:spacing w:val="-2"/>
        </w:rPr>
        <w:t>5</w:t>
      </w:r>
      <w:r>
        <w:rPr>
          <w:spacing w:val="-2"/>
        </w:rPr>
        <w:t>名的应收账款合计数为</w:t>
      </w:r>
      <w:r>
        <w:rPr>
          <w:rFonts w:ascii="Times New Roman" w:hAnsi="Times New Roman" w:cs="Times New Roman" w:eastAsia="Times New Roman" w:hint="default"/>
          <w:spacing w:val="-2"/>
        </w:rPr>
        <w:t>46,848,604.21</w:t>
      </w:r>
      <w:r>
        <w:rPr>
          <w:spacing w:val="-2"/>
        </w:rPr>
        <w:t>元，占应收账款期末余额合计数的比例为</w:t>
      </w:r>
      <w:r>
        <w:rPr>
          <w:rFonts w:ascii="Times New Roman" w:hAnsi="Times New Roman" w:cs="Times New Roman" w:eastAsia="Times New Roman" w:hint="default"/>
          <w:spacing w:val="-2"/>
        </w:rPr>
        <w:t>73.25%</w:t>
      </w:r>
      <w:r>
        <w:rPr>
          <w:spacing w:val="-2"/>
        </w:rPr>
        <w:t>，相应计提的坏</w:t>
      </w:r>
      <w:r>
        <w:rPr/>
        <w:t> 账准备合计数为</w:t>
      </w:r>
      <w:r>
        <w:rPr>
          <w:rFonts w:ascii="Times New Roman" w:hAnsi="Times New Roman" w:cs="Times New Roman" w:eastAsia="Times New Roman" w:hint="default"/>
        </w:rPr>
        <w:t>2,342,430.22</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5、预付款项" w:id="198"/>
      <w:bookmarkEnd w:id="19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预付款项按账龄列示" w:id="199"/>
      <w:bookmarkEnd w:id="19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13,731,902.55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5,976,527.51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13,900,707.88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5,976,527.51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吊的预付款情况" w:id="200"/>
      <w:bookmarkEnd w:id="20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3" w:right="2123" w:firstLine="290"/>
        <w:jc w:val="left"/>
      </w:pPr>
      <w:r>
        <w:rPr>
          <w:rFonts w:ascii="Times New Roman" w:hAnsi="Times New Roman" w:cs="Times New Roman" w:eastAsia="Times New Roman" w:hint="default"/>
        </w:rPr>
        <w:t>2014</w:t>
      </w:r>
      <w:r>
        <w:rPr/>
        <w:t>年期末余额前</w:t>
      </w:r>
      <w:r>
        <w:rPr>
          <w:rFonts w:ascii="Times New Roman" w:hAnsi="Times New Roman" w:cs="Times New Roman" w:eastAsia="Times New Roman" w:hint="default"/>
        </w:rPr>
        <w:t>5</w:t>
      </w:r>
      <w:r>
        <w:rPr/>
        <w:t>名的预付款项合计数为</w:t>
      </w:r>
      <w:r>
        <w:rPr>
          <w:rFonts w:ascii="Times New Roman" w:hAnsi="Times New Roman" w:cs="Times New Roman" w:eastAsia="Times New Roman" w:hint="default"/>
        </w:rPr>
        <w:t>12,135,114.52</w:t>
      </w:r>
      <w:r>
        <w:rPr/>
        <w:t>元，占预付款项期末余额合计数的比例为</w:t>
      </w:r>
      <w:r>
        <w:rPr>
          <w:rFonts w:ascii="Times New Roman" w:hAnsi="Times New Roman" w:cs="Times New Roman" w:eastAsia="Times New Roman" w:hint="default"/>
        </w:rPr>
        <w:t>87.29%</w:t>
      </w:r>
      <w:r>
        <w:rPr/>
        <w:t>。 其他说明：</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6、应收利息" w:id="201"/>
      <w:bookmarkEnd w:id="201"/>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02"/>
      <w:bookmarkEnd w:id="20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其他应收款" w:id="203"/>
      <w:bookmarkEnd w:id="203"/>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4"/>
      <w:bookmarkEnd w:id="20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8,473,83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496,201.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7,977,632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208,729.9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2,949,001.4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8,473,83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4.61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496,201.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7,977,632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208,729.9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2,949,001.4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7,933,634.61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396,681.74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8,473,834.61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496,201.74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05"/>
      <w:bookmarkEnd w:id="2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left="153" w:right="-15"/>
        <w:jc w:val="left"/>
      </w:pPr>
      <w:r>
        <w:rPr/>
        <w:t>本期计提坏账准备金额</w:t>
      </w:r>
      <w:r>
        <w:rPr>
          <w:spacing w:val="-46"/>
        </w:rPr>
        <w:t> </w:t>
      </w:r>
      <w:r>
        <w:rPr>
          <w:rFonts w:ascii="Times New Roman" w:hAnsi="Times New Roman" w:cs="Times New Roman" w:eastAsia="Times New Roman" w:hint="default"/>
        </w:rPr>
        <w:t>287,471.82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应收款按款项性质分类情况" w:id="206"/>
      <w:bookmarkEnd w:id="20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6,347,820.94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754,275.68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840,263.67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735,155.72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8,473,834.61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3,157,731.40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207"/>
      <w:bookmarkEnd w:id="20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6,347,820.94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317,391.05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制片备用金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制片备用金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574,945.13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28,747.26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新昌县非税收入汇 缴核算专户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工资保障金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新昌县财政局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工资保障金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浙江天猫技术有限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7,869,266.07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415,438.31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存货" w:id="208"/>
      <w:bookmarkEnd w:id="208"/>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09"/>
      <w:bookmarkEnd w:id="20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10,344,186.29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10,344,186.29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7,921,159.74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7,921,159.74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23,207,995.72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23,207,995.72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21,438,359.87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21,438,359.87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118,380,839.00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102,628,751.82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44,548,471.34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21,403,134.65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23,145,336.69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39,502,832.88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39,502,832.88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4,263,528.22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4,263,528.22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191,435,853.89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175,683,766.71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78,171,519.17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21,403,134.65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56,768,384.52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存货跌价准备" w:id="210"/>
      <w:bookmarkEnd w:id="21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21,403,134.65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4,287,014.67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1,364,032.80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15,752,087.18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21,403,134.65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4,287,014.67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1,364,032.80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15,752,087.18</w:t>
            </w:r>
          </w:p>
        </w:tc>
      </w:tr>
    </w:tbl>
    <w:p>
      <w:pPr>
        <w:pStyle w:val="BodyText"/>
        <w:spacing w:line="240" w:lineRule="auto" w:before="10"/>
        <w:ind w:left="514" w:right="0"/>
        <w:jc w:val="left"/>
      </w:pPr>
      <w:r>
        <w:rPr/>
        <w:t>公司销售动漫作品，按预计收入比例法结转成本，并相应转销原计提的存货跌价准备。</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9、其他流动资产" w:id="211"/>
      <w:bookmarkEnd w:id="211"/>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429,760.05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1,441,152.57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24,870,912.62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225,001,845.02</w:t>
            </w:r>
          </w:p>
        </w:tc>
      </w:tr>
    </w:tbl>
    <w:p>
      <w:pPr>
        <w:pStyle w:val="BodyText"/>
        <w:spacing w:line="240" w:lineRule="auto" w:before="51"/>
        <w:ind w:right="0"/>
        <w:jc w:val="left"/>
      </w:pPr>
      <w:r>
        <w:rPr/>
        <w:t>其他说明：</w:t>
      </w:r>
    </w:p>
    <w:p>
      <w:pPr>
        <w:pStyle w:val="BodyText"/>
        <w:spacing w:line="304" w:lineRule="auto" w:before="116"/>
        <w:ind w:left="153" w:right="1130" w:firstLine="360"/>
        <w:jc w:val="both"/>
      </w:pPr>
      <w:r>
        <w:rPr>
          <w:rFonts w:ascii="Times New Roman" w:hAnsi="Times New Roman" w:cs="Times New Roman" w:eastAsia="Times New Roman" w:hint="default"/>
          <w:spacing w:val="-2"/>
        </w:rPr>
        <w:t>2013</w:t>
      </w:r>
      <w:r>
        <w:rPr>
          <w:spacing w:val="-2"/>
        </w:rPr>
        <w:t>年，公司与双成影业（上海）有限公司（以下简称双成影业）签订《关于珠江电影频道动漫播出及产业延伸项目之</w:t>
      </w:r>
      <w:r>
        <w:rPr/>
        <w:t> </w:t>
      </w:r>
      <w:r>
        <w:rPr>
          <w:spacing w:val="-2"/>
        </w:rPr>
        <w:t>投资合作协议书》，合作项目：广东电视台珠江电影频道及相关动漫衍生品、动漫活动推广、演艺培训项目；合作期限：自</w:t>
      </w:r>
      <w:r>
        <w:rPr>
          <w:spacing w:val="-71"/>
        </w:rPr>
        <w:t> </w:t>
      </w:r>
      <w:r>
        <w:rPr>
          <w:spacing w:val="-71"/>
        </w:rPr>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日共五个年度；公司投资总额</w:t>
      </w:r>
      <w:r>
        <w:rPr>
          <w:rFonts w:ascii="Times New Roman" w:hAnsi="Times New Roman" w:cs="Times New Roman" w:eastAsia="Times New Roman" w:hint="default"/>
          <w:spacing w:val="-1"/>
        </w:rPr>
        <w:t>2,000</w:t>
      </w:r>
      <w:r>
        <w:rPr>
          <w:spacing w:val="-1"/>
        </w:rPr>
        <w:t>万元，收益率为</w:t>
      </w:r>
      <w:r>
        <w:rPr>
          <w:rFonts w:ascii="Times New Roman" w:hAnsi="Times New Roman" w:cs="Times New Roman" w:eastAsia="Times New Roman" w:hint="default"/>
          <w:spacing w:val="-1"/>
        </w:rPr>
        <w:t>10%</w:t>
      </w:r>
      <w:r>
        <w:rPr>
          <w:spacing w:val="-1"/>
        </w:rPr>
        <w:t>，双成影业在各合作年度终了时归还投</w:t>
      </w:r>
      <w:r>
        <w:rPr>
          <w:spacing w:val="-35"/>
        </w:rPr>
        <w:t> </w:t>
      </w:r>
      <w:r>
        <w:rPr>
          <w:spacing w:val="-35"/>
        </w:rPr>
      </w:r>
      <w:r>
        <w:rPr>
          <w:spacing w:val="-1"/>
        </w:rPr>
        <w:t>资款并向本公司支付对应的投资收益。</w:t>
      </w:r>
      <w:r>
        <w:rPr>
          <w:rFonts w:ascii="Times New Roman" w:hAnsi="Times New Roman" w:cs="Times New Roman" w:eastAsia="Times New Roman" w:hint="default"/>
          <w:spacing w:val="-1"/>
        </w:rPr>
        <w:t>2014</w:t>
      </w:r>
      <w:r>
        <w:rPr>
          <w:spacing w:val="-1"/>
        </w:rPr>
        <w:t>年，双成影业归还投资款</w:t>
      </w:r>
      <w:r>
        <w:rPr>
          <w:rFonts w:ascii="Times New Roman" w:hAnsi="Times New Roman" w:cs="Times New Roman" w:eastAsia="Times New Roman" w:hint="default"/>
          <w:spacing w:val="-1"/>
        </w:rPr>
        <w:t>2,000</w:t>
      </w:r>
      <w:r>
        <w:rPr>
          <w:spacing w:val="-1"/>
        </w:rPr>
        <w:t>万元并向本公司支付投资收益</w:t>
      </w:r>
      <w:r>
        <w:rPr>
          <w:rFonts w:ascii="Times New Roman" w:hAnsi="Times New Roman" w:cs="Times New Roman" w:eastAsia="Times New Roman" w:hint="default"/>
          <w:spacing w:val="-1"/>
        </w:rPr>
        <w:t>200</w:t>
      </w:r>
      <w:r>
        <w:rPr>
          <w:spacing w:val="-1"/>
        </w:rPr>
        <w:t>万元，公司收到</w:t>
      </w:r>
      <w:r>
        <w:rPr>
          <w:spacing w:val="-70"/>
        </w:rPr>
        <w:t> </w:t>
      </w:r>
      <w:r>
        <w:rPr>
          <w:spacing w:val="-70"/>
        </w:rPr>
      </w:r>
      <w:r>
        <w:rPr/>
        <w:t>投资款及投资收益后，将</w:t>
      </w:r>
      <w:r>
        <w:rPr>
          <w:rFonts w:ascii="Times New Roman" w:hAnsi="Times New Roman" w:cs="Times New Roman" w:eastAsia="Times New Roman" w:hint="default"/>
        </w:rPr>
        <w:t>2,000</w:t>
      </w:r>
      <w:r>
        <w:rPr/>
        <w:t>万元投资款再次支付给双成影业。</w:t>
      </w:r>
    </w:p>
    <w:p>
      <w:pPr>
        <w:spacing w:line="240" w:lineRule="auto" w:before="10"/>
        <w:rPr>
          <w:rFonts w:ascii="宋体" w:hAnsi="宋体" w:cs="宋体" w:eastAsia="宋体" w:hint="default"/>
          <w:sz w:val="21"/>
          <w:szCs w:val="21"/>
        </w:rPr>
      </w:pPr>
    </w:p>
    <w:p>
      <w:pPr>
        <w:pStyle w:val="Heading3"/>
        <w:spacing w:line="240" w:lineRule="auto"/>
        <w:ind w:left="153" w:right="0"/>
        <w:jc w:val="left"/>
        <w:rPr>
          <w:b w:val="0"/>
          <w:bCs w:val="0"/>
        </w:rPr>
      </w:pPr>
      <w:bookmarkStart w:name="10、可供出售金融资产" w:id="212"/>
      <w:bookmarkEnd w:id="212"/>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13"/>
      <w:bookmarkEnd w:id="21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14"/>
      <w:bookmarkEnd w:id="214"/>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长期股权投资" w:id="215"/>
      <w:bookmarkEnd w:id="215"/>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pacing w:val="-3"/>
                <w:sz w:val="18"/>
              </w:rPr>
              <w:t>PACIFIC</w:t>
            </w:r>
            <w:r>
              <w:rPr>
                <w:rFonts w:ascii="Times New Roman"/>
                <w:w w:val="99"/>
                <w:sz w:val="18"/>
              </w:rPr>
              <w:t> </w:t>
            </w:r>
            <w:r>
              <w:rPr>
                <w:rFonts w:ascii="Times New Roman"/>
                <w:sz w:val="18"/>
              </w:rPr>
              <w:t>TRADIN</w:t>
            </w:r>
            <w:r>
              <w:rPr>
                <w:rFonts w:ascii="Times New Roman"/>
                <w:w w:val="99"/>
                <w:sz w:val="18"/>
              </w:rPr>
              <w:t> </w:t>
            </w:r>
            <w:r>
              <w:rPr>
                <w:rFonts w:ascii="Times New Roman"/>
                <w:sz w:val="18"/>
              </w:rPr>
              <w:t>G </w:t>
            </w:r>
            <w:r>
              <w:rPr>
                <w:rFonts w:ascii="Times New Roman"/>
                <w:spacing w:val="-6"/>
                <w:sz w:val="18"/>
              </w:rPr>
              <w:t>LTD</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2,995,847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-444,381.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-444,381.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-444,381.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固定资产" w:id="216"/>
      <w:bookmarkEnd w:id="216"/>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17"/>
      <w:bookmarkEnd w:id="21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199,737,608.68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14,654,699.21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7,407,757.43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9,216,010.37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231,016,075.69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39,414,052.93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1,448,038.17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210,127.64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41,999,865.16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5,017,418.56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1,448,038.17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210,127.64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861,699.42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7,537,283.79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34,396,634.37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34,396,634.37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65,947.00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302,108.79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251,258.86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82,035.81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635,403.46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251,258.86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264,208.86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292,958.79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78,235.81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371,194.60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239,151,661.61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15,800,628.59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7,366,626.21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10,061,620.98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272,380,537.39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12,840,933.30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7,369,545.93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3,745,925.15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5,734,586.29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29,690,990.67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6,027,055.14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1,484,147.35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1,006,834.52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1,241,358.05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9,759,395.06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6,027,055.14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1,484,147.35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1,006,834.52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1,205,437.92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9,723,474.93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35,920.13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374,342.50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226,132.97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656,421.57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226,132.97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232,475.93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370,786.66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423,945.64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18,867,988.44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8,479,350.78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4,526,626.70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6,919,998.24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38,793,964.16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220,283,673.17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7,321,277.81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2,839,999.51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3,141,622.74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233,586,573.23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186,896,675.38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7,285,153.28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3,661,832.28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3,481,424.08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201,325,085.02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通过经营租赁租出的固定资产" w:id="218"/>
      <w:bookmarkEnd w:id="218"/>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35,618,694.04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办妥产权证书的固定资产情况" w:id="219"/>
      <w:bookmarkEnd w:id="219"/>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动漫基地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92,276,452.12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3、在建工程" w:id="220"/>
      <w:bookmarkEnd w:id="220"/>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21"/>
      <w:bookmarkEnd w:id="22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厂房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23,691,926.97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23,691,926.97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19,099,879.63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19,099,879.63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3,592,846.00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3,592,846.00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34,382,370.00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34,382,370.00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53,901,144.63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53,901,144.63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52,671,772.97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52,671,772.97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22"/>
      <w:bookmarkEnd w:id="22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23,691,9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10,276,7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33,968,6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研发车 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91,500,0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3,592,84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15,507,0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19,099,8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预付购 房款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9,382,37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34,382,3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169,880,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52,671,7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72.97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35,626,0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34,396,6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53,901,1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44.63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无形资产" w:id="223"/>
      <w:bookmarkEnd w:id="223"/>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24"/>
      <w:bookmarkEnd w:id="22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22,493,396.70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2,070,931.26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11,966,394.75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36,601,222.71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194,569.81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339,831.09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1,367,500.90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194,569.81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339,831.09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1,367,500.90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90,085.15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90,085.15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90,085.15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90,085.15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23,326,496.70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265,069.81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2,320,677.20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11,966,394.75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37,878,638.46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2,436,532.39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48,850.00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442,431.20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5,543,447.72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8,471,261.31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455,422.08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30,314.15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443,863.92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829,821.48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1,759,421.63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455,422.08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30,314.15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443,863.92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829,821.48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1,759,421.63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20,655.83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20,655.83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20,655.83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20,655.83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2,891,954.47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79,164.15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865,639.29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6,373,269.20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10,210,027.11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3,709,422.67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3,709,422.67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20,434,542.23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185,905.66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1,455,037.91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1,883,702.88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23,959,188.68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20,056,864.31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21,650.00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1,628,500.06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2,713,524.36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24,420,538.73</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5、商誉" w:id="225"/>
      <w:bookmarkEnd w:id="225"/>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26"/>
      <w:bookmarkEnd w:id="22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缔顺科技公司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9,551,471.73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9,551,471.73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54,695,029.17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873,008.54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55,568,037.71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22,399,225.95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22,399,225.95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64,246,500.90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873,008.54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32,275,256.40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97,394,765.84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27"/>
      <w:bookmarkEnd w:id="22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6,117,984.96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6,117,984.96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6,117,984.96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6,117,984.96</w:t>
            </w:r>
          </w:p>
        </w:tc>
      </w:tr>
    </w:tbl>
    <w:p>
      <w:pPr>
        <w:pStyle w:val="BodyText"/>
        <w:spacing w:line="240" w:lineRule="auto" w:before="51"/>
        <w:ind w:right="0"/>
        <w:jc w:val="left"/>
      </w:pPr>
      <w:r>
        <w:rPr/>
        <w:t>说明商誉减值测试过程、参数及商誉减值损失的确认方法：</w:t>
      </w:r>
    </w:p>
    <w:p>
      <w:pPr>
        <w:pStyle w:val="BodyText"/>
        <w:spacing w:line="309" w:lineRule="auto" w:before="116"/>
        <w:ind w:right="1131" w:firstLine="290"/>
        <w:jc w:val="both"/>
      </w:pPr>
      <w:r>
        <w:rPr>
          <w:rFonts w:ascii="Times New Roman" w:hAnsi="Times New Roman" w:cs="Times New Roman" w:eastAsia="Times New Roman" w:hint="default"/>
          <w:spacing w:val="-1"/>
        </w:rPr>
        <w:t>2014</w:t>
      </w:r>
      <w:r>
        <w:rPr>
          <w:spacing w:val="-1"/>
        </w:rPr>
        <w:t>年期末，公司对包含商誉的资产组进行减值测试。公司预计缔顺科技公司、星梦工坊公司、纯真年代公司三家公司</w:t>
      </w:r>
      <w:r>
        <w:rPr/>
        <w:t> </w:t>
      </w:r>
      <w:r>
        <w:rPr>
          <w:spacing w:val="-2"/>
        </w:rPr>
        <w:t>相关资产的可收回金额高于账面价值，故未计提减值准备。预计荷兰公司相关资产的可收回金额低于账面价值，并确认公司</w:t>
      </w:r>
      <w:r>
        <w:rPr>
          <w:spacing w:val="-66"/>
        </w:rPr>
        <w:t> </w:t>
      </w:r>
      <w:r>
        <w:rPr>
          <w:spacing w:val="-66"/>
        </w:rPr>
      </w:r>
      <w:r>
        <w:rPr/>
        <w:t>分摊的商誉减值损失。</w:t>
      </w:r>
    </w:p>
    <w:p>
      <w:pPr>
        <w:pStyle w:val="BodyText"/>
        <w:spacing w:line="240" w:lineRule="auto" w:before="64"/>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6、长期待摊费用" w:id="228"/>
      <w:bookmarkEnd w:id="228"/>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451,206.61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324,138.00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195,520.27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579,824.34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剧目制作费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822,583.34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767,676.99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451,206.61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1,146,721.34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250,426.62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1,347,501.33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7、递延所得税资产/递延所得税负债" w:id="229"/>
      <w:bookmarkEnd w:id="229"/>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30"/>
      <w:bookmarkEnd w:id="23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3,180,237.69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795,059.42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1,804,331.27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447,133.86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衍生金融负债公允价值 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3,013,804.78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753,451.20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6,194,042.47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1,804,331.27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447,133.86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31"/>
      <w:bookmarkEnd w:id="23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衍生金融资产公允价值 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638,337.50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业绩承诺补偿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20,117,601.26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5,029,400.32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32,117,601.26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8,029,400.32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638,337.50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32"/>
      <w:bookmarkEnd w:id="23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1,548,510.62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447,133.86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638,337.50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未确认递延所得税资产明细" w:id="233"/>
      <w:bookmarkEnd w:id="23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26,143,312.09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512,744.20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34,364,997.10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28,922,700.50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60,508,309.19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29,435,444.70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34"/>
      <w:bookmarkEnd w:id="23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5,255,901.28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24,716.37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1,520,961.49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4,588,110.18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6,338,698.94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4,268,327.53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4,268,327.53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20,552,418.50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11,538,811.26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4,931,424.52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34,364,997.10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28,922,700.50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8、以公允价值计量且其变动计入当期损益的金融负债" w:id="235"/>
      <w:bookmarkEnd w:id="235"/>
      <w:r>
        <w:rPr>
          <w:b w:val="0"/>
          <w:bCs w:val="0"/>
        </w:rPr>
      </w:r>
      <w:r>
        <w:rPr>
          <w:rFonts w:ascii="Times New Roman" w:hAnsi="Times New Roman" w:cs="Times New Roman" w:eastAsia="Times New Roman" w:hint="default"/>
        </w:rPr>
        <w:t>18</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9、衍生金融负债" w:id="236"/>
      <w:bookmarkEnd w:id="236"/>
      <w:r>
        <w:rPr>
          <w:b w:val="0"/>
          <w:bCs w:val="0"/>
        </w:rPr>
      </w:r>
      <w:r>
        <w:rPr>
          <w:rFonts w:ascii="Times New Roman" w:hAnsi="Times New Roman" w:cs="Times New Roman" w:eastAsia="Times New Roman" w:hint="default"/>
        </w:rPr>
        <w:t>19</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应付账款" w:id="237"/>
      <w:bookmarkEnd w:id="237"/>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8"/>
      <w:bookmarkEnd w:id="23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49,395,587.61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20,861,534.80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10,143,091.39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1,200,172.19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480,793.50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315,770.00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60,068,472.50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23,055,276.99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预收款项" w:id="239"/>
      <w:bookmarkEnd w:id="239"/>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40"/>
      <w:bookmarkEnd w:id="24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201,753.40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80,829.58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预收房租费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133,452.00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预收制作费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326,213.59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540,495.17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41"/>
      <w:bookmarkEnd w:id="24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42"/>
      <w:bookmarkEnd w:id="24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5,229,732.92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74,934,914.62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74,853,997.01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5,310,650.53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493,379.12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2,622,118.41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3,115,497.53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5,723,112.04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77,557,033.03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77,969,494.54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5,310,650.53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3"/>
      <w:bookmarkEnd w:id="24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4,699,326.47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68,223,780.92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67,612,456.86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5,310,650.53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929,377.46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929,377.46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530,212.82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4,057,427.09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4,587,639.91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482,011.65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3,642,611.23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4,124,622.88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20,657.64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245,554.77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266,212.41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27,543.53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169,261.09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196,804.62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1,717,944.00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1,717,944.00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6,578.78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5,229,732.92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74,934,914.62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74,853,997.01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5,310,650.53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4"/>
      <w:bookmarkEnd w:id="24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424,520.31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2,056,111.91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2,480,632.22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68,858.81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566,006.50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634,865.31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493,379.12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2,622,118.41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3,115,497.53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3、应交税费" w:id="245"/>
      <w:bookmarkEnd w:id="24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1,868,977.07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427,779.42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6,057,090.31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10,227,947.04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79,634.13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102,447.73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169,111.76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90,791.81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59,861.22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75,584.35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38,078.30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115,831.80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17,424.87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8,519,754.81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10,995,593.43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4、应付利息" w:id="246"/>
      <w:bookmarkEnd w:id="246"/>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footerReference w:type="default" r:id="rId18"/>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319,397.12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282,539.18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319,397.12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282,539.18</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5、其他应付款" w:id="247"/>
      <w:bookmarkEnd w:id="247"/>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48"/>
      <w:bookmarkEnd w:id="24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应退补贴款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71,810.01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1,291,762.20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397,721.16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17,475,000.00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33,838,572.21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4,794,205.16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49"/>
      <w:bookmarkEnd w:id="24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pStyle w:val="BodyText"/>
        <w:spacing w:line="302" w:lineRule="auto" w:before="115"/>
        <w:ind w:left="153" w:right="113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月，公司出资</w:t>
      </w:r>
      <w:r>
        <w:rPr>
          <w:rFonts w:ascii="Times New Roman" w:hAnsi="Times New Roman" w:cs="Times New Roman" w:eastAsia="Times New Roman" w:hint="default"/>
        </w:rPr>
        <w:t>5,400</w:t>
      </w:r>
      <w:r>
        <w:rPr/>
        <w:t>万元向杭州浩康创业投资有限公司</w:t>
      </w:r>
      <w:r>
        <w:rPr>
          <w:rFonts w:ascii="Times New Roman" w:hAnsi="Times New Roman" w:cs="Times New Roman" w:eastAsia="Times New Roman" w:hint="default"/>
        </w:rPr>
        <w:t>(</w:t>
      </w:r>
      <w:r>
        <w:rPr/>
        <w:t>以下简称浩康创业</w:t>
      </w:r>
      <w:r>
        <w:rPr>
          <w:rFonts w:ascii="Times New Roman" w:hAnsi="Times New Roman" w:cs="Times New Roman" w:eastAsia="Times New Roman" w:hint="default"/>
        </w:rPr>
        <w:t>)</w:t>
      </w:r>
      <w:r>
        <w:rPr/>
        <w:t>收购其持有缔顺科技公司</w:t>
      </w:r>
      <w:r>
        <w:rPr>
          <w:rFonts w:ascii="Times New Roman" w:hAnsi="Times New Roman" w:cs="Times New Roman" w:eastAsia="Times New Roman" w:hint="default"/>
        </w:rPr>
        <w:t>34.83% </w:t>
      </w:r>
      <w:r>
        <w:rPr/>
        <w:t>的股权。根据收购协议，公司将向浩康创业固定支付</w:t>
      </w:r>
      <w:r>
        <w:rPr>
          <w:rFonts w:ascii="Times New Roman" w:hAnsi="Times New Roman" w:cs="Times New Roman" w:eastAsia="Times New Roman" w:hint="default"/>
        </w:rPr>
        <w:t>1,800</w:t>
      </w:r>
      <w:r>
        <w:rPr/>
        <w:t>万元及浮动支付</w:t>
      </w:r>
      <w:r>
        <w:rPr>
          <w:rFonts w:ascii="Times New Roman" w:hAnsi="Times New Roman" w:cs="Times New Roman" w:eastAsia="Times New Roman" w:hint="default"/>
        </w:rPr>
        <w:t>3,600</w:t>
      </w:r>
      <w:r>
        <w:rPr/>
        <w:t>万元，浩康创业及浩康创业股东针对该笔收</w:t>
      </w:r>
      <w:r>
        <w:rPr>
          <w:spacing w:val="-84"/>
        </w:rPr>
        <w:t> </w:t>
      </w:r>
      <w:r>
        <w:rPr>
          <w:spacing w:val="-84"/>
        </w:rPr>
      </w:r>
      <w:r>
        <w:rPr>
          <w:spacing w:val="-2"/>
        </w:rPr>
        <w:t>购向本公司承诺，缔顺科技公司</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年度实现的净利润分别为</w:t>
      </w:r>
      <w:r>
        <w:rPr>
          <w:rFonts w:ascii="Times New Roman" w:hAnsi="Times New Roman" w:cs="Times New Roman" w:eastAsia="Times New Roman" w:hint="default"/>
          <w:spacing w:val="-2"/>
        </w:rPr>
        <w:t>800</w:t>
      </w:r>
      <w:r>
        <w:rPr>
          <w:spacing w:val="-2"/>
        </w:rPr>
        <w:t>万元、</w:t>
      </w:r>
      <w:r>
        <w:rPr>
          <w:rFonts w:ascii="Times New Roman" w:hAnsi="Times New Roman" w:cs="Times New Roman" w:eastAsia="Times New Roman" w:hint="default"/>
          <w:spacing w:val="-2"/>
        </w:rPr>
        <w:t>1,200</w:t>
      </w:r>
      <w:r>
        <w:rPr>
          <w:spacing w:val="-2"/>
        </w:rPr>
        <w:t>万元、</w:t>
      </w:r>
      <w:r>
        <w:rPr>
          <w:rFonts w:ascii="Times New Roman" w:hAnsi="Times New Roman" w:cs="Times New Roman" w:eastAsia="Times New Roman" w:hint="default"/>
          <w:spacing w:val="-2"/>
        </w:rPr>
        <w:t>1,600</w:t>
      </w:r>
      <w:r>
        <w:rPr>
          <w:spacing w:val="-2"/>
        </w:rPr>
        <w:t>万元。缔顺</w:t>
      </w:r>
      <w:r>
        <w:rPr>
          <w:spacing w:val="-44"/>
        </w:rPr>
        <w:t> </w:t>
      </w:r>
      <w:r>
        <w:rPr>
          <w:spacing w:val="-44"/>
        </w:rPr>
      </w:r>
      <w:r>
        <w:rPr>
          <w:spacing w:val="-2"/>
        </w:rPr>
        <w:t>科技公司</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年度实现的净利润若达不到承诺的业绩，浩康创业及浩康创业股东将以现金形式向美盛</w:t>
      </w:r>
      <w:r>
        <w:rPr>
          <w:spacing w:val="-54"/>
        </w:rPr>
        <w:t> </w:t>
      </w:r>
      <w:r>
        <w:rPr>
          <w:spacing w:val="-54"/>
        </w:rPr>
      </w:r>
      <w:r>
        <w:rPr>
          <w:spacing w:val="-2"/>
        </w:rPr>
        <w:t>文化创意股份有限公司补足；浩康创业及浩康创业股东若未按承诺以现金形式补足，未达部分将在浮动支付价款中扣除，直</w:t>
      </w:r>
      <w:r>
        <w:rPr>
          <w:spacing w:val="-66"/>
        </w:rPr>
        <w:t> </w:t>
      </w:r>
      <w:r>
        <w:rPr>
          <w:spacing w:val="-66"/>
        </w:rPr>
      </w:r>
      <w:r>
        <w:rPr>
          <w:spacing w:val="-1"/>
        </w:rPr>
        <w:t>至扣完为止。</w:t>
      </w:r>
      <w:r>
        <w:rPr>
          <w:rFonts w:ascii="Times New Roman" w:hAnsi="Times New Roman" w:cs="Times New Roman" w:eastAsia="Times New Roman" w:hint="default"/>
          <w:spacing w:val="-1"/>
        </w:rPr>
        <w:t>1,800</w:t>
      </w:r>
      <w:r>
        <w:rPr>
          <w:spacing w:val="-1"/>
        </w:rPr>
        <w:t>万元固定支付款项已于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月支付。</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日，经公司第二届第十八次董事会批准，公司与浩康</w:t>
      </w:r>
      <w:r>
        <w:rPr>
          <w:spacing w:val="-68"/>
        </w:rPr>
        <w:t> </w:t>
      </w:r>
      <w:r>
        <w:rPr>
          <w:spacing w:val="-68"/>
        </w:rPr>
      </w:r>
      <w:r>
        <w:rPr/>
        <w:t>创业达成协议</w:t>
      </w:r>
      <w:r>
        <w:rPr>
          <w:rFonts w:ascii="Times New Roman" w:hAnsi="Times New Roman" w:cs="Times New Roman" w:eastAsia="Times New Roman" w:hint="default"/>
        </w:rPr>
        <w:t>,</w:t>
      </w:r>
      <w:r>
        <w:rPr/>
        <w:t>约定取消原收购时浩康创业及浩康创业原股东所作的业绩承诺，取消原约定的浮动支付</w:t>
      </w:r>
      <w:r>
        <w:rPr>
          <w:rFonts w:ascii="Times New Roman" w:hAnsi="Times New Roman" w:cs="Times New Roman" w:eastAsia="Times New Roman" w:hint="default"/>
        </w:rPr>
        <w:t>3,600</w:t>
      </w:r>
      <w:r>
        <w:rPr/>
        <w:t>万元，同意一次</w:t>
      </w:r>
      <w:r>
        <w:rPr>
          <w:spacing w:val="-84"/>
        </w:rPr>
        <w:t> </w:t>
      </w:r>
      <w:r>
        <w:rPr/>
        <w:t>性支付</w:t>
      </w:r>
      <w:r>
        <w:rPr>
          <w:rFonts w:ascii="Times New Roman" w:hAnsi="Times New Roman" w:cs="Times New Roman" w:eastAsia="Times New Roman" w:hint="default"/>
        </w:rPr>
        <w:t>1,747.50</w:t>
      </w:r>
      <w:r>
        <w:rPr/>
        <w:t>万元作为股权收购余款。</w:t>
      </w:r>
    </w:p>
    <w:p>
      <w:pPr>
        <w:pStyle w:val="BodyText"/>
        <w:spacing w:line="240" w:lineRule="auto" w:before="11"/>
        <w:ind w:left="513" w:right="0"/>
        <w:jc w:val="left"/>
      </w:pPr>
      <w:r>
        <w:rPr>
          <w:rFonts w:ascii="Times New Roman" w:hAnsi="Times New Roman" w:cs="Times New Roman" w:eastAsia="Times New Roman" w:hint="default"/>
        </w:rPr>
        <w:t>2</w:t>
      </w:r>
      <w:r>
        <w:rPr/>
        <w:t>）拆借款系公司取得莱盛实业无息借款</w:t>
      </w:r>
      <w:r>
        <w:rPr>
          <w:rFonts w:ascii="Times New Roman" w:hAnsi="Times New Roman" w:cs="Times New Roman" w:eastAsia="Times New Roman" w:hint="default"/>
        </w:rPr>
        <w:t>15,000,000.00</w:t>
      </w:r>
      <w:r>
        <w:rPr/>
        <w:t>元。</w:t>
      </w:r>
    </w:p>
    <w:p>
      <w:pPr>
        <w:spacing w:after="0" w:line="240" w:lineRule="auto"/>
        <w:jc w:val="left"/>
        <w:sectPr>
          <w:footerReference w:type="default" r:id="rId19"/>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6、长期借款" w:id="250"/>
      <w:bookmarkEnd w:id="250"/>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51"/>
      <w:bookmarkEnd w:id="25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69,560,792.00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69,309,559.20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69,560,792.00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69,309,559.20</w:t>
            </w:r>
          </w:p>
        </w:tc>
      </w:tr>
    </w:tbl>
    <w:p>
      <w:pPr>
        <w:pStyle w:val="BodyText"/>
        <w:spacing w:line="240" w:lineRule="auto" w:before="51"/>
        <w:ind w:right="0"/>
        <w:jc w:val="left"/>
      </w:pPr>
      <w:r>
        <w:rPr/>
        <w:t>长期借款分类的说明：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040"/>
        <w:gridCol w:w="1115"/>
        <w:gridCol w:w="1115"/>
        <w:gridCol w:w="438"/>
        <w:gridCol w:w="1010"/>
        <w:gridCol w:w="1385"/>
        <w:gridCol w:w="1385"/>
        <w:gridCol w:w="1386"/>
        <w:gridCol w:w="1385"/>
      </w:tblGrid>
      <w:tr>
        <w:trPr>
          <w:trHeight w:val="348" w:hRule="exact"/>
        </w:trPr>
        <w:tc>
          <w:tcPr>
            <w:tcW w:w="1040" w:type="dxa"/>
            <w:vMerge w:val="restart"/>
            <w:tcBorders>
              <w:top w:val="single" w:sz="6" w:space="0" w:color="000000"/>
              <w:left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15" w:type="dxa"/>
            <w:vMerge w:val="restart"/>
            <w:tcBorders>
              <w:top w:val="single" w:sz="6" w:space="0" w:color="000000"/>
              <w:left w:val="single" w:sz="6" w:space="0" w:color="000000"/>
              <w:right w:val="single" w:sz="6" w:space="0" w:color="000000"/>
            </w:tcBorders>
          </w:tcPr>
          <w:p>
            <w:pPr>
              <w:pStyle w:val="TableParagraph"/>
              <w:spacing w:line="316" w:lineRule="auto" w:before="21"/>
              <w:ind w:left="279" w:right="278"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15" w:type="dxa"/>
            <w:vMerge w:val="restart"/>
            <w:tcBorders>
              <w:top w:val="single" w:sz="6" w:space="0" w:color="000000"/>
              <w:left w:val="single" w:sz="6" w:space="0" w:color="000000"/>
              <w:right w:val="single" w:sz="6" w:space="0" w:color="000000"/>
            </w:tcBorders>
          </w:tcPr>
          <w:p>
            <w:pPr>
              <w:pStyle w:val="TableParagraph"/>
              <w:spacing w:line="316" w:lineRule="auto" w:before="21"/>
              <w:ind w:left="279" w:right="278"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438" w:type="dxa"/>
            <w:vMerge w:val="restart"/>
            <w:tcBorders>
              <w:top w:val="single" w:sz="6" w:space="0" w:color="000000"/>
              <w:left w:val="single" w:sz="6" w:space="0" w:color="000000"/>
              <w:right w:val="single" w:sz="6" w:space="0" w:color="000000"/>
            </w:tcBorders>
          </w:tcPr>
          <w:p>
            <w:pPr>
              <w:pStyle w:val="TableParagraph"/>
              <w:spacing w:line="240" w:lineRule="auto" w:before="21"/>
              <w:ind w:left="31"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10"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2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040" w:type="dxa"/>
            <w:vMerge/>
            <w:tcBorders>
              <w:left w:val="single" w:sz="6" w:space="0" w:color="000000"/>
              <w:bottom w:val="single" w:sz="6" w:space="0" w:color="000000"/>
              <w:right w:val="single" w:sz="6" w:space="0" w:color="000000"/>
            </w:tcBorders>
          </w:tcPr>
          <w:p>
            <w:pPr/>
          </w:p>
        </w:tc>
        <w:tc>
          <w:tcPr>
            <w:tcW w:w="1115" w:type="dxa"/>
            <w:vMerge/>
            <w:tcBorders>
              <w:left w:val="single" w:sz="6" w:space="0" w:color="000000"/>
              <w:bottom w:val="single" w:sz="6" w:space="0" w:color="000000"/>
              <w:right w:val="single" w:sz="6" w:space="0" w:color="000000"/>
            </w:tcBorders>
          </w:tcPr>
          <w:p>
            <w:pPr/>
          </w:p>
        </w:tc>
        <w:tc>
          <w:tcPr>
            <w:tcW w:w="1115" w:type="dxa"/>
            <w:vMerge/>
            <w:tcBorders>
              <w:left w:val="single" w:sz="6" w:space="0" w:color="000000"/>
              <w:bottom w:val="single" w:sz="6" w:space="0" w:color="000000"/>
              <w:right w:val="single" w:sz="6" w:space="0" w:color="000000"/>
            </w:tcBorders>
          </w:tcPr>
          <w:p>
            <w:pPr/>
          </w:p>
        </w:tc>
        <w:tc>
          <w:tcPr>
            <w:tcW w:w="438" w:type="dxa"/>
            <w:vMerge/>
            <w:tcBorders>
              <w:left w:val="single" w:sz="6" w:space="0" w:color="000000"/>
              <w:bottom w:val="single" w:sz="6" w:space="0" w:color="000000"/>
              <w:right w:val="single" w:sz="6" w:space="0" w:color="000000"/>
            </w:tcBorders>
          </w:tcPr>
          <w:p>
            <w:pPr/>
          </w:p>
        </w:tc>
        <w:tc>
          <w:tcPr>
            <w:tcW w:w="1010" w:type="dxa"/>
            <w:vMerge/>
            <w:tcBorders>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3"/>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3"/>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4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971" w:hRule="exact"/>
        </w:trPr>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both"/>
              <w:rPr>
                <w:rFonts w:ascii="宋体" w:hAnsi="宋体" w:cs="宋体" w:eastAsia="宋体" w:hint="default"/>
                <w:sz w:val="18"/>
                <w:szCs w:val="18"/>
              </w:rPr>
            </w:pPr>
            <w:r>
              <w:rPr>
                <w:rFonts w:ascii="宋体" w:hAnsi="宋体" w:cs="宋体" w:eastAsia="宋体" w:hint="default"/>
                <w:spacing w:val="24"/>
                <w:sz w:val="18"/>
                <w:szCs w:val="18"/>
              </w:rPr>
              <w:t>交通银行股</w:t>
            </w:r>
            <w:r>
              <w:rPr>
                <w:rFonts w:ascii="宋体" w:hAnsi="宋体" w:cs="宋体" w:eastAsia="宋体" w:hint="default"/>
                <w:spacing w:val="-60"/>
                <w:sz w:val="18"/>
                <w:szCs w:val="18"/>
              </w:rPr>
              <w:t> </w:t>
            </w:r>
            <w:r>
              <w:rPr>
                <w:rFonts w:ascii="宋体" w:hAnsi="宋体" w:cs="宋体" w:eastAsia="宋体" w:hint="default"/>
                <w:spacing w:val="24"/>
                <w:sz w:val="18"/>
                <w:szCs w:val="18"/>
              </w:rPr>
              <w:t>份有限公司</w:t>
            </w:r>
            <w:r>
              <w:rPr>
                <w:rFonts w:ascii="宋体" w:hAnsi="宋体" w:cs="宋体" w:eastAsia="宋体" w:hint="default"/>
                <w:spacing w:val="-60"/>
                <w:sz w:val="18"/>
                <w:szCs w:val="18"/>
              </w:rPr>
              <w:t> </w:t>
            </w:r>
            <w:r>
              <w:rPr>
                <w:rFonts w:ascii="宋体" w:hAnsi="宋体" w:cs="宋体" w:eastAsia="宋体" w:hint="default"/>
                <w:sz w:val="18"/>
                <w:szCs w:val="18"/>
              </w:rPr>
              <w:t>香港分行</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2013/10/23</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2016/10/23</w:t>
            </w:r>
          </w:p>
        </w:tc>
        <w:tc>
          <w:tcPr>
            <w:tcW w:w="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LIBOR </w:t>
            </w:r>
            <w:r>
              <w:rPr>
                <w:rFonts w:ascii="宋体" w:hAnsi="宋体" w:cs="宋体" w:eastAsia="宋体" w:hint="default"/>
                <w:sz w:val="18"/>
                <w:szCs w:val="18"/>
              </w:rPr>
              <w:t>利</w:t>
            </w:r>
            <w:r>
              <w:rPr>
                <w:rFonts w:ascii="宋体" w:hAnsi="宋体" w:cs="宋体" w:eastAsia="宋体" w:hint="default"/>
                <w:spacing w:val="-48"/>
                <w:sz w:val="18"/>
                <w:szCs w:val="18"/>
              </w:rPr>
              <w:t> </w:t>
            </w:r>
            <w:r>
              <w:rPr>
                <w:rFonts w:ascii="宋体" w:hAnsi="宋体" w:cs="宋体" w:eastAsia="宋体" w:hint="default"/>
                <w:sz w:val="18"/>
                <w:szCs w:val="18"/>
              </w:rPr>
              <w:t>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3"/>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上浮</w:t>
            </w:r>
            <w:r>
              <w:rPr>
                <w:rFonts w:ascii="Times New Roman" w:hAnsi="Times New Roman" w:cs="Times New Roman" w:eastAsia="Times New Roman" w:hint="default"/>
                <w:sz w:val="18"/>
                <w:szCs w:val="18"/>
              </w:rPr>
              <w:t>1.8%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69,560,792.00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69,309,559.20</w:t>
            </w:r>
          </w:p>
        </w:tc>
      </w:tr>
      <w:tr>
        <w:trPr>
          <w:trHeight w:val="348" w:hRule="exact"/>
        </w:trPr>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11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69,560,792.00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69,309,559.20</w:t>
            </w:r>
          </w:p>
        </w:tc>
      </w:tr>
    </w:tbl>
    <w:p>
      <w:pPr>
        <w:pStyle w:val="BodyText"/>
        <w:spacing w:line="240" w:lineRule="auto" w:before="51"/>
        <w:ind w:right="0"/>
        <w:jc w:val="left"/>
      </w:pPr>
      <w:r>
        <w:rPr/>
        <w:t>其他说明，包括利率区间：</w:t>
      </w:r>
    </w:p>
    <w:p>
      <w:pPr>
        <w:pStyle w:val="BodyText"/>
        <w:spacing w:line="307" w:lineRule="auto" w:before="115"/>
        <w:ind w:left="153" w:right="113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公司全资子公司香港美盛公司为收购荷兰公司</w:t>
      </w:r>
      <w:r>
        <w:rPr>
          <w:rFonts w:ascii="Times New Roman" w:hAnsi="Times New Roman" w:cs="Times New Roman" w:eastAsia="Times New Roman" w:hint="default"/>
        </w:rPr>
        <w:t>85%</w:t>
      </w:r>
      <w:r>
        <w:rPr/>
        <w:t>股权，由公司向杭州银行绍兴新昌支行申请内保外贷业务， </w:t>
      </w:r>
      <w:r>
        <w:rPr>
          <w:spacing w:val="-2"/>
        </w:rPr>
        <w:t>即本公司向杭州银行股份有限公司绍兴新昌支行提出开立保函申请，杭州银行绍兴新昌支行向交通银行股份有限公司香港分</w:t>
      </w:r>
      <w:r>
        <w:rPr>
          <w:spacing w:val="-64"/>
        </w:rPr>
        <w:t> </w:t>
      </w:r>
      <w:r>
        <w:rPr>
          <w:spacing w:val="-64"/>
        </w:rPr>
      </w:r>
      <w:r>
        <w:rPr/>
        <w:t>行开立最高不超过</w:t>
      </w:r>
      <w:r>
        <w:rPr>
          <w:rFonts w:ascii="Times New Roman" w:hAnsi="Times New Roman" w:cs="Times New Roman" w:eastAsia="Times New Roman" w:hint="default"/>
        </w:rPr>
        <w:t>1,160</w:t>
      </w:r>
      <w:r>
        <w:rPr/>
        <w:t>万美元的保函，再由交通银行股份有限公司香港分行向香港美盛公司发放贷款。浙江莱盛实业有限</w:t>
      </w:r>
      <w:r>
        <w:rPr>
          <w:spacing w:val="-46"/>
        </w:rPr>
        <w:t> </w:t>
      </w:r>
      <w:r>
        <w:rPr>
          <w:spacing w:val="-46"/>
        </w:rPr>
      </w:r>
      <w:r>
        <w:rPr/>
        <w:t>公司为上述保函合同提供保证，保证期限为主合同债务履行期起始日至履行期届满之日后两年。</w:t>
      </w:r>
    </w:p>
    <w:p>
      <w:pPr>
        <w:spacing w:line="240" w:lineRule="auto" w:before="1"/>
        <w:rPr>
          <w:rFonts w:ascii="宋体" w:hAnsi="宋体" w:cs="宋体" w:eastAsia="宋体" w:hint="default"/>
          <w:sz w:val="23"/>
          <w:szCs w:val="23"/>
        </w:rPr>
      </w:pPr>
    </w:p>
    <w:p>
      <w:pPr>
        <w:pStyle w:val="Heading3"/>
        <w:spacing w:line="240" w:lineRule="auto"/>
        <w:ind w:left="153" w:right="0"/>
        <w:jc w:val="left"/>
        <w:rPr>
          <w:b w:val="0"/>
          <w:bCs w:val="0"/>
        </w:rPr>
      </w:pPr>
      <w:bookmarkStart w:name="27、长期应付款" w:id="252"/>
      <w:bookmarkEnd w:id="252"/>
      <w:r>
        <w:rPr>
          <w:b w:val="0"/>
          <w:bCs w:val="0"/>
        </w:rPr>
      </w:r>
      <w:r>
        <w:rPr>
          <w:rFonts w:ascii="Times New Roman" w:hAnsi="Times New Roman" w:cs="Times New Roman" w:eastAsia="Times New Roman" w:hint="default"/>
        </w:rPr>
        <w:t>27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253"/>
      <w:bookmarkEnd w:id="2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S.B. Sevenum</w:t>
            </w:r>
            <w:r>
              <w:rPr>
                <w:rFonts w:ascii="Times New Roman"/>
                <w:spacing w:val="1"/>
                <w:sz w:val="18"/>
              </w:rPr>
              <w:t> </w:t>
            </w:r>
            <w:r>
              <w:rPr>
                <w:rFonts w:ascii="Times New Roman"/>
                <w:spacing w:val="-7"/>
                <w:sz w:val="18"/>
              </w:rPr>
              <w:t>B.V.</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16,991,778.38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17,381,345.23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816,379.17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1,464,509.10</w:t>
            </w:r>
          </w:p>
        </w:tc>
      </w:tr>
    </w:tbl>
    <w:p>
      <w:pPr>
        <w:pStyle w:val="BodyText"/>
        <w:spacing w:line="240" w:lineRule="auto" w:before="51"/>
        <w:ind w:right="0"/>
        <w:jc w:val="left"/>
      </w:pPr>
      <w:r>
        <w:rPr/>
        <w:t>其他说明：</w:t>
      </w:r>
    </w:p>
    <w:p>
      <w:pPr>
        <w:pStyle w:val="BodyText"/>
        <w:spacing w:line="300" w:lineRule="auto" w:before="116"/>
        <w:ind w:left="153" w:right="1131" w:firstLine="290"/>
        <w:jc w:val="both"/>
      </w:pPr>
      <w:r>
        <w:rPr>
          <w:spacing w:val="-1"/>
        </w:rPr>
        <w:t>根据公司全资子公司香港美盛公司与</w:t>
      </w:r>
      <w:r>
        <w:rPr>
          <w:rFonts w:ascii="Times New Roman" w:hAnsi="Times New Roman" w:cs="Times New Roman" w:eastAsia="Times New Roman" w:hint="default"/>
          <w:spacing w:val="-1"/>
        </w:rPr>
        <w:t>S.B.</w:t>
      </w:r>
      <w:r>
        <w:rPr>
          <w:rFonts w:ascii="Times New Roman" w:hAnsi="Times New Roman" w:cs="Times New Roman" w:eastAsia="Times New Roman" w:hint="default"/>
        </w:rPr>
        <w:t> Sevenum</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B.V.</w:t>
      </w:r>
      <w:r>
        <w:rPr>
          <w:spacing w:val="-2"/>
        </w:rPr>
        <w:t>签订的《收购协议》。香港美盛以固定支付</w:t>
      </w:r>
      <w:r>
        <w:rPr>
          <w:rFonts w:ascii="Times New Roman" w:hAnsi="Times New Roman" w:cs="Times New Roman" w:eastAsia="Times New Roman" w:hint="default"/>
          <w:spacing w:val="-2"/>
        </w:rPr>
        <w:t>850</w:t>
      </w:r>
      <w:r>
        <w:rPr>
          <w:spacing w:val="-2"/>
        </w:rPr>
        <w:t>万欧元和浮动支付</w:t>
      </w:r>
      <w:r>
        <w:rPr/>
        <w:t> 约</w:t>
      </w:r>
      <w:r>
        <w:rPr>
          <w:rFonts w:ascii="Times New Roman" w:hAnsi="Times New Roman" w:cs="Times New Roman" w:eastAsia="Times New Roman" w:hint="default"/>
        </w:rPr>
        <w:t>232.50</w:t>
      </w:r>
      <w:r>
        <w:rPr/>
        <w:t>万欧元合计约</w:t>
      </w:r>
      <w:r>
        <w:rPr>
          <w:rFonts w:ascii="Times New Roman" w:hAnsi="Times New Roman" w:cs="Times New Roman" w:eastAsia="Times New Roman" w:hint="default"/>
        </w:rPr>
        <w:t>1,082.50</w:t>
      </w:r>
      <w:r>
        <w:rPr/>
        <w:t>万欧元受让</w:t>
      </w:r>
      <w:r>
        <w:rPr>
          <w:rFonts w:ascii="Times New Roman" w:hAnsi="Times New Roman" w:cs="Times New Roman" w:eastAsia="Times New Roman" w:hint="default"/>
        </w:rPr>
        <w:t>S.B. Sevenum</w:t>
      </w:r>
      <w:r>
        <w:rPr>
          <w:rFonts w:ascii="Times New Roman" w:hAnsi="Times New Roman" w:cs="Times New Roman" w:eastAsia="Times New Roman" w:hint="default"/>
          <w:spacing w:val="3"/>
        </w:rPr>
        <w:t> </w:t>
      </w:r>
      <w:r>
        <w:rPr>
          <w:rFonts w:ascii="Times New Roman" w:hAnsi="Times New Roman" w:cs="Times New Roman" w:eastAsia="Times New Roman" w:hint="default"/>
        </w:rPr>
        <w:t>B.V.</w:t>
      </w:r>
      <w:r>
        <w:rPr/>
        <w:t>持有荷兰公司</w:t>
      </w:r>
      <w:r>
        <w:rPr>
          <w:rFonts w:ascii="Times New Roman" w:hAnsi="Times New Roman" w:cs="Times New Roman" w:eastAsia="Times New Roman" w:hint="default"/>
        </w:rPr>
        <w:t>85%</w:t>
      </w:r>
      <w:r>
        <w:rPr/>
        <w:t>的股权，另外公司将按照年利息率</w:t>
      </w:r>
      <w:r>
        <w:rPr>
          <w:rFonts w:ascii="Times New Roman" w:hAnsi="Times New Roman" w:cs="Times New Roman" w:eastAsia="Times New Roman" w:hint="default"/>
        </w:rPr>
        <w:t>3%</w:t>
      </w:r>
      <w:r>
        <w:rPr/>
        <w:t>以浮动 支付部分为基数向</w:t>
      </w:r>
      <w:r>
        <w:rPr>
          <w:rFonts w:ascii="Times New Roman" w:hAnsi="Times New Roman" w:cs="Times New Roman" w:eastAsia="Times New Roman" w:hint="default"/>
        </w:rPr>
        <w:t>S.B.</w:t>
      </w:r>
      <w:r>
        <w:rPr>
          <w:rFonts w:ascii="Times New Roman" w:hAnsi="Times New Roman" w:cs="Times New Roman" w:eastAsia="Times New Roman" w:hint="default"/>
          <w:spacing w:val="-26"/>
        </w:rPr>
        <w:t> </w:t>
      </w:r>
      <w:r>
        <w:rPr>
          <w:rFonts w:ascii="Times New Roman" w:hAnsi="Times New Roman" w:cs="Times New Roman" w:eastAsia="Times New Roman" w:hint="default"/>
        </w:rPr>
        <w:t>Sevenum</w:t>
      </w:r>
      <w:r>
        <w:rPr>
          <w:rFonts w:ascii="Times New Roman" w:hAnsi="Times New Roman" w:cs="Times New Roman" w:eastAsia="Times New Roman" w:hint="default"/>
          <w:spacing w:val="-26"/>
        </w:rPr>
        <w:t> </w:t>
      </w:r>
      <w:r>
        <w:rPr>
          <w:rFonts w:ascii="Times New Roman" w:hAnsi="Times New Roman" w:cs="Times New Roman" w:eastAsia="Times New Roman" w:hint="default"/>
        </w:rPr>
        <w:t>B.V.</w:t>
      </w:r>
      <w:r>
        <w:rPr/>
        <w:t>支付自交割日起至浮动部分实际支付日止的利息。其中浮动支付部分具体金额视荷兰公 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-2016</w:t>
      </w:r>
      <w:r>
        <w:rPr/>
        <w:t>年三个会计年度（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日）合计经调整的</w:t>
      </w:r>
      <w:r>
        <w:rPr>
          <w:rFonts w:ascii="Times New Roman" w:hAnsi="Times New Roman" w:cs="Times New Roman" w:eastAsia="Times New Roman" w:hint="default"/>
        </w:rPr>
        <w:t>EBITDA</w:t>
      </w:r>
      <w:r>
        <w:rPr/>
        <w:t>（税息折旧及摊销前利润）结算。</w:t>
      </w:r>
      <w:r>
        <w:rPr>
          <w:spacing w:val="-86"/>
        </w:rPr>
        <w:t> </w:t>
      </w:r>
      <w:r>
        <w:rPr>
          <w:spacing w:val="-86"/>
        </w:rPr>
      </w:r>
      <w:r>
        <w:rPr>
          <w:spacing w:val="3"/>
        </w:rPr>
        <w:t>香港美盛已于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日支付股权转让款</w:t>
      </w:r>
      <w:r>
        <w:rPr>
          <w:rFonts w:ascii="Times New Roman" w:hAnsi="Times New Roman" w:cs="Times New Roman" w:eastAsia="Times New Roman" w:hint="default"/>
          <w:spacing w:val="3"/>
        </w:rPr>
        <w:t>870</w:t>
      </w:r>
      <w:r>
        <w:rPr>
          <w:spacing w:val="3"/>
        </w:rPr>
        <w:t>万欧元，并办理了相应的财产权交接手续。公司预计届时很可能向</w:t>
      </w:r>
      <w:r>
        <w:rPr>
          <w:rFonts w:ascii="Times New Roman" w:hAnsi="Times New Roman" w:cs="Times New Roman" w:eastAsia="Times New Roman" w:hint="default"/>
          <w:spacing w:val="3"/>
        </w:rPr>
        <w:t>S.B.</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Sevenum </w:t>
      </w:r>
      <w:r>
        <w:rPr>
          <w:rFonts w:ascii="Times New Roman" w:hAnsi="Times New Roman" w:cs="Times New Roman" w:eastAsia="Times New Roman" w:hint="default"/>
          <w:spacing w:val="-1"/>
        </w:rPr>
        <w:t>B.V.</w:t>
      </w:r>
      <w:r>
        <w:rPr>
          <w:spacing w:val="-1"/>
        </w:rPr>
        <w:t>支付约</w:t>
      </w:r>
      <w:r>
        <w:rPr>
          <w:rFonts w:ascii="Times New Roman" w:hAnsi="Times New Roman" w:cs="Times New Roman" w:eastAsia="Times New Roman" w:hint="default"/>
          <w:spacing w:val="-1"/>
        </w:rPr>
        <w:t>2,125,000.00</w:t>
      </w:r>
      <w:r>
        <w:rPr>
          <w:spacing w:val="-1"/>
        </w:rPr>
        <w:t>欧元及其利息</w:t>
      </w:r>
      <w:r>
        <w:rPr>
          <w:rFonts w:ascii="Times New Roman" w:hAnsi="Times New Roman" w:cs="Times New Roman" w:eastAsia="Times New Roman" w:hint="default"/>
          <w:spacing w:val="-1"/>
        </w:rPr>
        <w:t>154,062.50</w:t>
      </w:r>
      <w:r>
        <w:rPr>
          <w:spacing w:val="-1"/>
        </w:rPr>
        <w:t>欧元合计</w:t>
      </w:r>
      <w:r>
        <w:rPr>
          <w:rFonts w:ascii="Times New Roman" w:hAnsi="Times New Roman" w:cs="Times New Roman" w:eastAsia="Times New Roman" w:hint="default"/>
          <w:spacing w:val="-1"/>
        </w:rPr>
        <w:t>2,279,062.50</w:t>
      </w:r>
      <w:r>
        <w:rPr>
          <w:spacing w:val="-1"/>
        </w:rPr>
        <w:t>欧元。公司将到期应支付金额与其现值之间的</w:t>
      </w:r>
      <w:r>
        <w:rPr>
          <w:spacing w:val="-88"/>
        </w:rPr>
        <w:t> </w:t>
      </w:r>
      <w:r>
        <w:rPr>
          <w:spacing w:val="-88"/>
        </w:rPr>
      </w:r>
      <w:r>
        <w:rPr/>
        <w:t>差异计入未确认融资费用，并自交割日起至浮动部分实际支付日止进行平均摊销。</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8、递延收益" w:id="254"/>
      <w:bookmarkEnd w:id="254"/>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14,424,321.90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3,657,500.00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1,760,419.14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16,321,402.76</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14,424,321.90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3,657,500.00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1,760,419.14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16,321,402.76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动漫文化创意基 地（一期）建设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1,916,666.63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1,849,999.91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动漫文化创意服 务平台建设项目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175,953.08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4,824,046.92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动漫服饰扩产项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25,012.57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642,487.43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动漫产业生产出 口基地及走出去 项目建设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5,945,959.16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203,761.47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5,742,197.69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《莫麟传奇》动 画片制作补助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《莫麟传奇之远 古神兽》动画片 制作补助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381,107.16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1,247,321.41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《爵士兔之永恒 之曲》动画片制 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155,555.56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121,124.17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862,731.39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《坦坦小动员》 动画片制作补助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138,211.98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186,793.97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1,052,618.01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《鞋子也疯狂》 动画片制作补助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14,424,321.90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1,760,419.14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16,321,402.76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9、股本" w:id="255"/>
      <w:bookmarkEnd w:id="255"/>
      <w:r>
        <w:rPr>
          <w:b w:val="0"/>
          <w:bCs w:val="0"/>
        </w:rPr>
      </w:r>
      <w:r>
        <w:rPr>
          <w:rFonts w:ascii="Times New Roman" w:hAnsi="Times New Roman" w:cs="Times New Roman" w:eastAsia="Times New Roman" w:hint="default"/>
        </w:rPr>
        <w:t>29</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93,500,000.00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112,200,000.00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112,200,000.00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205,700,000.00</w:t>
            </w:r>
          </w:p>
        </w:tc>
      </w:tr>
    </w:tbl>
    <w:p>
      <w:pPr>
        <w:pStyle w:val="BodyText"/>
        <w:spacing w:line="240" w:lineRule="auto" w:before="51"/>
        <w:ind w:right="0"/>
        <w:jc w:val="left"/>
      </w:pPr>
      <w:r>
        <w:rPr/>
        <w:t>其他说明：</w:t>
      </w:r>
    </w:p>
    <w:p>
      <w:pPr>
        <w:pStyle w:val="BodyText"/>
        <w:spacing w:line="240" w:lineRule="auto" w:before="116"/>
        <w:ind w:left="0" w:right="1211"/>
        <w:jc w:val="right"/>
        <w:rPr>
          <w:rFonts w:ascii="Times New Roman" w:hAnsi="Times New Roman" w:cs="Times New Roman" w:eastAsia="Times New Roman" w:hint="default"/>
        </w:rPr>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6</w:t>
      </w:r>
      <w:r>
        <w:rPr>
          <w:spacing w:val="-1"/>
        </w:rPr>
        <w:t>日，经</w:t>
      </w:r>
      <w:r>
        <w:rPr>
          <w:rFonts w:ascii="Times New Roman" w:hAnsi="Times New Roman" w:cs="Times New Roman" w:eastAsia="Times New Roman" w:hint="default"/>
          <w:spacing w:val="-1"/>
        </w:rPr>
        <w:t>2013</w:t>
      </w:r>
      <w:r>
        <w:rPr>
          <w:spacing w:val="-1"/>
        </w:rPr>
        <w:t>年度股东大会审议批准，以</w:t>
      </w:r>
      <w:r>
        <w:rPr>
          <w:rFonts w:ascii="Times New Roman" w:hAnsi="Times New Roman" w:cs="Times New Roman" w:eastAsia="Times New Roman" w:hint="default"/>
          <w:spacing w:val="-1"/>
        </w:rPr>
        <w:t>2013</w:t>
      </w:r>
      <w:r>
        <w:rPr>
          <w:spacing w:val="-1"/>
        </w:rPr>
        <w:t>年期末总股本</w:t>
      </w:r>
      <w:r>
        <w:rPr>
          <w:rFonts w:ascii="Times New Roman" w:hAnsi="Times New Roman" w:cs="Times New Roman" w:eastAsia="Times New Roman" w:hint="default"/>
          <w:spacing w:val="-1"/>
        </w:rPr>
        <w:t>93,500,000</w:t>
      </w:r>
      <w:r>
        <w:rPr>
          <w:spacing w:val="-1"/>
        </w:rPr>
        <w:t>股为基数，向全体股东以资本公积每</w:t>
      </w:r>
      <w:r>
        <w:rPr>
          <w:rFonts w:ascii="Times New Roman" w:hAnsi="Times New Roman" w:cs="Times New Roman" w:eastAsia="Times New Roman" w:hint="default"/>
          <w:spacing w:val="-1"/>
        </w:rPr>
        <w:t>10</w:t>
      </w:r>
    </w:p>
    <w:p>
      <w:pPr>
        <w:pStyle w:val="BodyText"/>
        <w:spacing w:line="240" w:lineRule="auto" w:before="63"/>
        <w:ind w:left="153" w:right="0"/>
        <w:jc w:val="left"/>
      </w:pPr>
      <w:r>
        <w:rPr/>
        <w:t>股转增</w:t>
      </w:r>
      <w:r>
        <w:rPr>
          <w:rFonts w:ascii="Times New Roman" w:hAnsi="Times New Roman" w:cs="Times New Roman" w:eastAsia="Times New Roman" w:hint="default"/>
        </w:rPr>
        <w:t>12</w:t>
      </w:r>
      <w:r>
        <w:rPr/>
        <w:t>股，共计转增</w:t>
      </w:r>
      <w:r>
        <w:rPr>
          <w:rFonts w:ascii="Times New Roman" w:hAnsi="Times New Roman" w:cs="Times New Roman" w:eastAsia="Times New Roman" w:hint="default"/>
        </w:rPr>
        <w:t>112,200,000</w:t>
      </w:r>
      <w:r>
        <w:rPr/>
        <w:t>股，转增后总股本为</w:t>
      </w:r>
      <w:r>
        <w:rPr>
          <w:rFonts w:ascii="Times New Roman" w:hAnsi="Times New Roman" w:cs="Times New Roman" w:eastAsia="Times New Roman" w:hint="default"/>
        </w:rPr>
        <w:t>205,700,000</w:t>
      </w:r>
      <w:r>
        <w:rPr/>
        <w:t>股。</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0、资本公积" w:id="256"/>
      <w:bookmarkEnd w:id="256"/>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407,706,917.79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145,819,688.32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261,887,229.47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4,302,643.03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412,009,560.82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145,819,688.32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266,189,872.50</w:t>
            </w:r>
          </w:p>
        </w:tc>
      </w:tr>
    </w:tbl>
    <w:p>
      <w:pPr>
        <w:pStyle w:val="BodyText"/>
        <w:spacing w:line="240" w:lineRule="auto" w:before="51"/>
        <w:ind w:right="0"/>
        <w:jc w:val="left"/>
      </w:pPr>
      <w:r>
        <w:rPr/>
        <w:t>其他说明，包括本期增减变动情况、变动原因说明：</w:t>
      </w:r>
    </w:p>
    <w:p>
      <w:pPr>
        <w:pStyle w:val="BodyText"/>
        <w:spacing w:line="240" w:lineRule="auto" w:before="115"/>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日，经</w:t>
      </w:r>
      <w:r>
        <w:rPr>
          <w:rFonts w:ascii="Times New Roman" w:hAnsi="Times New Roman" w:cs="Times New Roman" w:eastAsia="Times New Roman" w:hint="default"/>
        </w:rPr>
        <w:t>2013</w:t>
      </w:r>
      <w:r>
        <w:rPr/>
        <w:t>年度股东大会审议批准，以</w:t>
      </w:r>
      <w:r>
        <w:rPr>
          <w:rFonts w:ascii="Times New Roman" w:hAnsi="Times New Roman" w:cs="Times New Roman" w:eastAsia="Times New Roman" w:hint="default"/>
        </w:rPr>
        <w:t>2013</w:t>
      </w:r>
      <w:r>
        <w:rPr/>
        <w:t>年期末总股本</w:t>
      </w:r>
      <w:r>
        <w:rPr>
          <w:rFonts w:ascii="Times New Roman" w:hAnsi="Times New Roman" w:cs="Times New Roman" w:eastAsia="Times New Roman" w:hint="default"/>
        </w:rPr>
        <w:t>93,500,000</w:t>
      </w:r>
      <w:r>
        <w:rPr/>
        <w:t>股为基数，向全体股东以资本公积每</w:t>
      </w:r>
      <w:r>
        <w:rPr>
          <w:rFonts w:ascii="Times New Roman" w:hAnsi="Times New Roman" w:cs="Times New Roman" w:eastAsia="Times New Roman" w:hint="default"/>
        </w:rPr>
        <w:t>10</w:t>
      </w:r>
    </w:p>
    <w:p>
      <w:pPr>
        <w:pStyle w:val="BodyText"/>
        <w:spacing w:line="240" w:lineRule="auto" w:before="63"/>
        <w:ind w:right="0"/>
        <w:jc w:val="left"/>
      </w:pPr>
      <w:r>
        <w:rPr/>
        <w:t>股转增</w:t>
      </w:r>
      <w:r>
        <w:rPr>
          <w:rFonts w:ascii="Times New Roman" w:hAnsi="Times New Roman" w:cs="Times New Roman" w:eastAsia="Times New Roman" w:hint="default"/>
        </w:rPr>
        <w:t>12</w:t>
      </w:r>
      <w:r>
        <w:rPr/>
        <w:t>股，共计转增</w:t>
      </w:r>
      <w:r>
        <w:rPr>
          <w:rFonts w:ascii="Times New Roman" w:hAnsi="Times New Roman" w:cs="Times New Roman" w:eastAsia="Times New Roman" w:hint="default"/>
        </w:rPr>
        <w:t>112,200,000</w:t>
      </w:r>
      <w:r>
        <w:rPr/>
        <w:t>股，相应减少资本公积</w:t>
      </w:r>
      <w:r>
        <w:rPr>
          <w:rFonts w:ascii="Times New Roman" w:hAnsi="Times New Roman" w:cs="Times New Roman" w:eastAsia="Times New Roman" w:hint="default"/>
        </w:rPr>
        <w:t>112,200,000.00</w:t>
      </w:r>
      <w:r>
        <w:rPr/>
        <w:t>元。</w:t>
      </w:r>
    </w:p>
    <w:p>
      <w:pPr>
        <w:pStyle w:val="BodyText"/>
        <w:spacing w:line="300" w:lineRule="auto" w:before="63"/>
        <w:ind w:right="0" w:firstLine="290"/>
        <w:jc w:val="left"/>
      </w:pPr>
      <w:r>
        <w:rPr>
          <w:rFonts w:ascii="Times New Roman" w:hAnsi="Times New Roman" w:cs="Times New Roman" w:eastAsia="Times New Roman" w:hint="default"/>
          <w:spacing w:val="-1"/>
        </w:rPr>
        <w:t>2014</w:t>
      </w:r>
      <w:r>
        <w:rPr>
          <w:spacing w:val="-1"/>
        </w:rPr>
        <w:t>年，公司收购缔顺科技公司少数股东股权，购买成本与按取得股权比例计算的子公司净资产份额的差额相应调减资</w:t>
      </w:r>
      <w:r>
        <w:rPr/>
        <w:t> 本公积</w:t>
      </w:r>
      <w:r>
        <w:rPr>
          <w:rFonts w:ascii="Times New Roman" w:hAnsi="Times New Roman" w:cs="Times New Roman" w:eastAsia="Times New Roman" w:hint="default"/>
        </w:rPr>
        <w:t>33,619,688.32</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1、其他综合收益" w:id="257"/>
      <w:bookmarkEnd w:id="257"/>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523,570.11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-852,567.81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-4,012,13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523,570.11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-852,567.81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-4,012,13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523,570.11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-852,567.81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-4,012,13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2、盈余公积" w:id="258"/>
      <w:bookmarkEnd w:id="258"/>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19,296,833.50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28,991,065.07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19,296,833.50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28,991,065.07</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未分配利润" w:id="259"/>
      <w:bookmarkEnd w:id="259"/>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119,996,464.63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129,531,327.29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119,996,464.63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129,531,327.29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97,125,358.48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41,730,227.18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4,515,089.84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202,752,591.54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119,996,464.63</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4、营业收入和营业成本" w:id="260"/>
      <w:bookmarkEnd w:id="260"/>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452,544,641.56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288,149,256.63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228,523,885.53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147,949,915.07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1,447,741.81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2,610,277.33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1,266,360.69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455,996,687.08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289,596,998.44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231,134,162.86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149,216,275.76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营业税金及附加" w:id="261"/>
      <w:bookmarkEnd w:id="261"/>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1,249,567.85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1,024,938.57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613,083.39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489,969.21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407,621.97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2,522,710.54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2,047,533.53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6、销售费用" w:id="262"/>
      <w:bookmarkEnd w:id="262"/>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2,510,027.14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1,750,740.70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1,238,299.54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1,139,901.35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6,650,210.95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3,310,122.57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1,701,613.11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976,303.26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商场费用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192,555.19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383,725.00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406,154.01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1,085,259.61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412,956.01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13,569,135.35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8,188,733.09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7、管理费用" w:id="263"/>
      <w:bookmarkEnd w:id="263"/>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22,120,185.22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13,570,975.45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2,464,390.57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551,615.42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394,987.88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1,793,984.06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1,627,380.62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2,544,889.16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2,401,058.10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3,434,626.09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2,301,797.21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2,386,394.59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2,213,158.70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5,360,267.33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4,546,411.82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6,903,276.05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1,949,130.50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894,277.08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50,501,352.72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32,363,567.93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8、财务费用" w:id="264"/>
      <w:bookmarkEnd w:id="264"/>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1,775,216.88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501,291.65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1,964,618.02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5,648,940.77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-524,737.91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2,366,836.47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1,868,215.30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420,083.44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-2,360,729.21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9、资产减值损失" w:id="265"/>
      <w:bookmarkEnd w:id="265"/>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1,988,303.60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-423,805.40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6,667,731.86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8,656,035.46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-423,805.40</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0、公允价值变动收益" w:id="266"/>
      <w:bookmarkEnd w:id="266"/>
      <w:r>
        <w:rPr>
          <w:b w:val="0"/>
          <w:bCs w:val="0"/>
        </w:rPr>
      </w:r>
      <w:r>
        <w:rPr>
          <w:rFonts w:ascii="Times New Roman" w:hAnsi="Times New Roman" w:cs="Times New Roman" w:eastAsia="Times New Roman" w:hint="default"/>
        </w:rPr>
        <w:t>40</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1,259,897.05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14,550,446.48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3,813,247.05</w:t>
            </w:r>
          </w:p>
        </w:tc>
      </w:tr>
    </w:tbl>
    <w:p>
      <w:pPr>
        <w:pStyle w:val="BodyText"/>
        <w:spacing w:line="240" w:lineRule="auto" w:before="51"/>
        <w:ind w:right="0"/>
        <w:jc w:val="left"/>
      </w:pPr>
      <w:r>
        <w:rPr/>
        <w:t>其他说明：</w:t>
      </w:r>
    </w:p>
    <w:p>
      <w:pPr>
        <w:pStyle w:val="BodyText"/>
        <w:spacing w:line="300" w:lineRule="auto" w:before="116"/>
        <w:ind w:right="0" w:firstLine="420"/>
        <w:jc w:val="left"/>
      </w:pPr>
      <w:r>
        <w:rPr/>
        <w:t>公司将年末应收的业绩承诺补偿款</w:t>
      </w:r>
      <w:r>
        <w:rPr>
          <w:rFonts w:ascii="Times New Roman" w:hAnsi="Times New Roman" w:cs="Times New Roman" w:eastAsia="Times New Roman" w:hint="default"/>
        </w:rPr>
        <w:t>20,117,601.26</w:t>
      </w:r>
      <w:r>
        <w:rPr/>
        <w:t>元确认为公允价值变动收益，该补偿款已于期后收回，详见本财务报 告附注其他重要事项之说明。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1、投资收益" w:id="267"/>
      <w:bookmarkEnd w:id="267"/>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-446,353.15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1,644,904.90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2,765,400.00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6,935,365.87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1,360,890.41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10,133,917.62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4,126,290.41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2、营业外收入" w:id="268"/>
      <w:bookmarkEnd w:id="268"/>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20,635,394.14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7,387,878.71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20,635,394.14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26,501.87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20,661,896.01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7,478,655.82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20,661,896.01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文化产业发展专项补助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1,760,419.14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263,147.57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创新创业启动资金及引才奖 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动漫产业专项资金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发展外向型经济财政奖励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年嘎纳电视节及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第十届杭州动漫节展位费补 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129,375.00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儿童动漫剧演出补贴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著名商标奖励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年法国戛纳展展位费补 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中央外经贸发展专项进口贴 息 服务外包和技术出口补助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杭州动漫企业参展展位费补 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人才安家补贴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动漫产业专项资金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技术创新项目补助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新昌县自营出口十强企业奖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赴美国和哥斯达黎加参加经 贸活动补助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缝纫工培训补助资金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企业安全生产标准化创建奖 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境外展览费补助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失业动态和块状经济监测经 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年度中央补助文化产业 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2,267,631.14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年文化产业发展专项资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杭州动漫产业专项扶持资金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国家文化出口重点企业</w:t>
            </w:r>
            <w:r>
              <w:rPr>
                <w:rFonts w:ascii="Times New Roman" w:hAnsi="Times New Roman" w:cs="Times New Roman" w:eastAsia="Times New Roman" w:hint="default"/>
                <w:sz w:val="18"/>
                <w:szCs w:val="18"/>
              </w:rPr>
              <w:t>"</w:t>
            </w:r>
            <w:r>
              <w:rPr>
                <w:rFonts w:ascii="宋体" w:hAnsi="宋体" w:cs="宋体" w:eastAsia="宋体" w:hint="default"/>
                <w:sz w:val="18"/>
                <w:szCs w:val="18"/>
              </w:rPr>
              <w:t>等奖 励款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年度服务外包奖励资金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国际服务外包业务发展专项 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国际服务贸易发展专项资金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国际服务贸易发展专项资金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优秀国产动画片奖励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国际服务贸易发展专项资金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商标注册费补助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现代服务业奖励资金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促进就业再就业奖励资金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年发展外向型经济财政 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党建工作考核奖励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20,635,394.14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7,387,878.71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3、营业外支出" w:id="269"/>
      <w:bookmarkEnd w:id="269"/>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11,285.47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11,285.47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407,144.73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172,834.72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714,738.39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178,135.66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714,738.39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1,133,168.59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353,079.87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726,023.86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4、所得税费用" w:id="270"/>
      <w:bookmarkEnd w:id="270"/>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71"/>
      <w:bookmarkEnd w:id="2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29,809,130.32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14,694,250.00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6,289,686.06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1,075,985.34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36,098,816.38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15,770,235.34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72"/>
      <w:bookmarkEnd w:id="2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134,209,469.84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33,552,367.46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-515,539.91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3,427,621.63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-2,125,683.79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1,760,050.99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36,098,816.38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5、其他综合收益" w:id="273"/>
      <w:bookmarkEnd w:id="273"/>
      <w:r>
        <w:rPr>
          <w:b w:val="0"/>
          <w:bCs w:val="0"/>
        </w:rPr>
      </w:r>
      <w:r>
        <w:rPr>
          <w:rFonts w:ascii="Times New Roman" w:hAnsi="Times New Roman" w:cs="Times New Roman" w:eastAsia="Times New Roman" w:hint="default"/>
        </w:rPr>
        <w:t>45</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详见附注资产负债表项目注释其他综合收益之说明</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6、现金流量表项目" w:id="274"/>
      <w:bookmarkEnd w:id="274"/>
      <w:r>
        <w:rPr>
          <w:b w:val="0"/>
          <w:bCs w:val="0"/>
        </w:rPr>
      </w:r>
      <w:r>
        <w:rPr>
          <w:rFonts w:ascii="Times New Roman" w:hAnsi="Times New Roman" w:cs="Times New Roman" w:eastAsia="Times New Roman" w:hint="default"/>
        </w:rPr>
        <w:t>46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75"/>
      <w:bookmarkEnd w:id="2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4,458,097.61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5,255,871.01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22,533,375.00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5,603,766.70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银行活期存款利息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1,964,620.79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653,956.96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22,067.29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62,400.02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28,978,160.69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11,575,994.69</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276"/>
      <w:bookmarkEnd w:id="2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29,950,533.23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17,682,957.03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138,643.66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10,032,142.84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3,224,826.78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40,145,476.07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21,046,427.47</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277"/>
      <w:bookmarkEnd w:id="2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定期存款、银行理财到期收回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313,009,980.00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购房款退回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20,813,711.99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287,803,711.99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321,677,480.00</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278"/>
      <w:bookmarkEnd w:id="2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9.549988pt;width:151.25pt;height:20.75pt;mso-position-horizontal-relative:page;mso-position-vertical-relative:page;z-index:-846016" coordorigin="4467,13991" coordsize="3025,415">
            <v:group style="position:absolute;left:4478;top:14002;width:2;height:392" coordorigin="4478,14002" coordsize="2,392">
              <v:shape style="position:absolute;left:4478;top:14002;width:2;height:392" coordorigin="4478,14002" coordsize="0,392" path="m4478,14002l4478,14394e" filled="false" stroked="true" strokeweight="1.140pt" strokecolor="#ffffff">
                <v:path arrowok="t"/>
              </v:shape>
            </v:group>
            <v:group style="position:absolute;left:4490;top:14002;width:3002;height:392" coordorigin="4490,14002" coordsize="3002,392">
              <v:shape style="position:absolute;left:4490;top:14002;width:3002;height:392" coordorigin="4490,14002" coordsize="3002,392" path="m4490,14394l7491,14394,7491,14002,4490,14002,4490,143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银行定期存款、购买理财产品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279"/>
      <w:bookmarkEnd w:id="2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收到莱盛实业无息借款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280"/>
      <w:bookmarkEnd w:id="2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收购缔顺科技公司少数股东股权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26,393,000.00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26,393,000.00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现金流量表补充资料" w:id="281"/>
      <w:bookmarkEnd w:id="281"/>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82"/>
      <w:bookmarkEnd w:id="2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98,110,653.46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41,397,465.23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8,656,035.46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-423,805.40</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9,658,442.62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8,097,705.39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1,732,221.63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1,119,663.68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126,041.89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158,561.34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29" w:val="left" w:leader="none"/>
              </w:tabs>
              <w:spacing w:line="240" w:lineRule="auto" w:before="53"/>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-14,550,446.48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-3,813,247.05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183,333.34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-2,126,787.13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-10,133,917.62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-4,126,290.41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-1,101,376.76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437,647.84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7,391,062.82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638,337.50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-120,650,792.76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-15,783,650.13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-35,159,936.99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206,450.43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33,231,586.89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23,934,108.80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-22,495,807.03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49,718,269.58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112,390,682.74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153,509,705.34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-16,272,839.95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83"/>
      <w:bookmarkEnd w:id="2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北京彩虹城文化创意有限公司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30,389,209.33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30,011,105.78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378,103.55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5,755,790.67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现金和现金等价物的构成" w:id="284"/>
      <w:bookmarkEnd w:id="28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104,507.44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118,317.84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248,960,589.22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95,930,180.24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562,451.47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69,344.71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bl>
    <w:p>
      <w:pPr>
        <w:pStyle w:val="BodyText"/>
        <w:spacing w:line="240" w:lineRule="auto" w:before="51"/>
        <w:ind w:right="0"/>
        <w:jc w:val="left"/>
      </w:pPr>
      <w:r>
        <w:rPr/>
        <w:t>其他说明：</w:t>
      </w:r>
    </w:p>
    <w:p>
      <w:pPr>
        <w:pStyle w:val="BodyText"/>
        <w:spacing w:line="240" w:lineRule="auto" w:before="116"/>
        <w:ind w:left="517" w:right="0"/>
        <w:jc w:val="left"/>
      </w:pPr>
      <w:r>
        <w:rPr>
          <w:rFonts w:ascii="Times New Roman" w:hAnsi="Times New Roman" w:cs="Times New Roman" w:eastAsia="Times New Roman" w:hint="default"/>
        </w:rPr>
        <w:t>2013</w:t>
      </w:r>
      <w:r>
        <w:rPr/>
        <w:t>年期末，公司准备持有至到期支取的定期存款金额</w:t>
      </w:r>
      <w:r>
        <w:rPr>
          <w:rFonts w:ascii="Times New Roman" w:hAnsi="Times New Roman" w:cs="Times New Roman" w:eastAsia="Times New Roman" w:hint="default"/>
        </w:rPr>
        <w:t>36,990,000.00</w:t>
      </w:r>
      <w:r>
        <w:rPr/>
        <w:t>元未作为现金等价物。</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8、所有者权益变动表项目注释" w:id="285"/>
      <w:bookmarkEnd w:id="285"/>
      <w:r>
        <w:rPr>
          <w:b w:val="0"/>
          <w:bCs w:val="0"/>
        </w:rPr>
      </w:r>
      <w:r>
        <w:rPr>
          <w:rFonts w:ascii="Times New Roman" w:hAnsi="Times New Roman" w:cs="Times New Roman" w:eastAsia="Times New Roman" w:hint="default"/>
        </w:rPr>
        <w:t>48</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9、外币货币性项目" w:id="286"/>
      <w:bookmarkEnd w:id="286"/>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87"/>
      <w:bookmarkEnd w:id="2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18,418,085.12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106,342.53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2,388,440.25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17,807,255.13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639,482.14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504,487.46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60,842,651.42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8,279,944.84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50,664,982.48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1,365,103.94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10,177,668.94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69,560,792.00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69,560,792.00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2,589,590.83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347,335.00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2,589,590.83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924,494.40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924,494.40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319,383.53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52,195.38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319,383.53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285,429.44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108,463.90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85,567.17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199,862.27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16,991,778.38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5" w:right="0"/>
              <w:jc w:val="left"/>
              <w:rPr>
                <w:rFonts w:ascii="Times New Roman" w:hAnsi="Times New Roman" w:cs="Times New Roman" w:eastAsia="Times New Roman" w:hint="default"/>
                <w:sz w:val="18"/>
                <w:szCs w:val="18"/>
              </w:rPr>
            </w:pPr>
            <w:r>
              <w:rPr>
                <w:rFonts w:ascii="Times New Roman"/>
                <w:sz w:val="18"/>
              </w:rPr>
              <w:t>2,279,062.50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16,991,778.38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53" w:right="0"/>
        <w:jc w:val="left"/>
        <w:rPr>
          <w:b w:val="0"/>
          <w:bCs w:val="0"/>
        </w:rPr>
      </w:pPr>
      <w:bookmarkStart w:name="（2）境外经营实体说明，包括对于重要的境外经营实体，应披露其境外主要经营地、记账" w:id="288"/>
      <w:bookmarkEnd w:id="2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73" w:right="1118" w:hanging="420"/>
        <w:jc w:val="left"/>
      </w:pPr>
      <w:r>
        <w:rPr/>
        <w:t>√ 适用 □ 不适用 本公司全资子公司香港美盛公司，注册资本</w:t>
      </w:r>
      <w:r>
        <w:rPr>
          <w:rFonts w:ascii="Times New Roman" w:hAnsi="Times New Roman" w:cs="Times New Roman" w:eastAsia="Times New Roman" w:hint="default"/>
        </w:rPr>
        <w:t>1,000</w:t>
      </w:r>
      <w:r>
        <w:rPr/>
        <w:t>万港币</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日在香港设立。该公司以港币为记账本位币，</w:t>
      </w:r>
    </w:p>
    <w:p>
      <w:pPr>
        <w:pStyle w:val="BodyText"/>
        <w:spacing w:line="201" w:lineRule="exact"/>
        <w:ind w:left="153" w:right="0"/>
        <w:jc w:val="left"/>
      </w:pPr>
      <w:r>
        <w:rPr/>
        <w:t>主要从事与母公司产品相关的投资。</w:t>
      </w:r>
    </w:p>
    <w:p>
      <w:pPr>
        <w:pStyle w:val="BodyText"/>
        <w:spacing w:line="300" w:lineRule="auto" w:before="76"/>
        <w:ind w:left="153" w:right="1129" w:firstLine="420"/>
        <w:jc w:val="both"/>
      </w:pPr>
      <w:r>
        <w:rPr>
          <w:spacing w:val="-1"/>
        </w:rPr>
        <w:t>本公司控股孙公司荷兰公司，于</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日在荷兰成立。香港美盛公司于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月完成对该公司的投资，并持有</w:t>
      </w:r>
      <w:r>
        <w:rPr/>
        <w:t> 荷兰公司</w:t>
      </w:r>
      <w:r>
        <w:rPr>
          <w:rFonts w:ascii="Times New Roman" w:hAnsi="Times New Roman" w:cs="Times New Roman" w:eastAsia="Times New Roman" w:hint="default"/>
        </w:rPr>
        <w:t>85.00%</w:t>
      </w:r>
      <w:r>
        <w:rPr/>
        <w:t>的股权。该公司以欧元为记账本位币，经营范围：代理，制造，专门机构和其他货物贸易，嘉年华和派对</w:t>
      </w:r>
      <w:r>
        <w:rPr>
          <w:spacing w:val="-23"/>
        </w:rPr>
        <w:t> </w:t>
      </w:r>
      <w:r>
        <w:rPr>
          <w:spacing w:val="-23"/>
        </w:rPr>
      </w:r>
      <w:r>
        <w:rPr/>
        <w:t>用品，玩具及相关物品。</w:t>
      </w:r>
    </w:p>
    <w:p>
      <w:pPr>
        <w:pStyle w:val="BodyText"/>
        <w:spacing w:line="300" w:lineRule="auto" w:before="31"/>
        <w:ind w:left="153" w:right="1132" w:firstLine="420"/>
        <w:jc w:val="both"/>
      </w:pPr>
      <w:r>
        <w:rPr/>
        <w:t>香港美盛公司参股公司</w:t>
      </w:r>
      <w:r>
        <w:rPr>
          <w:rFonts w:ascii="Times New Roman" w:hAnsi="Times New Roman" w:cs="Times New Roman" w:eastAsia="Times New Roman" w:hint="default"/>
        </w:rPr>
        <w:t>JAKKS PACIFIC TRADING</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，注册资本</w:t>
      </w:r>
      <w:r>
        <w:rPr>
          <w:rFonts w:ascii="Times New Roman" w:hAnsi="Times New Roman" w:cs="Times New Roman" w:eastAsia="Times New Roman" w:hint="default"/>
        </w:rPr>
        <w:t>100</w:t>
      </w:r>
      <w:r>
        <w:rPr/>
        <w:t>万美元，于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月在香港设立，香港美盛公 司持有其</w:t>
      </w:r>
      <w:r>
        <w:rPr>
          <w:rFonts w:ascii="Times New Roman" w:hAnsi="Times New Roman" w:cs="Times New Roman" w:eastAsia="Times New Roman" w:hint="default"/>
        </w:rPr>
        <w:t>49%</w:t>
      </w:r>
      <w:r>
        <w:rPr/>
        <w:t>的股权。该公司以港币为记账本位币，主要从事</w:t>
      </w:r>
      <w:r>
        <w:rPr>
          <w:rFonts w:ascii="Times New Roman" w:hAnsi="Times New Roman" w:cs="Times New Roman" w:eastAsia="Times New Roman" w:hint="default"/>
        </w:rPr>
        <w:t>JAKKS Pacific (H.K.)</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t>指定产品销售业务。</w:t>
      </w:r>
    </w:p>
    <w:p>
      <w:pPr>
        <w:spacing w:line="240" w:lineRule="auto" w:before="1"/>
        <w:rPr>
          <w:rFonts w:ascii="宋体" w:hAnsi="宋体" w:cs="宋体" w:eastAsia="宋体" w:hint="default"/>
          <w:sz w:val="22"/>
          <w:szCs w:val="22"/>
        </w:rPr>
      </w:pPr>
    </w:p>
    <w:p>
      <w:pPr>
        <w:spacing w:line="487" w:lineRule="auto" w:before="0"/>
        <w:ind w:left="153" w:right="8329" w:firstLine="0"/>
        <w:jc w:val="left"/>
        <w:rPr>
          <w:rFonts w:ascii="宋体" w:hAnsi="宋体" w:cs="宋体" w:eastAsia="宋体" w:hint="default"/>
          <w:sz w:val="21"/>
          <w:szCs w:val="21"/>
        </w:rPr>
      </w:pPr>
      <w:bookmarkStart w:name="50、其他" w:id="289"/>
      <w:bookmarkEnd w:id="289"/>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290"/>
      <w:bookmarkEnd w:id="29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291"/>
      <w:bookmarkEnd w:id="2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本期发生的非同一控制下企业合并" w:id="292"/>
      <w:bookmarkEnd w:id="29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纯真年代公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-1,305,930.04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星梦工坊公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1,407,051.65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-339,601.67</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及商誉" w:id="293"/>
      <w:bookmarkEnd w:id="29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3973"/>
        <w:gridCol w:w="2090"/>
        <w:gridCol w:w="1984"/>
      </w:tblGrid>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6"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43" w:right="0"/>
              <w:jc w:val="left"/>
              <w:rPr>
                <w:rFonts w:ascii="宋体" w:hAnsi="宋体" w:cs="宋体" w:eastAsia="宋体" w:hint="default"/>
                <w:sz w:val="18"/>
                <w:szCs w:val="18"/>
              </w:rPr>
            </w:pPr>
            <w:r>
              <w:rPr>
                <w:rFonts w:ascii="宋体" w:hAnsi="宋体" w:cs="宋体" w:eastAsia="宋体" w:hint="default"/>
                <w:sz w:val="18"/>
                <w:szCs w:val="18"/>
              </w:rPr>
              <w:t>星梦工坊公司</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09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98,000,000.00</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98,000,000.00</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34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75,600,774.05</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5,423,969.55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973"/>
        <w:gridCol w:w="2090"/>
        <w:gridCol w:w="1984"/>
      </w:tblGrid>
      <w:tr>
        <w:trPr>
          <w:trHeight w:val="34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8" w:right="0"/>
              <w:jc w:val="left"/>
              <w:rPr>
                <w:rFonts w:ascii="Times New Roman" w:hAnsi="Times New Roman" w:cs="Times New Roman" w:eastAsia="Times New Roman" w:hint="default"/>
                <w:sz w:val="18"/>
                <w:szCs w:val="18"/>
              </w:rPr>
            </w:pPr>
            <w:r>
              <w:rPr>
                <w:rFonts w:ascii="Times New Roman"/>
                <w:sz w:val="18"/>
              </w:rPr>
              <w:t>22,399,225.95</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1022" w:right="0"/>
              <w:jc w:val="left"/>
              <w:rPr>
                <w:rFonts w:ascii="Times New Roman" w:hAnsi="Times New Roman" w:cs="Times New Roman" w:eastAsia="Times New Roman" w:hint="default"/>
                <w:sz w:val="18"/>
                <w:szCs w:val="18"/>
              </w:rPr>
            </w:pPr>
            <w:r>
              <w:rPr>
                <w:rFonts w:ascii="Times New Roman"/>
                <w:sz w:val="18"/>
              </w:rPr>
              <w:t>9,876,030.45</w:t>
            </w:r>
          </w:p>
        </w:tc>
      </w:tr>
    </w:tbl>
    <w:p>
      <w:pPr>
        <w:spacing w:line="240" w:lineRule="auto" w:before="5"/>
        <w:rPr>
          <w:rFonts w:ascii="宋体" w:hAnsi="宋体" w:cs="宋体" w:eastAsia="宋体" w:hint="default"/>
          <w:b/>
          <w:bCs/>
          <w:sz w:val="24"/>
          <w:szCs w:val="24"/>
        </w:rPr>
      </w:pPr>
    </w:p>
    <w:p>
      <w:pPr>
        <w:pStyle w:val="BodyText"/>
        <w:spacing w:line="357" w:lineRule="auto" w:before="44"/>
        <w:ind w:right="6072"/>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294"/>
      <w:bookmarkEnd w:id="29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1914"/>
        <w:gridCol w:w="1686"/>
        <w:gridCol w:w="1686"/>
        <w:gridCol w:w="1582"/>
        <w:gridCol w:w="1606"/>
      </w:tblGrid>
      <w:tr>
        <w:trPr>
          <w:trHeight w:val="347" w:hRule="exact"/>
        </w:trPr>
        <w:tc>
          <w:tcPr>
            <w:tcW w:w="1914" w:type="dxa"/>
            <w:vMerge w:val="restart"/>
            <w:tcBorders>
              <w:top w:val="single" w:sz="6" w:space="0" w:color="000000"/>
              <w:left w:val="single" w:sz="6" w:space="0" w:color="000000"/>
              <w:right w:val="single" w:sz="6" w:space="0" w:color="000000"/>
            </w:tcBorders>
          </w:tcPr>
          <w:p>
            <w:pPr>
              <w:pStyle w:val="TableParagraph"/>
              <w:spacing w:line="240" w:lineRule="auto" w:before="21"/>
              <w:ind w:left="14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纯真年代公司</w:t>
            </w:r>
          </w:p>
        </w:tc>
        <w:tc>
          <w:tcPr>
            <w:tcW w:w="31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45" w:right="0"/>
              <w:jc w:val="left"/>
              <w:rPr>
                <w:rFonts w:ascii="宋体" w:hAnsi="宋体" w:cs="宋体" w:eastAsia="宋体" w:hint="default"/>
                <w:sz w:val="18"/>
                <w:szCs w:val="18"/>
              </w:rPr>
            </w:pPr>
            <w:r>
              <w:rPr>
                <w:rFonts w:ascii="宋体" w:hAnsi="宋体" w:cs="宋体" w:eastAsia="宋体" w:hint="default"/>
                <w:sz w:val="18"/>
                <w:szCs w:val="18"/>
              </w:rPr>
              <w:t>星梦工坊公司</w:t>
            </w:r>
          </w:p>
        </w:tc>
      </w:tr>
      <w:tr>
        <w:trPr>
          <w:trHeight w:val="659" w:hRule="exact"/>
        </w:trPr>
        <w:tc>
          <w:tcPr>
            <w:tcW w:w="1914"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75" w:right="474"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75" w:right="474"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2" w:right="422"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435" w:right="440"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30,011,105.78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30,011,105.78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378,103.55</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378,103.55</w:t>
            </w:r>
          </w:p>
        </w:tc>
      </w:tr>
      <w:tr>
        <w:trPr>
          <w:trHeight w:val="34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300,000.00</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300,000.00</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164,846.75</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164,846.75</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31,700.64</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31,700.64</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4,493,527.73</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753,183.34</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753,183.34</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40,011,105.78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40,011,105.78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1,627,834.28</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6,121,362.01</w:t>
            </w:r>
          </w:p>
        </w:tc>
      </w:tr>
      <w:tr>
        <w:trPr>
          <w:trHeight w:val="34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20,000.00</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20,000.00</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887,747.40</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887,747.40</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22,795.28</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22,795.28</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930,542.68</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930,542.68</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40,001,105.78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40,001,105.78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697,291.60</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5,190,819.33</w:t>
            </w:r>
          </w:p>
        </w:tc>
      </w:tr>
      <w:tr>
        <w:trPr>
          <w:trHeight w:val="34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74,554.52</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74,554.52</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40,001,105.78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40,001,105.78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622,737.08</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5,116,264.81</w:t>
            </w:r>
          </w:p>
        </w:tc>
      </w:tr>
    </w:tbl>
    <w:p>
      <w:pPr>
        <w:spacing w:line="240" w:lineRule="auto" w:before="5"/>
        <w:rPr>
          <w:rFonts w:ascii="宋体" w:hAnsi="宋体" w:cs="宋体" w:eastAsia="宋体" w:hint="default"/>
          <w:b/>
          <w:bCs/>
          <w:sz w:val="24"/>
          <w:szCs w:val="24"/>
        </w:rPr>
      </w:pPr>
    </w:p>
    <w:p>
      <w:pPr>
        <w:pStyle w:val="BodyText"/>
        <w:spacing w:line="338" w:lineRule="auto" w:before="44"/>
        <w:ind w:left="444" w:right="3442" w:hanging="291"/>
        <w:jc w:val="left"/>
      </w:pPr>
      <w:r>
        <w:rPr/>
        <w:t>可辨认资产、负债公允价值的确定方法： 纯真年代公司可辨认资产和负债均为流动资产及流动负债，按账面价值确认公允价值。 星梦工坊公司可辨认资产和负债主要为流动资产及流动负债，按账面价值确认公允价值。</w:t>
      </w:r>
    </w:p>
    <w:p>
      <w:pPr>
        <w:pStyle w:val="BodyText"/>
        <w:spacing w:line="357" w:lineRule="auto" w:before="43"/>
        <w:ind w:left="574" w:right="7452" w:hanging="420"/>
        <w:jc w:val="left"/>
      </w:pPr>
      <w:r>
        <w:rPr/>
        <w:t>企业合并中承担的被购买方的或有负债： 本公司未承担被购买方的或有负债。</w:t>
      </w:r>
    </w:p>
    <w:p>
      <w:pPr>
        <w:pStyle w:val="BodyText"/>
        <w:spacing w:line="240" w:lineRule="auto" w:before="29"/>
        <w:ind w:right="0"/>
        <w:jc w:val="left"/>
      </w:pPr>
      <w:r>
        <w:rPr/>
        <w:t>其他说明：</w:t>
      </w:r>
    </w:p>
    <w:p>
      <w:pPr>
        <w:pStyle w:val="BodyText"/>
        <w:spacing w:line="316" w:lineRule="auto" w:before="115"/>
        <w:ind w:right="0" w:firstLine="420"/>
        <w:jc w:val="left"/>
      </w:pPr>
      <w:r>
        <w:rPr/>
        <w:t>公司根据取得的净资产与仍需投入的增资款之和，确认公司取得的可辨认净资产，并按股权比例确认公司享有的可辨 认净资产公允价值份额。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购买日之前持有的股权按照公允价值重新计量产生的利得或损失" w:id="295"/>
      <w:bookmarkEnd w:id="29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购买日或合并当期期末无法合理确定合并对价或被购买方可辨认资产、负债公允价值" w:id="296"/>
      <w:bookmarkEnd w:id="29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942" w:firstLine="0"/>
        <w:jc w:val="left"/>
        <w:rPr>
          <w:rFonts w:ascii="宋体" w:hAnsi="宋体" w:cs="宋体" w:eastAsia="宋体" w:hint="default"/>
          <w:sz w:val="21"/>
          <w:szCs w:val="21"/>
        </w:rPr>
      </w:pPr>
      <w:bookmarkStart w:name="（6）其他说明"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九、在其他主体中的权益" w:id="298"/>
      <w:bookmarkEnd w:id="298"/>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299"/>
      <w:bookmarkEnd w:id="29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300"/>
      <w:bookmarkEnd w:id="30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美盛动漫公司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香港美盛公司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嵊州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缔顺科技公司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荣盛文化公司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left="15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01"/>
      <w:bookmarkEnd w:id="30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荣盛文化公司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-188,733.83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869,348.30</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-171,353.76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5,101,968.29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-391,779.01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32,008,552.72</w:t>
            </w:r>
          </w:p>
        </w:tc>
      </w:tr>
    </w:tbl>
    <w:p>
      <w:pPr>
        <w:pStyle w:val="BodyText"/>
        <w:spacing w:line="360" w:lineRule="auto" w:before="51"/>
        <w:ind w:right="6432"/>
        <w:jc w:val="left"/>
      </w:pPr>
      <w:r>
        <w:rPr/>
        <w:t>子公司少数股东的持股比例不同于表决权比例的说明： 其他说明：</w:t>
      </w:r>
    </w:p>
    <w:p>
      <w:pPr>
        <w:pStyle w:val="BodyText"/>
        <w:spacing w:line="240" w:lineRule="auto" w:before="25"/>
        <w:ind w:left="574" w:right="0"/>
        <w:jc w:val="left"/>
      </w:pPr>
      <w:r>
        <w:rPr/>
        <w:t>星梦工坊公司、纯真年代公司本期实现的归属于少数股东的损益系合并日至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日实现的归属少数股东的损</w:t>
      </w:r>
    </w:p>
    <w:p>
      <w:pPr>
        <w:pStyle w:val="BodyText"/>
        <w:spacing w:line="240" w:lineRule="auto" w:before="63"/>
        <w:ind w:left="153" w:right="0"/>
        <w:jc w:val="left"/>
      </w:pPr>
      <w:r>
        <w:rPr/>
        <w:t>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重要非全资子公司的主要财务信息" w:id="302"/>
      <w:bookmarkEnd w:id="30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荣盛文 化公司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3,173,81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3,477,41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19.50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3,833,33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4,232,32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星梦工 坊公司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13,652,0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43.60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3,406,76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17,058,8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4,103,04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4,103,04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纯真年 代公司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121,459,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168.78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121,819,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15,124,2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26.56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15,124,2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9,011,65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9,011,65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荣盛文化公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-754,935.33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507,234.94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-767,671.47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-3,132,956.39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星梦工坊公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3,400,941.22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-2,846,717.36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2,008,385.95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1,961,213.53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-1,769,657.46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-562,680.55</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纯真年代公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-306,480.36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-109,235,048.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-500,734.66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在子公司的所有者权益份额发生变化且仍控制子公司的交易" w:id="303"/>
      <w:bookmarkEnd w:id="30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04"/>
      <w:bookmarkEnd w:id="30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270"/>
        <w:gridCol w:w="2025"/>
        <w:gridCol w:w="2131"/>
        <w:gridCol w:w="2132"/>
      </w:tblGrid>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4" w:right="0"/>
              <w:jc w:val="left"/>
              <w:rPr>
                <w:rFonts w:ascii="宋体" w:hAnsi="宋体" w:cs="宋体" w:eastAsia="宋体" w:hint="default"/>
                <w:sz w:val="18"/>
                <w:szCs w:val="18"/>
              </w:rPr>
            </w:pPr>
            <w:r>
              <w:rPr>
                <w:rFonts w:ascii="宋体" w:hAnsi="宋体" w:cs="宋体" w:eastAsia="宋体" w:hint="default"/>
                <w:sz w:val="18"/>
                <w:szCs w:val="18"/>
              </w:rPr>
              <w:t>变动时间</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变动前持股比例</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347" w:hRule="exact"/>
        </w:trPr>
        <w:tc>
          <w:tcPr>
            <w:tcW w:w="2270"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缔顺科技公司</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85.83%</w:t>
            </w:r>
          </w:p>
        </w:tc>
      </w:tr>
      <w:tr>
        <w:trPr>
          <w:trHeight w:val="348" w:hRule="exact"/>
        </w:trPr>
        <w:tc>
          <w:tcPr>
            <w:tcW w:w="2270" w:type="dxa"/>
            <w:vMerge/>
            <w:tcBorders>
              <w:left w:val="single" w:sz="6" w:space="0" w:color="000000"/>
              <w:bottom w:val="single" w:sz="6" w:space="0" w:color="000000"/>
              <w:right w:val="single" w:sz="6" w:space="0" w:color="000000"/>
            </w:tcBorders>
          </w:tcPr>
          <w:p>
            <w:pP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85.83%</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2）交易对于少数股东权益及归属于母公司所有者权益的影响" w:id="305"/>
      <w:bookmarkEnd w:id="30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802"/>
        <w:gridCol w:w="2976"/>
        <w:gridCol w:w="2694"/>
      </w:tblGrid>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缔顺科技公司（第一次购买）</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缔顺科技公司（第二次购买）</w:t>
            </w:r>
          </w:p>
        </w:tc>
      </w:tr>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2976"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18,000,000.00</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8,393,000.00</w:t>
            </w:r>
          </w:p>
        </w:tc>
      </w:tr>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浮动支付价款</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17,475,000.00</w:t>
            </w:r>
          </w:p>
        </w:tc>
        <w:tc>
          <w:tcPr>
            <w:tcW w:w="26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35,475,000.00</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8,393,000.00</w:t>
            </w:r>
          </w:p>
        </w:tc>
      </w:tr>
      <w:tr>
        <w:trPr>
          <w:trHeight w:val="65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3"/>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 司净资产份额</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6,312,258.39</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3,936,053.29</w:t>
            </w:r>
          </w:p>
        </w:tc>
      </w:tr>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29,162,741.61</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4,456,946.71</w:t>
            </w:r>
          </w:p>
        </w:tc>
      </w:tr>
      <w:tr>
        <w:trPr>
          <w:trHeight w:val="34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29,162,741.61</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4,456,946.71</w:t>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pStyle w:val="BodyText"/>
        <w:spacing w:line="300" w:lineRule="auto" w:before="116"/>
        <w:ind w:left="153" w:right="0" w:firstLine="420"/>
        <w:jc w:val="left"/>
      </w:pPr>
      <w:r>
        <w:rPr>
          <w:spacing w:val="-1"/>
        </w:rPr>
        <w:t>公司原持有缔顺科技公司</w:t>
      </w:r>
      <w:r>
        <w:rPr>
          <w:rFonts w:ascii="Times New Roman" w:hAnsi="Times New Roman" w:cs="Times New Roman" w:eastAsia="Times New Roman" w:hint="default"/>
          <w:spacing w:val="-1"/>
        </w:rPr>
        <w:t>51%</w:t>
      </w:r>
      <w:r>
        <w:rPr>
          <w:spacing w:val="-1"/>
        </w:rPr>
        <w:t>的股权，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月，公司向杭州浩康创业投资有限公司收购其持有缔顺科技公司</w:t>
      </w:r>
      <w:r>
        <w:rPr>
          <w:rFonts w:ascii="Times New Roman" w:hAnsi="Times New Roman" w:cs="Times New Roman" w:eastAsia="Times New Roman" w:hint="default"/>
          <w:spacing w:val="-1"/>
        </w:rPr>
        <w:t>34.83%</w:t>
      </w:r>
      <w:r>
        <w:rPr>
          <w:rFonts w:ascii="Times New Roman" w:hAnsi="Times New Roman" w:cs="Times New Roman" w:eastAsia="Times New Roman" w:hint="default"/>
        </w:rPr>
        <w:t> </w:t>
      </w:r>
      <w:r>
        <w:rPr/>
        <w:t>的股权。该收购完成后，公司共持有缔顺科技公司</w:t>
      </w:r>
      <w:r>
        <w:rPr>
          <w:rFonts w:ascii="Times New Roman" w:hAnsi="Times New Roman" w:cs="Times New Roman" w:eastAsia="Times New Roman" w:hint="default"/>
        </w:rPr>
        <w:t>85.83%</w:t>
      </w:r>
      <w:r>
        <w:rPr/>
        <w:t>股权。</w:t>
      </w:r>
    </w:p>
    <w:p>
      <w:pPr>
        <w:pStyle w:val="BodyText"/>
        <w:spacing w:line="300" w:lineRule="auto" w:before="13"/>
        <w:ind w:left="153" w:right="1028"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月，公司向杭州泰邦创业投资有限公司、杭州市拱墅区经济发展投资有限公司、杭州佰坤投资咨询有限公司、</w:t>
      </w:r>
      <w:r>
        <w:rPr/>
        <w:t> 俞蘠收购其持有缔顺科技</w:t>
      </w:r>
      <w:r>
        <w:rPr>
          <w:rFonts w:ascii="Times New Roman" w:hAnsi="Times New Roman" w:cs="Times New Roman" w:eastAsia="Times New Roman" w:hint="default"/>
        </w:rPr>
        <w:t>14.17%</w:t>
      </w:r>
      <w:r>
        <w:rPr/>
        <w:t>的股权，该次收购完成后，公司共持有缔顺科技</w:t>
      </w:r>
      <w:r>
        <w:rPr>
          <w:rFonts w:ascii="Times New Roman" w:hAnsi="Times New Roman" w:cs="Times New Roman" w:eastAsia="Times New Roman" w:hint="default"/>
        </w:rPr>
        <w:t>100.00%</w:t>
      </w:r>
      <w:r>
        <w:rPr/>
        <w:t>股权。</w:t>
      </w:r>
    </w:p>
    <w:p>
      <w:pPr>
        <w:pStyle w:val="BodyText"/>
        <w:spacing w:line="240" w:lineRule="auto" w:before="13"/>
        <w:ind w:left="574" w:right="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日办妥工商变更登记。</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其他" w:id="306"/>
      <w:bookmarkEnd w:id="306"/>
      <w:r>
        <w:rPr>
          <w:b w:val="0"/>
          <w:bCs w:val="0"/>
        </w:rPr>
      </w: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307"/>
      <w:bookmarkEnd w:id="30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left="153" w:right="1118" w:firstLine="420"/>
        <w:jc w:val="left"/>
      </w:pPr>
      <w:r>
        <w:rPr/>
        <w:t>本公司的金融工具导致的主要风险是信用风险、流动风险及市场风险。管理层已审议并批准管理这些风险的政策，概 括如下。</w:t>
      </w:r>
    </w:p>
    <w:p>
      <w:pPr>
        <w:pStyle w:val="BodyText"/>
        <w:spacing w:line="300" w:lineRule="auto" w:before="19"/>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316" w:lineRule="auto" w:before="31"/>
        <w:ind w:left="153" w:right="1133" w:firstLine="420"/>
        <w:jc w:val="both"/>
      </w:pPr>
      <w:r>
        <w:rPr/>
        <w:t>本公司的信用风险主要与应收款项有关。本公司仅与经认可的、信誉良好的第三方进行交易。按照本公司的政策，需 </w:t>
      </w:r>
      <w:r>
        <w:rPr>
          <w:spacing w:val="-2"/>
        </w:rPr>
        <w:t>对所有要求采用信用方式进行交易的客户进行信用审核。另外，本公司对应收账款余额进行持续监控，以确保本公司不致面</w:t>
      </w:r>
      <w:r>
        <w:rPr>
          <w:spacing w:val="-66"/>
        </w:rPr>
        <w:t> </w:t>
      </w:r>
      <w:r>
        <w:rPr>
          <w:spacing w:val="-66"/>
        </w:rPr>
      </w:r>
      <w:r>
        <w:rPr/>
        <w:t>临重大坏账风险。</w:t>
      </w:r>
    </w:p>
    <w:p>
      <w:pPr>
        <w:pStyle w:val="BodyText"/>
        <w:spacing w:line="240" w:lineRule="auto" w:before="19"/>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公司进一步健全企业的信用管理体系，规范信用风险管理，并在业务发生的前后做好事前控制、事中控制和事后控</w:t>
      </w:r>
    </w:p>
    <w:p>
      <w:pPr>
        <w:pStyle w:val="BodyText"/>
        <w:spacing w:line="240" w:lineRule="auto" w:before="63"/>
        <w:ind w:left="153" w:right="0"/>
        <w:jc w:val="left"/>
      </w:pPr>
      <w:r>
        <w:rPr/>
        <w:t>制。</w:t>
      </w:r>
    </w:p>
    <w:p>
      <w:pPr>
        <w:pStyle w:val="BodyText"/>
        <w:spacing w:line="240" w:lineRule="auto" w:before="76"/>
        <w:ind w:left="5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公司加强教育培训，提升业务人员素质，提高应收账款的分析及管理技巧。</w:t>
      </w:r>
    </w:p>
    <w:p>
      <w:pPr>
        <w:pStyle w:val="BodyText"/>
        <w:spacing w:line="300" w:lineRule="auto" w:before="63"/>
        <w:ind w:left="573" w:right="0" w:hanging="5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设定专门岗位加强应收账款的日常监控，实时跟进每一笔交易业务，确保款项收回。 由于本公司仅与经认可的且信誉良好的第三方进行交易，所以无需担保物。截至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日，本公司具有特定信</w:t>
      </w:r>
    </w:p>
    <w:p>
      <w:pPr>
        <w:pStyle w:val="BodyText"/>
        <w:spacing w:line="300" w:lineRule="auto" w:before="13"/>
        <w:ind w:right="1127"/>
        <w:jc w:val="left"/>
      </w:pPr>
      <w:r>
        <w:rPr>
          <w:spacing w:val="-1"/>
        </w:rPr>
        <w:t>用风险集中，本公司的应收账款的</w:t>
      </w:r>
      <w:r>
        <w:rPr>
          <w:rFonts w:ascii="Times New Roman" w:hAnsi="Times New Roman" w:cs="Times New Roman" w:eastAsia="Times New Roman" w:hint="default"/>
          <w:spacing w:val="-1"/>
        </w:rPr>
        <w:t>73.25%(2013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43.08%)</w:t>
      </w:r>
      <w:r>
        <w:rPr>
          <w:spacing w:val="-1"/>
        </w:rPr>
        <w:t>源于前五大客户。本公司对应收账款余额未持有任何担</w:t>
      </w:r>
      <w:r>
        <w:rPr>
          <w:spacing w:val="-80"/>
        </w:rPr>
        <w:t> </w:t>
      </w:r>
      <w:r>
        <w:rPr>
          <w:spacing w:val="-80"/>
        </w:rPr>
      </w:r>
      <w:r>
        <w:rPr/>
        <w:t>保物或其他信用增级。</w:t>
      </w:r>
    </w:p>
    <w:p>
      <w:pPr>
        <w:pStyle w:val="BodyText"/>
        <w:spacing w:line="300" w:lineRule="auto" w:before="31"/>
        <w:ind w:left="573"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t>流动风险，是指企业在履行与金融负债有关的义务时遇到资金短缺的风险，其可能源于无法尽快以公允价值售出金融</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3" w:right="1122" w:hanging="420"/>
        <w:jc w:val="left"/>
      </w:pPr>
      <w:r>
        <w:rPr/>
        <w:t>资产；或者源于对方无法偿还其合同债务；或者源于提前到期的债务；或者源于无法产生预期的现金流量。 为控制该项风险，</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公司完善管理架构，建立适当的预警机制，定期检查流动性状况，并及时告知管理层，</w:t>
      </w:r>
      <w:r>
        <w:rPr>
          <w:rFonts w:ascii="Times New Roman" w:hAnsi="Times New Roman" w:cs="Times New Roman" w:eastAsia="Times New Roman" w:hint="default"/>
        </w:rPr>
        <w:t>2)</w:t>
      </w:r>
      <w:r>
        <w:rPr/>
        <w:t>综合运</w:t>
      </w:r>
    </w:p>
    <w:p>
      <w:pPr>
        <w:pStyle w:val="BodyText"/>
        <w:spacing w:line="316" w:lineRule="auto"/>
        <w:ind w:left="153" w:right="0"/>
        <w:jc w:val="left"/>
      </w:pPr>
      <w:r>
        <w:rPr>
          <w:spacing w:val="-2"/>
        </w:rPr>
        <w:t>用银行借款等手段，并采取长期、短期、债务、权益融资方式适当结合，优化融资结构的方法，保持融资持续性与灵活性之</w:t>
      </w:r>
      <w:r>
        <w:rPr>
          <w:spacing w:val="-67"/>
        </w:rPr>
        <w:t> </w:t>
      </w:r>
      <w:r>
        <w:rPr>
          <w:spacing w:val="-67"/>
        </w:rPr>
      </w:r>
      <w:r>
        <w:rPr/>
        <w:t>间的平衡。本公司已从多家商业银行取得银行授信额度以满足营运资金需求和资本开支。</w:t>
      </w:r>
    </w:p>
    <w:p>
      <w:pPr>
        <w:pStyle w:val="BodyText"/>
        <w:spacing w:line="240" w:lineRule="auto" w:before="19"/>
        <w:ind w:left="573" w:right="0"/>
        <w:jc w:val="left"/>
      </w:pPr>
      <w:r>
        <w:rPr/>
        <w:t>金融工具按剩余到期日分类</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85"/>
        <w:gridCol w:w="1477"/>
        <w:gridCol w:w="1476"/>
        <w:gridCol w:w="1500"/>
        <w:gridCol w:w="1476"/>
        <w:gridCol w:w="1326"/>
      </w:tblGrid>
      <w:tr>
        <w:trPr>
          <w:trHeight w:val="347" w:hRule="exact"/>
        </w:trPr>
        <w:tc>
          <w:tcPr>
            <w:tcW w:w="1785"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256"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785" w:type="dxa"/>
            <w:vMerge/>
            <w:tcBorders>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249,622,268.71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249,622,268.71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249,622,268.71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20,117,601.26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20,117,601.26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20,117,601.26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63,952,890.70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63,952,890.70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63,952,890.70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8,473,834.61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8,473,834.61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8,473,834.61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24,870,912.62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24,870,912.62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24,870,912.62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5,000,000.00</w:t>
            </w: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2,551,466.12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2,551,466.12</w:t>
            </w: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2,551,466.12</w:t>
            </w: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374,588,974.02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374,588,974.02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367,037,507.90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7,551,466.12</w:t>
            </w: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3,013,804.78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3,013,804.78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3,013,804.78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60,428,472.50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60,428,472.50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60,428,472.50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5,310,650.53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5,310,650.53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5,310,650.53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8,503,480.82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8,503,480.82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8,503,480.82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319,397.12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319,397.12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319,397.12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33,838,572.21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33,838,572.21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33,838,572.21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69,560,792.00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69,560,792.00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69,560,792.00</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16,175,399.21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16,991,778.38</w:t>
            </w:r>
          </w:p>
        </w:tc>
        <w:tc>
          <w:tcPr>
            <w:tcW w:w="150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16,991,778.38</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197,150,569.17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197,966,948.34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111,414,377.96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86,552,570.38</w:t>
            </w:r>
          </w:p>
        </w:tc>
        <w:tc>
          <w:tcPr>
            <w:tcW w:w="1326"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844"/>
        <w:gridCol w:w="1560"/>
        <w:gridCol w:w="1559"/>
        <w:gridCol w:w="1559"/>
        <w:gridCol w:w="1559"/>
        <w:gridCol w:w="1418"/>
      </w:tblGrid>
      <w:tr>
        <w:trPr>
          <w:trHeight w:val="34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656"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844"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133,107,842.79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133,107,842.79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133,107,842.79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2,553,350.00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2,553,350.00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2,553,350.00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35,142,370.69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35,142,370.69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35,142,370.69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3,157,731.40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3,157,731.40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3,157,731.40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225,001,845.02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225,001,845.02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225,001,845.02</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5,000,000.00</w:t>
            </w: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403,963,139.90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403,963,139.90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398,963,139.90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5,000,000.00</w:t>
            </w: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44"/>
        <w:gridCol w:w="1560"/>
        <w:gridCol w:w="1559"/>
        <w:gridCol w:w="1559"/>
        <w:gridCol w:w="1559"/>
        <w:gridCol w:w="1418"/>
      </w:tblGrid>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23,055,276.99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23,055,276.99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23,055,276.99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5,723,112.04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5,723,112.04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5,723,112.04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10,995,593.43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10,995,593.43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10,995,593.43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282,539.18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282,539.18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282,539.18</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4,794,205.16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4,794,205.16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4,794,205.16</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69,309,559.20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69,309,559.20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69,309,559.20</w:t>
            </w: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15,916,836.13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17,381,345.23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17,381,345.23</w:t>
            </w: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130,077,122.13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131,541,631.23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44,850,726.80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86,690,904.43</w:t>
            </w:r>
          </w:p>
        </w:tc>
        <w:tc>
          <w:tcPr>
            <w:tcW w:w="1418" w:type="dxa"/>
            <w:tcBorders>
              <w:top w:val="single" w:sz="6" w:space="0" w:color="000000"/>
              <w:left w:val="single" w:sz="6" w:space="0" w:color="000000"/>
              <w:bottom w:val="single" w:sz="6" w:space="0" w:color="000000"/>
              <w:right w:val="nil" w:sz="6" w:space="0" w:color="auto"/>
            </w:tcBorders>
          </w:tcPr>
          <w:p>
            <w:pPr/>
          </w:p>
        </w:tc>
      </w:tr>
    </w:tbl>
    <w:p>
      <w:pPr>
        <w:pStyle w:val="BodyText"/>
        <w:spacing w:line="300" w:lineRule="auto" w:before="10"/>
        <w:ind w:left="573"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left="153" w:right="0"/>
        <w:jc w:val="left"/>
      </w:pPr>
      <w:r>
        <w:rPr/>
        <w:t>和外汇风险。</w:t>
      </w:r>
    </w:p>
    <w:p>
      <w:pPr>
        <w:pStyle w:val="BodyText"/>
        <w:spacing w:line="300" w:lineRule="auto" w:before="76"/>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利率风险，是指金融工具的公允价值或未来现金流量因市场利率变动而发生波动的风险。本公司面临的市场利率变动</w:t>
      </w:r>
    </w:p>
    <w:p>
      <w:pPr>
        <w:pStyle w:val="BodyText"/>
        <w:spacing w:line="316" w:lineRule="auto" w:before="31"/>
        <w:ind w:left="513" w:right="0" w:hanging="360"/>
        <w:jc w:val="left"/>
        <w:rPr>
          <w:rFonts w:ascii="Times New Roman" w:hAnsi="Times New Roman" w:cs="Times New Roman" w:eastAsia="Times New Roman" w:hint="default"/>
        </w:rPr>
      </w:pPr>
      <w:r>
        <w:rPr/>
        <w:t>的风险主要与本公司以浮动利率计息的借款有关。 </w:t>
      </w: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日，本公司以</w:t>
      </w:r>
      <w:r>
        <w:rPr>
          <w:rFonts w:ascii="Times New Roman" w:hAnsi="Times New Roman" w:cs="Times New Roman" w:eastAsia="Times New Roman" w:hint="default"/>
          <w:spacing w:val="-3"/>
        </w:rPr>
        <w:t>LIBOR</w:t>
      </w:r>
      <w:r>
        <w:rPr>
          <w:spacing w:val="-3"/>
        </w:rPr>
        <w:t>上浮一定百分比的利率计息的银行借款</w:t>
      </w:r>
      <w:r>
        <w:rPr>
          <w:rFonts w:ascii="Times New Roman" w:hAnsi="Times New Roman" w:cs="Times New Roman" w:eastAsia="Times New Roman" w:hint="default"/>
          <w:spacing w:val="-3"/>
        </w:rPr>
        <w:t>1,136.80</w:t>
      </w:r>
      <w:r>
        <w:rPr>
          <w:spacing w:val="-3"/>
        </w:rPr>
        <w:t>万美元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1,136.80</w:t>
      </w:r>
    </w:p>
    <w:p>
      <w:pPr>
        <w:pStyle w:val="BodyText"/>
        <w:spacing w:line="300" w:lineRule="auto"/>
        <w:ind w:left="153" w:right="0"/>
        <w:jc w:val="left"/>
      </w:pPr>
      <w:r>
        <w:rPr/>
        <w:t>万美元</w:t>
      </w:r>
      <w:r>
        <w:rPr>
          <w:rFonts w:ascii="Times New Roman" w:hAnsi="Times New Roman" w:cs="Times New Roman" w:eastAsia="Times New Roman" w:hint="default"/>
        </w:rPr>
        <w:t>)</w:t>
      </w:r>
      <w:r>
        <w:rPr/>
        <w:t>，在其他变量不变的假设下，利率发生合理、可能的</w:t>
      </w:r>
      <w:r>
        <w:rPr>
          <w:rFonts w:ascii="Times New Roman" w:hAnsi="Times New Roman" w:cs="Times New Roman" w:eastAsia="Times New Roman" w:hint="default"/>
        </w:rPr>
        <w:t>50%</w:t>
      </w:r>
      <w:r>
        <w:rPr/>
        <w:t>基准点的变动时，将不会对本公司的利润总额和股东权益</w:t>
      </w:r>
      <w:r>
        <w:rPr>
          <w:spacing w:val="-31"/>
        </w:rPr>
        <w:t> </w:t>
      </w:r>
      <w:r>
        <w:rPr>
          <w:spacing w:val="-31"/>
        </w:rPr>
      </w:r>
      <w:r>
        <w:rPr/>
        <w:t>产生重大的影响。</w:t>
      </w:r>
    </w:p>
    <w:p>
      <w:pPr>
        <w:pStyle w:val="BodyText"/>
        <w:spacing w:line="300" w:lineRule="auto" w:before="31"/>
        <w:ind w:left="51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外汇风险 </w:t>
      </w:r>
      <w:r>
        <w:rPr>
          <w:spacing w:val="-2"/>
        </w:rPr>
        <w:t>外汇风险是因汇率变动产生的风险。本公司面临的汇率变动的风险主要与本公司外币货币性资产、负债及境外经营实体</w:t>
      </w:r>
    </w:p>
    <w:p>
      <w:pPr>
        <w:pStyle w:val="BodyText"/>
        <w:spacing w:line="319" w:lineRule="auto" w:before="31"/>
        <w:ind w:left="153" w:right="1131"/>
        <w:jc w:val="both"/>
      </w:pPr>
      <w:r>
        <w:rPr>
          <w:spacing w:val="-2"/>
        </w:rPr>
        <w:t>有关。对于外币资产和负债，如果出现短期的失衡情况，本公司会在必要时按市场汇率买卖外币，以确保将净风险敞口维持</w:t>
      </w:r>
      <w:r>
        <w:rPr>
          <w:spacing w:val="-66"/>
        </w:rPr>
        <w:t> </w:t>
      </w:r>
      <w:r>
        <w:rPr>
          <w:spacing w:val="-66"/>
        </w:rPr>
      </w:r>
      <w:r>
        <w:rPr>
          <w:spacing w:val="-2"/>
        </w:rPr>
        <w:t>在可接受的水平。且本公司向银行机构购买远期结汇，锁定汇率，降低外汇变动风险。对于境外经营实体，本公司增加外币</w:t>
      </w:r>
      <w:r>
        <w:rPr>
          <w:spacing w:val="-66"/>
        </w:rPr>
        <w:t> </w:t>
      </w:r>
      <w:r>
        <w:rPr>
          <w:spacing w:val="-66"/>
        </w:rPr>
      </w:r>
      <w:r>
        <w:rPr/>
        <w:t>负债，平衡汇率变动风险。</w:t>
      </w:r>
    </w:p>
    <w:p>
      <w:pPr>
        <w:pStyle w:val="BodyText"/>
        <w:spacing w:line="240" w:lineRule="auto" w:before="17"/>
        <w:ind w:left="513" w:right="0"/>
        <w:jc w:val="left"/>
      </w:pPr>
      <w:r>
        <w:rPr/>
        <w:t>公司期末外币金融资产和外币金融负债列示见本财务报告附注五</w:t>
      </w:r>
      <w:r>
        <w:rPr>
          <w:rFonts w:ascii="Times New Roman" w:hAnsi="Times New Roman" w:cs="Times New Roman" w:eastAsia="Times New Roman" w:hint="default"/>
        </w:rPr>
        <w:t>(</w:t>
      </w:r>
      <w:r>
        <w:rPr/>
        <w:t>四</w:t>
      </w:r>
      <w:r>
        <w:rPr>
          <w:rFonts w:ascii="Times New Roman" w:hAnsi="Times New Roman" w:cs="Times New Roman" w:eastAsia="Times New Roman" w:hint="default"/>
        </w:rPr>
        <w:t>)2.</w:t>
      </w:r>
      <w:r>
        <w:rPr/>
        <w:t>外币货币性项目之说明。</w:t>
      </w:r>
    </w:p>
    <w:p>
      <w:pPr>
        <w:pStyle w:val="BodyText"/>
        <w:spacing w:line="300" w:lineRule="auto" w:before="63"/>
        <w:ind w:left="574"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资本风险管理</w:t>
      </w:r>
      <w:r>
        <w:rPr>
          <w:w w:val="99"/>
        </w:rPr>
        <w:t> </w:t>
      </w:r>
      <w:r>
        <w:rPr/>
        <w:t>本公司的资本风险管理政策是保障公司持续经营，为股东提供回报和为其他利益相关者提供利益，同时维持最佳的资</w:t>
      </w:r>
    </w:p>
    <w:p>
      <w:pPr>
        <w:pStyle w:val="BodyText"/>
        <w:spacing w:line="316" w:lineRule="auto" w:before="31"/>
        <w:ind w:left="574" w:right="0" w:hanging="420"/>
        <w:jc w:val="left"/>
      </w:pPr>
      <w:r>
        <w:rPr/>
        <w:t>本结构以降低资本成本。 本公司的资本结构包括长期借款、长期应付款及本公司所有者权益。管理层通过考虑资金成本及各类资本风险而确定</w:t>
      </w:r>
    </w:p>
    <w:p>
      <w:pPr>
        <w:pStyle w:val="BodyText"/>
        <w:spacing w:line="316" w:lineRule="auto" w:before="19"/>
        <w:ind w:left="574" w:right="0" w:hanging="420"/>
        <w:jc w:val="left"/>
      </w:pPr>
      <w:r>
        <w:rPr/>
        <w:t>资本结构。本公司将通过派发股息、发行新股或偿还银行借款平衡资本结构。 </w:t>
      </w:r>
      <w:r>
        <w:rPr>
          <w:spacing w:val="2"/>
        </w:rPr>
        <w:t>本公司采用资产负债率监督资本风险。截至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日，本公司的资产负债比率为</w:t>
      </w:r>
      <w:r>
        <w:rPr>
          <w:rFonts w:ascii="Times New Roman" w:hAnsi="Times New Roman" w:cs="Times New Roman" w:eastAsia="Times New Roman" w:hint="default"/>
          <w:spacing w:val="2"/>
        </w:rPr>
        <w:t>22.93%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
    </w:p>
    <w:p>
      <w:pPr>
        <w:pStyle w:val="BodyText"/>
        <w:spacing w:line="248" w:lineRule="exact"/>
        <w:ind w:left="153" w:right="0"/>
        <w:jc w:val="left"/>
      </w:pPr>
      <w:r>
        <w:rPr>
          <w:rFonts w:ascii="Times New Roman" w:hAnsi="Times New Roman" w:cs="Times New Roman" w:eastAsia="Times New Roman" w:hint="default"/>
        </w:rPr>
        <w:t>18.03%</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公允价值的披露" w:id="308"/>
      <w:bookmarkEnd w:id="308"/>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309"/>
      <w:bookmarkEnd w:id="30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95"/>
        <w:gridCol w:w="1826"/>
        <w:gridCol w:w="1913"/>
        <w:gridCol w:w="1913"/>
        <w:gridCol w:w="1913"/>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11"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2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26"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20,117,601.26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20,117,601.26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w:t>
            </w:r>
          </w:p>
        </w:tc>
        <w:tc>
          <w:tcPr>
            <w:tcW w:w="1826"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20,117,601.26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20,117,601.26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6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3,013,804.78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3,013,804.78</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3,013,804.78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3,013,804.78</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10"/>
      <w:bookmarkEnd w:id="31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11"/>
      <w:bookmarkEnd w:id="31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公司根据银行出具的远期结汇评估价值评估报告确定第二层次公允价值。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312"/>
      <w:bookmarkEnd w:id="31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公司根据纯真年代公司、星梦工坊公司</w:t>
      </w:r>
      <w:r>
        <w:rPr>
          <w:rFonts w:ascii="Times New Roman" w:hAnsi="Times New Roman" w:cs="Times New Roman" w:eastAsia="Times New Roman" w:hint="default"/>
        </w:rPr>
        <w:t>2014</w:t>
      </w:r>
      <w:r>
        <w:rPr/>
        <w:t>年实现的净利润与承诺业绩的差额确定第三层次公允价值。</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二、关联方及关联交易" w:id="313"/>
      <w:bookmarkEnd w:id="31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14"/>
      <w:bookmarkEnd w:id="31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浙江莱盛实业有限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46.38%</w:t>
            </w:r>
          </w:p>
        </w:tc>
      </w:tr>
    </w:tbl>
    <w:p>
      <w:pPr>
        <w:pStyle w:val="BodyText"/>
        <w:spacing w:line="338" w:lineRule="auto" w:before="51"/>
        <w:ind w:left="573" w:right="2773" w:hanging="420"/>
        <w:jc w:val="left"/>
      </w:pPr>
      <w:r>
        <w:rPr/>
        <w:t>本企业的母公司情况的说明 浙江莱盛实业有限公司主要从事实业投资、资产管理咨询、项目投资咨询、房地产开发等业务。 浙江莱盛实业有限公司的股权结构如下：</w:t>
      </w: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132"/>
      </w:tblGrid>
      <w:tr>
        <w:trPr>
          <w:trHeight w:val="34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7" w:right="0"/>
              <w:jc w:val="left"/>
              <w:rPr>
                <w:rFonts w:ascii="宋体" w:hAnsi="宋体" w:cs="宋体" w:eastAsia="宋体" w:hint="default"/>
                <w:sz w:val="18"/>
                <w:szCs w:val="18"/>
              </w:rPr>
            </w:pPr>
            <w:r>
              <w:rPr>
                <w:rFonts w:ascii="宋体" w:hAnsi="宋体" w:cs="宋体" w:eastAsia="宋体" w:hint="default"/>
                <w:sz w:val="18"/>
                <w:szCs w:val="18"/>
              </w:rPr>
              <w:t>认缴出资额（万元）</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7" w:right="0"/>
              <w:jc w:val="left"/>
              <w:rPr>
                <w:rFonts w:ascii="宋体" w:hAnsi="宋体" w:cs="宋体" w:eastAsia="宋体" w:hint="default"/>
                <w:sz w:val="18"/>
                <w:szCs w:val="18"/>
              </w:rPr>
            </w:pPr>
            <w:r>
              <w:rPr>
                <w:rFonts w:ascii="宋体" w:hAnsi="宋体" w:cs="宋体" w:eastAsia="宋体" w:hint="default"/>
                <w:sz w:val="18"/>
                <w:szCs w:val="18"/>
              </w:rPr>
              <w:t>实缴出资额（万元）</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left="697"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1,600.00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1,600.00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80.00%</w:t>
            </w:r>
          </w:p>
        </w:tc>
      </w:tr>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石炜萍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400.00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400.00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2,000.00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2,000.00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40" w:lineRule="auto" w:before="2"/>
        <w:ind w:left="153" w:right="7153"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：石炜萍女士系赵小强先生之配偶。</w:t>
      </w:r>
      <w:r>
        <w:rPr>
          <w:w w:val="99"/>
        </w:rPr>
        <w:t> </w:t>
      </w:r>
      <w:r>
        <w:rPr/>
        <w:t>本企业最终控制方是赵小强先生。</w:t>
      </w:r>
    </w:p>
    <w:p>
      <w:pPr>
        <w:pStyle w:val="BodyText"/>
        <w:spacing w:line="240" w:lineRule="auto" w:before="40"/>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本企业的子公司情况" w:id="315"/>
      <w:bookmarkEnd w:id="31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本企业子公司的情况详见附注在其他主体中的权益之说明。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关联交易情况" w:id="316"/>
      <w:bookmarkEnd w:id="316"/>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关联担保情况" w:id="317"/>
      <w:bookmarkEnd w:id="317"/>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70,980,400.00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513" w:right="6613" w:hanging="360"/>
        <w:jc w:val="left"/>
      </w:pPr>
      <w:r>
        <w:rPr/>
        <w:t>关联担保情况说明 担保情况详见本财务报告附注长期借款之说明。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关键管理人员报酬" w:id="318"/>
      <w:bookmarkEnd w:id="318"/>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2,595,905.34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2,132,600.00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其他关联交易" w:id="319"/>
      <w:bookmarkEnd w:id="319"/>
      <w:r>
        <w:rPr>
          <w:b w:val="0"/>
          <w:bCs w:val="0"/>
        </w:rPr>
      </w:r>
      <w:r>
        <w:rPr/>
        <w:t>（</w:t>
      </w:r>
      <w:r>
        <w:rPr>
          <w:rFonts w:ascii="Times New Roman" w:hAnsi="Times New Roman" w:cs="Times New Roman" w:eastAsia="Times New Roman" w:hint="default"/>
        </w:rPr>
        <w:t>3</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40"/>
        <w:jc w:val="right"/>
      </w:pPr>
      <w:r>
        <w:rPr>
          <w:rFonts w:ascii="Times New Roman" w:hAnsi="Times New Roman" w:cs="Times New Roman" w:eastAsia="Times New Roman" w:hint="default"/>
          <w:spacing w:val="-1"/>
        </w:rPr>
        <w:t>2014</w:t>
      </w:r>
      <w:r>
        <w:rPr>
          <w:spacing w:val="-1"/>
        </w:rPr>
        <w:t>年度，公司取得控股母公司无息借款以缓解营运资金压力。本年度累计共收到借款</w:t>
      </w:r>
      <w:r>
        <w:rPr>
          <w:rFonts w:ascii="Times New Roman" w:hAnsi="Times New Roman" w:cs="Times New Roman" w:eastAsia="Times New Roman" w:hint="default"/>
          <w:spacing w:val="-1"/>
        </w:rPr>
        <w:t>5,485</w:t>
      </w:r>
      <w:r>
        <w:rPr>
          <w:spacing w:val="-1"/>
        </w:rPr>
        <w:t>万元，已归还</w:t>
      </w:r>
      <w:r>
        <w:rPr>
          <w:rFonts w:ascii="Times New Roman" w:hAnsi="Times New Roman" w:cs="Times New Roman" w:eastAsia="Times New Roman" w:hint="default"/>
          <w:spacing w:val="-1"/>
        </w:rPr>
        <w:t>3,985</w:t>
      </w:r>
      <w:r>
        <w:rPr>
          <w:spacing w:val="-1"/>
        </w:rPr>
        <w:t>万元。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关联方应收应付款项" w:id="320"/>
      <w:bookmarkEnd w:id="320"/>
      <w:r>
        <w:rPr>
          <w:b w:val="0"/>
          <w:bCs w:val="0"/>
        </w:rPr>
      </w:r>
      <w:r>
        <w:rPr>
          <w:rFonts w:ascii="Times New Roman" w:hAnsi="Times New Roman" w:cs="Times New Roman" w:eastAsia="Times New Roman" w:hint="default"/>
        </w:rPr>
        <w:t>4</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321"/>
      <w:bookmarkEnd w:id="321"/>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承诺及或有事项" w:id="322"/>
      <w:bookmarkEnd w:id="322"/>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23"/>
      <w:bookmarkEnd w:id="32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已签订的尚未履行或尚未完全履行的对外投资合同及有关财务支出</w:t>
      </w:r>
    </w:p>
    <w:p>
      <w:pPr>
        <w:pStyle w:val="BodyText"/>
        <w:spacing w:line="300" w:lineRule="auto" w:before="63"/>
        <w:ind w:left="153" w:right="1128"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月，公司与天津酷米网络科技有限责任公司（以下简称酷米网络公司）原股东签订协议，公司拟向原股东收购</w:t>
      </w:r>
      <w:r>
        <w:rPr/>
        <w:t> 部分股权并向酷米网络公司增资，合同总投资</w:t>
      </w:r>
      <w:r>
        <w:rPr>
          <w:rFonts w:ascii="Times New Roman" w:hAnsi="Times New Roman" w:cs="Times New Roman" w:eastAsia="Times New Roman" w:hint="default"/>
        </w:rPr>
        <w:t>4,200</w:t>
      </w:r>
      <w:r>
        <w:rPr/>
        <w:t>万元。本次投资完成后，公司将持有酷米网络公司</w:t>
      </w:r>
      <w:r>
        <w:rPr>
          <w:rFonts w:ascii="Times New Roman" w:hAnsi="Times New Roman" w:cs="Times New Roman" w:eastAsia="Times New Roman" w:hint="default"/>
        </w:rPr>
        <w:t>40.10%</w:t>
      </w:r>
      <w:r>
        <w:rPr/>
        <w:t>的股权，并享</w:t>
      </w:r>
      <w:r>
        <w:rPr>
          <w:spacing w:val="-56"/>
        </w:rPr>
        <w:t> </w:t>
      </w:r>
      <w:r>
        <w:rPr>
          <w:spacing w:val="-56"/>
        </w:rPr>
      </w:r>
      <w:r>
        <w:rPr/>
        <w:t>有</w:t>
      </w:r>
      <w:r>
        <w:rPr>
          <w:rFonts w:ascii="Times New Roman" w:hAnsi="Times New Roman" w:cs="Times New Roman" w:eastAsia="Times New Roman" w:hint="default"/>
        </w:rPr>
        <w:t>50.17%</w:t>
      </w:r>
      <w:r>
        <w:rPr/>
        <w:t>的表决权。公司于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日支付投资款</w:t>
      </w:r>
      <w:r>
        <w:rPr>
          <w:rFonts w:ascii="Times New Roman" w:hAnsi="Times New Roman" w:cs="Times New Roman" w:eastAsia="Times New Roman" w:hint="default"/>
        </w:rPr>
        <w:t>2,200</w:t>
      </w:r>
      <w:r>
        <w:rPr/>
        <w:t>万元。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firstLine="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其他重要财务承诺 </w:t>
      </w:r>
      <w:r>
        <w:rPr>
          <w:spacing w:val="-2"/>
        </w:rPr>
        <w:t>本公司承诺以募集资金投资建设</w:t>
      </w:r>
      <w:r>
        <w:rPr>
          <w:rFonts w:ascii="Times New Roman" w:hAnsi="Times New Roman" w:cs="Times New Roman" w:eastAsia="Times New Roman" w:hint="default"/>
          <w:spacing w:val="-2"/>
        </w:rPr>
        <w:t>“</w:t>
      </w:r>
      <w:r>
        <w:rPr>
          <w:spacing w:val="-2"/>
        </w:rPr>
        <w:t>动漫服饰扩产建设项目</w:t>
      </w:r>
      <w:r>
        <w:rPr>
          <w:rFonts w:ascii="Times New Roman" w:hAnsi="Times New Roman" w:cs="Times New Roman" w:eastAsia="Times New Roman" w:hint="default"/>
          <w:spacing w:val="-2"/>
        </w:rPr>
        <w:t>”</w:t>
      </w:r>
      <w:r>
        <w:rPr>
          <w:spacing w:val="-2"/>
        </w:rPr>
        <w:t>，项目投资总额为</w:t>
      </w:r>
      <w:r>
        <w:rPr>
          <w:rFonts w:ascii="Times New Roman" w:hAnsi="Times New Roman" w:cs="Times New Roman" w:eastAsia="Times New Roman" w:hint="default"/>
          <w:spacing w:val="-2"/>
        </w:rPr>
        <w:t>21,350.00</w:t>
      </w:r>
      <w:r>
        <w:rPr>
          <w:spacing w:val="-2"/>
        </w:rPr>
        <w:t>万元，截至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日，已累</w:t>
      </w:r>
    </w:p>
    <w:p>
      <w:pPr>
        <w:pStyle w:val="BodyText"/>
        <w:spacing w:line="240" w:lineRule="auto" w:before="13"/>
        <w:ind w:left="153" w:right="0"/>
        <w:jc w:val="left"/>
      </w:pPr>
      <w:r>
        <w:rPr/>
        <w:t>计投入</w:t>
      </w:r>
      <w:r>
        <w:rPr>
          <w:rFonts w:ascii="Times New Roman" w:hAnsi="Times New Roman" w:cs="Times New Roman" w:eastAsia="Times New Roman" w:hint="default"/>
        </w:rPr>
        <w:t>12,263.60</w:t>
      </w:r>
      <w:r>
        <w:rPr/>
        <w:t>万元。</w:t>
      </w:r>
    </w:p>
    <w:p>
      <w:pPr>
        <w:spacing w:line="240" w:lineRule="auto" w:before="2"/>
        <w:rPr>
          <w:rFonts w:ascii="宋体" w:hAnsi="宋体" w:cs="宋体" w:eastAsia="宋体" w:hint="default"/>
          <w:sz w:val="24"/>
          <w:szCs w:val="24"/>
        </w:rPr>
      </w:pPr>
    </w:p>
    <w:p>
      <w:pPr>
        <w:pStyle w:val="Heading2"/>
        <w:spacing w:line="240" w:lineRule="auto"/>
        <w:ind w:left="154" w:right="0"/>
        <w:jc w:val="left"/>
        <w:rPr>
          <w:b w:val="0"/>
          <w:bCs w:val="0"/>
        </w:rPr>
      </w:pPr>
      <w:bookmarkStart w:name="十四、资产负债表日后事项" w:id="324"/>
      <w:bookmarkEnd w:id="324"/>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25"/>
      <w:bookmarkEnd w:id="32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20,570,000.00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 说明" w:id="326"/>
      <w:bookmarkEnd w:id="326"/>
      <w:r>
        <w:rPr>
          <w:b w:val="0"/>
          <w:bCs w:val="0"/>
        </w:rPr>
      </w:r>
      <w:r>
        <w:rPr>
          <w:rFonts w:ascii="Times New Roman" w:hAnsi="Times New Roman" w:cs="Times New Roman" w:eastAsia="Times New Roman" w:hint="default"/>
        </w:rPr>
        <w:t>2</w:t>
      </w:r>
      <w:r>
        <w:rPr/>
        <w:t>、</w:t>
      </w:r>
      <w:r>
        <w:rPr>
          <w:spacing w:val="-3"/>
        </w:rPr>
        <w:t> </w:t>
      </w:r>
      <w:r>
        <w:rPr/>
        <w:t>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290"/>
        <w:jc w:val="left"/>
      </w:pPr>
      <w:r>
        <w:rPr/>
        <w:t>本年度董事会提议利润分配预案为：以报告期末总股本</w:t>
      </w:r>
      <w:r>
        <w:rPr>
          <w:rFonts w:ascii="Times New Roman" w:hAnsi="Times New Roman" w:cs="Times New Roman" w:eastAsia="Times New Roman" w:hint="default"/>
        </w:rPr>
        <w:t>205,700,000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 </w:t>
      </w:r>
      <w:r>
        <w:rPr>
          <w:spacing w:val="-3"/>
        </w:rPr>
        <w:t>税），共计</w:t>
      </w:r>
      <w:r>
        <w:rPr>
          <w:rFonts w:ascii="Times New Roman" w:hAnsi="Times New Roman" w:cs="Times New Roman" w:eastAsia="Times New Roman" w:hint="default"/>
          <w:spacing w:val="-3"/>
        </w:rPr>
        <w:t>20,570,000</w:t>
      </w:r>
      <w:r>
        <w:rPr>
          <w:spacing w:val="-3"/>
        </w:rPr>
        <w:t>元，向全体股东以资本公积每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205,700,000</w:t>
      </w:r>
      <w:r>
        <w:rPr>
          <w:spacing w:val="-3"/>
        </w:rPr>
        <w:t>股，转增后公司总股本为</w:t>
      </w:r>
      <w:r>
        <w:rPr>
          <w:rFonts w:ascii="Times New Roman" w:hAnsi="Times New Roman" w:cs="Times New Roman" w:eastAsia="Times New Roman" w:hint="default"/>
          <w:spacing w:val="-3"/>
        </w:rPr>
        <w:t>411,400,000</w:t>
      </w:r>
      <w:r>
        <w:rPr>
          <w:rFonts w:ascii="Times New Roman" w:hAnsi="Times New Roman" w:cs="Times New Roman" w:eastAsia="Times New Roman" w:hint="default"/>
        </w:rPr>
        <w:t> </w:t>
      </w:r>
      <w:r>
        <w:rPr>
          <w:rFonts w:ascii="Times New Roman" w:hAnsi="Times New Roman" w:cs="Times New Roman" w:eastAsia="Times New Roman" w:hint="default"/>
        </w:rPr>
      </w:r>
      <w:r>
        <w:rPr/>
        <w:t>股。上述分配预案，需提交股东大会审议通过后方可实施。</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十五、其他重要事项" w:id="327"/>
      <w:bookmarkEnd w:id="327"/>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28"/>
      <w:bookmarkEnd w:id="328"/>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29"/>
      <w:bookmarkEnd w:id="32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19"/>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该组成部分能够在日常活动中产生收入、发生费用；</w:t>
      </w:r>
    </w:p>
    <w:p>
      <w:pPr>
        <w:pStyle w:val="BodyText"/>
        <w:spacing w:line="240" w:lineRule="auto" w:before="63"/>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管理层能够定期评价该组成部分的经营成果，以决定向其配置资源、评价其业绩；</w:t>
      </w:r>
    </w:p>
    <w:p>
      <w:pPr>
        <w:pStyle w:val="BodyText"/>
        <w:spacing w:line="300" w:lineRule="auto" w:before="63"/>
        <w:ind w:left="574" w:right="0" w:hanging="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t>本公司以地区分部为基础确定报告分部，主营业务收入、主营业务成本按最终实现销售地进行划分，资产和负债按经</w:t>
      </w:r>
    </w:p>
    <w:p>
      <w:pPr>
        <w:pStyle w:val="BodyText"/>
        <w:spacing w:line="240" w:lineRule="auto" w:before="31"/>
        <w:ind w:right="0"/>
        <w:jc w:val="left"/>
      </w:pPr>
      <w:r>
        <w:rPr/>
        <w:t>营实体所在地进行划分。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330"/>
      <w:bookmarkEnd w:id="33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地区分部</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04"/>
        <w:gridCol w:w="1772"/>
        <w:gridCol w:w="1686"/>
        <w:gridCol w:w="1582"/>
        <w:gridCol w:w="1686"/>
      </w:tblGrid>
      <w:tr>
        <w:trPr>
          <w:trHeight w:val="347"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398,522,391.54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5" w:right="0"/>
              <w:jc w:val="left"/>
              <w:rPr>
                <w:rFonts w:ascii="Times New Roman" w:hAnsi="Times New Roman" w:cs="Times New Roman" w:eastAsia="Times New Roman" w:hint="default"/>
                <w:sz w:val="18"/>
                <w:szCs w:val="18"/>
              </w:rPr>
            </w:pPr>
            <w:r>
              <w:rPr>
                <w:rFonts w:ascii="Times New Roman"/>
                <w:sz w:val="18"/>
              </w:rPr>
              <w:t>55,710,971.35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-1,688,721.33</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542" w:right="0"/>
              <w:jc w:val="left"/>
              <w:rPr>
                <w:rFonts w:ascii="Times New Roman" w:hAnsi="Times New Roman" w:cs="Times New Roman" w:eastAsia="Times New Roman" w:hint="default"/>
                <w:sz w:val="18"/>
                <w:szCs w:val="18"/>
              </w:rPr>
            </w:pPr>
            <w:r>
              <w:rPr>
                <w:rFonts w:ascii="Times New Roman"/>
                <w:sz w:val="18"/>
              </w:rPr>
              <w:t>452,544,641.56</w:t>
            </w:r>
          </w:p>
        </w:tc>
      </w:tr>
      <w:tr>
        <w:trPr>
          <w:trHeight w:val="347"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259,688,720.93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5" w:right="0"/>
              <w:jc w:val="left"/>
              <w:rPr>
                <w:rFonts w:ascii="Times New Roman" w:hAnsi="Times New Roman" w:cs="Times New Roman" w:eastAsia="Times New Roman" w:hint="default"/>
                <w:sz w:val="18"/>
                <w:szCs w:val="18"/>
              </w:rPr>
            </w:pPr>
            <w:r>
              <w:rPr>
                <w:rFonts w:ascii="Times New Roman"/>
                <w:sz w:val="18"/>
              </w:rPr>
              <w:t>30,260,237.13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-1,799,701.43</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288,149,256.63</w:t>
            </w:r>
          </w:p>
        </w:tc>
      </w:tr>
      <w:tr>
        <w:trPr>
          <w:trHeight w:val="347"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867,041,392.42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5" w:right="0"/>
              <w:jc w:val="left"/>
              <w:rPr>
                <w:rFonts w:ascii="Times New Roman" w:hAnsi="Times New Roman" w:cs="Times New Roman" w:eastAsia="Times New Roman" w:hint="default"/>
                <w:sz w:val="18"/>
                <w:szCs w:val="18"/>
              </w:rPr>
            </w:pPr>
            <w:r>
              <w:rPr>
                <w:rFonts w:ascii="Times New Roman"/>
                <w:sz w:val="18"/>
              </w:rPr>
              <w:t>99,982,585.94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-1,465,807.67</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542" w:right="0"/>
              <w:jc w:val="left"/>
              <w:rPr>
                <w:rFonts w:ascii="Times New Roman" w:hAnsi="Times New Roman" w:cs="Times New Roman" w:eastAsia="Times New Roman" w:hint="default"/>
                <w:sz w:val="18"/>
                <w:szCs w:val="18"/>
              </w:rPr>
            </w:pPr>
            <w:r>
              <w:rPr>
                <w:rFonts w:ascii="Times New Roman"/>
                <w:sz w:val="18"/>
              </w:rPr>
              <w:t>965,558,170.69</w:t>
            </w: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131,533,543.02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5" w:right="0"/>
              <w:jc w:val="left"/>
              <w:rPr>
                <w:rFonts w:ascii="Times New Roman" w:hAnsi="Times New Roman" w:cs="Times New Roman" w:eastAsia="Times New Roman" w:hint="default"/>
                <w:sz w:val="18"/>
                <w:szCs w:val="18"/>
              </w:rPr>
            </w:pPr>
            <w:r>
              <w:rPr>
                <w:rFonts w:ascii="Times New Roman"/>
                <w:sz w:val="18"/>
              </w:rPr>
              <w:t>91,348,664.29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-1,465,807.67</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542" w:right="0"/>
              <w:jc w:val="left"/>
              <w:rPr>
                <w:rFonts w:ascii="Times New Roman" w:hAnsi="Times New Roman" w:cs="Times New Roman" w:eastAsia="Times New Roman" w:hint="default"/>
                <w:sz w:val="18"/>
                <w:szCs w:val="18"/>
              </w:rPr>
            </w:pPr>
            <w:r>
              <w:rPr>
                <w:rFonts w:ascii="Times New Roman"/>
                <w:sz w:val="18"/>
              </w:rPr>
              <w:t>221,416,399.64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无报告分部的，或者上能披露各报告分部的资产总额和负债总额的，应说明原因" w:id="331"/>
      <w:bookmarkEnd w:id="33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说明" w:id="332"/>
      <w:bookmarkEnd w:id="33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其他对投资者决策有影响的重要交易和事项" w:id="333"/>
      <w:bookmarkEnd w:id="333"/>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29" w:firstLine="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非公开发行股票 </w:t>
      </w:r>
      <w:r>
        <w:rPr>
          <w:spacing w:val="-3"/>
        </w:rPr>
        <w:t>根据公司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14</w:t>
      </w:r>
      <w:r>
        <w:rPr>
          <w:spacing w:val="-3"/>
        </w:rPr>
        <w:t>日召开的第二届董事会第十五次会议决议，本公司拟非公开发行股票</w:t>
      </w:r>
      <w:r>
        <w:rPr>
          <w:rFonts w:ascii="Times New Roman" w:hAnsi="Times New Roman" w:cs="Times New Roman" w:eastAsia="Times New Roman" w:hint="default"/>
          <w:spacing w:val="-3"/>
        </w:rPr>
        <w:t>1,730</w:t>
      </w:r>
      <w:r>
        <w:rPr>
          <w:spacing w:val="-3"/>
        </w:rPr>
        <w:t>万股，发行价格为</w:t>
      </w:r>
      <w:r>
        <w:rPr>
          <w:rFonts w:ascii="Times New Roman" w:hAnsi="Times New Roman" w:cs="Times New Roman" w:eastAsia="Times New Roman" w:hint="default"/>
          <w:spacing w:val="-3"/>
        </w:rPr>
        <w:t>21.29</w:t>
      </w:r>
    </w:p>
    <w:p>
      <w:pPr>
        <w:pStyle w:val="BodyText"/>
        <w:spacing w:line="300" w:lineRule="auto" w:before="13"/>
        <w:ind w:right="0"/>
        <w:jc w:val="left"/>
      </w:pPr>
      <w:r>
        <w:rPr/>
        <w:t>元</w:t>
      </w:r>
      <w:r>
        <w:rPr>
          <w:rFonts w:ascii="Times New Roman" w:hAnsi="Times New Roman" w:cs="Times New Roman" w:eastAsia="Times New Roman" w:hint="default"/>
        </w:rPr>
        <w:t>/</w:t>
      </w:r>
      <w:r>
        <w:rPr/>
        <w:t>股，募集资金不超过</w:t>
      </w:r>
      <w:r>
        <w:rPr>
          <w:rFonts w:ascii="Times New Roman" w:hAnsi="Times New Roman" w:cs="Times New Roman" w:eastAsia="Times New Roman" w:hint="default"/>
        </w:rPr>
        <w:t>36,831.70</w:t>
      </w:r>
      <w:r>
        <w:rPr/>
        <w:t>万元人民币，在扣除相关发行费用后，将全部用于补充公司流动资金。本次非公开发行的</w:t>
      </w:r>
      <w:r>
        <w:rPr>
          <w:spacing w:val="-51"/>
        </w:rPr>
        <w:t> </w:t>
      </w:r>
      <w:r>
        <w:rPr>
          <w:spacing w:val="-51"/>
        </w:rPr>
      </w:r>
      <w:r>
        <w:rPr/>
        <w:t>发行对象为赵小强、郭瑞、杭州比因美特卡通影视有限公司。</w:t>
      </w:r>
    </w:p>
    <w:p>
      <w:pPr>
        <w:pStyle w:val="BodyText"/>
        <w:spacing w:line="240" w:lineRule="auto" w:before="31"/>
        <w:ind w:left="514" w:right="0"/>
        <w:jc w:val="left"/>
      </w:pPr>
      <w:r>
        <w:rPr/>
        <w:t>发行对象均与上市公司签订了附条件生效的《股份认购协议》，发行对象具体为：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024"/>
        <w:gridCol w:w="3338"/>
        <w:gridCol w:w="2126"/>
        <w:gridCol w:w="1851"/>
      </w:tblGrid>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5"/>
              <w:jc w:val="right"/>
              <w:rPr>
                <w:rFonts w:ascii="宋体" w:hAnsi="宋体" w:cs="宋体" w:eastAsia="宋体" w:hint="default"/>
                <w:sz w:val="18"/>
                <w:szCs w:val="18"/>
              </w:rPr>
            </w:pPr>
            <w:r>
              <w:rPr>
                <w:rFonts w:ascii="宋体" w:hAnsi="宋体" w:cs="宋体" w:eastAsia="宋体" w:hint="default"/>
                <w:sz w:val="18"/>
                <w:szCs w:val="18"/>
              </w:rPr>
              <w:t>序号</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发行对象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拟认购股数（股）</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认购比例（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9"/>
              <w:jc w:val="right"/>
              <w:rPr>
                <w:rFonts w:ascii="Times New Roman" w:hAnsi="Times New Roman" w:cs="Times New Roman" w:eastAsia="Times New Roman" w:hint="default"/>
                <w:sz w:val="18"/>
                <w:szCs w:val="18"/>
              </w:rPr>
            </w:pPr>
            <w:r>
              <w:rPr>
                <w:rFonts w:ascii="Times New Roman"/>
                <w:sz w:val="18"/>
              </w:rPr>
              <w:t>1</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赵小强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68.20</w:t>
            </w:r>
          </w:p>
        </w:tc>
      </w:tr>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9"/>
              <w:jc w:val="right"/>
              <w:rPr>
                <w:rFonts w:ascii="Times New Roman" w:hAnsi="Times New Roman" w:cs="Times New Roman" w:eastAsia="Times New Roman" w:hint="default"/>
                <w:sz w:val="18"/>
                <w:szCs w:val="18"/>
              </w:rPr>
            </w:pPr>
            <w:r>
              <w:rPr>
                <w:rFonts w:ascii="Times New Roman"/>
                <w:sz w:val="18"/>
              </w:rPr>
              <w:t>2</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郭瑞</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5.80</w:t>
            </w:r>
          </w:p>
        </w:tc>
      </w:tr>
      <w:tr>
        <w:trPr>
          <w:trHeight w:val="34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9"/>
              <w:jc w:val="right"/>
              <w:rPr>
                <w:rFonts w:ascii="Times New Roman" w:hAnsi="Times New Roman" w:cs="Times New Roman" w:eastAsia="Times New Roman" w:hint="default"/>
                <w:sz w:val="18"/>
                <w:szCs w:val="18"/>
              </w:rPr>
            </w:pPr>
            <w:r>
              <w:rPr>
                <w:rFonts w:ascii="Times New Roman"/>
                <w:sz w:val="18"/>
              </w:rPr>
              <w:t>3</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杭州比因美特卡通影视有限公司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26.00</w:t>
            </w:r>
          </w:p>
        </w:tc>
      </w:tr>
      <w:tr>
        <w:trPr>
          <w:trHeight w:val="348" w:hRule="exact"/>
        </w:trPr>
        <w:tc>
          <w:tcPr>
            <w:tcW w:w="1024" w:type="dxa"/>
            <w:tcBorders>
              <w:top w:val="single" w:sz="6" w:space="0" w:color="000000"/>
              <w:left w:val="single" w:sz="6" w:space="0" w:color="000000"/>
              <w:bottom w:val="single" w:sz="6" w:space="0" w:color="000000"/>
              <w:right w:val="single" w:sz="6" w:space="0" w:color="000000"/>
            </w:tcBorders>
          </w:tcPr>
          <w:p>
            <w:pP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17,300,000</w:t>
            </w:r>
          </w:p>
        </w:tc>
        <w:tc>
          <w:tcPr>
            <w:tcW w:w="1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513" w:right="1303"/>
        <w:jc w:val="left"/>
      </w:pPr>
      <w:r>
        <w:rPr/>
        <w:t>本次非公开发行全部认购对象认购的股票自发行结束之日起</w:t>
      </w:r>
      <w:r>
        <w:rPr>
          <w:rFonts w:ascii="Times New Roman" w:hAnsi="Times New Roman" w:cs="Times New Roman" w:eastAsia="Times New Roman" w:hint="default"/>
        </w:rPr>
        <w:t>36</w:t>
      </w:r>
      <w:r>
        <w:rPr/>
        <w:t>个月内不得转让。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日召开</w:t>
      </w:r>
      <w:r>
        <w:rPr>
          <w:rFonts w:ascii="Times New Roman" w:hAnsi="Times New Roman" w:cs="Times New Roman" w:eastAsia="Times New Roman" w:hint="default"/>
        </w:rPr>
        <w:t>2014</w:t>
      </w:r>
      <w:r>
        <w:rPr/>
        <w:t>年第二次临时股东大会，会议决议通过本次非公开发行股票并补充流动资金的议案。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业绩承诺补偿</w:t>
      </w:r>
    </w:p>
    <w:p>
      <w:pPr>
        <w:pStyle w:val="BodyText"/>
        <w:spacing w:line="300" w:lineRule="auto" w:before="13"/>
        <w:ind w:left="153" w:right="113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月，公司出资</w:t>
      </w:r>
      <w:r>
        <w:rPr>
          <w:rFonts w:ascii="Times New Roman" w:hAnsi="Times New Roman" w:cs="Times New Roman" w:eastAsia="Times New Roman" w:hint="default"/>
        </w:rPr>
        <w:t>1,530</w:t>
      </w:r>
      <w:r>
        <w:rPr/>
        <w:t>万元向星梦工坊公司增资，该次增资完成后公司持有星梦工坊公司</w:t>
      </w:r>
      <w:r>
        <w:rPr>
          <w:rFonts w:ascii="Times New Roman" w:hAnsi="Times New Roman" w:cs="Times New Roman" w:eastAsia="Times New Roman" w:hint="default"/>
        </w:rPr>
        <w:t>51.06%</w:t>
      </w:r>
      <w:r>
        <w:rPr/>
        <w:t>的股权。星梦</w:t>
      </w:r>
      <w:r>
        <w:rPr>
          <w:w w:val="99"/>
        </w:rPr>
        <w:t> </w:t>
      </w:r>
      <w:r>
        <w:rPr>
          <w:spacing w:val="-2"/>
        </w:rPr>
        <w:t>工坊公司原股东针对该笔投资向本公司承诺，星梦工坊公司经审计的</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2015</w:t>
      </w:r>
      <w:r>
        <w:rPr>
          <w:spacing w:val="-2"/>
        </w:rPr>
        <w:t>年度归属于母公司所有者的净利润若达不到</w:t>
      </w:r>
      <w:r>
        <w:rPr>
          <w:spacing w:val="-57"/>
        </w:rPr>
        <w:t> </w:t>
      </w:r>
      <w:r>
        <w:rPr>
          <w:spacing w:val="-2"/>
        </w:rPr>
        <w:t>承诺的业绩，不足部分在每年度审计报告出具后</w:t>
      </w:r>
      <w:r>
        <w:rPr>
          <w:rFonts w:ascii="Times New Roman" w:hAnsi="Times New Roman" w:cs="Times New Roman" w:eastAsia="Times New Roman" w:hint="default"/>
          <w:spacing w:val="-2"/>
        </w:rPr>
        <w:t>10</w:t>
      </w:r>
      <w:r>
        <w:rPr>
          <w:spacing w:val="-2"/>
        </w:rPr>
        <w:t>日内，由星梦工坊公司原股东按照股权比例向美盛文化创意股份有限公司</w:t>
      </w:r>
      <w:r>
        <w:rPr>
          <w:spacing w:val="-63"/>
        </w:rPr>
        <w:t> </w:t>
      </w:r>
      <w:r>
        <w:rPr>
          <w:spacing w:val="-63"/>
        </w:rPr>
      </w:r>
      <w:r>
        <w:rPr>
          <w:spacing w:val="-2"/>
        </w:rPr>
        <w:t>以现金补足；星梦工坊公司经审计的</w:t>
      </w:r>
      <w:r>
        <w:rPr>
          <w:rFonts w:ascii="Times New Roman" w:hAnsi="Times New Roman" w:cs="Times New Roman" w:eastAsia="Times New Roman" w:hint="default"/>
          <w:spacing w:val="-2"/>
        </w:rPr>
        <w:t>2016</w:t>
      </w:r>
      <w:r>
        <w:rPr>
          <w:spacing w:val="-2"/>
        </w:rPr>
        <w:t>年度归属于母公司所有者的净利润若达不到承诺的业绩，不足部分在每年度审计报</w:t>
      </w:r>
      <w:r>
        <w:rPr>
          <w:spacing w:val="-61"/>
        </w:rPr>
        <w:t> </w:t>
      </w:r>
      <w:r>
        <w:rPr>
          <w:spacing w:val="-61"/>
        </w:rPr>
      </w:r>
      <w:r>
        <w:rPr/>
        <w:t>告出具后</w:t>
      </w:r>
      <w:r>
        <w:rPr>
          <w:rFonts w:ascii="Times New Roman" w:hAnsi="Times New Roman" w:cs="Times New Roman" w:eastAsia="Times New Roman" w:hint="default"/>
        </w:rPr>
        <w:t>10</w:t>
      </w:r>
      <w:r>
        <w:rPr/>
        <w:t>日内，由黄勤向美盛文化创意股份有限公司以现金补足。星梦工坊公司原股东所作的业绩承诺如下：</w:t>
      </w:r>
    </w:p>
    <w:p>
      <w:pPr>
        <w:pStyle w:val="BodyText"/>
        <w:spacing w:line="240" w:lineRule="auto" w:before="1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27"/>
        <w:gridCol w:w="1844"/>
        <w:gridCol w:w="1702"/>
        <w:gridCol w:w="1701"/>
      </w:tblGrid>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400.00</w:t>
            </w:r>
          </w:p>
        </w:tc>
      </w:tr>
    </w:tbl>
    <w:p>
      <w:pPr>
        <w:pStyle w:val="BodyText"/>
        <w:spacing w:line="300" w:lineRule="auto" w:before="10"/>
        <w:ind w:left="153"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月，公司出资</w:t>
      </w:r>
      <w:r>
        <w:rPr>
          <w:rFonts w:ascii="Times New Roman" w:hAnsi="Times New Roman" w:cs="Times New Roman" w:eastAsia="Times New Roman" w:hint="default"/>
          <w:spacing w:val="-2"/>
        </w:rPr>
        <w:t>9,800</w:t>
      </w:r>
      <w:r>
        <w:rPr>
          <w:spacing w:val="-2"/>
        </w:rPr>
        <w:t>万元向纯真年代公司增资，该次增资完成后公司持有纯真年代公司</w:t>
      </w:r>
      <w:r>
        <w:rPr>
          <w:rFonts w:ascii="Times New Roman" w:hAnsi="Times New Roman" w:cs="Times New Roman" w:eastAsia="Times New Roman" w:hint="default"/>
          <w:spacing w:val="-2"/>
        </w:rPr>
        <w:t>70%</w:t>
      </w:r>
      <w:r>
        <w:rPr>
          <w:spacing w:val="-2"/>
        </w:rPr>
        <w:t>的股权。纯真年代</w:t>
      </w:r>
      <w:r>
        <w:rPr>
          <w:w w:val="99"/>
        </w:rPr>
        <w:t> </w:t>
      </w:r>
      <w:r>
        <w:rPr/>
        <w:t>公司原股东向本公司承诺，纯真年代公司</w:t>
      </w:r>
      <w:r>
        <w:rPr>
          <w:rFonts w:ascii="Times New Roman" w:hAnsi="Times New Roman" w:cs="Times New Roman" w:eastAsia="Times New Roman" w:hint="default"/>
        </w:rPr>
        <w:t>2014-2017</w:t>
      </w:r>
      <w:r>
        <w:rPr/>
        <w:t>年度经审计的净利润若达不到承诺的业绩，不足部分在每年度审计报告</w:t>
      </w:r>
      <w:r>
        <w:rPr>
          <w:spacing w:val="-56"/>
        </w:rPr>
        <w:t> </w:t>
      </w:r>
      <w:r>
        <w:rPr>
          <w:spacing w:val="-56"/>
        </w:rPr>
      </w:r>
      <w:r>
        <w:rPr>
          <w:spacing w:val="-2"/>
        </w:rPr>
        <w:t>出具后</w:t>
      </w:r>
      <w:r>
        <w:rPr>
          <w:rFonts w:ascii="Times New Roman" w:hAnsi="Times New Roman" w:cs="Times New Roman" w:eastAsia="Times New Roman" w:hint="default"/>
          <w:spacing w:val="-2"/>
        </w:rPr>
        <w:t>10</w:t>
      </w:r>
      <w:r>
        <w:rPr>
          <w:spacing w:val="-2"/>
        </w:rPr>
        <w:t>日内，由纯真年代公司原股东按照股权比例向美盛文化创意股份有限公司以现金补足。纯真年代公司原股东所作的</w:t>
      </w:r>
      <w:r>
        <w:rPr>
          <w:spacing w:val="-63"/>
        </w:rPr>
        <w:t> </w:t>
      </w:r>
      <w:r>
        <w:rPr>
          <w:spacing w:val="-63"/>
        </w:rPr>
      </w:r>
      <w:r>
        <w:rPr/>
        <w:t>业绩承诺如下：</w:t>
      </w:r>
    </w:p>
    <w:p>
      <w:pPr>
        <w:pStyle w:val="BodyText"/>
        <w:spacing w:line="240" w:lineRule="auto" w:before="31"/>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5"/>
        <w:gridCol w:w="1529"/>
        <w:gridCol w:w="1274"/>
        <w:gridCol w:w="1276"/>
        <w:gridCol w:w="1418"/>
      </w:tblGrid>
      <w:tr>
        <w:trPr>
          <w:trHeight w:val="34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88"/>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55"/>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81" w:right="0"/>
              <w:jc w:val="left"/>
              <w:rPr>
                <w:rFonts w:ascii="Times New Roman" w:hAnsi="Times New Roman" w:cs="Times New Roman" w:eastAsia="Times New Roman" w:hint="default"/>
                <w:sz w:val="18"/>
                <w:szCs w:val="18"/>
              </w:rPr>
            </w:pPr>
            <w:r>
              <w:rPr>
                <w:rFonts w:ascii="Times New Roman"/>
                <w:sz w:val="18"/>
              </w:rPr>
              <w:t>1,500.00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27" w:right="0"/>
              <w:jc w:val="left"/>
              <w:rPr>
                <w:rFonts w:ascii="Times New Roman" w:hAnsi="Times New Roman" w:cs="Times New Roman" w:eastAsia="Times New Roman" w:hint="default"/>
                <w:sz w:val="18"/>
                <w:szCs w:val="18"/>
              </w:rPr>
            </w:pPr>
            <w:r>
              <w:rPr>
                <w:rFonts w:ascii="Times New Roman"/>
                <w:sz w:val="18"/>
              </w:rPr>
              <w:t>2,500.00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28" w:right="0"/>
              <w:jc w:val="left"/>
              <w:rPr>
                <w:rFonts w:ascii="Times New Roman" w:hAnsi="Times New Roman" w:cs="Times New Roman" w:eastAsia="Times New Roman" w:hint="default"/>
                <w:sz w:val="18"/>
                <w:szCs w:val="18"/>
              </w:rPr>
            </w:pPr>
            <w:r>
              <w:rPr>
                <w:rFonts w:ascii="Times New Roman"/>
                <w:sz w:val="18"/>
              </w:rPr>
              <w:t>3,000.00</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771" w:right="0"/>
              <w:jc w:val="left"/>
              <w:rPr>
                <w:rFonts w:ascii="Times New Roman" w:hAnsi="Times New Roman" w:cs="Times New Roman" w:eastAsia="Times New Roman" w:hint="default"/>
                <w:sz w:val="18"/>
                <w:szCs w:val="18"/>
              </w:rPr>
            </w:pPr>
            <w:r>
              <w:rPr>
                <w:rFonts w:ascii="Times New Roman"/>
                <w:sz w:val="18"/>
              </w:rPr>
              <w:t>4,000.00</w:t>
            </w:r>
          </w:p>
        </w:tc>
      </w:tr>
    </w:tbl>
    <w:p>
      <w:pPr>
        <w:pStyle w:val="BodyText"/>
        <w:spacing w:line="240" w:lineRule="auto" w:before="10"/>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纯真年代公司、星梦工坊公司承诺的</w:t>
      </w:r>
      <w:r>
        <w:rPr>
          <w:rFonts w:ascii="Times New Roman" w:hAnsi="Times New Roman" w:cs="Times New Roman" w:eastAsia="Times New Roman" w:hint="default"/>
        </w:rPr>
        <w:t>2014</w:t>
      </w:r>
      <w:r>
        <w:rPr/>
        <w:t>年度业绩及实现情况如下：</w:t>
      </w:r>
    </w:p>
    <w:p>
      <w:pPr>
        <w:pStyle w:val="BodyText"/>
        <w:spacing w:line="240" w:lineRule="auto" w:before="6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18"/>
        <w:gridCol w:w="2127"/>
        <w:gridCol w:w="1985"/>
        <w:gridCol w:w="1844"/>
      </w:tblGrid>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实现业绩</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应补偿金额</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-30.65</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1,530.65</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-281.11</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481.11</w:t>
            </w:r>
          </w:p>
        </w:tc>
      </w:tr>
    </w:tbl>
    <w:p>
      <w:pPr>
        <w:pStyle w:val="BodyText"/>
        <w:spacing w:line="300" w:lineRule="auto" w:before="10"/>
        <w:ind w:left="153" w:right="1131" w:firstLine="360"/>
        <w:jc w:val="both"/>
      </w:pPr>
      <w:r>
        <w:rPr>
          <w:spacing w:val="-2"/>
        </w:rPr>
        <w:t>业绩承诺补偿金额合计</w:t>
      </w:r>
      <w:r>
        <w:rPr>
          <w:rFonts w:ascii="Times New Roman" w:hAnsi="Times New Roman" w:cs="Times New Roman" w:eastAsia="Times New Roman" w:hint="default"/>
          <w:spacing w:val="-2"/>
        </w:rPr>
        <w:t>2,011.76</w:t>
      </w:r>
      <w:r>
        <w:rPr>
          <w:spacing w:val="-2"/>
        </w:rPr>
        <w:t>万元。</w:t>
      </w:r>
      <w:r>
        <w:rPr>
          <w:rFonts w:ascii="Times New Roman" w:hAnsi="Times New Roman" w:cs="Times New Roman" w:eastAsia="Times New Roman" w:hint="default"/>
          <w:spacing w:val="-2"/>
        </w:rPr>
        <w:t>2014</w:t>
      </w:r>
      <w:r>
        <w:rPr>
          <w:spacing w:val="-2"/>
        </w:rPr>
        <w:t>年期末，公司确认公允价值变动收益</w:t>
      </w:r>
      <w:r>
        <w:rPr>
          <w:rFonts w:ascii="Times New Roman" w:hAnsi="Times New Roman" w:cs="Times New Roman" w:eastAsia="Times New Roman" w:hint="default"/>
          <w:spacing w:val="-2"/>
        </w:rPr>
        <w:t>2,011.76</w:t>
      </w:r>
      <w:r>
        <w:rPr>
          <w:spacing w:val="-2"/>
        </w:rPr>
        <w:t>万元，确认以公允价值计量且其</w:t>
      </w:r>
      <w:r>
        <w:rPr/>
        <w:t> 变动计入当期损益的金融资产</w:t>
      </w:r>
      <w:r>
        <w:rPr>
          <w:rFonts w:ascii="Times New Roman" w:hAnsi="Times New Roman" w:cs="Times New Roman" w:eastAsia="Times New Roman" w:hint="default"/>
        </w:rPr>
        <w:t>2,011.76</w:t>
      </w:r>
      <w:r>
        <w:rPr/>
        <w:t>万元。公司于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日收到纯真年代公司、星梦工坊公司原股东补偿款</w:t>
      </w:r>
      <w:r>
        <w:rPr>
          <w:rFonts w:ascii="Times New Roman" w:hAnsi="Times New Roman" w:cs="Times New Roman" w:eastAsia="Times New Roman" w:hint="default"/>
        </w:rPr>
        <w:t>2,011.76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万元。</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母公司财务报表主要项目注释" w:id="334"/>
      <w:bookmarkEnd w:id="334"/>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35"/>
      <w:bookmarkEnd w:id="33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36"/>
      <w:bookmarkEnd w:id="3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55,246,3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53.84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3,308,72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51,937,62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29,378,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1,804,331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27,573,671.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55,246,3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53.84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3,308,72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51,937,62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29,378,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002.46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1,804,331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27,573,671.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53,495,844.63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2,674,792.23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1,078,242.93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107,824.29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19,502.44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633,261.41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506,609.13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55,246,353.84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3,308,728.09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337"/>
      <w:bookmarkEnd w:id="3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3" w:right="-12"/>
        <w:jc w:val="left"/>
      </w:pPr>
      <w:r>
        <w:rPr/>
        <w:t>本期计提坏账准备金额</w:t>
      </w:r>
      <w:r>
        <w:rPr>
          <w:spacing w:val="-47"/>
        </w:rPr>
        <w:t> </w:t>
      </w:r>
      <w:r>
        <w:rPr>
          <w:rFonts w:ascii="Times New Roman" w:hAnsi="Times New Roman" w:cs="Times New Roman" w:eastAsia="Times New Roman" w:hint="default"/>
        </w:rPr>
        <w:t>1,504,396.82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吊的应收账款情况" w:id="338"/>
      <w:bookmarkEnd w:id="33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60"/>
        <w:jc w:val="left"/>
      </w:pPr>
      <w:r>
        <w:rPr>
          <w:rFonts w:ascii="Times New Roman" w:hAnsi="Times New Roman" w:cs="Times New Roman" w:eastAsia="Times New Roman" w:hint="default"/>
        </w:rPr>
        <w:t>2014</w:t>
      </w:r>
      <w:r>
        <w:rPr/>
        <w:t>年期末余额前</w:t>
      </w:r>
      <w:r>
        <w:rPr>
          <w:rFonts w:ascii="Times New Roman" w:hAnsi="Times New Roman" w:cs="Times New Roman" w:eastAsia="Times New Roman" w:hint="default"/>
        </w:rPr>
        <w:t>5</w:t>
      </w:r>
      <w:r>
        <w:rPr/>
        <w:t>名的应收账款合计数为</w:t>
      </w:r>
      <w:r>
        <w:rPr>
          <w:rFonts w:ascii="Times New Roman" w:hAnsi="Times New Roman" w:cs="Times New Roman" w:eastAsia="Times New Roman" w:hint="default"/>
        </w:rPr>
        <w:t>46,832,121.06</w:t>
      </w:r>
      <w:r>
        <w:rPr/>
        <w:t>元，占应收账款期末余额合计数的比例为</w:t>
      </w:r>
      <w:r>
        <w:rPr>
          <w:rFonts w:ascii="Times New Roman" w:hAnsi="Times New Roman" w:cs="Times New Roman" w:eastAsia="Times New Roman" w:hint="default"/>
        </w:rPr>
        <w:t>84.77%</w:t>
      </w:r>
      <w:r>
        <w:rPr/>
        <w:t>，相应计提的 坏账准备合计数为</w:t>
      </w:r>
      <w:r>
        <w:rPr>
          <w:rFonts w:ascii="Times New Roman" w:hAnsi="Times New Roman" w:cs="Times New Roman" w:eastAsia="Times New Roman" w:hint="default"/>
        </w:rPr>
        <w:t>2,341,606.06</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其他应收款" w:id="339"/>
      <w:bookmarkEnd w:id="33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340"/>
      <w:bookmarkEnd w:id="3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10,796,1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2,033,50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8,762,691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4,427,8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805,620.6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3,622,222.9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10,796,1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91.77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2,033,50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8,762,691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4,427,8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43.51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3,622,222.9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7,193,710.94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359,685.55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1,143,852.36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114,385.24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1,358,244.34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679,122.17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1,100,384.13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880,307.30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10,796,191.77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2,033,500.26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期计提、收回或转回的坏账准备情况" w:id="341"/>
      <w:bookmarkEnd w:id="3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3" w:right="-12"/>
        <w:jc w:val="left"/>
      </w:pPr>
      <w:r>
        <w:rPr/>
        <w:t>本期计提坏账准备金额</w:t>
      </w:r>
      <w:r>
        <w:rPr>
          <w:spacing w:val="-47"/>
        </w:rPr>
        <w:t> </w:t>
      </w:r>
      <w:r>
        <w:rPr>
          <w:rFonts w:ascii="Times New Roman" w:hAnsi="Times New Roman" w:cs="Times New Roman" w:eastAsia="Times New Roman" w:hint="default"/>
        </w:rPr>
        <w:t>1,227,879.66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应收款按款项性质分类情况" w:id="342"/>
      <w:bookmarkEnd w:id="34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3,496,170.83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3,075,280.83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6,347,820.94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754,275.68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157,987.00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10,796,191.77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4,427,843.51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343"/>
      <w:bookmarkEnd w:id="34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6,347,820.94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317,391.05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12,140.15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461,652.36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243,675.17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1,218,244.34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643,029.09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890,654.13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470,116.30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397,890.00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100,364.49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55,493.20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35,313.85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36,506.96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新昌县非税收入汇缴 核算专户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工资保障金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工资保障金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10,670,491.77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1,977,330.26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长期股权投资" w:id="344"/>
      <w:bookmarkEnd w:id="34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230,739,873.20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230,739,873.20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71,721,473.20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71,721,473.20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230,739,873.20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230,739,873.20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71,721,473.20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71,721,473.20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45"/>
      <w:bookmarkEnd w:id="34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缔顺科技公司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7,811,473.20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9,661,873.20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71,721,473.20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159,018,400.00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230,739,873.20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46"/>
      <w:bookmarkEnd w:id="3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381,265,665.74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253,378,393.30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216,950,373.49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141,189,171.13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4,502,266.24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1,447,741.81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2,610,277.33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1,266,360.69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385,767,931.98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254,826,135.11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219,560,650.82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142,455,531.82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347"/>
      <w:bookmarkEnd w:id="34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1,644,904.90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6,800,423.41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1,360,890.41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10,445,328.31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4,126,290.41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其他" w:id="348"/>
      <w:bookmarkEnd w:id="34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七、补充资料" w:id="349"/>
      <w:bookmarkEnd w:id="349"/>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50"/>
      <w:bookmarkEnd w:id="3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-11,285.47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20,635,394.14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详见财务报告附注营业外收入之说明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8,935,365.87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理财、珠江电影频道项目收益</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16,195,351.38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远期结汇合同盈亏及业绩承诺补偿</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-688,236.52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-6,667,731.86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商誉减值</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10,833,444.44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451,631.08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27,113,782.02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51"/>
      <w:bookmarkEnd w:id="3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52"/>
      <w:bookmarkEnd w:id="35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53"/>
      <w:bookmarkEnd w:id="35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354"/>
      <w:bookmarkEnd w:id="35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355"/>
      <w:bookmarkEnd w:id="35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356"/>
      <w:bookmarkEnd w:id="356"/>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6"/>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456,390,662.74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133,107,842.79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249,627,548.13</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2,553,350.00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33,942,628.66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33,049,820.99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60,208,835.73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1,485,467.23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5,976,527.51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13,900,707.88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2,488,310.95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1,228,631.29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2,949,001.48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7,977,632.87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26,763,778.28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56,768,384.52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175,683,766.71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225,001,845.02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24,870,912.62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522,299,479.15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459,406,772.31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552,387,005.20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2,551,466.12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126,590,596.30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201,325,085.02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233,586,573.23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52,671,772.97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53,901,144.63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20,595,770.46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24,420,538.73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23,959,188.68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64,246,500.90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91,276,780.88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451,206.61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1,347,501.33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884,781.70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447,133.86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1,548,510.62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160,071,148.46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348,562,238.09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413,171,165.49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682,370,627.61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807,969,010.40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965,558,170.69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1,259,897.05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3,013,804.78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8,078,751.03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23,055,276.99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60,068,472.50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3,600,276.34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540,495.17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258,753.40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4,113,113.29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5,723,112.04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5,310,650.53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6,886,949.49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10,995,593.43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8,519,754.81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282,539.18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319,397.12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375,675.31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4,794,205.16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33,838,572.21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24,314,662.51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45,391,221.97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111,329,405.35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69,309,559.20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69,560,792.00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15,916,836.13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16,175,399.21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6,983,333.33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14,424,321.90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16,321,402.76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638,337.50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6,983,333.33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100,289,054.73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110,086,994.29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31,297,995.84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145,680,276.70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221,416,399.64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412,009,560.82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412,009,560.82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266,189,872.50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523,570.11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-4,012,131.97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14,781,743.66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19,296,833.50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28,991,065.07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129,531,327.29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119,996,464.63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202,752,591.54</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649,822,631.77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645,326,429.06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699,621,397.14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16,962,304.64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44,520,373.91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651,072,631.77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662,288,733.70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744,141,771.05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682,370,627.61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807,969,010.40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965,558,170.69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5、其他" w:id="357"/>
      <w:bookmarkEnd w:id="357"/>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1</w:t>
      </w:r>
      <w:r>
        <w:rPr/>
        <w:t>、</w:t>
      </w:r>
      <w:r>
        <w:rPr>
          <w:spacing w:val="-19"/>
        </w:rPr>
        <w:t> </w:t>
      </w:r>
      <w:r>
        <w:rPr/>
        <w:t>加权平均净资产收益率的计算过程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02"/>
        <w:gridCol w:w="3684"/>
        <w:gridCol w:w="1868"/>
        <w:gridCol w:w="1869"/>
      </w:tblGrid>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97,125,358.48</w:t>
            </w:r>
          </w:p>
        </w:tc>
      </w:tr>
      <w:tr>
        <w:trPr>
          <w:trHeight w:val="348"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sz w:val="18"/>
              </w:rPr>
              <w:t>B</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27,113,782.02</w:t>
            </w: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 w:right="0"/>
              <w:jc w:val="center"/>
              <w:rPr>
                <w:rFonts w:ascii="Times New Roman" w:hAnsi="Times New Roman" w:cs="Times New Roman" w:eastAsia="Times New Roman" w:hint="default"/>
                <w:sz w:val="18"/>
                <w:szCs w:val="18"/>
              </w:rPr>
            </w:pPr>
            <w:r>
              <w:rPr>
                <w:rFonts w:ascii="Times New Roman"/>
                <w:sz w:val="18"/>
              </w:rPr>
              <w:t>C=A-B</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70,011,576.46</w:t>
            </w: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645,326,429.06</w:t>
            </w:r>
          </w:p>
        </w:tc>
      </w:tr>
      <w:tr>
        <w:trPr>
          <w:trHeight w:val="659"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发行新股或债转股等新增的、归属于公司普通股股东的净资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sz w:val="18"/>
              </w:rPr>
              <w:t>E</w:t>
            </w:r>
          </w:p>
        </w:tc>
        <w:tc>
          <w:tcPr>
            <w:tcW w:w="186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4,675,000.00</w:t>
            </w:r>
          </w:p>
        </w:tc>
      </w:tr>
      <w:tr>
        <w:trPr>
          <w:trHeight w:val="348"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7</w:t>
            </w: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其他综合收益增加净额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 w:right="0"/>
              <w:jc w:val="center"/>
              <w:rPr>
                <w:rFonts w:ascii="Times New Roman" w:hAnsi="Times New Roman" w:cs="Times New Roman" w:eastAsia="Times New Roman" w:hint="default"/>
                <w:sz w:val="18"/>
                <w:szCs w:val="18"/>
              </w:rPr>
            </w:pPr>
            <w:r>
              <w:rPr>
                <w:rFonts w:ascii="Times New Roman"/>
                <w:w w:val="99"/>
                <w:sz w:val="18"/>
              </w:rPr>
              <w:t>O</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-4,535,702.08</w:t>
            </w:r>
          </w:p>
        </w:tc>
      </w:tr>
      <w:tr>
        <w:trPr>
          <w:trHeight w:val="347" w:hRule="exact"/>
        </w:trPr>
        <w:tc>
          <w:tcPr>
            <w:tcW w:w="110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月购买缔顺科技公司少数股东股权</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sz w:val="18"/>
              </w:rPr>
              <w:t>I1</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29,162,741.61</w:t>
            </w:r>
          </w:p>
        </w:tc>
      </w:tr>
      <w:tr>
        <w:trPr>
          <w:trHeight w:val="347" w:hRule="exact"/>
        </w:trPr>
        <w:tc>
          <w:tcPr>
            <w:tcW w:w="1102" w:type="dxa"/>
            <w:vMerge/>
            <w:tcBorders>
              <w:left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sz w:val="18"/>
              </w:rPr>
              <w:t>J1</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9</w:t>
            </w:r>
          </w:p>
        </w:tc>
      </w:tr>
      <w:tr>
        <w:trPr>
          <w:trHeight w:val="347" w:hRule="exact"/>
        </w:trPr>
        <w:tc>
          <w:tcPr>
            <w:tcW w:w="1102" w:type="dxa"/>
            <w:vMerge/>
            <w:tcBorders>
              <w:left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月购买缔顺科技公司少数股东股权</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sz w:val="18"/>
              </w:rPr>
              <w:t>I2</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4,456,946.71</w:t>
            </w:r>
          </w:p>
        </w:tc>
      </w:tr>
      <w:tr>
        <w:trPr>
          <w:trHeight w:val="347" w:hRule="exact"/>
        </w:trPr>
        <w:tc>
          <w:tcPr>
            <w:tcW w:w="1102" w:type="dxa"/>
            <w:vMerge/>
            <w:tcBorders>
              <w:left w:val="single" w:sz="6" w:space="0" w:color="000000"/>
              <w:bottom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sz w:val="18"/>
              </w:rPr>
              <w:t>J2</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12</w:t>
            </w:r>
          </w:p>
        </w:tc>
      </w:tr>
      <w:tr>
        <w:trPr>
          <w:trHeight w:val="971"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49" w:right="44" w:firstLine="78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 D+A/2+O/2+E×F/K-G×</w:t>
            </w:r>
          </w:p>
          <w:p>
            <w:pPr>
              <w:pStyle w:val="TableParagraph"/>
              <w:spacing w:line="240" w:lineRule="auto" w:before="3"/>
              <w:ind w:left="5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H/K±I×J/K</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667,022,117.72</w:t>
            </w:r>
          </w:p>
        </w:tc>
      </w:tr>
      <w:tr>
        <w:trPr>
          <w:trHeight w:val="347"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sz w:val="18"/>
              </w:rPr>
              <w:t>M=A/L</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14.56</w:t>
            </w:r>
          </w:p>
        </w:tc>
      </w:tr>
      <w:tr>
        <w:trPr>
          <w:trHeight w:val="348" w:hRule="exact"/>
        </w:trPr>
        <w:tc>
          <w:tcPr>
            <w:tcW w:w="4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center"/>
              <w:rPr>
                <w:rFonts w:ascii="Times New Roman" w:hAnsi="Times New Roman" w:cs="Times New Roman" w:eastAsia="Times New Roman" w:hint="default"/>
                <w:sz w:val="18"/>
                <w:szCs w:val="18"/>
              </w:rPr>
            </w:pPr>
            <w:r>
              <w:rPr>
                <w:rFonts w:ascii="Times New Roman"/>
                <w:sz w:val="18"/>
              </w:rPr>
              <w:t>N=C/L</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10.50</w:t>
            </w:r>
          </w:p>
        </w:tc>
      </w:tr>
    </w:tbl>
    <w:p>
      <w:pPr>
        <w:pStyle w:val="BodyText"/>
        <w:spacing w:line="240" w:lineRule="auto" w:before="10"/>
        <w:ind w:left="574" w:right="0"/>
        <w:jc w:val="left"/>
      </w:pPr>
      <w:r>
        <w:rPr>
          <w:rFonts w:ascii="Times New Roman" w:hAnsi="Times New Roman" w:cs="Times New Roman" w:eastAsia="Times New Roman" w:hint="default"/>
        </w:rPr>
        <w:t>2</w:t>
      </w:r>
      <w:r>
        <w:rPr/>
        <w:t>、</w:t>
      </w:r>
      <w:r>
        <w:rPr>
          <w:spacing w:val="-19"/>
        </w:rPr>
        <w:t> </w:t>
      </w:r>
      <w:r>
        <w:rPr/>
        <w:t>基本每股收益和稀释每股收益的计算过程</w:t>
      </w:r>
    </w:p>
    <w:p>
      <w:pPr>
        <w:pStyle w:val="BodyText"/>
        <w:spacing w:line="240" w:lineRule="auto" w:before="63"/>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基本每股收益的计算过程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38"/>
        <w:gridCol w:w="1282"/>
        <w:gridCol w:w="2704"/>
      </w:tblGrid>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97,125,358.48</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27,113,782.02</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C=A-B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70,011,576.46</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93,500,000.00</w:t>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E</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112,200,000.00</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12</w:t>
            </w:r>
          </w:p>
        </w:tc>
      </w:tr>
      <w:tr>
        <w:trPr>
          <w:trHeight w:val="659"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332" w:right="18" w:hanging="3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H×I/K-J</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205,700,000.00</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M=A/L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538"/>
        <w:gridCol w:w="1282"/>
        <w:gridCol w:w="2704"/>
      </w:tblGrid>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7" w:right="0"/>
              <w:jc w:val="left"/>
              <w:rPr>
                <w:rFonts w:ascii="Times New Roman" w:hAnsi="Times New Roman" w:cs="Times New Roman" w:eastAsia="Times New Roman" w:hint="default"/>
                <w:sz w:val="18"/>
                <w:szCs w:val="18"/>
              </w:rPr>
            </w:pPr>
            <w:r>
              <w:rPr>
                <w:rFonts w:ascii="Times New Roman"/>
                <w:sz w:val="18"/>
              </w:rPr>
              <w:t>N=C/L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0.34</w:t>
            </w:r>
          </w:p>
        </w:tc>
      </w:tr>
    </w:tbl>
    <w:p>
      <w:pPr>
        <w:pStyle w:val="BodyText"/>
        <w:spacing w:line="240" w:lineRule="auto" w:before="10"/>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稀释每股收益的计算过程与基本每股收益的计算过程相同。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358"/>
      <w:bookmarkEnd w:id="358"/>
      <w:r>
        <w:rPr>
          <w:b w:val="0"/>
          <w:bCs w:val="0"/>
        </w:rPr>
      </w:r>
      <w:bookmarkStart w:name="_bookmark11" w:id="359"/>
      <w:bookmarkEnd w:id="35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left="153" w:right="3373"/>
        <w:jc w:val="left"/>
      </w:pPr>
      <w:r>
        <w:rPr/>
        <w:t>一、载有公司法定代表人签名的</w:t>
      </w:r>
      <w:r>
        <w:rPr>
          <w:rFonts w:ascii="Times New Roman" w:hAnsi="Times New Roman" w:cs="Times New Roman" w:eastAsia="Times New Roman" w:hint="default"/>
        </w:rPr>
        <w:t>2014</w:t>
      </w:r>
      <w:r>
        <w:rPr/>
        <w:t>年度报告及摘要原件； 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30"/>
        <w:jc w:val="right"/>
      </w:pPr>
      <w:r>
        <w:rPr/>
        <w:t>美盛文化创意股份有限公司</w:t>
      </w:r>
    </w:p>
    <w:p>
      <w:pPr>
        <w:pStyle w:val="BodyText"/>
        <w:spacing w:line="240" w:lineRule="auto" w:before="76"/>
        <w:ind w:left="0" w:right="1130"/>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6592" type="#_x0000_t75" stroked="false">
          <v:imagedata r:id="rId1" o:title=""/>
        </v:shape>
      </w:pict>
    </w:r>
    <w:r>
      <w:rPr/>
      <w:pict>
        <v:shape style="position:absolute;margin-left:533.179993pt;margin-top:795.517944pt;width:6.5pt;height:11pt;mso-position-horizontal-relative:page;mso-position-vertical-relative:page;z-index:-846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6544" type="#_x0000_t75" stroked="false">
          <v:imagedata r:id="rId1" o:title=""/>
        </v:shape>
      </w:pict>
    </w:r>
    <w:r>
      <w:rPr/>
      <w:pict>
        <v:shape style="position:absolute;margin-left:527.679993pt;margin-top:781.957947pt;width:13pt;height:11pt;mso-position-horizontal-relative:page;mso-position-vertical-relative:page;z-index:-84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6496" type="#_x0000_t75" stroked="false">
          <v:imagedata r:id="rId1" o:title=""/>
        </v:shape>
      </w:pict>
    </w:r>
    <w:r>
      <w:rPr/>
      <w:pict>
        <v:shape style="position:absolute;margin-left:524.179993pt;margin-top:781.957947pt;width:15.5pt;height:11pt;mso-position-horizontal-relative:page;mso-position-vertical-relative:page;z-index:-846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6448" type="#_x0000_t75" stroked="false">
          <v:imagedata r:id="rId1" o:title=""/>
        </v:shape>
      </w:pict>
    </w:r>
    <w:r>
      <w:rPr/>
      <w:pict>
        <v:shape style="position:absolute;margin-left:523.179993pt;margin-top:781.957947pt;width:17.5pt;height:11pt;mso-position-horizontal-relative:page;mso-position-vertical-relative:page;z-index:-84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46616" type="#_x0000_t202" filled="false" stroked="false">
          <v:textbox inset="0,0,0,0">
            <w:txbxContent>
              <w:p>
                <w:pPr>
                  <w:pStyle w:val="BodyText"/>
                  <w:spacing w:line="214" w:lineRule="exact"/>
                  <w:ind w:left="20" w:right="0"/>
                  <w:jc w:val="left"/>
                </w:pPr>
                <w:r>
                  <w:rPr/>
                  <w:t>美盛文化创意股份有限公司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2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rising.com.cn/" TargetMode="External"/><Relationship Id="rId10" Type="http://schemas.openxmlformats.org/officeDocument/2006/relationships/hyperlink" Target="mailto:office@chinarising.com.cn" TargetMode="External"/><Relationship Id="rId11" Type="http://schemas.openxmlformats.org/officeDocument/2006/relationships/hyperlink" Target="mailto:gr@chinarising.com.cn" TargetMode="External"/><Relationship Id="rId12" Type="http://schemas.openxmlformats.org/officeDocument/2006/relationships/hyperlink" Target="http://www.cninfo.com.cn/" TargetMode="External"/><Relationship Id="rId13" Type="http://schemas.openxmlformats.org/officeDocument/2006/relationships/hyperlink" Target="http://www.partyxplosion.com&#30340;&#20135;&#21697;&#22312;&#32447;&#38144;&#21806;&#32593;&#31449;/" TargetMode="External"/><Relationship Id="rId14" Type="http://schemas.openxmlformats.org/officeDocument/2006/relationships/hyperlink" Target="http://www.uwowo.com/" TargetMode="External"/><Relationship Id="rId15" Type="http://schemas.openxmlformats.org/officeDocument/2006/relationships/hyperlink" Target="http://www.kumi.cn/" TargetMode="External"/><Relationship Id="rId16" Type="http://schemas.openxmlformats.org/officeDocument/2006/relationships/image" Target="media/image3.jpeg"/><Relationship Id="rId17" Type="http://schemas.openxmlformats.org/officeDocument/2006/relationships/hyperlink" Target="http://www.cninfo.com/"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2020-05-06T18:14:56Z</dcterms:created>
  <dcterms:modified xsi:type="dcterms:W3CDTF">2020-05-06T18:14:56Z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2015-02-03T00:00:00Z</vt:filetime>
  </property>
  <property fmtid="{D5CDD505-2E9C-101B-9397-08002B2CF9AE}" pid="3" name="Creator">
    <vt:lpwstr>Microsoft® Office Word 2007</vt:lpwstr>
  </property>
  <property fmtid="{D5CDD505-2E9C-101B-9397-08002B2CF9AE}" pid="4" name="LastSaved">
    <vt:filetime>2020-05-06T00:00:00Z</vt:filetime>
  </property>
</Properties>
</file>