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432" w:lineRule="exact"/>
        <w:ind w:left="43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841374" cy="27432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841374" cy="274320"/>
                    </a:xfrm>
                    <a:prstGeom prst="rect">
                      <a:avLst/>
                    </a:prstGeom>
                  </pic:spPr>
                </pic:pic>
              </a:graphicData>
            </a:graphic>
          </wp:inline>
        </w:drawing>
      </w:r>
      <w:r>
        <w:rPr>
          <w:rFonts w:ascii="Times New Roman" w:hAnsi="Times New Roman" w:cs="Times New Roman" w:eastAsia="Times New Roman" w:hint="default"/>
          <w:position w:val="-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美盛文化创意股份有限公司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公司负责人赵小强、主管会计工作负责人竺林芳及会计机构负责人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石军龙声明：保证年度报告中财务报告的真实、准确、完整。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可能存在文化产业政策变化，文创产业发展不及预期，资源整合及内控管</w:t>
      </w:r>
      <w:r>
        <w:rPr>
          <w:rFonts w:ascii="宋体" w:hAnsi="宋体" w:cs="宋体" w:eastAsia="宋体" w:hint="default"/>
          <w:spacing w:val="3"/>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理不够完善，国际需求下降，市场需求变化，行业竞争加剧，出口退税政策变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化，汇率波动等风险，敬请广大投资者注意投资风险。</w:t>
      </w:r>
      <w:r>
        <w:rPr>
          <w:rFonts w:ascii="宋体" w:hAnsi="宋体" w:cs="宋体" w:eastAsia="宋体" w:hint="default"/>
          <w:sz w:val="28"/>
          <w:szCs w:val="28"/>
        </w:rPr>
      </w:r>
    </w:p>
    <w:p>
      <w:pPr>
        <w:spacing w:before="159"/>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管理层讨论与分析</w:t>
            </w:r>
            <w:r>
              <w:rPr>
                <w:rFonts w:ascii="Times New Roman" w:hAnsi="Times New Roman" w:cs="Times New Roman" w:eastAsia="Times New Roman" w:hint="default"/>
              </w:rPr>
              <w:tab/>
              <w:t>13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30</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47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48</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53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财务报告</w:t>
            </w:r>
            <w:r>
              <w:rPr>
                <w:rFonts w:ascii="Times New Roman" w:hAnsi="Times New Roman" w:cs="Times New Roman" w:eastAsia="Times New Roman" w:hint="default"/>
              </w:rPr>
              <w:tab/>
              <w:t>58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 备查文件目录</w:t>
            </w:r>
            <w:r>
              <w:rPr>
                <w:rFonts w:ascii="Times New Roman" w:hAnsi="Times New Roman" w:cs="Times New Roman" w:eastAsia="Times New Roman" w:hint="default"/>
              </w:rPr>
              <w:tab/>
              <w:t>144</w:t>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莱盛童话服饰（上海）有限公司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嵊州市美源饰品有限公司，公司全资子公司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杭州美盛动漫有限公司，公司全资子公司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香港美盛文化有限公司，公司全资子公司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90"/>
              <w:jc w:val="left"/>
              <w:rPr>
                <w:rFonts w:ascii="宋体" w:hAnsi="宋体" w:cs="宋体" w:eastAsia="宋体" w:hint="default"/>
                <w:sz w:val="18"/>
                <w:szCs w:val="18"/>
              </w:rPr>
            </w:pPr>
            <w:r>
              <w:rPr>
                <w:rFonts w:ascii="宋体" w:hAnsi="宋体" w:cs="宋体" w:eastAsia="宋体" w:hint="default"/>
                <w:sz w:val="18"/>
                <w:szCs w:val="18"/>
              </w:rPr>
              <w:t>杭州美盛游戏技术开发有限公司，公司全资子公司，原名为</w:t>
            </w:r>
            <w:r>
              <w:rPr>
                <w:rFonts w:ascii="Times New Roman" w:hAnsi="Times New Roman" w:cs="Times New Roman" w:eastAsia="Times New Roman" w:hint="default"/>
                <w:sz w:val="18"/>
                <w:szCs w:val="18"/>
              </w:rPr>
              <w:t>“</w:t>
            </w:r>
            <w:r>
              <w:rPr>
                <w:rFonts w:ascii="宋体" w:hAnsi="宋体" w:cs="宋体" w:eastAsia="宋体" w:hint="default"/>
                <w:sz w:val="18"/>
                <w:szCs w:val="18"/>
              </w:rPr>
              <w:t>浙江缔 顺科技有限公司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月更名</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内蒙古荣盛文化传媒股份有限公司，公司全资子公司，已于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月注销</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上海纯真年代影视投资有限公司，公司控股子公司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天津酷米网络科技有限责任公司，公司控股子公司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天天宽广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北京天天宽广网络科技有限公司，天津酷米实际控制的公司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杭州美盛电子商务有限公司，公司全资子公司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杭州美盛爱彼文化发展有限公司，公司全资子公司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杭州美盛二次元文化发展有限公司，公司全资子公司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漫联贸易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广州漫联贸易有限公司，公司全资子公司美盛二次元的控股子公司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Agenturen en Handelsmij Scheepers</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B.V.</w:t>
            </w:r>
            <w:r>
              <w:rPr>
                <w:rFonts w:ascii="宋体" w:hAnsi="宋体" w:cs="宋体" w:eastAsia="宋体" w:hint="default"/>
                <w:sz w:val="18"/>
                <w:szCs w:val="18"/>
              </w:rPr>
              <w:t>，公司全资子公司香港美盛的 控股子公司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杰克仕贸易</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55"/>
              <w:jc w:val="left"/>
              <w:rPr>
                <w:rFonts w:ascii="宋体" w:hAnsi="宋体" w:cs="宋体" w:eastAsia="宋体" w:hint="default"/>
                <w:sz w:val="18"/>
                <w:szCs w:val="18"/>
              </w:rPr>
            </w:pPr>
            <w:r>
              <w:rPr>
                <w:rFonts w:ascii="宋体" w:hAnsi="宋体" w:cs="宋体" w:eastAsia="宋体" w:hint="default"/>
                <w:sz w:val="18"/>
                <w:szCs w:val="18"/>
              </w:rPr>
              <w:t>杰克仕太平洋贸易有限公司，英文名称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JAKKS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PACIFIC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，公司全资子公司香港美盛的参股公司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瑛麒动漫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上海瑛麒动漫科技有限公司，公司参股子公司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广州创幻</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广州创幻数码科技有限公司，公司参股子公司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北京微媒互动科技有限公司，公司参股子公司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创新工场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北京创新工场创业投资中心（有限合伙）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保荐人、兴业证券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会计师、天健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85868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002699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Meisheng Cultural &amp; Creative Corp.,</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Meisheng</w:t>
            </w:r>
            <w:r>
              <w:rPr>
                <w:rFonts w:ascii="Times New Roman"/>
                <w:spacing w:val="-2"/>
                <w:sz w:val="18"/>
              </w:rPr>
              <w:t> </w:t>
            </w:r>
            <w:r>
              <w:rPr>
                <w:rFonts w:ascii="Times New Roman"/>
                <w:sz w:val="18"/>
              </w:rPr>
              <w:t>Cultural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赵小强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www.chinarising.com.cn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office@chinarising.com.cn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r>
        <w:rPr/>
        <w:pict>
          <v:group style="position:absolute;margin-left:375.940002pt;margin-top:73.905640pt;width:162.4pt;height:20.8pt;mso-position-horizontal-relative:page;mso-position-vertical-relative:paragraph;z-index:-858640" coordorigin="7519,1478" coordsize="3248,416">
            <v:group style="position:absolute;left:7530;top:1490;width:2;height:393" coordorigin="7530,1490" coordsize="2,393">
              <v:shape style="position:absolute;left:7530;top:1490;width:2;height:393" coordorigin="7530,1490" coordsize="0,393" path="m7530,1490l7530,1882e" filled="false" stroked="true" strokeweight="1.140pt" strokecolor="#ffffff">
                <v:path arrowok="t"/>
              </v:shape>
            </v:group>
            <v:group style="position:absolute;left:7542;top:1490;width:3135;height:393" coordorigin="7542,1490" coordsize="3135,393">
              <v:shape style="position:absolute;left:7542;top:1490;width:3135;height:393" coordorigin="7542,1490" coordsize="3135,393" path="m7542,1882l10676,1882,10676,1490,7542,1490,7542,1882xe" filled="true" fillcolor="#ffffff" stroked="false">
                <v:path arrowok="t"/>
                <v:fill type="solid"/>
              </v:shape>
              <v:shape style="position:absolute;left:10586;top:159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张丹峰</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3"/>
                <w:sz w:val="18"/>
                <w:szCs w:val="18"/>
              </w:rPr>
              <w:t>浙江省新昌省级高新技术园区内（南岩）</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0575-86226885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0575-86226885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0575-86288588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0575-86288588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gr@chinarising.com.cn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office@chinarising.com.cn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73842849-2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号新湖商务大厦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吕苏阳、卜刚军</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3" w:right="20"/>
              <w:jc w:val="left"/>
              <w:rPr>
                <w:rFonts w:ascii="宋体" w:hAnsi="宋体" w:cs="宋体" w:eastAsia="宋体" w:hint="default"/>
                <w:sz w:val="18"/>
                <w:szCs w:val="18"/>
              </w:rPr>
            </w:pPr>
            <w:r>
              <w:rPr>
                <w:rFonts w:ascii="宋体" w:hAnsi="宋体" w:cs="宋体" w:eastAsia="宋体" w:hint="default"/>
                <w:sz w:val="18"/>
                <w:szCs w:val="18"/>
              </w:rPr>
              <w:t>福建省福州市湖东路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号证 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杨海生、吕泉鑫</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持续督导期至专户资金全部 支出完毕并依法销户或法定 督导期结束之日止</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408,101,150.30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455,996,687.08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231,134,162.86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126,408,340.12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97,125,358.48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41,730,227.18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57,403,717.43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70,011,576.46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30,844,017.62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51,647,399.14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-22,495,807.03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49,718,269.58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1,382,909,179.04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965,558,170.69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807,969,010.40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1,157,636,702.82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699,621,397.14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645,326,429.06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52,471,674.30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93,072,834.60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172,427,788.34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90,128,853.06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8,475,355.31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17,958,364.50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63,627,816.06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36,346,804.25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4,296,936.70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10,536,745.00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39,613,354.82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2,956,680.91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4,824,339.82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-12,062,149.49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37,162,457.60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21,722,751.21</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85"/>
        <w:gridCol w:w="1532"/>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2"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24,884,365.06</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sz w:val="18"/>
              </w:rPr>
              <w:t>-11,285.47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-2,109.49</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4"/>
              <w:jc w:val="both"/>
              <w:rPr>
                <w:rFonts w:ascii="宋体" w:hAnsi="宋体" w:cs="宋体" w:eastAsia="宋体" w:hint="default"/>
                <w:sz w:val="18"/>
                <w:szCs w:val="18"/>
              </w:rPr>
            </w:pPr>
            <w:r>
              <w:rPr>
                <w:rFonts w:ascii="宋体" w:hAnsi="宋体" w:cs="宋体" w:eastAsia="宋体" w:hint="default"/>
                <w:sz w:val="18"/>
                <w:szCs w:val="18"/>
              </w:rPr>
              <w:t>包括长期股权投资处 置损益及固定资产处 置损益</w:t>
            </w:r>
          </w:p>
        </w:tc>
      </w:tr>
      <w:tr>
        <w:trPr>
          <w:trHeight w:val="703"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27,939,538.74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20,635,394.14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7,387,878.71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1,832,762.88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8,935,365.87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1,360,890.41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35,714,435.43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16,195,351.38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6,578,647.05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3" w:right="54"/>
              <w:jc w:val="left"/>
              <w:rPr>
                <w:rFonts w:ascii="宋体" w:hAnsi="宋体" w:cs="宋体" w:eastAsia="宋体" w:hint="default"/>
                <w:sz w:val="18"/>
                <w:szCs w:val="18"/>
              </w:rPr>
            </w:pPr>
            <w:r>
              <w:rPr>
                <w:rFonts w:ascii="宋体" w:hAnsi="宋体" w:cs="宋体" w:eastAsia="宋体" w:hint="default"/>
                <w:sz w:val="18"/>
                <w:szCs w:val="18"/>
              </w:rPr>
              <w:t>主要包括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 业绩承诺补偿及远期 结汇产生的收益。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-550,730.68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-688,236.52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-87,358.55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-6,667,731.86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20,800,986.26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10,833,444.44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3,812,843.85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14,762.48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451,631.08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538,894.72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69,004,622.69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27,113,782.02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10,886,209.56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一、公司的主营业务</w:t>
      </w:r>
    </w:p>
    <w:p>
      <w:pPr>
        <w:pStyle w:val="BodyText"/>
        <w:spacing w:line="430" w:lineRule="atLeast" w:before="2"/>
        <w:ind w:left="513" w:right="0" w:firstLine="74"/>
        <w:jc w:val="left"/>
      </w:pPr>
      <w:r>
        <w:rPr/>
        <w:t>（一）公司的主营业务 </w:t>
      </w:r>
      <w:r>
        <w:rPr>
          <w:spacing w:val="-2"/>
        </w:rPr>
        <w:t>美盛文化紧密围绕文化产业发展，致力于文化产业相关业务。自公司上市以来，在原有动漫衍生品的基础上，公司重点</w:t>
      </w:r>
    </w:p>
    <w:p>
      <w:pPr>
        <w:pStyle w:val="BodyText"/>
        <w:spacing w:line="316" w:lineRule="auto" w:before="76"/>
        <w:ind w:right="0"/>
        <w:jc w:val="left"/>
      </w:pPr>
      <w:r>
        <w:rPr>
          <w:spacing w:val="-2"/>
        </w:rPr>
        <w:t>开拓上下游业务，完善产业链，在文化产业链包括动漫、游戏、影视、儿童剧、衍生品等上下游进行战略布局，实现转型升</w:t>
      </w:r>
      <w:r>
        <w:rPr>
          <w:spacing w:val="-71"/>
        </w:rPr>
        <w:t> </w:t>
      </w:r>
      <w:r>
        <w:rPr>
          <w:spacing w:val="-71"/>
        </w:rPr>
      </w:r>
      <w:r>
        <w:rPr/>
        <w:t>级，初步完成了</w:t>
      </w:r>
      <w:r>
        <w:rPr>
          <w:rFonts w:ascii="Times New Roman" w:hAnsi="Times New Roman" w:cs="Times New Roman" w:eastAsia="Times New Roman" w:hint="default"/>
        </w:rPr>
        <w:t>“</w:t>
      </w:r>
      <w:r>
        <w:rPr/>
        <w:t>自有</w:t>
      </w:r>
      <w:r>
        <w:rPr>
          <w:rFonts w:ascii="Times New Roman" w:hAnsi="Times New Roman" w:cs="Times New Roman" w:eastAsia="Times New Roman" w:hint="default"/>
        </w:rPr>
        <w:t>IP+</w:t>
      </w:r>
      <w:r>
        <w:rPr/>
        <w:t>内容制作</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的文化生态圈的构建。</w:t>
      </w:r>
    </w:p>
    <w:p>
      <w:pPr>
        <w:pStyle w:val="BodyText"/>
        <w:spacing w:line="240" w:lineRule="auto" w:before="119"/>
        <w:ind w:left="513" w:right="0"/>
        <w:jc w:val="left"/>
      </w:pPr>
      <w:r>
        <w:rPr>
          <w:spacing w:val="-4"/>
        </w:rPr>
        <w:t>报告期内，公司主营业务以动漫衍生品的制造和销售为主，动漫、游戏、电影、儿童剧等其他环节业务也正在快速发展。</w:t>
      </w:r>
    </w:p>
    <w:p>
      <w:pPr>
        <w:pStyle w:val="BodyText"/>
        <w:spacing w:line="430" w:lineRule="atLeast" w:before="2"/>
        <w:ind w:left="514" w:right="1118"/>
        <w:jc w:val="left"/>
      </w:pPr>
      <w:r>
        <w:rPr/>
        <w:t>（二）公司的主要产品及其用途 公司产品主要包括动漫衍生品、原创动漫、游戏、电影、电视剧及舞台剧等文化类产品。 </w:t>
      </w:r>
      <w:r>
        <w:rPr>
          <w:spacing w:val="-2"/>
        </w:rPr>
        <w:t>公司及子公司的动漫衍生产品，主要作为文化消费品使用。子公司美盛动漫的原创动漫作品主要通过电视台渠道面向观</w:t>
      </w:r>
    </w:p>
    <w:p>
      <w:pPr>
        <w:pStyle w:val="BodyText"/>
        <w:spacing w:line="316" w:lineRule="auto" w:before="76"/>
        <w:ind w:left="154" w:right="0"/>
        <w:jc w:val="left"/>
      </w:pPr>
      <w:r>
        <w:rPr>
          <w:spacing w:val="-2"/>
        </w:rPr>
        <w:t>众播放；子公司美盛游戏的游戏产品主要在国内大型游戏运营平台运营，满足玩家的娱乐消费需求；子公司星梦工坊的儿童</w:t>
      </w:r>
      <w:r>
        <w:rPr>
          <w:spacing w:val="-66"/>
        </w:rPr>
        <w:t> </w:t>
      </w:r>
      <w:r>
        <w:rPr>
          <w:spacing w:val="-66"/>
        </w:rPr>
      </w:r>
      <w:r>
        <w:rPr/>
        <w:t>舞台剧主要以舞台演艺方式向观众提供服务等。</w:t>
      </w:r>
    </w:p>
    <w:p>
      <w:pPr>
        <w:pStyle w:val="BodyText"/>
        <w:spacing w:line="240" w:lineRule="auto" w:before="69"/>
        <w:ind w:left="514" w:right="0"/>
        <w:jc w:val="left"/>
      </w:pPr>
      <w:r>
        <w:rPr/>
        <w:t>（三）公司业务发展趋势</w:t>
      </w:r>
    </w:p>
    <w:p>
      <w:pPr>
        <w:spacing w:line="240" w:lineRule="auto" w:before="0"/>
        <w:rPr>
          <w:rFonts w:ascii="宋体" w:hAnsi="宋体" w:cs="宋体" w:eastAsia="宋体" w:hint="default"/>
          <w:sz w:val="15"/>
          <w:szCs w:val="15"/>
        </w:rPr>
      </w:pPr>
    </w:p>
    <w:p>
      <w:pPr>
        <w:pStyle w:val="BodyText"/>
        <w:spacing w:line="300" w:lineRule="auto"/>
        <w:ind w:right="1129" w:firstLine="360"/>
        <w:jc w:val="both"/>
      </w:pPr>
      <w:r>
        <w:rPr>
          <w:spacing w:val="-1"/>
        </w:rPr>
        <w:t>文化创意产业主要包括文学、漫画、电视剧、动画、游戏、电影等版块，其核心为知识产权，即</w:t>
      </w:r>
      <w:r>
        <w:rPr>
          <w:rFonts w:ascii="Times New Roman" w:hAnsi="Times New Roman" w:cs="Times New Roman" w:eastAsia="Times New Roman" w:hint="default"/>
          <w:spacing w:val="-1"/>
        </w:rPr>
        <w:t>IP</w:t>
      </w:r>
      <w:r>
        <w:rPr>
          <w:spacing w:val="-1"/>
        </w:rPr>
        <w:t>，</w:t>
      </w:r>
      <w:r>
        <w:rPr>
          <w:rFonts w:ascii="Times New Roman" w:hAnsi="Times New Roman" w:cs="Times New Roman" w:eastAsia="Times New Roman" w:hint="default"/>
          <w:spacing w:val="-1"/>
        </w:rPr>
        <w:t>IP</w:t>
      </w:r>
      <w:r>
        <w:rPr>
          <w:spacing w:val="-1"/>
        </w:rPr>
        <w:t>是文化创意产业</w:t>
      </w:r>
      <w:r>
        <w:rPr/>
        <w:t> 链的源头。当前，</w:t>
      </w:r>
      <w:r>
        <w:rPr>
          <w:rFonts w:ascii="Times New Roman" w:hAnsi="Times New Roman" w:cs="Times New Roman" w:eastAsia="Times New Roman" w:hint="default"/>
        </w:rPr>
        <w:t>IP</w:t>
      </w:r>
      <w:r>
        <w:rPr/>
        <w:t>打造进入泛娱乐模式，即基于互联网与移动互联网的多领域共生，打造明星</w:t>
      </w:r>
      <w:r>
        <w:rPr>
          <w:rFonts w:ascii="Times New Roman" w:hAnsi="Times New Roman" w:cs="Times New Roman" w:eastAsia="Times New Roman" w:hint="default"/>
        </w:rPr>
        <w:t>IP</w:t>
      </w:r>
      <w:r>
        <w:rPr/>
        <w:t>的粉丝经济，实现</w:t>
      </w:r>
      <w:r>
        <w:rPr>
          <w:rFonts w:ascii="Times New Roman" w:hAnsi="Times New Roman" w:cs="Times New Roman" w:eastAsia="Times New Roman" w:hint="default"/>
        </w:rPr>
        <w:t>“</w:t>
      </w:r>
      <w:r>
        <w:rPr/>
        <w:t>同一</w:t>
      </w:r>
      <w:r>
        <w:rPr>
          <w:spacing w:val="-46"/>
        </w:rPr>
        <w:t> </w:t>
      </w:r>
      <w:r>
        <w:rPr/>
        <w:t>明星</w:t>
      </w:r>
      <w:r>
        <w:rPr>
          <w:rFonts w:ascii="Times New Roman" w:hAnsi="Times New Roman" w:cs="Times New Roman" w:eastAsia="Times New Roman" w:hint="default"/>
        </w:rPr>
        <w:t>IP</w:t>
      </w:r>
      <w:r>
        <w:rPr/>
        <w:t>、多种文化创意产品体验</w:t>
      </w:r>
      <w:r>
        <w:rPr>
          <w:rFonts w:ascii="Times New Roman" w:hAnsi="Times New Roman" w:cs="Times New Roman" w:eastAsia="Times New Roman" w:hint="default"/>
        </w:rPr>
        <w:t>”</w:t>
      </w:r>
      <w:r>
        <w:rPr/>
        <w:t>的创新业态。</w:t>
      </w:r>
    </w:p>
    <w:p>
      <w:pPr>
        <w:pStyle w:val="BodyText"/>
        <w:spacing w:line="309" w:lineRule="auto" w:before="133"/>
        <w:ind w:right="1127" w:firstLine="360"/>
        <w:jc w:val="both"/>
      </w:pPr>
      <w:r>
        <w:rPr>
          <w:spacing w:val="-2"/>
        </w:rPr>
        <w:t>美盛文化的业务发展，是基于文化创意行业产业链和泛娱乐经营模式进行的业务布局。一方面，基于原有的动漫衍生品</w:t>
      </w:r>
      <w:r>
        <w:rPr/>
        <w:t> 业务，向泛娱乐其他业务版块延伸；另一方面，基于完整的泛娱乐业务版块，向产业链源头</w:t>
      </w:r>
      <w:r>
        <w:rPr>
          <w:rFonts w:ascii="Times New Roman" w:hAnsi="Times New Roman" w:cs="Times New Roman" w:eastAsia="Times New Roman" w:hint="default"/>
        </w:rPr>
        <w:t>——</w:t>
      </w:r>
      <w:r>
        <w:rPr>
          <w:rFonts w:ascii="Times New Roman" w:hAnsi="Times New Roman" w:cs="Times New Roman" w:eastAsia="Times New Roman" w:hint="default"/>
        </w:rPr>
        <w:t>IP</w:t>
      </w:r>
      <w:r>
        <w:rPr/>
        <w:t>延伸。从而构建起</w:t>
      </w:r>
      <w:r>
        <w:rPr>
          <w:rFonts w:ascii="Times New Roman" w:hAnsi="Times New Roman" w:cs="Times New Roman" w:eastAsia="Times New Roman" w:hint="default"/>
        </w:rPr>
        <w:t>“</w:t>
      </w:r>
      <w:r>
        <w:rPr/>
        <w:t>自有</w:t>
      </w:r>
      <w:r>
        <w:rPr>
          <w:spacing w:val="-54"/>
        </w:rPr>
        <w:t> </w:t>
      </w:r>
      <w:r>
        <w:rPr>
          <w:rFonts w:ascii="Times New Roman" w:hAnsi="Times New Roman" w:cs="Times New Roman" w:eastAsia="Times New Roman" w:hint="default"/>
        </w:rPr>
        <w:t>IP+</w:t>
      </w:r>
      <w:r>
        <w:rPr/>
        <w:t>内容制作（动漫、游戏、电影、儿童剧）</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的文化生态圈。</w:t>
      </w:r>
    </w:p>
    <w:p>
      <w:pPr>
        <w:spacing w:before="125"/>
        <w:ind w:left="2786" w:right="3762" w:firstLine="0"/>
        <w:jc w:val="center"/>
        <w:rPr>
          <w:rFonts w:ascii="宋体" w:hAnsi="宋体" w:cs="宋体" w:eastAsia="宋体" w:hint="default"/>
          <w:sz w:val="18"/>
          <w:szCs w:val="18"/>
        </w:rPr>
      </w:pPr>
      <w:r>
        <w:rPr>
          <w:rFonts w:ascii="宋体" w:hAnsi="宋体" w:cs="宋体" w:eastAsia="宋体" w:hint="default"/>
          <w:b/>
          <w:bCs/>
          <w:sz w:val="18"/>
          <w:szCs w:val="18"/>
        </w:rPr>
        <w:t>美盛文化内容生态</w:t>
      </w:r>
      <w:r>
        <w:rPr>
          <w:rFonts w:ascii="宋体" w:hAnsi="宋体" w:cs="宋体" w:eastAsia="宋体" w:hint="default"/>
          <w:sz w:val="18"/>
          <w:szCs w:val="18"/>
        </w:rPr>
      </w:r>
    </w:p>
    <w:p>
      <w:pPr>
        <w:spacing w:line="240" w:lineRule="auto" w:before="6"/>
        <w:rPr>
          <w:rFonts w:ascii="宋体" w:hAnsi="宋体" w:cs="宋体" w:eastAsia="宋体" w:hint="default"/>
          <w:b/>
          <w:bCs/>
          <w:sz w:val="7"/>
          <w:szCs w:val="7"/>
        </w:rPr>
      </w:pPr>
    </w:p>
    <w:p>
      <w:pPr>
        <w:spacing w:line="3990" w:lineRule="exact"/>
        <w:ind w:left="154"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5314950" cy="25336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5314950" cy="2533650"/>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9"/>
        <w:rPr>
          <w:rFonts w:ascii="宋体" w:hAnsi="宋体" w:cs="宋体" w:eastAsia="宋体" w:hint="default"/>
          <w:b/>
          <w:bCs/>
          <w:sz w:val="12"/>
          <w:szCs w:val="12"/>
        </w:rPr>
      </w:pPr>
    </w:p>
    <w:p>
      <w:pPr>
        <w:spacing w:before="0"/>
        <w:ind w:left="2786" w:right="3762" w:firstLine="0"/>
        <w:jc w:val="center"/>
        <w:rPr>
          <w:rFonts w:ascii="宋体" w:hAnsi="宋体" w:cs="宋体" w:eastAsia="宋体" w:hint="default"/>
          <w:sz w:val="18"/>
          <w:szCs w:val="18"/>
        </w:rPr>
      </w:pPr>
      <w:r>
        <w:rPr>
          <w:rFonts w:ascii="宋体" w:hAnsi="宋体" w:cs="宋体" w:eastAsia="宋体" w:hint="default"/>
          <w:b/>
          <w:bCs/>
          <w:sz w:val="18"/>
          <w:szCs w:val="18"/>
        </w:rPr>
        <w:t>美盛文化平台生态</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b/>
          <w:bCs/>
          <w:sz w:val="28"/>
          <w:szCs w:val="28"/>
        </w:rPr>
      </w:pPr>
    </w:p>
    <w:p>
      <w:pPr>
        <w:spacing w:line="4050" w:lineRule="exact"/>
        <w:ind w:left="15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5306060" cy="257175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306060"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76"/>
        <w:ind w:left="154"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60" w:firstLine="90"/>
              <w:jc w:val="left"/>
              <w:rPr>
                <w:rFonts w:ascii="宋体" w:hAnsi="宋体" w:cs="宋体" w:eastAsia="宋体" w:hint="default"/>
                <w:sz w:val="18"/>
                <w:szCs w:val="18"/>
              </w:rPr>
            </w:pPr>
            <w:r>
              <w:rPr>
                <w:rFonts w:ascii="宋体" w:hAnsi="宋体" w:cs="宋体" w:eastAsia="宋体" w:hint="default"/>
                <w:sz w:val="18"/>
                <w:szCs w:val="18"/>
              </w:rPr>
              <w:t>报告期末长期股权投资 </w:t>
            </w:r>
            <w:r>
              <w:rPr>
                <w:rFonts w:ascii="Times New Roman" w:hAnsi="Times New Roman" w:cs="Times New Roman" w:eastAsia="Times New Roman" w:hint="default"/>
                <w:sz w:val="18"/>
                <w:szCs w:val="18"/>
              </w:rPr>
              <w:t>111,787,684.82 </w:t>
            </w:r>
            <w:r>
              <w:rPr>
                <w:rFonts w:ascii="宋体" w:hAnsi="宋体" w:cs="宋体" w:eastAsia="宋体" w:hint="default"/>
                <w:sz w:val="18"/>
                <w:szCs w:val="18"/>
              </w:rPr>
              <w:t>元，期初 </w:t>
            </w:r>
            <w:r>
              <w:rPr>
                <w:rFonts w:ascii="Times New Roman" w:hAnsi="Times New Roman" w:cs="Times New Roman" w:eastAsia="Times New Roman" w:hint="default"/>
                <w:sz w:val="18"/>
                <w:szCs w:val="18"/>
              </w:rPr>
              <w:t>2,551,466.12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元，主要系报告期 内对外投资所致。</w:t>
            </w: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报告期末固定资产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294,647,245.32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233,586,573.23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报告期末无形资产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24,095,271.92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23,959,188.68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0" w:firstLine="90"/>
              <w:jc w:val="both"/>
              <w:rPr>
                <w:rFonts w:ascii="宋体" w:hAnsi="宋体" w:cs="宋体" w:eastAsia="宋体" w:hint="default"/>
                <w:sz w:val="18"/>
                <w:szCs w:val="18"/>
              </w:rPr>
            </w:pPr>
            <w:r>
              <w:rPr>
                <w:rFonts w:ascii="宋体" w:hAnsi="宋体" w:cs="宋体" w:eastAsia="宋体" w:hint="default"/>
                <w:sz w:val="18"/>
                <w:szCs w:val="18"/>
              </w:rPr>
              <w:t>报告期末在建工程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32,265,637.60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1"/>
                <w:sz w:val="18"/>
                <w:szCs w:val="18"/>
              </w:rPr>
              <w:t> </w:t>
            </w:r>
            <w:r>
              <w:rPr>
                <w:rFonts w:ascii="宋体" w:hAnsi="宋体" w:cs="宋体" w:eastAsia="宋体" w:hint="default"/>
                <w:sz w:val="18"/>
                <w:szCs w:val="18"/>
              </w:rPr>
              <w:t>期初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53,901,144.63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1"/>
                <w:sz w:val="18"/>
                <w:szCs w:val="18"/>
              </w:rPr>
              <w:t> </w:t>
            </w:r>
            <w:r>
              <w:rPr>
                <w:rFonts w:ascii="宋体" w:hAnsi="宋体" w:cs="宋体" w:eastAsia="宋体" w:hint="default"/>
                <w:sz w:val="18"/>
                <w:szCs w:val="18"/>
              </w:rPr>
              <w:t>主要系报告期内动</w:t>
            </w:r>
            <w:r>
              <w:rPr>
                <w:rFonts w:ascii="宋体" w:hAnsi="宋体" w:cs="宋体" w:eastAsia="宋体" w:hint="default"/>
                <w:sz w:val="18"/>
                <w:szCs w:val="18"/>
              </w:rPr>
              <w:t> </w:t>
            </w:r>
            <w:r>
              <w:rPr>
                <w:rFonts w:ascii="宋体" w:hAnsi="宋体" w:cs="宋体" w:eastAsia="宋体" w:hint="default"/>
                <w:spacing w:val="-1"/>
                <w:sz w:val="18"/>
                <w:szCs w:val="18"/>
              </w:rPr>
              <w:t>漫文化产品创意设计中心建设项目的建设，截止报告期末已完成检测、仓储用房的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建设，且研发创意用房完成框架的基础建设。</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pStyle w:val="BodyText"/>
        <w:spacing w:line="430" w:lineRule="atLeast" w:before="165"/>
        <w:ind w:left="514" w:right="0" w:hanging="360"/>
        <w:jc w:val="left"/>
      </w:pPr>
      <w:r>
        <w:rPr>
          <w:rFonts w:ascii="Times New Roman" w:hAnsi="Times New Roman" w:cs="Times New Roman" w:eastAsia="Times New Roman" w:hint="default"/>
        </w:rPr>
        <w:t>1</w:t>
      </w:r>
      <w:r>
        <w:rPr/>
        <w:t>、公司产业布局一体化优势 </w:t>
      </w:r>
      <w:r>
        <w:rPr>
          <w:spacing w:val="-2"/>
        </w:rPr>
        <w:t>公司</w:t>
      </w:r>
      <w:r>
        <w:rPr>
          <w:rFonts w:ascii="Times New Roman" w:hAnsi="Times New Roman" w:cs="Times New Roman" w:eastAsia="Times New Roman" w:hint="default"/>
          <w:spacing w:val="-2"/>
        </w:rPr>
        <w:t>2013</w:t>
      </w:r>
      <w:r>
        <w:rPr>
          <w:spacing w:val="-2"/>
        </w:rPr>
        <w:t>年起开始向文化产业其他业务版块拓展，正在实现产业上下游资源的整合。公司先后投资并购了多个标的，由</w:t>
      </w:r>
    </w:p>
    <w:p>
      <w:pPr>
        <w:pStyle w:val="BodyText"/>
        <w:spacing w:line="240" w:lineRule="auto" w:before="63"/>
        <w:ind w:right="0"/>
        <w:jc w:val="left"/>
      </w:pPr>
      <w:r>
        <w:rPr/>
        <w:t>点到面，多方布局，已初步搭建起</w:t>
      </w:r>
      <w:r>
        <w:rPr>
          <w:rFonts w:ascii="Times New Roman" w:hAnsi="Times New Roman" w:cs="Times New Roman" w:eastAsia="Times New Roman" w:hint="default"/>
        </w:rPr>
        <w:t>“</w:t>
      </w:r>
      <w:r>
        <w:rPr/>
        <w:t>自有</w:t>
      </w:r>
      <w:r>
        <w:rPr>
          <w:rFonts w:ascii="Times New Roman" w:hAnsi="Times New Roman" w:cs="Times New Roman" w:eastAsia="Times New Roman" w:hint="default"/>
        </w:rPr>
        <w:t>IP+</w:t>
      </w:r>
      <w:r>
        <w:rPr/>
        <w:t>内容制作</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的文化生态圈。</w:t>
      </w:r>
    </w:p>
    <w:p>
      <w:pPr>
        <w:spacing w:line="240" w:lineRule="auto" w:before="0"/>
        <w:rPr>
          <w:rFonts w:ascii="宋体" w:hAnsi="宋体" w:cs="宋体" w:eastAsia="宋体" w:hint="default"/>
          <w:sz w:val="14"/>
          <w:szCs w:val="14"/>
        </w:rPr>
      </w:pPr>
    </w:p>
    <w:p>
      <w:pPr>
        <w:pStyle w:val="BodyText"/>
        <w:spacing w:line="300" w:lineRule="auto"/>
        <w:ind w:right="1130" w:firstLine="360"/>
        <w:jc w:val="both"/>
      </w:pPr>
      <w:r>
        <w:rPr>
          <w:spacing w:val="-2"/>
        </w:rPr>
        <w:t>在内容生态方面，公司于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月收购美盛游戏股权，具备了自有动漫</w:t>
      </w:r>
      <w:r>
        <w:rPr>
          <w:rFonts w:ascii="Times New Roman" w:hAnsi="Times New Roman" w:cs="Times New Roman" w:eastAsia="Times New Roman" w:hint="default"/>
          <w:spacing w:val="-2"/>
        </w:rPr>
        <w:t>IP</w:t>
      </w:r>
      <w:r>
        <w:rPr>
          <w:spacing w:val="-2"/>
        </w:rPr>
        <w:t>创作及游戏开发的能力；于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月投资并</w:t>
      </w:r>
      <w:r>
        <w:rPr/>
        <w:t> </w:t>
      </w:r>
      <w:r>
        <w:rPr>
          <w:spacing w:val="-2"/>
        </w:rPr>
        <w:t>购星梦工坊，将业务版图延伸至儿童舞台剧。在平台生态方面，公司于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月收购美盛游戏，拥有了游戏运营平台</w:t>
      </w:r>
      <w:r>
        <w:rPr>
          <w:rFonts w:ascii="Times New Roman" w:hAnsi="Times New Roman" w:cs="Times New Roman" w:eastAsia="Times New Roman" w:hint="default"/>
          <w:spacing w:val="-2"/>
        </w:rPr>
        <w:t>“</w:t>
      </w:r>
      <w:r>
        <w:rPr>
          <w:spacing w:val="-2"/>
        </w:rPr>
        <w:t>美盛</w:t>
      </w:r>
      <w:r>
        <w:rPr>
          <w:spacing w:val="-49"/>
        </w:rPr>
        <w:t> </w:t>
      </w:r>
      <w:r>
        <w:rPr/>
        <w:t>游戏</w:t>
      </w:r>
      <w:r>
        <w:rPr>
          <w:rFonts w:ascii="Times New Roman" w:hAnsi="Times New Roman" w:cs="Times New Roman" w:eastAsia="Times New Roman" w:hint="default"/>
        </w:rPr>
        <w:t>”</w:t>
      </w:r>
      <w:r>
        <w:rPr/>
        <w:t>和游戏资讯平台</w:t>
      </w:r>
      <w:r>
        <w:rPr>
          <w:rFonts w:ascii="Times New Roman" w:hAnsi="Times New Roman" w:cs="Times New Roman" w:eastAsia="Times New Roman" w:hint="default"/>
        </w:rPr>
        <w:t>“</w:t>
      </w:r>
      <w:r>
        <w:rPr/>
        <w:t>游戏港口</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月收购荷兰渠道商</w:t>
      </w:r>
      <w:r>
        <w:rPr>
          <w:rFonts w:ascii="Times New Roman" w:hAnsi="Times New Roman" w:cs="Times New Roman" w:eastAsia="Times New Roman" w:hint="default"/>
        </w:rPr>
        <w:t>ScheepersB.V.</w:t>
      </w:r>
      <w:r>
        <w:rPr/>
        <w:t>，拥有了境外线上线下销售平台；于</w:t>
      </w:r>
      <w:r>
        <w:rPr>
          <w:rFonts w:ascii="Times New Roman" w:hAnsi="Times New Roman" w:cs="Times New Roman" w:eastAsia="Times New Roman" w:hint="default"/>
        </w:rPr>
        <w:t>2013</w:t>
      </w:r>
      <w:r>
        <w:rPr/>
        <w:t>年</w:t>
      </w:r>
      <w:r>
        <w:rPr>
          <w:spacing w:val="-51"/>
        </w:rPr>
        <w:t> </w:t>
      </w:r>
      <w:r>
        <w:rPr>
          <w:rFonts w:ascii="Times New Roman" w:hAnsi="Times New Roman" w:cs="Times New Roman" w:eastAsia="Times New Roman" w:hint="default"/>
          <w:spacing w:val="-2"/>
        </w:rPr>
        <w:t>12</w:t>
      </w:r>
      <w:r>
        <w:rPr>
          <w:spacing w:val="-2"/>
        </w:rPr>
        <w:t>月投资搭建了悠窝窝线上动漫衍生品销售平台；于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月参与投资设立杰克仕美盛，构建授权产品推广营销平台；于</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月投资天津酷米，获得了动漫播放平台；于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月投资瑛麒动漫，建立漫画分发平台。于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月先后投资</w:t>
      </w:r>
      <w:r>
        <w:rPr>
          <w:spacing w:val="-83"/>
        </w:rPr>
        <w:t> </w:t>
      </w:r>
      <w:r>
        <w:rPr/>
        <w:t>广州创幻数码科技有限公司、北京微媒互动科技有限公司和北京互联创新工场。在</w:t>
      </w:r>
      <w:r>
        <w:rPr>
          <w:rFonts w:ascii="Times New Roman" w:hAnsi="Times New Roman" w:cs="Times New Roman" w:eastAsia="Times New Roman" w:hint="default"/>
        </w:rPr>
        <w:t>VR</w:t>
      </w:r>
      <w:r>
        <w:rPr/>
        <w:t>、自媒体运营以及创业投资领域进行</w:t>
      </w:r>
      <w:r>
        <w:rPr>
          <w:spacing w:val="-67"/>
        </w:rPr>
        <w:t> </w:t>
      </w:r>
      <w:r>
        <w:rPr>
          <w:spacing w:val="-67"/>
        </w:rPr>
      </w:r>
      <w:r>
        <w:rPr/>
        <w:t>前瞻性的产业布局。</w:t>
      </w:r>
      <w:r>
        <w:rPr>
          <w:rFonts w:ascii="Times New Roman" w:hAnsi="Times New Roman" w:cs="Times New Roman" w:eastAsia="Times New Roman" w:hint="default"/>
        </w:rPr>
        <w:t>2015</w:t>
      </w:r>
      <w:r>
        <w:rPr/>
        <w:t>年非公开发行股票购买标的真趣网络主要从事轻游戏服务平台业务和移动广告精准投放平台业务， 有助于进一步补充完善本公司文化生态圈的内容发行和运营环节。</w:t>
      </w:r>
    </w:p>
    <w:p>
      <w:pPr>
        <w:pStyle w:val="BodyText"/>
        <w:spacing w:line="300" w:lineRule="auto" w:before="152"/>
        <w:ind w:left="154" w:right="1132" w:firstLine="360"/>
        <w:jc w:val="both"/>
      </w:pPr>
      <w:r>
        <w:rPr>
          <w:spacing w:val="-2"/>
        </w:rPr>
        <w:t>一体化经营有助于公司实现</w:t>
      </w:r>
      <w:r>
        <w:rPr>
          <w:rFonts w:ascii="Times New Roman" w:hAnsi="Times New Roman" w:cs="Times New Roman" w:eastAsia="Times New Roman" w:hint="default"/>
          <w:spacing w:val="-2"/>
        </w:rPr>
        <w:t>IP</w:t>
      </w:r>
      <w:r>
        <w:rPr>
          <w:spacing w:val="-2"/>
        </w:rPr>
        <w:t>资源的全产业链开发和运营，实现不同文化产品的交叉销售，从而提高用户黏性和付费水</w:t>
      </w:r>
      <w:r>
        <w:rPr/>
        <w:t> 平，实现公司文化生态圈的闭环。</w:t>
      </w:r>
    </w:p>
    <w:p>
      <w:pPr>
        <w:pStyle w:val="BodyText"/>
        <w:spacing w:line="415" w:lineRule="auto" w:before="151"/>
        <w:ind w:left="514" w:right="0" w:firstLine="120"/>
        <w:jc w:val="left"/>
      </w:pPr>
      <w:r>
        <w:rPr>
          <w:rFonts w:ascii="Times New Roman" w:hAnsi="Times New Roman" w:cs="Times New Roman" w:eastAsia="Times New Roman" w:hint="default"/>
        </w:rPr>
        <w:t>2</w:t>
      </w:r>
      <w:r>
        <w:rPr/>
        <w:t>、原创内容的核心价值优势 </w:t>
      </w:r>
      <w:r>
        <w:rPr>
          <w:spacing w:val="-2"/>
        </w:rPr>
        <w:t>原创内容作为产业发展和衍生的基础，正在文化传播领域和动漫产业链中占据越来越重要的地位。原创内容的具体表现</w:t>
      </w:r>
    </w:p>
    <w:p>
      <w:pPr>
        <w:pStyle w:val="BodyText"/>
        <w:spacing w:line="194" w:lineRule="exact"/>
        <w:ind w:left="154" w:right="0"/>
        <w:jc w:val="left"/>
      </w:pPr>
      <w:r>
        <w:rPr/>
        <w:t>形式即是</w:t>
      </w:r>
      <w:r>
        <w:rPr>
          <w:rFonts w:ascii="Times New Roman" w:hAnsi="Times New Roman" w:cs="Times New Roman" w:eastAsia="Times New Roman" w:hint="default"/>
        </w:rPr>
        <w:t>IP</w:t>
      </w:r>
      <w:r>
        <w:rPr/>
        <w:t>，其来源主要包括动画漫画、游戏、影视、文学等原创性资源，通常具有独特的指向性和较高的识别度，易于被</w:t>
      </w:r>
    </w:p>
    <w:p>
      <w:pPr>
        <w:pStyle w:val="BodyText"/>
        <w:spacing w:line="316" w:lineRule="auto" w:before="63"/>
        <w:ind w:left="154" w:right="0"/>
        <w:jc w:val="left"/>
      </w:pPr>
      <w:r>
        <w:rPr>
          <w:spacing w:val="-2"/>
        </w:rPr>
        <w:t>喜爱的人群所接受。目前，公司着力耕耘、精细布局，美盛游戏和美盛动漫的原创游戏业务和原创动漫业务发展良好，提升</w:t>
      </w:r>
      <w:r>
        <w:rPr>
          <w:spacing w:val="-66"/>
        </w:rPr>
        <w:t> </w:t>
      </w:r>
      <w:r>
        <w:rPr>
          <w:spacing w:val="-66"/>
        </w:rPr>
      </w:r>
      <w:r>
        <w:rPr/>
        <w:t>了公司原创</w:t>
      </w:r>
      <w:r>
        <w:rPr>
          <w:rFonts w:ascii="Times New Roman" w:hAnsi="Times New Roman" w:cs="Times New Roman" w:eastAsia="Times New Roman" w:hint="default"/>
        </w:rPr>
        <w:t>IP</w:t>
      </w:r>
      <w:r>
        <w:rPr/>
        <w:t>的丰富度。</w:t>
      </w:r>
    </w:p>
    <w:p>
      <w:pPr>
        <w:pStyle w:val="BodyText"/>
        <w:spacing w:line="240" w:lineRule="auto" w:before="119"/>
        <w:ind w:left="513" w:right="0"/>
        <w:jc w:val="left"/>
      </w:pPr>
      <w:r>
        <w:rPr/>
        <w:t>美盛游戏拥有《小小勇者村》、《纸牌三国》等优秀网页游戏和手机游戏，美盛动漫拥有《莫麟传奇》、《爵士兔》、</w:t>
      </w:r>
    </w:p>
    <w:p>
      <w:pPr>
        <w:pStyle w:val="BodyText"/>
        <w:spacing w:line="316" w:lineRule="auto" w:before="76"/>
        <w:ind w:right="0"/>
        <w:jc w:val="left"/>
      </w:pPr>
      <w:r>
        <w:rPr>
          <w:spacing w:val="-2"/>
        </w:rPr>
        <w:t>《坦坦小动员》等优秀原创动漫作品。此外，美盛动漫精心打造的《星学院第一季魔法礼服》收视率名列前茅，公司将围绕</w:t>
      </w:r>
      <w:r>
        <w:rPr>
          <w:spacing w:val="-68"/>
        </w:rPr>
        <w:t> </w:t>
      </w:r>
      <w:r>
        <w:rPr>
          <w:spacing w:val="-68"/>
        </w:rPr>
      </w:r>
      <w:r>
        <w:rPr>
          <w:spacing w:val="-3"/>
        </w:rPr>
        <w:t>动漫作品、手机游戏、儿童剧和衍生品四个方面打造</w:t>
      </w:r>
      <w:r>
        <w:rPr>
          <w:rFonts w:ascii="Times New Roman" w:hAnsi="Times New Roman" w:cs="Times New Roman" w:eastAsia="Times New Roman" w:hint="default"/>
          <w:spacing w:val="-3"/>
        </w:rPr>
        <w:t>“</w:t>
      </w:r>
      <w:r>
        <w:rPr>
          <w:spacing w:val="-3"/>
        </w:rPr>
        <w:t>星学院生态</w:t>
      </w:r>
      <w:r>
        <w:rPr>
          <w:rFonts w:ascii="Times New Roman" w:hAnsi="Times New Roman" w:cs="Times New Roman" w:eastAsia="Times New Roman" w:hint="default"/>
          <w:spacing w:val="-3"/>
        </w:rPr>
        <w:t>”</w:t>
      </w:r>
      <w:r>
        <w:rPr>
          <w:spacing w:val="-3"/>
        </w:rPr>
        <w:t>，将成为公司原创内容环节未来几年发展的核心战略之一。</w:t>
      </w:r>
    </w:p>
    <w:p>
      <w:pPr>
        <w:pStyle w:val="BodyText"/>
        <w:spacing w:line="309" w:lineRule="auto" w:before="119"/>
        <w:ind w:right="1132" w:firstLine="360"/>
        <w:jc w:val="both"/>
      </w:pPr>
      <w:r>
        <w:rPr>
          <w:spacing w:val="-1"/>
        </w:rPr>
        <w:t>优秀原创</w:t>
      </w:r>
      <w:r>
        <w:rPr>
          <w:rFonts w:ascii="Times New Roman" w:hAnsi="Times New Roman" w:cs="Times New Roman" w:eastAsia="Times New Roman" w:hint="default"/>
          <w:spacing w:val="-1"/>
        </w:rPr>
        <w:t>IP</w:t>
      </w:r>
      <w:r>
        <w:rPr>
          <w:spacing w:val="-1"/>
        </w:rPr>
        <w:t>形象的推出将建立对最终消费者的情感代入，增强消费者对</w:t>
      </w:r>
      <w:r>
        <w:rPr>
          <w:rFonts w:ascii="Times New Roman" w:hAnsi="Times New Roman" w:cs="Times New Roman" w:eastAsia="Times New Roman" w:hint="default"/>
          <w:spacing w:val="-1"/>
        </w:rPr>
        <w:t>IP</w:t>
      </w:r>
      <w:r>
        <w:rPr>
          <w:spacing w:val="-1"/>
        </w:rPr>
        <w:t>的认同度及粘性，同时也有助于提升广大消费</w:t>
      </w:r>
      <w:r>
        <w:rPr/>
        <w:t> </w:t>
      </w:r>
      <w:r>
        <w:rPr>
          <w:spacing w:val="-2"/>
        </w:rPr>
        <w:t>者对美盛品牌的认知，对公司蕴含价值和文化的认同，不断为公司带来市场人气和用户沉淀，也将为文化生态圈下游产业输</w:t>
      </w:r>
      <w:r>
        <w:rPr>
          <w:spacing w:val="-66"/>
        </w:rPr>
        <w:t> </w:t>
      </w:r>
      <w:r>
        <w:rPr>
          <w:spacing w:val="-66"/>
        </w:rPr>
      </w:r>
      <w:r>
        <w:rPr/>
        <w:t>送创作源泉。丰富的原创内容已形成公司的核心优势。</w:t>
      </w:r>
    </w:p>
    <w:p>
      <w:pPr>
        <w:pStyle w:val="BodyText"/>
        <w:spacing w:line="415" w:lineRule="auto" w:before="144"/>
        <w:ind w:left="514" w:right="1032" w:firstLine="120"/>
        <w:jc w:val="left"/>
      </w:pPr>
      <w:r>
        <w:rPr>
          <w:rFonts w:ascii="Times New Roman" w:hAnsi="Times New Roman" w:cs="Times New Roman" w:eastAsia="Times New Roman" w:hint="default"/>
        </w:rPr>
        <w:t>3</w:t>
      </w:r>
      <w:r>
        <w:rPr/>
        <w:t>、丰富的平台部署优势 平台是内容的展示场所，是粉丝群体的聚集家园，是衍生产品转化收益的通道。公司目前已经部署了丰富的平台资源，</w:t>
      </w:r>
    </w:p>
    <w:p>
      <w:pPr>
        <w:pStyle w:val="BodyText"/>
        <w:spacing w:line="195" w:lineRule="exact"/>
        <w:ind w:right="0"/>
        <w:jc w:val="left"/>
      </w:pPr>
      <w:r>
        <w:rPr/>
        <w:t>为公司各条产业链打造了立体化的出口：公司设立了垂直电子商务平台悠窝窝（</w:t>
      </w:r>
      <w:hyperlink r:id="rId15">
        <w:r>
          <w:rPr>
            <w:rFonts w:ascii="Times New Roman" w:hAnsi="Times New Roman" w:cs="Times New Roman" w:eastAsia="Times New Roman" w:hint="default"/>
          </w:rPr>
          <w:t>http://www.uwowo.com</w:t>
        </w:r>
      </w:hyperlink>
      <w:r>
        <w:rPr/>
        <w:t>），打造全方位覆盖</w:t>
      </w:r>
    </w:p>
    <w:p>
      <w:pPr>
        <w:pStyle w:val="BodyText"/>
        <w:spacing w:line="304" w:lineRule="auto" w:before="63"/>
        <w:ind w:right="0"/>
        <w:jc w:val="left"/>
      </w:pPr>
      <w:r>
        <w:rPr/>
        <w:t>的动漫服饰和</w:t>
      </w:r>
      <w:r>
        <w:rPr>
          <w:rFonts w:ascii="Times New Roman" w:hAnsi="Times New Roman" w:cs="Times New Roman" w:eastAsia="Times New Roman" w:hint="default"/>
        </w:rPr>
        <w:t>Cosplay</w:t>
      </w:r>
      <w:r>
        <w:rPr/>
        <w:t>服饰等衍生品销售通道；公司通过收购酷米网（</w:t>
      </w:r>
      <w:hyperlink r:id="rId16">
        <w:r>
          <w:rPr>
            <w:rFonts w:ascii="Times New Roman" w:hAnsi="Times New Roman" w:cs="Times New Roman" w:eastAsia="Times New Roman" w:hint="default"/>
          </w:rPr>
          <w:t>http://www.kumi.cn</w:t>
        </w:r>
      </w:hyperlink>
      <w:r>
        <w:rPr/>
        <w:t>），搭建了以儿童及家长为主要对</w:t>
      </w:r>
      <w:r>
        <w:rPr>
          <w:spacing w:val="-62"/>
        </w:rPr>
        <w:t> </w:t>
      </w:r>
      <w:r>
        <w:rPr>
          <w:spacing w:val="-62"/>
        </w:rPr>
      </w:r>
      <w:r>
        <w:rPr>
          <w:spacing w:val="-2"/>
        </w:rPr>
        <w:t>象的动漫视听节目播出平台和互联网动漫娱乐服务平台；公司通过美盛游戏打造了美盛游戏平台和游戏港口等游戏类门户网</w:t>
      </w:r>
      <w:r>
        <w:rPr>
          <w:spacing w:val="-64"/>
        </w:rPr>
        <w:t> </w:t>
      </w:r>
      <w:r>
        <w:rPr>
          <w:spacing w:val="-64"/>
        </w:rPr>
      </w:r>
      <w:r>
        <w:rPr/>
        <w:t>站，为自身优秀游戏作品提供了稳定的运营平台；公司通过星梦工坊完善了演艺平台的建立，为公司自身核心</w:t>
      </w:r>
      <w:r>
        <w:rPr>
          <w:rFonts w:ascii="Times New Roman" w:hAnsi="Times New Roman" w:cs="Times New Roman" w:eastAsia="Times New Roman" w:hint="default"/>
        </w:rPr>
        <w:t>IP</w:t>
      </w:r>
      <w:r>
        <w:rPr/>
        <w:t>提供了舞台 </w:t>
      </w:r>
      <w:r>
        <w:rPr>
          <w:spacing w:val="-2"/>
        </w:rPr>
        <w:t>剧等新的展示平台；公司与重要客户</w:t>
      </w:r>
      <w:r>
        <w:rPr>
          <w:rFonts w:ascii="Times New Roman" w:hAnsi="Times New Roman" w:cs="Times New Roman" w:eastAsia="Times New Roman" w:hint="default"/>
          <w:spacing w:val="-2"/>
        </w:rPr>
        <w:t>Jakks</w:t>
      </w:r>
      <w:r>
        <w:rPr>
          <w:rFonts w:ascii="Times New Roman" w:hAnsi="Times New Roman" w:cs="Times New Roman" w:eastAsia="Times New Roman" w:hint="default"/>
        </w:rPr>
        <w:t> </w:t>
      </w:r>
      <w:r>
        <w:rPr>
          <w:rFonts w:ascii="Times New Roman" w:hAnsi="Times New Roman" w:cs="Times New Roman" w:eastAsia="Times New Roman" w:hint="default"/>
          <w:spacing w:val="-1"/>
        </w:rPr>
        <w:t>Pacific</w:t>
      </w:r>
      <w:r>
        <w:rPr>
          <w:spacing w:val="-1"/>
        </w:rPr>
        <w:t>共同设立的杰克仕美盛营销平台将为国内的消费者带来国外最新潮的玩具、</w:t>
      </w:r>
      <w:r>
        <w:rPr>
          <w:spacing w:val="-50"/>
        </w:rPr>
        <w:t> </w:t>
      </w:r>
      <w:r>
        <w:rPr>
          <w:spacing w:val="-50"/>
        </w:rPr>
      </w:r>
      <w:r>
        <w:rPr/>
        <w:t>动漫服饰流行体验，有利于国内市场的快速发展，将为公司来带新的利润增长点。</w:t>
      </w:r>
    </w:p>
    <w:p>
      <w:pPr>
        <w:pStyle w:val="BodyText"/>
        <w:spacing w:line="316" w:lineRule="auto" w:before="148"/>
        <w:ind w:right="1133" w:firstLine="360"/>
        <w:jc w:val="both"/>
      </w:pPr>
      <w:r>
        <w:rPr>
          <w:spacing w:val="-2"/>
        </w:rPr>
        <w:t>公司目前建立的多层级多维度平台部署，充分发挥了公司全产业链布局的综合优势，实现了产业上下游资源的整合。丰</w:t>
      </w:r>
      <w:r>
        <w:rPr/>
        <w:t> 富的平台资源也为消费者提供了多元化的泛娱乐体验，体现了公司平台资源的优势。</w:t>
      </w:r>
    </w:p>
    <w:p>
      <w:pPr>
        <w:pStyle w:val="BodyText"/>
        <w:spacing w:line="340" w:lineRule="auto" w:before="139"/>
        <w:ind w:left="444" w:right="1118" w:firstLine="189"/>
        <w:jc w:val="left"/>
      </w:pPr>
      <w:r>
        <w:rPr>
          <w:rFonts w:ascii="Times New Roman" w:hAnsi="Times New Roman" w:cs="Times New Roman" w:eastAsia="Times New Roman" w:hint="default"/>
        </w:rPr>
        <w:t>4</w:t>
      </w:r>
      <w:r>
        <w:rPr/>
        <w:t>、人才优势 </w:t>
      </w:r>
      <w:r>
        <w:rPr>
          <w:spacing w:val="-1"/>
        </w:rPr>
        <w:t>公司始终坚持以人为本，多年来持续加强人力资源建设，注重人才引进和人才培养，目前已聚集了对公司文化和发展战</w:t>
      </w:r>
    </w:p>
    <w:p>
      <w:pPr>
        <w:pStyle w:val="BodyText"/>
        <w:spacing w:line="319" w:lineRule="auto"/>
        <w:ind w:left="154" w:right="1131"/>
        <w:jc w:val="both"/>
      </w:pPr>
      <w:r>
        <w:rPr>
          <w:spacing w:val="-2"/>
        </w:rPr>
        <w:t>略高度认同的优秀管理人才及由国内一流的原创动漫设计团队、游戏开发团队、动漫衍生品设计专家、动漫衍生品市场专家</w:t>
      </w:r>
      <w:r>
        <w:rPr>
          <w:spacing w:val="-66"/>
        </w:rPr>
        <w:t> </w:t>
      </w:r>
      <w:r>
        <w:rPr>
          <w:spacing w:val="-66"/>
        </w:rPr>
      </w:r>
      <w:r>
        <w:rPr>
          <w:spacing w:val="-2"/>
        </w:rPr>
        <w:t>等文化产业各领域的高级专业人才组成的具有高度凝聚力的人才队伍。公司的人才优势为全产业链布局的协同效应的发挥提</w:t>
      </w:r>
      <w:r>
        <w:rPr>
          <w:spacing w:val="-64"/>
        </w:rPr>
        <w:t> </w:t>
      </w:r>
      <w:r>
        <w:rPr>
          <w:spacing w:val="-64"/>
        </w:rPr>
      </w:r>
      <w:r>
        <w:rPr/>
        <w:t>供了有力的保障。</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578"/>
        <w:jc w:val="left"/>
      </w:pPr>
      <w:r>
        <w:rPr>
          <w:rFonts w:ascii="Times New Roman" w:hAnsi="Times New Roman" w:cs="Times New Roman" w:eastAsia="Times New Roman" w:hint="default"/>
        </w:rPr>
        <w:t>2015</w:t>
      </w:r>
      <w:r>
        <w:rPr/>
        <w:t>年是公司持续成长的一年，在这一年中，公司利用丰富的自身资源优势以及外部良好的成长环境，不断优化和 升级产业链，加大市场拓展力度，各项业务呈稳健发展态势。</w:t>
      </w:r>
    </w:p>
    <w:p>
      <w:pPr>
        <w:pStyle w:val="BodyText"/>
        <w:spacing w:line="300" w:lineRule="auto" w:before="31"/>
        <w:ind w:right="0" w:firstLine="578"/>
        <w:jc w:val="left"/>
      </w:pPr>
      <w:r>
        <w:rPr>
          <w:rFonts w:ascii="Times New Roman" w:hAnsi="Times New Roman" w:cs="Times New Roman" w:eastAsia="Times New Roman" w:hint="default"/>
        </w:rPr>
        <w:t>2015</w:t>
      </w:r>
      <w:r>
        <w:rPr/>
        <w:t>年度公司实现营业收入</w:t>
      </w:r>
      <w:r>
        <w:rPr>
          <w:rFonts w:ascii="Times New Roman" w:hAnsi="Times New Roman" w:cs="Times New Roman" w:eastAsia="Times New Roman" w:hint="default"/>
        </w:rPr>
        <w:t>40810.12</w:t>
      </w:r>
      <w:r>
        <w:rPr/>
        <w:t>万元，比去年减少</w:t>
      </w:r>
      <w:r>
        <w:rPr>
          <w:rFonts w:ascii="Times New Roman" w:hAnsi="Times New Roman" w:cs="Times New Roman" w:eastAsia="Times New Roman" w:hint="default"/>
        </w:rPr>
        <w:t>10.5%</w:t>
      </w:r>
      <w:r>
        <w:rPr/>
        <w:t>，归属于上市公司股东的净利润为</w:t>
      </w:r>
      <w:r>
        <w:rPr>
          <w:rFonts w:ascii="Times New Roman" w:hAnsi="Times New Roman" w:cs="Times New Roman" w:eastAsia="Times New Roman" w:hint="default"/>
        </w:rPr>
        <w:t>12640.83</w:t>
      </w:r>
      <w:r>
        <w:rPr/>
        <w:t>万元，比去 年增长</w:t>
      </w:r>
      <w:r>
        <w:rPr>
          <w:rFonts w:ascii="Times New Roman" w:hAnsi="Times New Roman" w:cs="Times New Roman" w:eastAsia="Times New Roman" w:hint="default"/>
        </w:rPr>
        <w:t>30.15%</w:t>
      </w:r>
      <w:r>
        <w:rPr/>
        <w:t>，营业成本</w:t>
      </w:r>
      <w:r>
        <w:rPr>
          <w:rFonts w:ascii="Times New Roman" w:hAnsi="Times New Roman" w:cs="Times New Roman" w:eastAsia="Times New Roman" w:hint="default"/>
        </w:rPr>
        <w:t>25419.88</w:t>
      </w:r>
      <w:r>
        <w:rPr/>
        <w:t>万元，比去年减少</w:t>
      </w:r>
      <w:r>
        <w:rPr>
          <w:rFonts w:ascii="Times New Roman" w:hAnsi="Times New Roman" w:cs="Times New Roman" w:eastAsia="Times New Roman" w:hint="default"/>
        </w:rPr>
        <w:t>12.22%</w:t>
      </w:r>
      <w:r>
        <w:rPr/>
        <w:t>。</w:t>
      </w:r>
    </w:p>
    <w:p>
      <w:pPr>
        <w:pStyle w:val="BodyText"/>
        <w:spacing w:line="240" w:lineRule="auto" w:before="13"/>
        <w:ind w:left="444" w:right="0"/>
        <w:jc w:val="left"/>
      </w:pPr>
      <w:r>
        <w:rPr/>
        <w:t>（一）、报告期内公司主要财务数据变动的原因：</w:t>
      </w:r>
    </w:p>
    <w:p>
      <w:pPr>
        <w:pStyle w:val="BodyText"/>
        <w:spacing w:line="300" w:lineRule="auto" w:before="76"/>
        <w:ind w:right="1042" w:firstLine="578"/>
        <w:jc w:val="left"/>
      </w:pPr>
      <w:r>
        <w:rPr>
          <w:rFonts w:ascii="Times New Roman" w:hAnsi="Times New Roman" w:cs="Times New Roman" w:eastAsia="Times New Roman" w:hint="default"/>
          <w:spacing w:val="-2"/>
        </w:rPr>
        <w:t>2015</w:t>
      </w:r>
      <w:r>
        <w:rPr>
          <w:spacing w:val="-2"/>
        </w:rPr>
        <w:t>年度公司实现营业收入</w:t>
      </w:r>
      <w:r>
        <w:rPr>
          <w:rFonts w:ascii="Times New Roman" w:hAnsi="Times New Roman" w:cs="Times New Roman" w:eastAsia="Times New Roman" w:hint="default"/>
          <w:spacing w:val="-2"/>
        </w:rPr>
        <w:t>40810.12</w:t>
      </w:r>
      <w:r>
        <w:rPr>
          <w:spacing w:val="-2"/>
        </w:rPr>
        <w:t>万元，比去年下降</w:t>
      </w:r>
      <w:r>
        <w:rPr>
          <w:rFonts w:ascii="Times New Roman" w:hAnsi="Times New Roman" w:cs="Times New Roman" w:eastAsia="Times New Roman" w:hint="default"/>
          <w:spacing w:val="-2"/>
        </w:rPr>
        <w:t>10.5%</w:t>
      </w:r>
      <w:r>
        <w:rPr>
          <w:spacing w:val="-2"/>
        </w:rPr>
        <w:t>，营业收入的下降，主要原因是动漫服饰产品收入减少。</w:t>
      </w:r>
      <w:r>
        <w:rPr/>
        <w:t> 营业成本</w:t>
      </w:r>
      <w:r>
        <w:rPr>
          <w:rFonts w:ascii="Times New Roman" w:hAnsi="Times New Roman" w:cs="Times New Roman" w:eastAsia="Times New Roman" w:hint="default"/>
        </w:rPr>
        <w:t>25419.88</w:t>
      </w:r>
      <w:r>
        <w:rPr/>
        <w:t>万元，比去年下降</w:t>
      </w:r>
      <w:r>
        <w:rPr>
          <w:rFonts w:ascii="Times New Roman" w:hAnsi="Times New Roman" w:cs="Times New Roman" w:eastAsia="Times New Roman" w:hint="default"/>
        </w:rPr>
        <w:t>12.22%</w:t>
      </w:r>
      <w:r>
        <w:rPr/>
        <w:t>，主要原因是营业收入下降；销售费用为</w:t>
      </w:r>
      <w:r>
        <w:rPr>
          <w:rFonts w:ascii="Times New Roman" w:hAnsi="Times New Roman" w:cs="Times New Roman" w:eastAsia="Times New Roman" w:hint="default"/>
        </w:rPr>
        <w:t>1585.79</w:t>
      </w:r>
      <w:r>
        <w:rPr/>
        <w:t>万元，比去年增长</w:t>
      </w:r>
      <w:r>
        <w:rPr>
          <w:rFonts w:ascii="Times New Roman" w:hAnsi="Times New Roman" w:cs="Times New Roman" w:eastAsia="Times New Roman" w:hint="default"/>
        </w:rPr>
        <w:t>16.87%</w:t>
      </w:r>
      <w:r>
        <w:rPr/>
        <w:t>，主</w:t>
      </w:r>
      <w:r>
        <w:rPr>
          <w:spacing w:val="-30"/>
        </w:rPr>
        <w:t> </w:t>
      </w:r>
      <w:r>
        <w:rPr>
          <w:spacing w:val="-3"/>
        </w:rPr>
        <w:t>要是动画片播映费增加；管理费用为</w:t>
      </w:r>
      <w:r>
        <w:rPr>
          <w:rFonts w:ascii="Times New Roman" w:hAnsi="Times New Roman" w:cs="Times New Roman" w:eastAsia="Times New Roman" w:hint="default"/>
          <w:spacing w:val="-3"/>
        </w:rPr>
        <w:t>6065.76</w:t>
      </w:r>
      <w:r>
        <w:rPr>
          <w:spacing w:val="-3"/>
        </w:rPr>
        <w:t>万元，比去年增长</w:t>
      </w:r>
      <w:r>
        <w:rPr>
          <w:rFonts w:ascii="Times New Roman" w:hAnsi="Times New Roman" w:cs="Times New Roman" w:eastAsia="Times New Roman" w:hint="default"/>
          <w:spacing w:val="-3"/>
        </w:rPr>
        <w:t>20.11%</w:t>
      </w:r>
      <w:r>
        <w:rPr>
          <w:spacing w:val="-3"/>
        </w:rPr>
        <w:t>，主要是研发费用和职工薪酬增加；财务费用为</w:t>
      </w:r>
      <w:r>
        <w:rPr>
          <w:rFonts w:ascii="Times New Roman" w:hAnsi="Times New Roman" w:cs="Times New Roman" w:eastAsia="Times New Roman" w:hint="default"/>
          <w:spacing w:val="-3"/>
        </w:rPr>
        <w:t>-742.37</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万元，比去年减少</w:t>
      </w:r>
      <w:r>
        <w:rPr>
          <w:rFonts w:ascii="Times New Roman" w:hAnsi="Times New Roman" w:cs="Times New Roman" w:eastAsia="Times New Roman" w:hint="default"/>
        </w:rPr>
        <w:t>743.26%</w:t>
      </w:r>
      <w:r>
        <w:rPr/>
        <w:t>，主要是汇兑收益增加；归属于上市公司股东的净利润为</w:t>
      </w:r>
      <w:r>
        <w:rPr>
          <w:rFonts w:ascii="Times New Roman" w:hAnsi="Times New Roman" w:cs="Times New Roman" w:eastAsia="Times New Roman" w:hint="default"/>
        </w:rPr>
        <w:t>12640.83</w:t>
      </w:r>
      <w:r>
        <w:rPr/>
        <w:t>万元，比去年增长</w:t>
      </w:r>
      <w:r>
        <w:rPr>
          <w:rFonts w:ascii="Times New Roman" w:hAnsi="Times New Roman" w:cs="Times New Roman" w:eastAsia="Times New Roman" w:hint="default"/>
        </w:rPr>
        <w:t>30.15%</w:t>
      </w:r>
      <w:r>
        <w:rPr/>
        <w:t>，主</w:t>
      </w:r>
      <w:r>
        <w:rPr>
          <w:spacing w:val="-75"/>
        </w:rPr>
        <w:t> </w:t>
      </w:r>
      <w:r>
        <w:rPr/>
        <w:t>要是因为投资收益增加。经营活动产生的现金流量净额为</w:t>
      </w:r>
      <w:r>
        <w:rPr>
          <w:rFonts w:ascii="Times New Roman" w:hAnsi="Times New Roman" w:cs="Times New Roman" w:eastAsia="Times New Roman" w:hint="default"/>
        </w:rPr>
        <w:t>5164.74</w:t>
      </w:r>
      <w:r>
        <w:rPr/>
        <w:t>万元，比去年减少</w:t>
      </w:r>
      <w:r>
        <w:rPr>
          <w:rFonts w:ascii="Times New Roman" w:hAnsi="Times New Roman" w:cs="Times New Roman" w:eastAsia="Times New Roman" w:hint="default"/>
        </w:rPr>
        <w:t>329.59%</w:t>
      </w:r>
      <w:r>
        <w:rPr/>
        <w:t>，主要是购买商品支付的现金减 少；投资活动产生的现金流量净额为</w:t>
      </w:r>
      <w:r>
        <w:rPr>
          <w:rFonts w:ascii="Times New Roman" w:hAnsi="Times New Roman" w:cs="Times New Roman" w:eastAsia="Times New Roman" w:hint="default"/>
        </w:rPr>
        <w:t>-5477.66</w:t>
      </w:r>
      <w:r>
        <w:rPr/>
        <w:t>万元</w:t>
      </w:r>
      <w:r>
        <w:rPr>
          <w:rFonts w:ascii="Times New Roman" w:hAnsi="Times New Roman" w:cs="Times New Roman" w:eastAsia="Times New Roman" w:hint="default"/>
        </w:rPr>
        <w:t>,</w:t>
      </w:r>
      <w:r>
        <w:rPr/>
        <w:t>比去年减少</w:t>
      </w:r>
      <w:r>
        <w:rPr>
          <w:rFonts w:ascii="Times New Roman" w:hAnsi="Times New Roman" w:cs="Times New Roman" w:eastAsia="Times New Roman" w:hint="default"/>
        </w:rPr>
        <w:t>127.93%</w:t>
      </w:r>
      <w:r>
        <w:rPr/>
        <w:t>，主要是理财产品到期减少；筹资活动产生的现金流</w:t>
      </w:r>
      <w:r>
        <w:rPr>
          <w:spacing w:val="-74"/>
        </w:rPr>
        <w:t> </w:t>
      </w:r>
      <w:r>
        <w:rPr>
          <w:spacing w:val="-74"/>
        </w:rPr>
      </w:r>
      <w:r>
        <w:rPr/>
        <w:t>量净额为</w:t>
      </w:r>
      <w:r>
        <w:rPr>
          <w:rFonts w:ascii="Times New Roman" w:hAnsi="Times New Roman" w:cs="Times New Roman" w:eastAsia="Times New Roman" w:hint="default"/>
        </w:rPr>
        <w:t>32957.04</w:t>
      </w:r>
      <w:r>
        <w:rPr/>
        <w:t>万元，比去年增加</w:t>
      </w:r>
      <w:r>
        <w:rPr>
          <w:rFonts w:ascii="Times New Roman" w:hAnsi="Times New Roman" w:cs="Times New Roman" w:eastAsia="Times New Roman" w:hint="default"/>
        </w:rPr>
        <w:t>1972.76%</w:t>
      </w:r>
      <w:r>
        <w:rPr/>
        <w:t>，主要是非公开发行股票。</w:t>
      </w:r>
    </w:p>
    <w:p>
      <w:pPr>
        <w:pStyle w:val="BodyText"/>
        <w:spacing w:line="240" w:lineRule="auto" w:before="13"/>
        <w:ind w:left="444" w:right="0"/>
        <w:jc w:val="left"/>
      </w:pPr>
      <w:r>
        <w:rPr/>
        <w:t>（二）、公司发展战略和经营计划在报告期内的进展情况</w:t>
      </w:r>
    </w:p>
    <w:p>
      <w:pPr>
        <w:pStyle w:val="BodyText"/>
        <w:spacing w:line="338" w:lineRule="auto" w:before="117"/>
        <w:ind w:left="443" w:right="8273" w:firstLine="289"/>
        <w:jc w:val="left"/>
      </w:pPr>
      <w:r>
        <w:rPr>
          <w:rFonts w:ascii="Times New Roman" w:hAnsi="Times New Roman" w:cs="Times New Roman" w:eastAsia="Times New Roman" w:hint="default"/>
        </w:rPr>
        <w:t>1</w:t>
      </w:r>
      <w:r>
        <w:rPr/>
        <w:t>、原创动漫衍生品业务 </w:t>
      </w:r>
      <w:r>
        <w:rPr>
          <w:rFonts w:ascii="Times New Roman" w:hAnsi="Times New Roman" w:cs="Times New Roman" w:eastAsia="Times New Roman" w:hint="default"/>
        </w:rPr>
        <w:t>(1)</w:t>
      </w:r>
      <w:r>
        <w:rPr/>
        <w:t>进一步提升产品开发能力</w:t>
      </w:r>
    </w:p>
    <w:p>
      <w:pPr>
        <w:pStyle w:val="BodyText"/>
        <w:spacing w:line="319" w:lineRule="auto" w:before="21"/>
        <w:ind w:right="0" w:firstLine="578"/>
        <w:jc w:val="left"/>
      </w:pPr>
      <w:r>
        <w:rPr/>
        <w:t>当前公司在动漫服饰及非动漫服饰等衍生品行业中依靠产品质量优势、较强的开发能力以及先发优势，取得了与全 </w:t>
      </w:r>
      <w:r>
        <w:rPr>
          <w:spacing w:val="-4"/>
        </w:rPr>
        <w:t>球主要动漫衍生品供应商的合作。未来公司将充分利用已经积累的各项竞争优势，把握行业潮流的导向，开发出更多潮流化、</w:t>
      </w:r>
      <w:r>
        <w:rPr>
          <w:spacing w:val="-44"/>
        </w:rPr>
        <w:t> </w:t>
      </w:r>
      <w:r>
        <w:rPr>
          <w:spacing w:val="-44"/>
        </w:rPr>
      </w:r>
      <w:r>
        <w:rPr/>
        <w:t>时尚化的产品。同时在产品设计上通过减少原材料消耗降低产品成本，提高公司的盈利能力。</w:t>
      </w:r>
    </w:p>
    <w:p>
      <w:pPr>
        <w:pStyle w:val="BodyText"/>
        <w:spacing w:line="338" w:lineRule="auto" w:before="56"/>
        <w:ind w:left="444" w:right="1202" w:firstLine="72"/>
        <w:jc w:val="left"/>
      </w:pPr>
      <w:r>
        <w:rPr>
          <w:rFonts w:ascii="Times New Roman" w:hAnsi="Times New Roman" w:cs="Times New Roman" w:eastAsia="Times New Roman" w:hint="default"/>
        </w:rPr>
        <w:t>(2)</w:t>
      </w:r>
      <w:r>
        <w:rPr/>
        <w:t>进一步加强市场拓展</w:t>
      </w:r>
      <w:r>
        <w:rPr>
          <w:w w:val="99"/>
        </w:rPr>
        <w:t> </w:t>
      </w:r>
      <w:r>
        <w:rPr/>
        <w:t>目前公司产品主要销往海外。公司一直与全球主要动漫衍生品供应商如</w:t>
      </w:r>
      <w:r>
        <w:rPr>
          <w:rFonts w:ascii="Times New Roman" w:hAnsi="Times New Roman" w:cs="Times New Roman" w:eastAsia="Times New Roman" w:hint="default"/>
        </w:rPr>
        <w:t>Disguise</w:t>
      </w:r>
      <w:r>
        <w:rPr/>
        <w:t>、</w:t>
      </w:r>
      <w:r>
        <w:rPr>
          <w:rFonts w:ascii="Times New Roman" w:hAnsi="Times New Roman" w:cs="Times New Roman" w:eastAsia="Times New Roman" w:hint="default"/>
        </w:rPr>
        <w:t>Christy</w:t>
      </w:r>
      <w:r>
        <w:rPr/>
        <w:t>等保持良好的合作关系，今后</w:t>
      </w:r>
    </w:p>
    <w:p>
      <w:pPr>
        <w:pStyle w:val="BodyText"/>
        <w:spacing w:line="217" w:lineRule="exact"/>
        <w:ind w:right="0"/>
        <w:jc w:val="left"/>
      </w:pPr>
      <w:r>
        <w:rPr/>
        <w:t>公司将进一步加强对现有主要客户的维护，继续巩固合作关系并争取更多业务机会。在此基础上，公司也加强了销售渠道建</w:t>
      </w:r>
    </w:p>
    <w:p>
      <w:pPr>
        <w:pStyle w:val="BodyText"/>
        <w:spacing w:line="319" w:lineRule="auto" w:before="76"/>
        <w:ind w:right="0"/>
        <w:jc w:val="left"/>
      </w:pPr>
      <w:r>
        <w:rPr>
          <w:spacing w:val="-2"/>
        </w:rPr>
        <w:t>设，收购荷兰公司以及建设电商网络平台以实现产品内容及销售网络布局的充实和完善，未来公司将进一步加强销售渠道建</w:t>
      </w:r>
      <w:r>
        <w:rPr>
          <w:spacing w:val="-64"/>
        </w:rPr>
        <w:t> </w:t>
      </w:r>
      <w:r>
        <w:rPr>
          <w:spacing w:val="-64"/>
        </w:rPr>
      </w:r>
      <w:r>
        <w:rPr/>
        <w:t>设，为公司产品和业务拓展创造更广阔的空间。</w:t>
      </w:r>
    </w:p>
    <w:p>
      <w:pPr>
        <w:pStyle w:val="BodyText"/>
        <w:spacing w:line="430" w:lineRule="exact" w:before="3"/>
        <w:ind w:left="514" w:right="0"/>
        <w:jc w:val="left"/>
      </w:pPr>
      <w:r>
        <w:rPr>
          <w:rFonts w:ascii="Times New Roman" w:hAnsi="Times New Roman" w:cs="Times New Roman" w:eastAsia="Times New Roman" w:hint="default"/>
        </w:rPr>
        <w:t>2</w:t>
      </w:r>
      <w:r>
        <w:rPr/>
        <w:t>、原创动漫业务 </w:t>
      </w:r>
      <w:r>
        <w:rPr>
          <w:spacing w:val="-2"/>
        </w:rPr>
        <w:t>公司收购美盛游戏，是全产业链布局中的一个重要步骤，实现了从衍生产品向上游原创动漫环节的延伸和拓展。未来公</w:t>
      </w:r>
    </w:p>
    <w:p>
      <w:pPr>
        <w:pStyle w:val="BodyText"/>
        <w:spacing w:line="316" w:lineRule="auto" w:before="15"/>
        <w:ind w:left="154" w:right="0"/>
        <w:jc w:val="left"/>
      </w:pPr>
      <w:r>
        <w:rPr>
          <w:spacing w:val="-2"/>
        </w:rPr>
        <w:t>司将依托自身强大的衍生产品开发设计能力和一体化优势，结合美盛游戏优秀的创作设计能力，打造自主产权的、在国内具</w:t>
      </w:r>
      <w:r>
        <w:rPr>
          <w:spacing w:val="-66"/>
        </w:rPr>
        <w:t> </w:t>
      </w:r>
      <w:r>
        <w:rPr>
          <w:spacing w:val="-66"/>
        </w:rPr>
      </w:r>
      <w:r>
        <w:rPr/>
        <w:t>有较强影响力的核心动漫形象</w:t>
      </w:r>
      <w:r>
        <w:rPr>
          <w:rFonts w:ascii="Times New Roman" w:hAnsi="Times New Roman" w:cs="Times New Roman" w:eastAsia="Times New Roman" w:hint="default"/>
        </w:rPr>
        <w:t>IP</w:t>
      </w:r>
      <w:r>
        <w:rPr/>
        <w:t>，并围绕核心</w:t>
      </w:r>
      <w:r>
        <w:rPr>
          <w:rFonts w:ascii="Times New Roman" w:hAnsi="Times New Roman" w:cs="Times New Roman" w:eastAsia="Times New Roman" w:hint="default"/>
        </w:rPr>
        <w:t>IP</w:t>
      </w:r>
      <w:r>
        <w:rPr/>
        <w:t>展开全产业链运作，实现原创动漫与衍生产品联动的良性融合发展目标。</w:t>
      </w:r>
    </w:p>
    <w:p>
      <w:pPr>
        <w:pStyle w:val="BodyText"/>
        <w:spacing w:line="240" w:lineRule="auto" w:before="119"/>
        <w:ind w:left="514" w:right="0"/>
        <w:jc w:val="left"/>
      </w:pPr>
      <w:r>
        <w:rPr>
          <w:rFonts w:ascii="Times New Roman" w:hAnsi="Times New Roman" w:cs="Times New Roman" w:eastAsia="Times New Roman" w:hint="default"/>
        </w:rPr>
        <w:t>3</w:t>
      </w:r>
      <w:r>
        <w:rPr/>
        <w:t>、原创游戏业务</w:t>
      </w:r>
    </w:p>
    <w:p>
      <w:pPr>
        <w:spacing w:line="240" w:lineRule="auto" w:before="13"/>
        <w:rPr>
          <w:rFonts w:ascii="宋体" w:hAnsi="宋体" w:cs="宋体" w:eastAsia="宋体" w:hint="default"/>
          <w:sz w:val="13"/>
          <w:szCs w:val="13"/>
        </w:rPr>
      </w:pPr>
    </w:p>
    <w:p>
      <w:pPr>
        <w:pStyle w:val="BodyText"/>
        <w:spacing w:line="312" w:lineRule="auto"/>
        <w:ind w:left="154" w:right="1132" w:firstLine="360"/>
        <w:jc w:val="both"/>
      </w:pPr>
      <w:r>
        <w:rPr>
          <w:spacing w:val="-2"/>
        </w:rPr>
        <w:t>公司控股子公司美盛游戏具有多年的游戏开发经验，拥有优秀的制作团队，创作过多部受到好评的游戏作品。未来公司</w:t>
      </w:r>
      <w:r>
        <w:rPr/>
        <w:t> </w:t>
      </w:r>
      <w:r>
        <w:rPr>
          <w:spacing w:val="-2"/>
        </w:rPr>
        <w:t>将结合整体发展战略通过美盛游戏加强游戏业务，游戏业务发展的方向要符合公司整体业务目标，一方面要与公司全产业一</w:t>
      </w:r>
      <w:r>
        <w:rPr>
          <w:spacing w:val="-64"/>
        </w:rPr>
        <w:t> </w:t>
      </w:r>
      <w:r>
        <w:rPr>
          <w:spacing w:val="-64"/>
        </w:rPr>
      </w:r>
      <w:r>
        <w:rPr>
          <w:spacing w:val="-2"/>
        </w:rPr>
        <w:t>体化运作战略相结合，围绕公司核心</w:t>
      </w:r>
      <w:r>
        <w:rPr>
          <w:rFonts w:ascii="Times New Roman" w:hAnsi="Times New Roman" w:cs="Times New Roman" w:eastAsia="Times New Roman" w:hint="default"/>
          <w:spacing w:val="-2"/>
        </w:rPr>
        <w:t>IP</w:t>
      </w:r>
      <w:r>
        <w:rPr>
          <w:spacing w:val="-2"/>
        </w:rPr>
        <w:t>开发相关产品；另一方面要针对市场需求和行业发展趋势使游戏作品满足游戏用户娱</w:t>
      </w:r>
      <w:r>
        <w:rPr>
          <w:spacing w:val="-45"/>
        </w:rPr>
        <w:t> </w:t>
      </w:r>
      <w:r>
        <w:rPr>
          <w:spacing w:val="-45"/>
        </w:rPr>
      </w:r>
      <w:r>
        <w:rPr/>
        <w:t>乐需要并适用于多终端（电脑、手机、平板及电视）。</w:t>
      </w:r>
    </w:p>
    <w:p>
      <w:pPr>
        <w:pStyle w:val="BodyText"/>
        <w:spacing w:line="300" w:lineRule="auto" w:before="142"/>
        <w:ind w:right="0" w:firstLine="360"/>
        <w:jc w:val="left"/>
      </w:pPr>
      <w:r>
        <w:rPr>
          <w:spacing w:val="-2"/>
        </w:rPr>
        <w:t>公司通过美盛游戏加强游戏制作业务不仅可以分享游戏市场快速发展的行业红利，更重要的是可以通过围绕自主核心</w:t>
      </w:r>
      <w:r>
        <w:rPr>
          <w:rFonts w:ascii="Times New Roman" w:hAnsi="Times New Roman" w:cs="Times New Roman" w:eastAsia="Times New Roman" w:hint="default"/>
          <w:spacing w:val="-2"/>
        </w:rPr>
        <w:t>IP</w:t>
      </w:r>
      <w:r>
        <w:rPr>
          <w:rFonts w:ascii="Times New Roman" w:hAnsi="Times New Roman" w:cs="Times New Roman" w:eastAsia="Times New Roman" w:hint="default"/>
          <w:w w:val="99"/>
        </w:rPr>
        <w:t> </w:t>
      </w:r>
      <w:r>
        <w:rPr/>
        <w:t>开发相关游戏产品并加大宣传力度，从而促进游戏与原创动漫、衍生产品的产业链互通。</w:t>
      </w:r>
    </w:p>
    <w:p>
      <w:pPr>
        <w:pStyle w:val="BodyText"/>
        <w:spacing w:line="240" w:lineRule="auto" w:before="151"/>
        <w:ind w:left="513" w:right="0"/>
        <w:jc w:val="left"/>
      </w:pPr>
      <w:r>
        <w:rPr>
          <w:rFonts w:ascii="Times New Roman" w:hAnsi="Times New Roman" w:cs="Times New Roman" w:eastAsia="Times New Roman" w:hint="default"/>
        </w:rPr>
        <w:t>4</w:t>
      </w:r>
      <w:r>
        <w:rPr/>
        <w:t>、儿童剧演艺业务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0"/>
        <w:jc w:val="both"/>
      </w:pPr>
      <w:r>
        <w:rPr>
          <w:spacing w:val="-2"/>
        </w:rPr>
        <w:t>公司收购星梦工坊，将动漫文化产业链延伸至舞台剧演艺环节，对未来核心</w:t>
      </w:r>
      <w:r>
        <w:rPr>
          <w:rFonts w:ascii="Times New Roman" w:hAnsi="Times New Roman" w:cs="Times New Roman" w:eastAsia="Times New Roman" w:hint="default"/>
          <w:spacing w:val="-2"/>
        </w:rPr>
        <w:t>IP</w:t>
      </w:r>
      <w:r>
        <w:rPr>
          <w:spacing w:val="-2"/>
        </w:rPr>
        <w:t>的宣传推广具有重要意义。未来星梦工坊</w:t>
      </w:r>
      <w:r>
        <w:rPr/>
        <w:t> </w:t>
      </w:r>
      <w:r>
        <w:rPr>
          <w:spacing w:val="-2"/>
        </w:rPr>
        <w:t>的业务发展，一方面将增加精品儿童剧目演出场次继续扩大市场影响力；另一方面也将与公司整体战略相结合，围绕公司核</w:t>
      </w:r>
      <w:r>
        <w:rPr>
          <w:spacing w:val="-66"/>
        </w:rPr>
        <w:t> </w:t>
      </w:r>
      <w:r>
        <w:rPr>
          <w:spacing w:val="-66"/>
        </w:rPr>
      </w:r>
      <w:r>
        <w:rPr/>
        <w:t>心</w:t>
      </w:r>
      <w:r>
        <w:rPr>
          <w:rFonts w:ascii="Times New Roman" w:hAnsi="Times New Roman" w:cs="Times New Roman" w:eastAsia="Times New Roman" w:hint="default"/>
        </w:rPr>
        <w:t>IP</w:t>
      </w:r>
      <w:r>
        <w:rPr/>
        <w:t>开发舞台剧作品，与公司产业链其他环节形成良好互动。</w:t>
      </w:r>
    </w:p>
    <w:p>
      <w:pPr>
        <w:pStyle w:val="BodyText"/>
        <w:spacing w:line="240" w:lineRule="auto" w:before="46"/>
        <w:ind w:left="444" w:right="0"/>
        <w:jc w:val="left"/>
      </w:pPr>
      <w:r>
        <w:rPr/>
        <w:t>（三）、公司于报告期内对外投资情况：</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562"/>
        <w:gridCol w:w="1966"/>
        <w:gridCol w:w="2891"/>
        <w:gridCol w:w="1762"/>
      </w:tblGrid>
      <w:tr>
        <w:trPr>
          <w:trHeight w:val="4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77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主要从事服装、动漫衍生产品开发设 计业务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100.00%</w:t>
            </w:r>
          </w:p>
        </w:tc>
      </w:tr>
      <w:tr>
        <w:trPr>
          <w:trHeight w:val="4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主要从事动漫、游戏设计、开发业务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100.00%</w:t>
            </w:r>
          </w:p>
        </w:tc>
      </w:tr>
      <w:tr>
        <w:trPr>
          <w:trHeight w:val="4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宋体" w:hAnsi="宋体" w:cs="宋体" w:eastAsia="宋体" w:hint="default"/>
                <w:sz w:val="18"/>
                <w:szCs w:val="18"/>
              </w:rPr>
              <w:t>万港元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从事与母公司产品相关的投资</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100.00%</w:t>
            </w:r>
          </w:p>
        </w:tc>
      </w:tr>
      <w:tr>
        <w:trPr>
          <w:trHeight w:val="77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杰克仕贸易</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万美元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主要从事</w:t>
            </w:r>
            <w:r>
              <w:rPr>
                <w:rFonts w:ascii="Times New Roman" w:hAnsi="Times New Roman" w:cs="Times New Roman" w:eastAsia="Times New Roman" w:hint="default"/>
                <w:sz w:val="18"/>
                <w:szCs w:val="18"/>
              </w:rPr>
              <w:t>Jakks </w:t>
            </w:r>
            <w:r>
              <w:rPr>
                <w:rFonts w:ascii="Times New Roman" w:hAnsi="Times New Roman" w:cs="Times New Roman" w:eastAsia="Times New Roman" w:hint="default"/>
                <w:spacing w:val="-4"/>
                <w:sz w:val="18"/>
                <w:szCs w:val="18"/>
              </w:rPr>
              <w:t>Pacific</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H.K.</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Limited</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指定产品销售业务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香港美盛持股</w:t>
            </w:r>
            <w:r>
              <w:rPr>
                <w:rFonts w:ascii="Times New Roman" w:hAnsi="Times New Roman" w:cs="Times New Roman" w:eastAsia="Times New Roman" w:hint="default"/>
                <w:sz w:val="18"/>
                <w:szCs w:val="18"/>
              </w:rPr>
              <w:t>49.00%</w:t>
            </w:r>
          </w:p>
        </w:tc>
      </w:tr>
      <w:tr>
        <w:trPr>
          <w:trHeight w:val="468"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主要从事动漫、游戏设计及开发业务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100.00%</w:t>
            </w:r>
          </w:p>
        </w:tc>
      </w:tr>
      <w:tr>
        <w:trPr>
          <w:trHeight w:val="1091"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613.00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3" w:right="-7"/>
              <w:jc w:val="left"/>
              <w:rPr>
                <w:rFonts w:ascii="宋体" w:hAnsi="宋体" w:cs="宋体" w:eastAsia="宋体" w:hint="default"/>
                <w:sz w:val="18"/>
                <w:szCs w:val="18"/>
              </w:rPr>
            </w:pPr>
            <w:r>
              <w:rPr>
                <w:rFonts w:ascii="宋体" w:hAnsi="宋体" w:cs="宋体" w:eastAsia="宋体" w:hint="default"/>
                <w:sz w:val="18"/>
                <w:szCs w:val="18"/>
              </w:rPr>
              <w:t>主要从事儿童舞台剧（含音乐剧等） </w:t>
            </w:r>
            <w:r>
              <w:rPr>
                <w:rFonts w:ascii="宋体" w:hAnsi="宋体" w:cs="宋体" w:eastAsia="宋体" w:hint="default"/>
                <w:spacing w:val="-7"/>
                <w:sz w:val="18"/>
                <w:szCs w:val="18"/>
              </w:rPr>
              <w:t>的制作、演出、以及衍生产品的开发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销售业务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51.06%</w:t>
            </w:r>
          </w:p>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091"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1,265.87</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主要从事盖动画、儿童剧、儿童游戏 及相关服务的互联网动漫娱乐服务 平台业务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40.10%</w:t>
            </w:r>
            <w:r>
              <w:rPr>
                <w:rFonts w:ascii="宋体" w:hAnsi="宋体" w:cs="宋体" w:eastAsia="宋体" w:hint="default"/>
                <w:sz w:val="18"/>
                <w:szCs w:val="18"/>
              </w:rPr>
              <w:t>（享有</w:t>
            </w:r>
            <w:r>
              <w:rPr>
                <w:rFonts w:ascii="Times New Roman" w:hAnsi="Times New Roman" w:cs="Times New Roman" w:eastAsia="Times New Roman" w:hint="default"/>
                <w:sz w:val="18"/>
                <w:szCs w:val="18"/>
              </w:rPr>
              <w:t>50.17%</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表决权）</w:t>
            </w:r>
          </w:p>
        </w:tc>
      </w:tr>
      <w:tr>
        <w:trPr>
          <w:trHeight w:val="4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主要从事动漫服饰线上销售业务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100.00%</w:t>
            </w:r>
          </w:p>
        </w:tc>
      </w:tr>
      <w:tr>
        <w:trPr>
          <w:trHeight w:val="4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主要从事公司</w:t>
            </w:r>
            <w:r>
              <w:rPr>
                <w:rFonts w:ascii="Times New Roman" w:hAnsi="Times New Roman" w:cs="Times New Roman" w:eastAsia="Times New Roman" w:hint="default"/>
                <w:sz w:val="18"/>
                <w:szCs w:val="18"/>
              </w:rPr>
              <w:t>IP</w:t>
            </w:r>
            <w:r>
              <w:rPr>
                <w:rFonts w:ascii="宋体" w:hAnsi="宋体" w:cs="宋体" w:eastAsia="宋体" w:hint="default"/>
                <w:sz w:val="18"/>
                <w:szCs w:val="18"/>
              </w:rPr>
              <w:t>文化生态圈项目建设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100.00%</w:t>
            </w:r>
          </w:p>
        </w:tc>
      </w:tr>
      <w:tr>
        <w:trPr>
          <w:trHeight w:val="4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主要从事二次元文化生态圈建设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100.00%</w:t>
            </w:r>
          </w:p>
        </w:tc>
      </w:tr>
      <w:tr>
        <w:trPr>
          <w:trHeight w:val="78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漫联贸易</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主要从事线上动漫衍生品销售</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美盛二次元持股</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51.00%</w:t>
            </w:r>
          </w:p>
        </w:tc>
      </w:tr>
      <w:tr>
        <w:trPr>
          <w:trHeight w:val="4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瑛麒动漫</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147.0625</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主要从事漫画分发平台业务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36.00%</w:t>
            </w:r>
          </w:p>
        </w:tc>
      </w:tr>
      <w:tr>
        <w:trPr>
          <w:trHeight w:val="77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广州创幻</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162.5</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1"/>
              <w:ind w:left="3" w:right="31"/>
              <w:jc w:val="left"/>
              <w:rPr>
                <w:rFonts w:ascii="宋体" w:hAnsi="宋体" w:cs="宋体" w:eastAsia="宋体" w:hint="default"/>
                <w:sz w:val="18"/>
                <w:szCs w:val="18"/>
              </w:rPr>
            </w:pPr>
            <w:r>
              <w:rPr>
                <w:rFonts w:ascii="宋体" w:hAnsi="宋体" w:cs="宋体" w:eastAsia="宋体" w:hint="default"/>
                <w:sz w:val="18"/>
                <w:szCs w:val="18"/>
              </w:rPr>
              <w:t>主要从事</w:t>
            </w: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宋体" w:hAnsi="宋体" w:cs="宋体" w:eastAsia="宋体" w:hint="default"/>
                <w:sz w:val="18"/>
                <w:szCs w:val="18"/>
              </w:rPr>
              <w:t>领域科技研发、内 容创作及平台运营（超次元平台）</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美盛二次元持股</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35.00%</w:t>
            </w:r>
          </w:p>
        </w:tc>
      </w:tr>
      <w:tr>
        <w:trPr>
          <w:trHeight w:val="4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从事自媒体运营及营销</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77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创新工场</w:t>
            </w:r>
          </w:p>
        </w:tc>
        <w:tc>
          <w:tcPr>
            <w:tcW w:w="1966"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投资管理、资产管理</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1"/>
              <w:ind w:left="2" w:right="122"/>
              <w:jc w:val="left"/>
              <w:rPr>
                <w:rFonts w:ascii="宋体" w:hAnsi="宋体" w:cs="宋体" w:eastAsia="宋体" w:hint="default"/>
                <w:sz w:val="18"/>
                <w:szCs w:val="18"/>
              </w:rPr>
            </w:pPr>
            <w:r>
              <w:rPr>
                <w:rFonts w:ascii="宋体" w:hAnsi="宋体" w:cs="宋体" w:eastAsia="宋体" w:hint="default"/>
                <w:sz w:val="18"/>
                <w:szCs w:val="18"/>
              </w:rPr>
              <w:t>认缴基金份额</w:t>
            </w:r>
            <w:r>
              <w:rPr>
                <w:rFonts w:ascii="Times New Roman" w:hAnsi="Times New Roman" w:cs="Times New Roman" w:eastAsia="Times New Roman" w:hint="default"/>
                <w:sz w:val="18"/>
                <w:szCs w:val="18"/>
              </w:rPr>
              <w:t>5000</w:t>
            </w:r>
            <w:r>
              <w:rPr>
                <w:rFonts w:ascii="宋体" w:hAnsi="宋体" w:cs="宋体" w:eastAsia="宋体" w:hint="default"/>
                <w:sz w:val="18"/>
                <w:szCs w:val="18"/>
              </w:rPr>
              <w:t>万 元</w:t>
            </w:r>
          </w:p>
        </w:tc>
      </w:tr>
      <w:tr>
        <w:trPr>
          <w:trHeight w:val="6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浦发村镇银行</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宋体" w:hAnsi="宋体" w:cs="宋体" w:eastAsia="宋体" w:hint="default"/>
                <w:sz w:val="18"/>
                <w:szCs w:val="18"/>
              </w:rPr>
              <w:t>万元</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71"/>
              <w:jc w:val="left"/>
              <w:rPr>
                <w:rFonts w:ascii="宋体" w:hAnsi="宋体" w:cs="宋体" w:eastAsia="宋体" w:hint="default"/>
                <w:sz w:val="18"/>
                <w:szCs w:val="18"/>
              </w:rPr>
            </w:pPr>
            <w:r>
              <w:rPr>
                <w:rFonts w:ascii="宋体" w:hAnsi="宋体" w:cs="宋体" w:eastAsia="宋体" w:hint="default"/>
                <w:sz w:val="18"/>
                <w:szCs w:val="18"/>
              </w:rPr>
              <w:t>主要从事提供银行及相关金融服务 业务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5.00%</w:t>
            </w:r>
          </w:p>
        </w:tc>
      </w:tr>
    </w:tbl>
    <w:p>
      <w:pPr>
        <w:spacing w:line="240" w:lineRule="auto" w:before="6"/>
        <w:rPr>
          <w:rFonts w:ascii="宋体" w:hAnsi="宋体" w:cs="宋体" w:eastAsia="宋体" w:hint="default"/>
          <w:sz w:val="27"/>
          <w:szCs w:val="27"/>
        </w:rPr>
      </w:pPr>
    </w:p>
    <w:p>
      <w:pPr>
        <w:pStyle w:val="BodyText"/>
        <w:spacing w:line="307" w:lineRule="auto" w:before="44"/>
        <w:ind w:right="0" w:firstLine="434"/>
        <w:jc w:val="left"/>
      </w:pPr>
      <w:r>
        <w:rPr>
          <w:spacing w:val="-2"/>
        </w:rPr>
        <w:t>公司围绕着文化产业发展，在保持原有动漫衍生品业务市场领先优势的基础上，不断完善产业链布局，自</w:t>
      </w:r>
      <w:r>
        <w:rPr>
          <w:rFonts w:ascii="Times New Roman" w:hAnsi="Times New Roman" w:cs="Times New Roman" w:eastAsia="Times New Roman" w:hint="default"/>
          <w:spacing w:val="-2"/>
        </w:rPr>
        <w:t>2013</w:t>
      </w:r>
      <w:r>
        <w:rPr>
          <w:spacing w:val="-2"/>
        </w:rPr>
        <w:t>年以来，</w:t>
      </w:r>
      <w:r>
        <w:rPr/>
        <w:t> </w:t>
      </w:r>
      <w:r>
        <w:rPr>
          <w:spacing w:val="-2"/>
        </w:rPr>
        <w:t>公司通过并购、投资等方式布局文化生态圈，业务横跨动漫、游戏、影视、媒体、儿童剧、衍生品等各大领域，综合性文化</w:t>
      </w:r>
      <w:r>
        <w:rPr>
          <w:spacing w:val="-67"/>
        </w:rPr>
        <w:t> </w:t>
      </w:r>
      <w:r>
        <w:rPr>
          <w:spacing w:val="-67"/>
        </w:rPr>
      </w:r>
      <w:r>
        <w:rPr/>
        <w:t>产业平台已成形。</w:t>
      </w:r>
      <w:r>
        <w:rPr>
          <w:rFonts w:ascii="Times New Roman" w:hAnsi="Times New Roman" w:cs="Times New Roman" w:eastAsia="Times New Roman" w:hint="default"/>
        </w:rPr>
        <w:t>2015</w:t>
      </w:r>
      <w:r>
        <w:rPr/>
        <w:t>年美盛文化深度挖掘</w:t>
      </w:r>
      <w:r>
        <w:rPr>
          <w:rFonts w:ascii="Times New Roman" w:hAnsi="Times New Roman" w:cs="Times New Roman" w:eastAsia="Times New Roman" w:hint="default"/>
        </w:rPr>
        <w:t>IP</w:t>
      </w:r>
      <w:r>
        <w:rPr/>
        <w:t>产业链：创造</w:t>
      </w:r>
      <w:r>
        <w:rPr>
          <w:rFonts w:ascii="Times New Roman" w:hAnsi="Times New Roman" w:cs="Times New Roman" w:eastAsia="Times New Roman" w:hint="default"/>
        </w:rPr>
        <w:t>IP</w:t>
      </w:r>
      <w:r>
        <w:rPr/>
        <w:t>、培育</w:t>
      </w:r>
      <w:r>
        <w:rPr>
          <w:rFonts w:ascii="Times New Roman" w:hAnsi="Times New Roman" w:cs="Times New Roman" w:eastAsia="Times New Roman" w:hint="default"/>
        </w:rPr>
        <w:t>IP</w:t>
      </w:r>
      <w:r>
        <w:rPr/>
        <w:t>、放大</w:t>
      </w:r>
      <w:r>
        <w:rPr>
          <w:rFonts w:ascii="Times New Roman" w:hAnsi="Times New Roman" w:cs="Times New Roman" w:eastAsia="Times New Roman" w:hint="default"/>
        </w:rPr>
        <w:t>IP</w:t>
      </w:r>
      <w:r>
        <w:rPr/>
        <w:t>、</w:t>
      </w:r>
      <w:r>
        <w:rPr>
          <w:rFonts w:ascii="Times New Roman" w:hAnsi="Times New Roman" w:cs="Times New Roman" w:eastAsia="Times New Roman" w:hint="default"/>
        </w:rPr>
        <w:t>IP</w:t>
      </w:r>
      <w:r>
        <w:rPr/>
        <w:t>经济化，借助自身综合性生态优势不断</w:t>
      </w:r>
      <w:r>
        <w:rPr>
          <w:spacing w:val="-79"/>
        </w:rPr>
        <w:t> </w:t>
      </w:r>
      <w:r>
        <w:rPr>
          <w:spacing w:val="-79"/>
        </w:rPr>
      </w:r>
      <w:r>
        <w:rPr/>
        <w:t>发掘与完善</w:t>
      </w:r>
      <w:r>
        <w:rPr>
          <w:rFonts w:ascii="Times New Roman" w:hAnsi="Times New Roman" w:cs="Times New Roman" w:eastAsia="Times New Roman" w:hint="default"/>
        </w:rPr>
        <w:t>IP</w:t>
      </w:r>
      <w:r>
        <w:rPr/>
        <w:t>产业链。</w:t>
      </w:r>
      <w:r>
        <w:rPr>
          <w:rFonts w:ascii="Times New Roman" w:hAnsi="Times New Roman" w:cs="Times New Roman" w:eastAsia="Times New Roman" w:hint="default"/>
        </w:rPr>
        <w:t>2015</w:t>
      </w:r>
      <w:r>
        <w:rPr/>
        <w:t>年公司提出了非公开发行预案，投资</w:t>
      </w:r>
      <w:r>
        <w:rPr>
          <w:rFonts w:ascii="Times New Roman" w:hAnsi="Times New Roman" w:cs="Times New Roman" w:eastAsia="Times New Roman" w:hint="default"/>
        </w:rPr>
        <w:t>21</w:t>
      </w:r>
      <w:r>
        <w:rPr/>
        <w:t>亿元构建</w:t>
      </w:r>
      <w:r>
        <w:rPr>
          <w:rFonts w:ascii="Times New Roman" w:hAnsi="Times New Roman" w:cs="Times New Roman" w:eastAsia="Times New Roman" w:hint="default"/>
        </w:rPr>
        <w:t>IP</w:t>
      </w:r>
      <w:r>
        <w:rPr/>
        <w:t>文化生态圈，进一步增强对优质</w:t>
      </w:r>
      <w:r>
        <w:rPr>
          <w:rFonts w:ascii="Times New Roman" w:hAnsi="Times New Roman" w:cs="Times New Roman" w:eastAsia="Times New Roman" w:hint="default"/>
        </w:rPr>
        <w:t>IP</w:t>
      </w:r>
      <w:r>
        <w:rPr/>
        <w:t>的发现能力</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和获取能力，提高获取优质</w:t>
      </w:r>
      <w:r>
        <w:rPr>
          <w:rFonts w:ascii="Times New Roman" w:hAnsi="Times New Roman" w:cs="Times New Roman" w:eastAsia="Times New Roman" w:hint="default"/>
          <w:spacing w:val="-2"/>
        </w:rPr>
        <w:t>IP</w:t>
      </w:r>
      <w:r>
        <w:rPr>
          <w:spacing w:val="-2"/>
        </w:rPr>
        <w:t>的稳定性和连续性，从而在未来的市场竞争中建立先发优势。同时，</w:t>
      </w:r>
      <w:r>
        <w:rPr>
          <w:rFonts w:ascii="Times New Roman" w:hAnsi="Times New Roman" w:cs="Times New Roman" w:eastAsia="Times New Roman" w:hint="default"/>
          <w:spacing w:val="-2"/>
        </w:rPr>
        <w:t>2015</w:t>
      </w:r>
      <w:r>
        <w:rPr>
          <w:spacing w:val="-2"/>
        </w:rPr>
        <w:t>年美盛文化依托自身</w:t>
      </w:r>
      <w:r>
        <w:rPr>
          <w:spacing w:val="-40"/>
        </w:rPr>
        <w:t> </w:t>
      </w:r>
      <w:r>
        <w:rPr/>
        <w:t>产业优势不断开发与培育国内新型文化意识形态，如开发、培育目前国内新文化领域</w:t>
      </w:r>
      <w:r>
        <w:rPr>
          <w:rFonts w:ascii="Times New Roman" w:hAnsi="Times New Roman" w:cs="Times New Roman" w:eastAsia="Times New Roman" w:hint="default"/>
        </w:rPr>
        <w:t>——</w:t>
      </w:r>
      <w:r>
        <w:rPr/>
        <w:t>二次元领域及</w:t>
      </w:r>
      <w:r>
        <w:rPr>
          <w:rFonts w:ascii="Times New Roman" w:hAnsi="Times New Roman" w:cs="Times New Roman" w:eastAsia="Times New Roman" w:hint="default"/>
        </w:rPr>
        <w:t>AR</w:t>
      </w:r>
      <w:r>
        <w:rPr/>
        <w:t>、</w:t>
      </w:r>
      <w:r>
        <w:rPr>
          <w:rFonts w:ascii="Times New Roman" w:hAnsi="Times New Roman" w:cs="Times New Roman" w:eastAsia="Times New Roman" w:hint="default"/>
        </w:rPr>
        <w:t>VR</w:t>
      </w:r>
      <w:r>
        <w:rPr/>
        <w:t>领域。</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408,101,150.30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455,996,687.08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405,603,828.72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452,544,641.56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2,497,321.58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3,452,045.52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233,864,943.91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349,638,432.52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-33.11%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120,219,600.61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87,126,156.70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19.11%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43,681,312.10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14,373,000.69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203.91%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舞台剧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6,129,214.80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1,407,051.65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335.61%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1,708,757.30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2,497,321.58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3,452,045.52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363,110,237.71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400,285,715.73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44,990,912.59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55,710,971.35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405,603,828.72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252,774,320.99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233,864,943.91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148,449,094.09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120,219,600.61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91,256,184.90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43,681,312.10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8,093,897.35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5,867,754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9,394,530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6,110,818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9,364,249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-34.74%</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129.89%</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主要原因系营业收入下降。</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252,774,320.99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288,149,256.63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-12.28%</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148,449,094.09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229,166,651.23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91,256,184.90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53,478,572.58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8,093,897.35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4,525,364.78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舞台剧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3,217,404.65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978,668.04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228.76%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1,757,740.00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21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0"/>
        <w:jc w:val="left"/>
      </w:pPr>
      <w:r>
        <w:rPr/>
        <w:t>√ 是 □ 否</w:t>
      </w:r>
    </w:p>
    <w:p>
      <w:pPr>
        <w:pStyle w:val="BodyText"/>
        <w:spacing w:line="240" w:lineRule="auto" w:before="115"/>
        <w:ind w:left="63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处置子公司</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964"/>
        <w:gridCol w:w="1446"/>
        <w:gridCol w:w="996"/>
        <w:gridCol w:w="998"/>
        <w:gridCol w:w="1272"/>
        <w:gridCol w:w="2127"/>
        <w:gridCol w:w="1837"/>
      </w:tblGrid>
      <w:tr>
        <w:trPr>
          <w:trHeight w:val="2194"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6" w:right="207"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7" w:right="356"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8" w:right="13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股权处置 比例</w:t>
            </w:r>
            <w:r>
              <w:rPr>
                <w:rFonts w:ascii="Times New Roman" w:hAnsi="Times New Roman" w:cs="Times New Roman" w:eastAsia="Times New Roman" w:hint="default"/>
                <w:sz w:val="18"/>
                <w:szCs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4" w:right="131"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2" w:right="269"/>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78" w:right="155" w:hanging="719"/>
              <w:jc w:val="left"/>
              <w:rPr>
                <w:rFonts w:ascii="宋体" w:hAnsi="宋体" w:cs="宋体" w:eastAsia="宋体" w:hint="default"/>
                <w:sz w:val="18"/>
                <w:szCs w:val="18"/>
              </w:rPr>
            </w:pPr>
            <w:r>
              <w:rPr>
                <w:rFonts w:ascii="宋体" w:hAnsi="宋体" w:cs="宋体" w:eastAsia="宋体" w:hint="default"/>
                <w:sz w:val="18"/>
                <w:szCs w:val="18"/>
              </w:rPr>
              <w:t>丧失控制权时点的确定 依据</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4" w:right="191"/>
              <w:jc w:val="center"/>
              <w:rPr>
                <w:rFonts w:ascii="宋体" w:hAnsi="宋体" w:cs="宋体" w:eastAsia="宋体" w:hint="default"/>
                <w:sz w:val="18"/>
                <w:szCs w:val="18"/>
              </w:rPr>
            </w:pPr>
            <w:r>
              <w:rPr>
                <w:rFonts w:ascii="宋体" w:hAnsi="宋体" w:cs="宋体" w:eastAsia="宋体" w:hint="default"/>
                <w:sz w:val="18"/>
                <w:szCs w:val="18"/>
              </w:rPr>
              <w:t>处置价款与处置投 资 对应的合并财务报 表 层面享有该子公司 净</w:t>
            </w:r>
          </w:p>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资产份额的差额</w:t>
            </w:r>
          </w:p>
        </w:tc>
      </w:tr>
      <w:tr>
        <w:trPr>
          <w:trHeight w:val="947"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12,000.00</w:t>
            </w:r>
            <w:r>
              <w:rPr>
                <w:rFonts w:ascii="宋体" w:hAnsi="宋体" w:cs="宋体" w:eastAsia="宋体" w:hint="default"/>
                <w:sz w:val="18"/>
                <w:szCs w:val="18"/>
              </w:rPr>
              <w:t>万元</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Times New Roman" w:hAnsi="Times New Roman" w:cs="Times New Roman" w:eastAsia="Times New Roman" w:hint="default"/>
                <w:sz w:val="18"/>
                <w:szCs w:val="18"/>
              </w:rPr>
            </w:pPr>
            <w:r>
              <w:rPr>
                <w:rFonts w:ascii="Times New Roman"/>
                <w:sz w:val="18"/>
              </w:rPr>
              <w:t>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8" w:right="156"/>
              <w:jc w:val="center"/>
              <w:rPr>
                <w:rFonts w:ascii="宋体" w:hAnsi="宋体" w:cs="宋体" w:eastAsia="宋体" w:hint="default"/>
                <w:sz w:val="18"/>
                <w:szCs w:val="18"/>
              </w:rPr>
            </w:pPr>
            <w:r>
              <w:rPr>
                <w:rFonts w:ascii="宋体" w:hAnsi="宋体" w:cs="宋体" w:eastAsia="宋体" w:hint="default"/>
                <w:sz w:val="18"/>
                <w:szCs w:val="18"/>
              </w:rPr>
              <w:t>就股权转让事宜已达成 协议且经股东大会审议 通过。</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0" w:right="0"/>
              <w:jc w:val="left"/>
              <w:rPr>
                <w:rFonts w:ascii="Times New Roman" w:hAnsi="Times New Roman" w:cs="Times New Roman" w:eastAsia="Times New Roman" w:hint="default"/>
                <w:sz w:val="18"/>
                <w:szCs w:val="18"/>
              </w:rPr>
            </w:pPr>
            <w:r>
              <w:rPr>
                <w:rFonts w:ascii="Times New Roman"/>
                <w:sz w:val="18"/>
              </w:rPr>
              <w:t>24,894,525.31</w:t>
            </w:r>
          </w:p>
        </w:tc>
      </w:tr>
    </w:tbl>
    <w:p>
      <w:pPr>
        <w:spacing w:line="240" w:lineRule="auto" w:before="3"/>
        <w:rPr>
          <w:rFonts w:ascii="宋体" w:hAnsi="宋体" w:cs="宋体" w:eastAsia="宋体" w:hint="default"/>
          <w:sz w:val="21"/>
          <w:szCs w:val="21"/>
        </w:rPr>
      </w:pPr>
    </w:p>
    <w:p>
      <w:pPr>
        <w:pStyle w:val="BodyText"/>
        <w:spacing w:line="240" w:lineRule="auto" w:before="44"/>
        <w:ind w:left="63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其他原因的合并范围变动</w:t>
      </w:r>
    </w:p>
    <w:p>
      <w:pPr>
        <w:pStyle w:val="BodyText"/>
        <w:spacing w:line="240" w:lineRule="auto" w:before="63"/>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合并范围增加</w:t>
      </w:r>
    </w:p>
    <w:p>
      <w:pPr>
        <w:spacing w:line="240" w:lineRule="auto" w:before="13"/>
        <w:rPr>
          <w:rFonts w:ascii="宋体" w:hAnsi="宋体" w:cs="宋体" w:eastAsia="宋体" w:hint="default"/>
          <w:sz w:val="3"/>
          <w:szCs w:val="3"/>
        </w:rPr>
      </w:pPr>
    </w:p>
    <w:tbl>
      <w:tblPr>
        <w:tblW w:w="0" w:type="auto"/>
        <w:jc w:val="left"/>
        <w:tblInd w:w="20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21"/>
          <w:szCs w:val="21"/>
        </w:rPr>
      </w:pPr>
    </w:p>
    <w:p>
      <w:pPr>
        <w:pStyle w:val="BodyText"/>
        <w:spacing w:line="240" w:lineRule="auto" w:before="44"/>
        <w:ind w:left="6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合并范围减少</w:t>
      </w:r>
    </w:p>
    <w:p>
      <w:pPr>
        <w:spacing w:line="240" w:lineRule="auto" w:before="13"/>
        <w:rPr>
          <w:rFonts w:ascii="宋体" w:hAnsi="宋体" w:cs="宋体" w:eastAsia="宋体" w:hint="default"/>
          <w:sz w:val="3"/>
          <w:szCs w:val="3"/>
        </w:rPr>
      </w:pPr>
    </w:p>
    <w:tbl>
      <w:tblPr>
        <w:tblW w:w="0" w:type="auto"/>
        <w:jc w:val="left"/>
        <w:tblInd w:w="20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6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6" w:right="302" w:hanging="270"/>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-2,609,347.90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-18,531.20</w:t>
            </w:r>
            <w:r>
              <w:rPr>
                <w:rFonts w:ascii="Times New Roman"/>
                <w:sz w:val="18"/>
              </w:rPr>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3,291,172.73</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-186,220.47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214"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21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266,667,105.57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111,547,324.19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58,950,847.64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48,983,799.85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33,987,020.95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13,198,112.94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266,667,105.57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65.34%</w:t>
            </w:r>
          </w:p>
        </w:tc>
      </w:tr>
    </w:tbl>
    <w:p>
      <w:pPr>
        <w:pStyle w:val="BodyText"/>
        <w:spacing w:line="240" w:lineRule="auto" w:before="51"/>
        <w:ind w:left="15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53,795,648.74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22.46%</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15,981,113.27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15,788,391.42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7,861,233.26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7,132,602.96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7,032,307.83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53,795,648.74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22.46%</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15,857,948.52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13,569,135.35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60,657,610.38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50,501,352.72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20.11%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99" w:right="0"/>
              <w:jc w:val="left"/>
              <w:rPr>
                <w:rFonts w:ascii="Times New Roman" w:hAnsi="Times New Roman" w:cs="Times New Roman" w:eastAsia="Times New Roman" w:hint="default"/>
                <w:sz w:val="18"/>
                <w:szCs w:val="18"/>
              </w:rPr>
            </w:pPr>
            <w:r>
              <w:rPr>
                <w:rFonts w:ascii="Times New Roman"/>
                <w:sz w:val="18"/>
              </w:rPr>
              <w:t>-7,423,654.18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1,154,076.25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-743.26%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10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本报告期内研发费用为</w:t>
      </w:r>
      <w:r>
        <w:rPr>
          <w:rFonts w:ascii="Times New Roman" w:hAnsi="Times New Roman" w:cs="Times New Roman" w:eastAsia="Times New Roman" w:hint="default"/>
        </w:rPr>
        <w:t>883.68</w:t>
      </w:r>
      <w:r>
        <w:rPr/>
        <w:t>万元，比上年同期增加</w:t>
      </w:r>
      <w:r>
        <w:rPr>
          <w:rFonts w:ascii="Times New Roman" w:hAnsi="Times New Roman" w:cs="Times New Roman" w:eastAsia="Times New Roman" w:hint="default"/>
        </w:rPr>
        <w:t>64.86%</w:t>
      </w:r>
    </w:p>
    <w:p>
      <w:pPr>
        <w:spacing w:after="0" w:line="338"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8,836,774.03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5,360,267.33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469,372,698.22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477,681,906.60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417,725,299.08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500,177,713.63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51,647,399.14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-22,495,807.03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199,871,994.07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298,404,430.22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254,648,573.27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102,259,611.96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149.02%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-54,776,579.20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196,144,818.26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-127.93%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369,893,915.80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2,365.96%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40,323,491.49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32,598,153.98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329,570,424.31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-17,598,153.98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1,972.76%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326,650,057.33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153,509,705.34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112.79%</w:t>
            </w:r>
          </w:p>
        </w:tc>
      </w:tr>
    </w:tbl>
    <w:p>
      <w:pPr>
        <w:pStyle w:val="BodyText"/>
        <w:spacing w:line="240" w:lineRule="auto" w:before="51"/>
        <w:ind w:left="154" w:right="0"/>
        <w:jc w:val="left"/>
      </w:pPr>
      <w:r>
        <w:rPr/>
        <w:t>相关数据同比发生重大变动的主要影响因素说明</w:t>
      </w:r>
    </w:p>
    <w:p>
      <w:pPr>
        <w:pStyle w:val="BodyText"/>
        <w:spacing w:line="338" w:lineRule="auto" w:before="116"/>
        <w:ind w:left="516" w:right="1119"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经营活动产生的现金流量净额为</w:t>
      </w:r>
      <w:r>
        <w:rPr>
          <w:rFonts w:ascii="Times New Roman" w:hAnsi="Times New Roman" w:cs="Times New Roman" w:eastAsia="Times New Roman" w:hint="default"/>
          <w:spacing w:val="-1"/>
        </w:rPr>
        <w:t>5164.74</w:t>
      </w:r>
      <w:r>
        <w:rPr>
          <w:spacing w:val="-1"/>
        </w:rPr>
        <w:t>万元，比去年减少</w:t>
      </w:r>
      <w:r>
        <w:rPr>
          <w:rFonts w:ascii="Times New Roman" w:hAnsi="Times New Roman" w:cs="Times New Roman" w:eastAsia="Times New Roman" w:hint="default"/>
          <w:spacing w:val="-1"/>
        </w:rPr>
        <w:t>329.59%</w:t>
      </w:r>
      <w:r>
        <w:rPr>
          <w:spacing w:val="-1"/>
        </w:rPr>
        <w:t>，主要是购买商品支付的现金减少；投资活动产生的</w:t>
      </w:r>
    </w:p>
    <w:p>
      <w:pPr>
        <w:pStyle w:val="BodyText"/>
        <w:spacing w:line="231" w:lineRule="exact"/>
        <w:ind w:right="0"/>
        <w:jc w:val="left"/>
      </w:pPr>
      <w:r>
        <w:rPr/>
        <w:t>现金流量净额为</w:t>
      </w:r>
      <w:r>
        <w:rPr>
          <w:rFonts w:ascii="Times New Roman" w:hAnsi="Times New Roman" w:cs="Times New Roman" w:eastAsia="Times New Roman" w:hint="default"/>
        </w:rPr>
        <w:t>-5477.66</w:t>
      </w:r>
      <w:r>
        <w:rPr/>
        <w:t>万元</w:t>
      </w:r>
      <w:r>
        <w:rPr>
          <w:rFonts w:ascii="Times New Roman" w:hAnsi="Times New Roman" w:cs="Times New Roman" w:eastAsia="Times New Roman" w:hint="default"/>
        </w:rPr>
        <w:t>,</w:t>
      </w:r>
      <w:r>
        <w:rPr/>
        <w:t>比去年减少</w:t>
      </w:r>
      <w:r>
        <w:rPr>
          <w:rFonts w:ascii="Times New Roman" w:hAnsi="Times New Roman" w:cs="Times New Roman" w:eastAsia="Times New Roman" w:hint="default"/>
        </w:rPr>
        <w:t>127.93%</w:t>
      </w:r>
      <w:r>
        <w:rPr/>
        <w:t>，主要是理财产品到期减少；筹资活动产生的现金流量净额为</w:t>
      </w:r>
      <w:r>
        <w:rPr>
          <w:rFonts w:ascii="Times New Roman" w:hAnsi="Times New Roman" w:cs="Times New Roman" w:eastAsia="Times New Roman" w:hint="default"/>
        </w:rPr>
        <w:t>32957.04</w:t>
      </w:r>
      <w:r>
        <w:rPr/>
        <w:t>万</w:t>
      </w:r>
    </w:p>
    <w:p>
      <w:pPr>
        <w:pStyle w:val="BodyText"/>
        <w:spacing w:line="640" w:lineRule="auto" w:before="63"/>
        <w:ind w:left="154" w:right="4272"/>
        <w:jc w:val="left"/>
      </w:pPr>
      <w:r>
        <w:rPr/>
        <w:t>元，比去年增加</w:t>
      </w:r>
      <w:r>
        <w:rPr>
          <w:rFonts w:ascii="Times New Roman" w:hAnsi="Times New Roman" w:cs="Times New Roman" w:eastAsia="Times New Roman" w:hint="default"/>
        </w:rPr>
        <w:t>1972.76%</w:t>
      </w:r>
      <w:r>
        <w:rPr/>
        <w:t>，主要是非公开发行股票。 报告期内公司经营活动产生的现金净流量与本年度净利润存在重大差异的原因说明</w:t>
      </w:r>
    </w:p>
    <w:p>
      <w:pPr>
        <w:spacing w:after="0" w:line="6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79"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576,277,605.4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249,627,548.13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25.85%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15.82%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71,175,185.98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60,208,835.73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91,201,350.93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175,683,766.71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34,486,457.32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111,787,684.8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2,551,466.12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7.82%</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294,647,245.3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233,586,573.23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-2.88%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32,265,637.60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53,901,144.63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69,560,792.00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53"/>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1"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20,117,601.26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12,394,112.58</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7,723,488.68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25,117,601.26</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27,723,488.6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34,486,457.32</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34,486,457.3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22,564,251.26</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27,723,488.6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3,013,804.78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-2,961,354.78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52,450.00</w:t>
            </w:r>
          </w:p>
        </w:tc>
      </w:tr>
    </w:tbl>
    <w:p>
      <w:pPr>
        <w:pStyle w:val="BodyText"/>
        <w:spacing w:line="240" w:lineRule="auto" w:before="51"/>
        <w:ind w:left="154" w:right="0"/>
        <w:jc w:val="left"/>
      </w:pPr>
      <w:r>
        <w:rPr/>
        <w:t>报告期内公司主要资产计量属性是否发生重大变化</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445,000,000.00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161,543,400.00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172.37%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首次公开 发行股票 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42,628.13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6,176.45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39,825.58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4,644.39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金存放于 公司募集 资金专户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行股票募 集资金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35,889.39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14,873.97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14,873.97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21,127.44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金存放于 公司募集 资金专户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78,517.52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21,050.42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54,699.55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25,771.83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首次公开发行股票募集资金：本公司以前年度已使用募集资金 </w:t>
            </w:r>
            <w:r>
              <w:rPr>
                <w:rFonts w:ascii="Times New Roman" w:hAnsi="Times New Roman" w:cs="Times New Roman" w:eastAsia="Times New Roman" w:hint="default"/>
                <w:sz w:val="18"/>
                <w:szCs w:val="18"/>
              </w:rPr>
              <w:t>33,649.13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万元，以前年度收到的银行存款利息扣除银</w:t>
            </w:r>
            <w:r>
              <w:rPr>
                <w:rFonts w:ascii="宋体" w:hAnsi="宋体" w:cs="宋体" w:eastAsia="宋体" w:hint="default"/>
                <w:w w:val="99"/>
                <w:sz w:val="18"/>
                <w:szCs w:val="18"/>
              </w:rPr>
              <w:t> </w:t>
            </w:r>
            <w:r>
              <w:rPr>
                <w:rFonts w:ascii="宋体" w:hAnsi="宋体" w:cs="宋体" w:eastAsia="宋体" w:hint="default"/>
                <w:sz w:val="18"/>
                <w:szCs w:val="18"/>
              </w:rPr>
              <w:t>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1,629.52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6,176.45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w:t>
            </w:r>
            <w:r>
              <w:rPr>
                <w:rFonts w:ascii="宋体" w:hAnsi="宋体" w:cs="宋体" w:eastAsia="宋体" w:hint="default"/>
                <w:w w:val="99"/>
                <w:sz w:val="18"/>
                <w:szCs w:val="18"/>
              </w:rPr>
              <w:t> </w:t>
            </w:r>
            <w:r>
              <w:rPr>
                <w:rFonts w:ascii="宋体" w:hAnsi="宋体" w:cs="宋体" w:eastAsia="宋体" w:hint="default"/>
                <w:sz w:val="18"/>
                <w:szCs w:val="18"/>
              </w:rPr>
              <w:t>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39,825.58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万元，累计收到的银行存款利息扣除银行手续费等的净额</w:t>
            </w:r>
          </w:p>
          <w:p>
            <w:pPr>
              <w:pStyle w:val="TableParagraph"/>
              <w:spacing w:line="300" w:lineRule="auto" w:before="13"/>
              <w:ind w:left="22" w:right="22"/>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1,841.85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4,644.39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万元（包括累计收到的银行存款利息扣除银 </w:t>
            </w:r>
            <w:r>
              <w:rPr>
                <w:rFonts w:ascii="宋体" w:hAnsi="宋体" w:cs="宋体" w:eastAsia="宋体" w:hint="default"/>
                <w:spacing w:val="-8"/>
                <w:sz w:val="18"/>
                <w:szCs w:val="18"/>
              </w:rPr>
              <w:t>行手续费等的净额）。</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二</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非公开发行股票募集资金：本公司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14,873.97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 的银行存款利息扣除银行手续费等的净额为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14,873.97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万元，累计收到的银行存款利息</w:t>
            </w:r>
          </w:p>
          <w:p>
            <w:pPr>
              <w:pStyle w:val="TableParagraph"/>
              <w:spacing w:line="302"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扣除银行手续费等的净额为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112.02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21,127.44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万元（包括累计收到</w:t>
            </w:r>
            <w:r>
              <w:rPr>
                <w:rFonts w:ascii="宋体" w:hAnsi="宋体" w:cs="宋体" w:eastAsia="宋体" w:hint="default"/>
                <w:sz w:val="18"/>
                <w:szCs w:val="18"/>
              </w:rPr>
              <w:t> </w:t>
            </w:r>
            <w:r>
              <w:rPr>
                <w:rFonts w:ascii="宋体" w:hAnsi="宋体" w:cs="宋体" w:eastAsia="宋体" w:hint="default"/>
                <w:spacing w:val="-5"/>
                <w:sz w:val="18"/>
                <w:szCs w:val="18"/>
              </w:rPr>
              <w:t>的银行存款利息扣除银行手续费等的净额）。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动漫服饰扩产建设项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6,162.86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18,426.46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研发设计中心项目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35,889.39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35,889.39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14,873.97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8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5"/>
                    <w:gridCol w:w="199"/>
                    <w:gridCol w:w="580"/>
                    <w:gridCol w:w="786"/>
                    <w:gridCol w:w="780"/>
                    <w:gridCol w:w="779"/>
                    <w:gridCol w:w="786"/>
                    <w:gridCol w:w="774"/>
                    <w:gridCol w:w="774"/>
                    <w:gridCol w:w="792"/>
                    <w:gridCol w:w="774"/>
                    <w:gridCol w:w="780"/>
                  </w:tblGrid>
                  <w:tr>
                    <w:trPr>
                      <w:trHeight w:val="407"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59,439.39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64,739.39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21,050.42</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40,799.55</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收购上海纯真年代影 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z w:val="18"/>
                            <w:szCs w:val="18"/>
                          </w:rPr>
                          <w:t>股权</w:t>
                        </w:r>
                      </w:p>
                    </w:tc>
                    <w:tc>
                      <w:tcPr>
                        <w:tcW w:w="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9,800</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-282.91</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9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5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4,100</w:t>
                        </w:r>
                      </w:p>
                    </w:tc>
                    <w:tc>
                      <w:tcPr>
                        <w:tcW w:w="774" w:type="dxa"/>
                        <w:tcBorders>
                          <w:top w:val="single" w:sz="4" w:space="0" w:color="000000"/>
                          <w:left w:val="single" w:sz="4" w:space="0" w:color="000000"/>
                          <w:bottom w:val="single" w:sz="4" w:space="0" w:color="000000"/>
                          <w:right w:val="single" w:sz="13"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13,900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-282.91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59,439.39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78,639.39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21,050.42</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54,699.55</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-282.91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上海纯真年代影视投资有限公司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实现净利润</w:t>
                        </w:r>
                        <w:r>
                          <w:rPr>
                            <w:rFonts w:ascii="Times New Roman" w:hAnsi="Times New Roman" w:cs="Times New Roman" w:eastAsia="Times New Roman" w:hint="default"/>
                            <w:sz w:val="18"/>
                            <w:szCs w:val="18"/>
                          </w:rPr>
                          <w:t>-282.91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未达到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承</w:t>
                        </w:r>
                        <w:r>
                          <w:rPr>
                            <w:rFonts w:ascii="宋体" w:hAnsi="宋体" w:cs="宋体" w:eastAsia="宋体" w:hint="default"/>
                            <w:sz w:val="18"/>
                            <w:szCs w:val="18"/>
                          </w:rPr>
                          <w:t>诺业绩</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2,500</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万。</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402"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2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经公司第一届董事会第十次会议决议审议通过</w:t>
                        </w:r>
                        <w:r>
                          <w:rPr>
                            <w:rFonts w:ascii="宋体" w:hAnsi="宋体" w:cs="宋体" w:eastAsia="宋体" w:hint="default"/>
                            <w:spacing w:val="-88"/>
                            <w:sz w:val="18"/>
                            <w:szCs w:val="18"/>
                          </w:rPr>
                          <w:t>，</w:t>
                        </w:r>
                        <w:r>
                          <w:rPr>
                            <w:rFonts w:ascii="宋体" w:hAnsi="宋体" w:cs="宋体" w:eastAsia="宋体" w:hint="default"/>
                            <w:sz w:val="18"/>
                            <w:szCs w:val="18"/>
                          </w:rPr>
                          <w:t>公司使用超额募集资金归还银行借款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63"/>
                          <w:ind w:left="21" w:right="-2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日公司第二届董事会第十一次会议决议，公司使用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万元超募资金对外投资， 以取得上海纯真年代影视投资有限公司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w:t>
                        </w:r>
                      </w:p>
                    </w:tc>
                  </w:tr>
                  <w:tr>
                    <w:trPr>
                      <w:trHeight w:val="362"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27"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319" w:lineRule="auto" w:before="51"/>
                          <w:ind w:left="21" w:right="25"/>
                          <w:jc w:val="left"/>
                          <w:rPr>
                            <w:rFonts w:ascii="宋体" w:hAnsi="宋体" w:cs="宋体" w:eastAsia="宋体" w:hint="default"/>
                            <w:sz w:val="18"/>
                            <w:szCs w:val="18"/>
                          </w:rPr>
                        </w:pPr>
                        <w:r>
                          <w:rPr>
                            <w:rFonts w:ascii="宋体" w:hAnsi="宋体" w:cs="宋体" w:eastAsia="宋体" w:hint="default"/>
                            <w:sz w:val="18"/>
                            <w:szCs w:val="18"/>
                          </w:rPr>
                          <w:t>研发设计中心项目：公司研发设计中心项目原实施地点是上海黄浦区，公司将此项目的实施地点变 更为浙江省杭州市滨江区。杭州市滨江区为国家级高新技术产业开发区，交通便利，文化创意产业 发达，有利于公司引进研发设计相关人才；同时，杭州市滨江区与公司地理位置较近，便于管理， 与上海相比整体运营和管理的综合成本优势更为突出。基于公司长远发展的考虑，杭州市滨江区更 合适作为本次公司研发设计中心项目的实施地点；上述募集资金投资项目实施地点变更已经公司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704"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1"/>
                        <w:vMerge/>
                        <w:tcBorders>
                          <w:left w:val="single" w:sz="9" w:space="0" w:color="D2D2D2"/>
                          <w:right w:val="single" w:sz="4" w:space="0" w:color="000000"/>
                        </w:tcBorders>
                      </w:tcPr>
                      <w:p>
                        <w:pPr/>
                      </w:p>
                    </w:tc>
                  </w:tr>
                  <w:tr>
                    <w:trPr>
                      <w:trHeight w:val="103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7"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40"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6"/>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16"/>
                          <w:ind w:left="21" w:right="0"/>
                          <w:jc w:val="both"/>
                          <w:rPr>
                            <w:rFonts w:ascii="宋体" w:hAnsi="宋体" w:cs="宋体" w:eastAsia="宋体" w:hint="default"/>
                            <w:sz w:val="18"/>
                            <w:szCs w:val="18"/>
                          </w:rPr>
                        </w:pPr>
                        <w:r>
                          <w:rPr>
                            <w:rFonts w:ascii="宋体" w:hAnsi="宋体" w:cs="宋体" w:eastAsia="宋体" w:hint="default"/>
                            <w:sz w:val="18"/>
                            <w:szCs w:val="18"/>
                          </w:rPr>
                          <w:t>研发设计中心项目：公司原在上海黄浦区计划购买的研发设计中心办公楼面积约为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平方米，此</w:t>
                        </w:r>
                      </w:p>
                      <w:p>
                        <w:pPr>
                          <w:pStyle w:val="TableParagraph"/>
                          <w:spacing w:line="309" w:lineRule="auto" w:before="63"/>
                          <w:ind w:left="21" w:right="22"/>
                          <w:jc w:val="both"/>
                          <w:rPr>
                            <w:rFonts w:ascii="宋体" w:hAnsi="宋体" w:cs="宋体" w:eastAsia="宋体" w:hint="default"/>
                            <w:sz w:val="18"/>
                            <w:szCs w:val="18"/>
                          </w:rPr>
                        </w:pPr>
                        <w:r>
                          <w:rPr>
                            <w:rFonts w:ascii="宋体" w:hAnsi="宋体" w:cs="宋体" w:eastAsia="宋体" w:hint="default"/>
                            <w:sz w:val="18"/>
                            <w:szCs w:val="18"/>
                          </w:rPr>
                          <w:t>次公司在杭州市滨江区购买总面积约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pacing w:val="-3"/>
                            <w:sz w:val="18"/>
                            <w:szCs w:val="18"/>
                          </w:rPr>
                          <w:t>平方米的办公场所，房屋含税总价款约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pacing w:val="-9"/>
                            <w:sz w:val="18"/>
                            <w:szCs w:val="18"/>
                          </w:rPr>
                          <w:t>万元。办公</w:t>
                        </w:r>
                        <w:r>
                          <w:rPr>
                            <w:rFonts w:ascii="宋体" w:hAnsi="宋体" w:cs="宋体" w:eastAsia="宋体" w:hint="default"/>
                            <w:sz w:val="18"/>
                            <w:szCs w:val="18"/>
                          </w:rPr>
                          <w:t> 场所面积增加主要是公司近两年发展速度较快，原规划面积已不能满足公司战略发展需要。为保证 研发设计中心项目的实施资金需求，公司使用部分超募资金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万元补充用于此次募投项目的实</w:t>
                        </w:r>
                      </w:p>
                      <w:p>
                        <w:pPr>
                          <w:pStyle w:val="TableParagraph"/>
                          <w:spacing w:line="240" w:lineRule="auto" w:before="6"/>
                          <w:ind w:left="21" w:right="0"/>
                          <w:jc w:val="both"/>
                          <w:rPr>
                            <w:rFonts w:ascii="宋体" w:hAnsi="宋体" w:cs="宋体" w:eastAsia="宋体" w:hint="default"/>
                            <w:sz w:val="18"/>
                            <w:szCs w:val="18"/>
                          </w:rPr>
                        </w:pPr>
                        <w:r>
                          <w:rPr>
                            <w:rFonts w:ascii="宋体" w:hAnsi="宋体" w:cs="宋体" w:eastAsia="宋体" w:hint="default"/>
                            <w:sz w:val="18"/>
                            <w:szCs w:val="18"/>
                          </w:rPr>
                          <w:t>施；上述募集资金投资项目实施方式调整已经公司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875"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206"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1"/>
                        <w:vMerge/>
                        <w:tcBorders>
                          <w:left w:val="single" w:sz="9" w:space="0" w:color="D2D2D2"/>
                          <w:bottom w:val="single" w:sz="4" w:space="0" w:color="000000"/>
                          <w:right w:val="single" w:sz="4" w:space="0" w:color="000000"/>
                        </w:tcBorders>
                      </w:tcPr>
                      <w:p>
                        <w:pPr/>
                      </w:p>
                    </w:tc>
                  </w:tr>
                  <w:tr>
                    <w:trPr>
                      <w:trHeight w:val="508"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6,468.68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万元；经公司第一届董事会</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第十次会议审议通过，以募集资金置换上述先期投入，本公司已于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p>
                    </w:tc>
                  </w:tr>
                  <w:tr>
                    <w:trPr>
                      <w:trHeight w:val="206"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804"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89"/>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25,771.83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万元，尚未使用的募集资金存放于公司募集 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99.99%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7,499.12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14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研发设计中心项目：公司研发设计中心项目原实施地点是上海黄浦区，公司将此项目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的实施地点变更为浙江省杭州市滨江区。杭州市滨江区为国家级高新技术产业开发 </w:t>
            </w:r>
            <w:r>
              <w:rPr>
                <w:rFonts w:ascii="宋体" w:hAnsi="宋体" w:cs="宋体" w:eastAsia="宋体" w:hint="default"/>
                <w:spacing w:val="-1"/>
                <w:sz w:val="18"/>
                <w:szCs w:val="18"/>
              </w:rPr>
              <w:t>区，交通便利，文化创意产业发达，有利于公司引进研发设计相关人才；同时，杭州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市滨江区与公司地理位置较近，便于管理，与上海相比整体运营和管理的综合成本优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势更为突出。基于公司长远发展的考虑，杭州市滨江区更合适作为本次公司研发设计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中心项目的实施地点。公司原在上海黄浦区计划购买的研发设计中心办公楼面积约为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500 </w:t>
            </w:r>
            <w:r>
              <w:rPr>
                <w:rFonts w:ascii="宋体" w:hAnsi="宋体" w:cs="宋体" w:eastAsia="宋体" w:hint="default"/>
                <w:sz w:val="18"/>
                <w:szCs w:val="18"/>
              </w:rPr>
              <w:t>平方米，此次公司在杭州市滨江区购买总面积约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平方米的办公场所，房屋</w:t>
            </w:r>
          </w:p>
          <w:p>
            <w:pPr>
              <w:pStyle w:val="TableParagraph"/>
              <w:spacing w:line="309" w:lineRule="auto"/>
              <w:ind w:left="23" w:right="22"/>
              <w:jc w:val="left"/>
              <w:rPr>
                <w:rFonts w:ascii="宋体" w:hAnsi="宋体" w:cs="宋体" w:eastAsia="宋体" w:hint="default"/>
                <w:sz w:val="18"/>
                <w:szCs w:val="18"/>
              </w:rPr>
            </w:pPr>
            <w:r>
              <w:rPr>
                <w:rFonts w:ascii="宋体" w:hAnsi="宋体" w:cs="宋体" w:eastAsia="宋体" w:hint="default"/>
                <w:sz w:val="18"/>
                <w:szCs w:val="18"/>
              </w:rPr>
              <w:t>含税总价款与装修费合约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万元。办公场所面积增加主要是公司近两年发展速度 </w:t>
            </w:r>
            <w:r>
              <w:rPr>
                <w:rFonts w:ascii="宋体" w:hAnsi="宋体" w:cs="宋体" w:eastAsia="宋体" w:hint="default"/>
                <w:spacing w:val="-1"/>
                <w:sz w:val="18"/>
                <w:szCs w:val="18"/>
              </w:rPr>
              <w:t>较快，原规划面积已不能满足公司战略发展需要。为保证研发设计中心项目的实施资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金需求，公司拟使用部分超募资金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万元补充用于此次募投项目的实施。此次变 </w:t>
            </w:r>
            <w:r>
              <w:rPr>
                <w:rFonts w:ascii="宋体" w:hAnsi="宋体" w:cs="宋体" w:eastAsia="宋体" w:hint="default"/>
                <w:spacing w:val="-1"/>
                <w:sz w:val="18"/>
                <w:szCs w:val="18"/>
              </w:rPr>
              <w:t>更后，研发设计中心项目实施地从上海黄浦区变更为杭州市滨江区，计划投资总额从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万元。上述募集资金投资项目实施地点及投资总额变更已经公</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公司报告期未出售重大资产。</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3"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9"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both"/>
              <w:rPr>
                <w:rFonts w:ascii="宋体" w:hAnsi="宋体" w:cs="宋体" w:eastAsia="宋体" w:hint="default"/>
                <w:sz w:val="18"/>
                <w:szCs w:val="18"/>
              </w:rPr>
            </w:pPr>
            <w:r>
              <w:rPr>
                <w:rFonts w:ascii="宋体" w:hAnsi="宋体" w:cs="宋体" w:eastAsia="宋体" w:hint="default"/>
                <w:sz w:val="18"/>
                <w:szCs w:val="18"/>
              </w:rPr>
              <w:t>美盛控 股集团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纯真年 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-282.91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无重大 影响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19.58%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评估及 协商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控股公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7"/>
          <w:pgSz w:w="11910" w:h="16840"/>
          <w:pgMar w:footer="979" w:header="747" w:top="1060" w:bottom="1160" w:left="980" w:right="0"/>
          <w:pgNumType w:start="25"/>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主要从事动 漫、游戏设 计及开发业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57,195,670.0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54,770,567.7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48,657,241.2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24,557,929.9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27,012,787.1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主要从事电 子商务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37,713,767.2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19,622,125.6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13,849,478.6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-355,430.55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-377,874.35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主要从事动 漫开发、发 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31,151,184.5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22,054,214.1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9,893,738.56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-4,983,176.9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-4,992,998.9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从事与母公 司产品相关 的投资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103,512,450.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9,954,053.94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42,493,591.0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7,825,000.35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5,814,416.60</w:t>
            </w: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整合产业链</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整合产业链</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整合产业链</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51"/>
        <w:ind w:left="154"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pStyle w:val="BodyText"/>
        <w:spacing w:line="430" w:lineRule="atLeast" w:before="153"/>
        <w:ind w:left="513" w:right="0" w:firstLine="2"/>
        <w:jc w:val="left"/>
      </w:pPr>
      <w:r>
        <w:rPr/>
        <w:t>一、公司所处行业基本情况 </w:t>
      </w:r>
      <w:r>
        <w:rPr>
          <w:spacing w:val="-2"/>
        </w:rPr>
        <w:t>改革开放以来，我国社会经济多年来持续稳定发展，人民生活水平显著提高，在物质生活条件大幅改善的同时，人民的</w:t>
      </w:r>
    </w:p>
    <w:p>
      <w:pPr>
        <w:pStyle w:val="BodyText"/>
        <w:spacing w:line="300" w:lineRule="auto" w:before="76"/>
        <w:ind w:right="0"/>
        <w:jc w:val="left"/>
      </w:pPr>
      <w:r>
        <w:rPr>
          <w:spacing w:val="-3"/>
        </w:rPr>
        <w:t>文化消费需求也日益旺盛。国际统计数据表明，当一国人均</w:t>
      </w:r>
      <w:r>
        <w:rPr>
          <w:rFonts w:ascii="Times New Roman" w:hAnsi="Times New Roman" w:cs="Times New Roman" w:eastAsia="Times New Roman" w:hint="default"/>
          <w:spacing w:val="-3"/>
        </w:rPr>
        <w:t>GDP</w:t>
      </w:r>
      <w:r>
        <w:rPr>
          <w:spacing w:val="-3"/>
        </w:rPr>
        <w:t>超过</w:t>
      </w:r>
      <w:r>
        <w:rPr>
          <w:rFonts w:ascii="Times New Roman" w:hAnsi="Times New Roman" w:cs="Times New Roman" w:eastAsia="Times New Roman" w:hint="default"/>
          <w:spacing w:val="-3"/>
        </w:rPr>
        <w:t>5,000</w:t>
      </w:r>
      <w:r>
        <w:rPr>
          <w:spacing w:val="-3"/>
        </w:rPr>
        <w:t>美元之后，将进入精神文化需求的旺盛时期。</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Times New Roman" w:hAnsi="Times New Roman" w:cs="Times New Roman" w:eastAsia="Times New Roman" w:hint="default"/>
        </w:rPr>
      </w:r>
      <w:r>
        <w:rPr/>
        <w:t>年我国人均</w:t>
      </w:r>
      <w:r>
        <w:rPr>
          <w:rFonts w:ascii="Times New Roman" w:hAnsi="Times New Roman" w:cs="Times New Roman" w:eastAsia="Times New Roman" w:hint="default"/>
        </w:rPr>
        <w:t>GDP</w:t>
      </w:r>
      <w:r>
        <w:rPr/>
        <w:t>迈过这一台阶，我国文化产业也呈现出消费快速增长和需求转型升级的态势。</w:t>
      </w:r>
    </w:p>
    <w:p>
      <w:pPr>
        <w:pStyle w:val="BodyText"/>
        <w:spacing w:line="309" w:lineRule="auto" w:before="133"/>
        <w:ind w:right="1131" w:firstLine="360"/>
        <w:jc w:val="both"/>
      </w:pPr>
      <w:r>
        <w:rPr>
          <w:spacing w:val="-2"/>
        </w:rPr>
        <w:t>在国家政策综合扶持、市场需求旺盛、内容技术创新、产业融合整合等综合因素的推动下，我国文化产业近年来发展迅</w:t>
      </w:r>
      <w:r>
        <w:rPr/>
        <w:t> </w:t>
      </w:r>
      <w:r>
        <w:rPr>
          <w:spacing w:val="-1"/>
        </w:rPr>
        <w:t>速。</w:t>
      </w:r>
      <w:r>
        <w:rPr>
          <w:rFonts w:ascii="Times New Roman" w:hAnsi="Times New Roman" w:cs="Times New Roman" w:eastAsia="Times New Roman" w:hint="default"/>
          <w:spacing w:val="-1"/>
        </w:rPr>
        <w:t>2013</w:t>
      </w:r>
      <w:r>
        <w:rPr>
          <w:spacing w:val="-1"/>
        </w:rPr>
        <w:t>年，文化产业增加值达</w:t>
      </w:r>
      <w:r>
        <w:rPr>
          <w:rFonts w:ascii="Times New Roman" w:hAnsi="Times New Roman" w:cs="Times New Roman" w:eastAsia="Times New Roman" w:hint="default"/>
          <w:spacing w:val="-1"/>
        </w:rPr>
        <w:t>2.1</w:t>
      </w:r>
      <w:r>
        <w:rPr>
          <w:spacing w:val="-1"/>
        </w:rPr>
        <w:t>万亿元，约占</w:t>
      </w:r>
      <w:r>
        <w:rPr>
          <w:rFonts w:ascii="Times New Roman" w:hAnsi="Times New Roman" w:cs="Times New Roman" w:eastAsia="Times New Roman" w:hint="default"/>
          <w:spacing w:val="-1"/>
        </w:rPr>
        <w:t>GDP</w:t>
      </w:r>
      <w:r>
        <w:rPr>
          <w:spacing w:val="-1"/>
        </w:rPr>
        <w:t>比重的</w:t>
      </w:r>
      <w:r>
        <w:rPr>
          <w:rFonts w:ascii="Times New Roman" w:hAnsi="Times New Roman" w:cs="Times New Roman" w:eastAsia="Times New Roman" w:hint="default"/>
          <w:spacing w:val="-1"/>
        </w:rPr>
        <w:t>3.77%</w:t>
      </w:r>
      <w:r>
        <w:rPr>
          <w:spacing w:val="-1"/>
        </w:rPr>
        <w:t>，同比增长超过</w:t>
      </w:r>
      <w:r>
        <w:rPr>
          <w:rFonts w:ascii="Times New Roman" w:hAnsi="Times New Roman" w:cs="Times New Roman" w:eastAsia="Times New Roman" w:hint="default"/>
          <w:spacing w:val="-1"/>
        </w:rPr>
        <w:t>15%</w:t>
      </w:r>
      <w:r>
        <w:rPr>
          <w:spacing w:val="-1"/>
        </w:rPr>
        <w:t>。文化产业在国民经济中的地位越来</w:t>
      </w:r>
      <w:r>
        <w:rPr>
          <w:spacing w:val="-57"/>
        </w:rPr>
        <w:t> </w:t>
      </w:r>
      <w:r>
        <w:rPr>
          <w:spacing w:val="-57"/>
        </w:rPr>
      </w:r>
      <w:r>
        <w:rPr/>
        <w:t>越重要，在支撑我国经济结构调整和转型升级等方面发挥了积极作用，正在成为新的支柱产业。</w:t>
      </w:r>
    </w:p>
    <w:p>
      <w:pPr>
        <w:pStyle w:val="BodyText"/>
        <w:spacing w:line="316" w:lineRule="auto" w:before="144"/>
        <w:ind w:right="0" w:firstLine="360"/>
        <w:jc w:val="left"/>
      </w:pPr>
      <w:r>
        <w:rPr>
          <w:spacing w:val="-2"/>
        </w:rPr>
        <w:t>作为文化产业的重要组成部分，公司业务涉及的动漫、游戏等产业近年来也取得了快速发展，市场规模迅速扩张，且未</w:t>
      </w:r>
      <w:r>
        <w:rPr/>
        <w:t> 来发展空间巨大。</w:t>
      </w:r>
    </w:p>
    <w:p>
      <w:pPr>
        <w:pStyle w:val="BodyText"/>
        <w:spacing w:line="240" w:lineRule="auto" w:before="139"/>
        <w:ind w:left="633" w:right="0"/>
        <w:jc w:val="left"/>
      </w:pPr>
      <w:r>
        <w:rPr>
          <w:rFonts w:ascii="Times New Roman" w:hAnsi="Times New Roman" w:cs="Times New Roman" w:eastAsia="Times New Roman" w:hint="default"/>
        </w:rPr>
        <w:t>1</w:t>
      </w:r>
      <w:r>
        <w:rPr/>
        <w:t>、动漫产业</w:t>
      </w:r>
    </w:p>
    <w:p>
      <w:pPr>
        <w:pStyle w:val="BodyText"/>
        <w:spacing w:line="430" w:lineRule="atLeast" w:before="2"/>
        <w:ind w:left="514" w:right="0"/>
        <w:jc w:val="left"/>
      </w:pPr>
      <w:r>
        <w:rPr/>
        <w:t>（</w:t>
      </w:r>
      <w:r>
        <w:rPr>
          <w:rFonts w:ascii="Times New Roman" w:hAnsi="Times New Roman" w:cs="Times New Roman" w:eastAsia="Times New Roman" w:hint="default"/>
        </w:rPr>
        <w:t>1</w:t>
      </w:r>
      <w:r>
        <w:rPr/>
        <w:t>）产业规模近年来持续增长，产值已达千亿 </w:t>
      </w:r>
      <w:r>
        <w:rPr>
          <w:spacing w:val="-2"/>
        </w:rPr>
        <w:t>我国动漫产业近年来继续保持快速增长的态势，据《动漫蓝皮书：中国动漫产业发展报告（</w:t>
      </w:r>
      <w:r>
        <w:rPr>
          <w:rFonts w:ascii="Times New Roman" w:hAnsi="Times New Roman" w:cs="Times New Roman" w:eastAsia="Times New Roman" w:hint="default"/>
          <w:spacing w:val="-2"/>
        </w:rPr>
        <w:t>2015</w:t>
      </w:r>
      <w:r>
        <w:rPr>
          <w:spacing w:val="-2"/>
        </w:rPr>
        <w:t>）》，我国动漫产业产</w:t>
      </w:r>
    </w:p>
    <w:p>
      <w:pPr>
        <w:pStyle w:val="BodyText"/>
        <w:spacing w:line="300" w:lineRule="auto" w:before="63"/>
        <w:ind w:right="0"/>
        <w:jc w:val="left"/>
      </w:pPr>
      <w:r>
        <w:rPr>
          <w:spacing w:val="-1"/>
        </w:rPr>
        <w:t>值从</w:t>
      </w:r>
      <w:r>
        <w:rPr>
          <w:rFonts w:ascii="Times New Roman" w:hAnsi="Times New Roman" w:cs="Times New Roman" w:eastAsia="Times New Roman" w:hint="default"/>
          <w:spacing w:val="-1"/>
        </w:rPr>
        <w:t>2005</w:t>
      </w:r>
      <w:r>
        <w:rPr>
          <w:spacing w:val="-1"/>
        </w:rPr>
        <w:t>年的不足</w:t>
      </w:r>
      <w:r>
        <w:rPr>
          <w:rFonts w:ascii="Times New Roman" w:hAnsi="Times New Roman" w:cs="Times New Roman" w:eastAsia="Times New Roman" w:hint="default"/>
          <w:spacing w:val="-1"/>
        </w:rPr>
        <w:t>100</w:t>
      </w:r>
      <w:r>
        <w:rPr>
          <w:spacing w:val="-1"/>
        </w:rPr>
        <w:t>亿元，增长到</w:t>
      </w:r>
      <w:r>
        <w:rPr>
          <w:rFonts w:ascii="Times New Roman" w:hAnsi="Times New Roman" w:cs="Times New Roman" w:eastAsia="Times New Roman" w:hint="default"/>
          <w:spacing w:val="-1"/>
        </w:rPr>
        <w:t>2014</w:t>
      </w:r>
      <w:r>
        <w:rPr>
          <w:spacing w:val="-1"/>
        </w:rPr>
        <w:t>年的</w:t>
      </w:r>
      <w:r>
        <w:rPr>
          <w:rFonts w:ascii="Times New Roman" w:hAnsi="Times New Roman" w:cs="Times New Roman" w:eastAsia="Times New Roman" w:hint="default"/>
          <w:spacing w:val="-1"/>
        </w:rPr>
        <w:t>1,000</w:t>
      </w:r>
      <w:r>
        <w:rPr>
          <w:spacing w:val="-1"/>
        </w:rPr>
        <w:t>亿元左右，</w:t>
      </w:r>
      <w:r>
        <w:rPr>
          <w:rFonts w:ascii="Times New Roman" w:hAnsi="Times New Roman" w:cs="Times New Roman" w:eastAsia="Times New Roman" w:hint="default"/>
          <w:spacing w:val="-1"/>
        </w:rPr>
        <w:t>2020</w:t>
      </w:r>
      <w:r>
        <w:rPr>
          <w:spacing w:val="-1"/>
        </w:rPr>
        <w:t>年中国动漫产业有望在现有规模的基础上翻一番，产值规</w:t>
      </w:r>
      <w:r>
        <w:rPr>
          <w:spacing w:val="-66"/>
        </w:rPr>
        <w:t> </w:t>
      </w:r>
      <w:r>
        <w:rPr>
          <w:spacing w:val="-66"/>
        </w:rPr>
      </w:r>
      <w:r>
        <w:rPr/>
        <w:t>模突破</w:t>
      </w:r>
      <w:r>
        <w:rPr>
          <w:rFonts w:ascii="Times New Roman" w:hAnsi="Times New Roman" w:cs="Times New Roman" w:eastAsia="Times New Roman" w:hint="default"/>
        </w:rPr>
        <w:t>2,000</w:t>
      </w:r>
      <w:r>
        <w:rPr/>
        <w:t>亿元，真正跻身世界动漫强国行列。</w:t>
      </w:r>
    </w:p>
    <w:p>
      <w:pPr>
        <w:pStyle w:val="BodyText"/>
        <w:spacing w:line="240" w:lineRule="auto" w:before="133"/>
        <w:ind w:left="513" w:right="0"/>
        <w:jc w:val="left"/>
      </w:pPr>
      <w:r>
        <w:rPr/>
        <w:t>（</w:t>
      </w:r>
      <w:r>
        <w:rPr>
          <w:rFonts w:ascii="Times New Roman" w:hAnsi="Times New Roman" w:cs="Times New Roman" w:eastAsia="Times New Roman" w:hint="default"/>
        </w:rPr>
        <w:t>2</w:t>
      </w:r>
      <w:r>
        <w:rPr/>
        <w:t>）产业结构和产业布局不断优化</w:t>
      </w:r>
    </w:p>
    <w:p>
      <w:pPr>
        <w:spacing w:line="240" w:lineRule="auto" w:before="13"/>
        <w:rPr>
          <w:rFonts w:ascii="宋体" w:hAnsi="宋体" w:cs="宋体" w:eastAsia="宋体" w:hint="default"/>
          <w:sz w:val="13"/>
          <w:szCs w:val="13"/>
        </w:rPr>
      </w:pPr>
    </w:p>
    <w:p>
      <w:pPr>
        <w:pStyle w:val="BodyText"/>
        <w:spacing w:line="314" w:lineRule="auto"/>
        <w:ind w:right="0" w:firstLine="360"/>
        <w:jc w:val="left"/>
      </w:pPr>
      <w:r>
        <w:rPr>
          <w:spacing w:val="-2"/>
        </w:rPr>
        <w:t>在规模不断扩张的同时，动漫产业的产业结构和产业布局也得到了不断优化，文化产业化和产业文化化共同促进了动漫</w:t>
      </w:r>
      <w:r>
        <w:rPr/>
        <w:t> </w:t>
      </w:r>
      <w:r>
        <w:rPr>
          <w:spacing w:val="-2"/>
        </w:rPr>
        <w:t>产业的发展。我国优秀动漫企业一方面抓住动漫文化需求快速增长的机会，保持了为世界级优秀动漫品牌提供动漫服饰等衍</w:t>
      </w:r>
      <w:r>
        <w:rPr>
          <w:spacing w:val="-64"/>
        </w:rPr>
        <w:t> </w:t>
      </w:r>
      <w:r>
        <w:rPr>
          <w:spacing w:val="-64"/>
        </w:rPr>
      </w:r>
      <w:r>
        <w:rPr>
          <w:spacing w:val="-4"/>
        </w:rPr>
        <w:t>生产品配套的传统优势地位，取得相关业务的稳定增长；另一方面也立足我国国情，吸收学习西方动漫产业建设的先进经验，</w:t>
      </w:r>
      <w:r>
        <w:rPr>
          <w:spacing w:val="-44"/>
        </w:rPr>
        <w:t> </w:t>
      </w:r>
      <w:r>
        <w:rPr>
          <w:spacing w:val="-44"/>
        </w:rPr>
      </w:r>
      <w:r>
        <w:rPr/>
        <w:t>加强核心动漫</w:t>
      </w:r>
      <w:r>
        <w:rPr>
          <w:rFonts w:ascii="Times New Roman" w:hAnsi="Times New Roman" w:cs="Times New Roman" w:eastAsia="Times New Roman" w:hint="default"/>
        </w:rPr>
        <w:t>IP</w:t>
      </w:r>
      <w:r>
        <w:rPr/>
        <w:t>开发并通过资源整合以及产业链延伸构建融合发展的生态体系。未来动漫产业大型企业将进一步加强战略布 局，围绕优质品牌资源实施整合，提升核心竞争力，从而推动产业发展走向深化。</w:t>
      </w:r>
    </w:p>
    <w:p>
      <w:pPr>
        <w:pStyle w:val="BodyText"/>
        <w:spacing w:line="415" w:lineRule="auto" w:before="141"/>
        <w:ind w:left="514" w:right="0"/>
        <w:jc w:val="left"/>
      </w:pPr>
      <w:r>
        <w:rPr/>
        <w:t>（</w:t>
      </w:r>
      <w:r>
        <w:rPr>
          <w:rFonts w:ascii="Times New Roman" w:hAnsi="Times New Roman" w:cs="Times New Roman" w:eastAsia="Times New Roman" w:hint="default"/>
        </w:rPr>
        <w:t>3</w:t>
      </w:r>
      <w:r>
        <w:rPr/>
        <w:t>）动漫衍生品行业方兴未艾 </w:t>
      </w:r>
      <w:r>
        <w:rPr>
          <w:spacing w:val="-2"/>
        </w:rPr>
        <w:t>根据美国、日本、韩国等动漫产业发达国家的发展经验以及全球动漫市场的现状，动漫服饰等衍生产品的市场规模远大</w:t>
      </w:r>
    </w:p>
    <w:p>
      <w:pPr>
        <w:pStyle w:val="BodyText"/>
        <w:spacing w:line="194" w:lineRule="exact"/>
        <w:ind w:left="154" w:right="0"/>
        <w:jc w:val="left"/>
        <w:rPr>
          <w:rFonts w:ascii="Times New Roman" w:hAnsi="Times New Roman" w:cs="Times New Roman" w:eastAsia="Times New Roman" w:hint="default"/>
        </w:rPr>
      </w:pPr>
      <w:r>
        <w:rPr/>
        <w:t>于动漫创意设计及动漫制品等数字内容的市场规模</w:t>
      </w:r>
      <w:r>
        <w:rPr>
          <w:spacing w:val="-86"/>
        </w:rPr>
        <w:t>。</w:t>
      </w:r>
      <w:r>
        <w:rPr>
          <w:rFonts w:ascii="Times New Roman" w:hAnsi="Times New Roman" w:cs="Times New Roman" w:eastAsia="Times New Roman" w:hint="default"/>
        </w:rPr>
        <w:t>2012</w:t>
      </w:r>
      <w:r>
        <w:rPr/>
        <w:t>年全球动漫产业产值</w:t>
      </w:r>
      <w:r>
        <w:rPr>
          <w:rFonts w:ascii="Times New Roman" w:hAnsi="Times New Roman" w:cs="Times New Roman" w:eastAsia="Times New Roman" w:hint="default"/>
        </w:rPr>
        <w:t>2,220</w:t>
      </w:r>
      <w:r>
        <w:rPr>
          <w:spacing w:val="-2"/>
        </w:rPr>
        <w:t>亿</w:t>
      </w:r>
      <w:r>
        <w:rPr/>
        <w:t>美元</w:t>
      </w:r>
      <w:r>
        <w:rPr>
          <w:spacing w:val="-87"/>
        </w:rPr>
        <w:t>，</w:t>
      </w:r>
      <w:r>
        <w:rPr/>
        <w:t>而动漫衍生品市场规模高达</w:t>
      </w:r>
      <w:r>
        <w:rPr>
          <w:rFonts w:ascii="Times New Roman" w:hAnsi="Times New Roman" w:cs="Times New Roman" w:eastAsia="Times New Roman" w:hint="default"/>
        </w:rPr>
        <w:t>5,0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spacing w:after="0" w:line="194" w:lineRule="exact"/>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415" w:lineRule="auto" w:before="44"/>
        <w:ind w:left="514" w:right="0" w:hanging="360"/>
        <w:jc w:val="left"/>
      </w:pPr>
      <w:r>
        <w:rPr/>
        <w:t>亿美元以上。中国动漫产业中，衍生品市场约占</w:t>
      </w:r>
      <w:r>
        <w:rPr>
          <w:rFonts w:ascii="Times New Roman" w:hAnsi="Times New Roman" w:cs="Times New Roman" w:eastAsia="Times New Roman" w:hint="default"/>
        </w:rPr>
        <w:t>70%</w:t>
      </w:r>
      <w:r>
        <w:rPr/>
        <w:t>。 </w:t>
      </w:r>
      <w:r>
        <w:rPr>
          <w:spacing w:val="-2"/>
        </w:rPr>
        <w:t>近年来，我国受到民众喜爱的动漫作品大量涌现，且围绕相关形象的衍生品市场也在快速发展。但总体来看，我国优秀</w:t>
      </w:r>
    </w:p>
    <w:p>
      <w:pPr>
        <w:pStyle w:val="BodyText"/>
        <w:spacing w:line="194" w:lineRule="exact"/>
        <w:ind w:left="154" w:right="0"/>
        <w:jc w:val="left"/>
      </w:pPr>
      <w:r>
        <w:rPr>
          <w:spacing w:val="-3"/>
        </w:rPr>
        <w:t>动漫</w:t>
      </w:r>
      <w:r>
        <w:rPr>
          <w:rFonts w:ascii="Times New Roman" w:hAnsi="Times New Roman" w:cs="Times New Roman" w:eastAsia="Times New Roman" w:hint="default"/>
          <w:spacing w:val="-3"/>
        </w:rPr>
        <w:t>IP</w:t>
      </w:r>
      <w:r>
        <w:rPr>
          <w:spacing w:val="-3"/>
        </w:rPr>
        <w:t>数量及影响力仍有待提高，且整体的动漫产业链仍不完善，产业链各环节的融合有待深化，围绕核心动漫形象的服饰、</w:t>
      </w:r>
    </w:p>
    <w:p>
      <w:pPr>
        <w:pStyle w:val="BodyText"/>
        <w:spacing w:line="300" w:lineRule="auto" w:before="63"/>
        <w:ind w:left="154" w:right="0"/>
        <w:jc w:val="left"/>
      </w:pPr>
      <w:r>
        <w:rPr>
          <w:spacing w:val="-2"/>
        </w:rPr>
        <w:t>玩具等衍生品开发、销售及市场推广还有待加强。随着优质</w:t>
      </w:r>
      <w:r>
        <w:rPr>
          <w:rFonts w:ascii="Times New Roman" w:hAnsi="Times New Roman" w:cs="Times New Roman" w:eastAsia="Times New Roman" w:hint="default"/>
          <w:spacing w:val="-2"/>
        </w:rPr>
        <w:t>IP</w:t>
      </w:r>
      <w:r>
        <w:rPr>
          <w:spacing w:val="-2"/>
        </w:rPr>
        <w:t>的开发和产业发展深化进程的加快，国内动漫衍生品行业方兴</w:t>
      </w:r>
      <w:r>
        <w:rPr>
          <w:spacing w:val="-44"/>
        </w:rPr>
        <w:t> </w:t>
      </w:r>
      <w:r>
        <w:rPr>
          <w:spacing w:val="-44"/>
        </w:rPr>
      </w:r>
      <w:r>
        <w:rPr/>
        <w:t>未艾，未来发展空间巨大。</w:t>
      </w:r>
    </w:p>
    <w:p>
      <w:pPr>
        <w:pStyle w:val="BodyText"/>
        <w:spacing w:line="316" w:lineRule="auto" w:before="151"/>
        <w:ind w:left="154" w:right="1132" w:firstLine="360"/>
        <w:jc w:val="both"/>
      </w:pPr>
      <w:r>
        <w:rPr>
          <w:spacing w:val="-2"/>
        </w:rPr>
        <w:t>随着动漫产业结构不断优化、技术和内容不断创新、优秀企业和人才不断聚集以及与相关产业融合日趋加速，动漫产业</w:t>
      </w:r>
      <w:r>
        <w:rPr/>
        <w:t> </w:t>
      </w:r>
      <w:r>
        <w:rPr>
          <w:spacing w:val="-2"/>
        </w:rPr>
        <w:t>在未来几年仍将保持较快增长。尽管动漫产业近年来发展速度很快，也取得了相当成就，但从全球动漫产业发展路径和市场</w:t>
      </w:r>
      <w:r>
        <w:rPr>
          <w:spacing w:val="-66"/>
        </w:rPr>
        <w:t> </w:t>
      </w:r>
      <w:r>
        <w:rPr>
          <w:spacing w:val="-66"/>
        </w:rPr>
      </w:r>
      <w:r>
        <w:rPr>
          <w:spacing w:val="-2"/>
        </w:rPr>
        <w:t>格局来看，我国动漫产业化进程刚刚开启，仍处于初级发展阶段。未来，随着我国动漫产业从幼稚期向发展期过渡，预计市</w:t>
      </w:r>
      <w:r>
        <w:rPr>
          <w:spacing w:val="-66"/>
        </w:rPr>
        <w:t> </w:t>
      </w:r>
      <w:r>
        <w:rPr>
          <w:spacing w:val="-66"/>
        </w:rPr>
      </w:r>
      <w:r>
        <w:rPr/>
        <w:t>场规模将进一步扩大，产业集中度有望提升，拥有优质</w:t>
      </w:r>
      <w:r>
        <w:rPr>
          <w:rFonts w:ascii="Times New Roman" w:hAnsi="Times New Roman" w:cs="Times New Roman" w:eastAsia="Times New Roman" w:hint="default"/>
        </w:rPr>
        <w:t>IP</w:t>
      </w:r>
      <w:r>
        <w:rPr/>
        <w:t>的企业、具有较强综合实力的上市公司将获得更好的发展机遇。</w:t>
      </w:r>
    </w:p>
    <w:p>
      <w:pPr>
        <w:pStyle w:val="BodyText"/>
        <w:spacing w:line="240" w:lineRule="auto" w:before="119"/>
        <w:ind w:left="633" w:right="0"/>
        <w:jc w:val="left"/>
      </w:pPr>
      <w:r>
        <w:rPr>
          <w:rFonts w:ascii="Times New Roman" w:hAnsi="Times New Roman" w:cs="Times New Roman" w:eastAsia="Times New Roman" w:hint="default"/>
        </w:rPr>
        <w:t>2</w:t>
      </w:r>
      <w:r>
        <w:rPr/>
        <w:t>、网络游戏行业</w:t>
      </w:r>
    </w:p>
    <w:p>
      <w:pPr>
        <w:pStyle w:val="BodyText"/>
        <w:spacing w:line="430" w:lineRule="atLeast" w:before="2"/>
        <w:ind w:left="513" w:right="0"/>
        <w:jc w:val="left"/>
      </w:pPr>
      <w:r>
        <w:rPr/>
        <w:t>（</w:t>
      </w:r>
      <w:r>
        <w:rPr>
          <w:rFonts w:ascii="Times New Roman" w:hAnsi="Times New Roman" w:cs="Times New Roman" w:eastAsia="Times New Roman" w:hint="default"/>
        </w:rPr>
        <w:t>1</w:t>
      </w:r>
      <w:r>
        <w:rPr/>
        <w:t>）国内网络游戏市场规模呈现持续快速增长的态势 国内网络游戏行业产生于</w:t>
      </w:r>
      <w:r>
        <w:rPr>
          <w:rFonts w:ascii="Times New Roman" w:hAnsi="Times New Roman" w:cs="Times New Roman" w:eastAsia="Times New Roman" w:hint="default"/>
        </w:rPr>
        <w:t>20</w:t>
      </w:r>
      <w:r>
        <w:rPr/>
        <w:t>世纪末，经过数年的培育期，</w:t>
      </w:r>
      <w:r>
        <w:rPr>
          <w:rFonts w:ascii="Times New Roman" w:hAnsi="Times New Roman" w:cs="Times New Roman" w:eastAsia="Times New Roman" w:hint="default"/>
        </w:rPr>
        <w:t>2005</w:t>
      </w:r>
      <w:r>
        <w:rPr/>
        <w:t>年前后进入快速成长期，网络游戏市场规模快速增长。 </w:t>
      </w:r>
      <w:r>
        <w:rPr>
          <w:spacing w:val="-1"/>
        </w:rPr>
        <w:t>中国互联网络信息中心的数据显示，截至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月底，中国互联网用户数量已达到</w:t>
      </w:r>
      <w:r>
        <w:rPr>
          <w:rFonts w:ascii="Times New Roman" w:hAnsi="Times New Roman" w:cs="Times New Roman" w:eastAsia="Times New Roman" w:hint="default"/>
          <w:spacing w:val="-1"/>
        </w:rPr>
        <w:t>6.49</w:t>
      </w:r>
      <w:r>
        <w:rPr>
          <w:spacing w:val="-1"/>
        </w:rPr>
        <w:t>亿。在国内互联网用户持续增</w:t>
      </w:r>
    </w:p>
    <w:p>
      <w:pPr>
        <w:pStyle w:val="BodyText"/>
        <w:spacing w:line="309" w:lineRule="auto" w:before="63"/>
        <w:ind w:right="1033"/>
        <w:jc w:val="left"/>
      </w:pPr>
      <w:r>
        <w:rPr/>
        <w:t>加的背景下，伴随着国内网络游戏企业研发能力和运营能力的不断提升，国内网络游戏市场规模呈现持续快速增长的态势。 游戏工委发布的《</w:t>
      </w:r>
      <w:r>
        <w:rPr>
          <w:rFonts w:ascii="Times New Roman" w:hAnsi="Times New Roman" w:cs="Times New Roman" w:eastAsia="Times New Roman" w:hint="default"/>
        </w:rPr>
        <w:t>2014</w:t>
      </w:r>
      <w:r>
        <w:rPr/>
        <w:t>年中国游戏产业报告》显示，</w:t>
      </w:r>
      <w:r>
        <w:rPr>
          <w:rFonts w:ascii="Times New Roman" w:hAnsi="Times New Roman" w:cs="Times New Roman" w:eastAsia="Times New Roman" w:hint="default"/>
        </w:rPr>
        <w:t>2014</w:t>
      </w:r>
      <w:r>
        <w:rPr/>
        <w:t>年中国网络游戏市场销售收入为</w:t>
      </w:r>
      <w:r>
        <w:rPr>
          <w:rFonts w:ascii="Times New Roman" w:hAnsi="Times New Roman" w:cs="Times New Roman" w:eastAsia="Times New Roman" w:hint="default"/>
        </w:rPr>
        <w:t>869.40</w:t>
      </w:r>
      <w:r>
        <w:rPr/>
        <w:t>亿元人民币，比</w:t>
      </w:r>
      <w:r>
        <w:rPr>
          <w:rFonts w:ascii="Times New Roman" w:hAnsi="Times New Roman" w:cs="Times New Roman" w:eastAsia="Times New Roman" w:hint="default"/>
        </w:rPr>
        <w:t>2013</w:t>
      </w:r>
      <w:r>
        <w:rPr/>
        <w:t>年增长 了</w:t>
      </w:r>
      <w:r>
        <w:rPr>
          <w:rFonts w:ascii="Times New Roman" w:hAnsi="Times New Roman" w:cs="Times New Roman" w:eastAsia="Times New Roman" w:hint="default"/>
        </w:rPr>
        <w:t>21.02%</w:t>
      </w:r>
      <w:r>
        <w:rPr/>
        <w:t>。（此处网络游戏市场收入不包含移动游戏市场收入和单机游戏市场收入）</w:t>
      </w:r>
    </w:p>
    <w:p>
      <w:pPr>
        <w:pStyle w:val="BodyText"/>
        <w:spacing w:line="240" w:lineRule="auto" w:before="125"/>
        <w:ind w:left="513" w:right="0"/>
        <w:jc w:val="left"/>
      </w:pPr>
      <w:r>
        <w:rPr/>
        <w:t>（</w:t>
      </w:r>
      <w:r>
        <w:rPr>
          <w:rFonts w:ascii="Times New Roman" w:hAnsi="Times New Roman" w:cs="Times New Roman" w:eastAsia="Times New Roman" w:hint="default"/>
        </w:rPr>
        <w:t>2</w:t>
      </w:r>
      <w:r>
        <w:rPr/>
        <w:t>）网络游戏用户规模过亿</w:t>
      </w:r>
    </w:p>
    <w:p>
      <w:pPr>
        <w:spacing w:line="240" w:lineRule="auto" w:before="13"/>
        <w:rPr>
          <w:rFonts w:ascii="宋体" w:hAnsi="宋体" w:cs="宋体" w:eastAsia="宋体" w:hint="default"/>
          <w:sz w:val="13"/>
          <w:szCs w:val="13"/>
        </w:rPr>
      </w:pPr>
    </w:p>
    <w:p>
      <w:pPr>
        <w:pStyle w:val="BodyText"/>
        <w:spacing w:line="300" w:lineRule="auto"/>
        <w:ind w:right="1130" w:firstLine="360"/>
        <w:jc w:val="both"/>
      </w:pPr>
      <w:r>
        <w:rPr>
          <w:spacing w:val="-2"/>
        </w:rPr>
        <w:t>中国互联网络信息中心发布的第</w:t>
      </w:r>
      <w:r>
        <w:rPr>
          <w:rFonts w:ascii="Times New Roman" w:hAnsi="Times New Roman" w:cs="Times New Roman" w:eastAsia="Times New Roman" w:hint="default"/>
          <w:spacing w:val="-2"/>
        </w:rPr>
        <w:t>35</w:t>
      </w:r>
      <w:r>
        <w:rPr>
          <w:spacing w:val="-2"/>
        </w:rPr>
        <w:t>次《中国互联网络发展状况统计报告》显示，截至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月底，中国网民数量达到</w:t>
      </w:r>
      <w:r>
        <w:rPr/>
        <w:t> </w:t>
      </w:r>
      <w:r>
        <w:rPr>
          <w:rFonts w:ascii="Times New Roman" w:hAnsi="Times New Roman" w:cs="Times New Roman" w:eastAsia="Times New Roman" w:hint="default"/>
          <w:spacing w:val="-1"/>
        </w:rPr>
        <w:t>6.49</w:t>
      </w:r>
      <w:r>
        <w:rPr>
          <w:spacing w:val="-1"/>
        </w:rPr>
        <w:t>亿，互联网普及率为</w:t>
      </w:r>
      <w:r>
        <w:rPr>
          <w:rFonts w:ascii="Times New Roman" w:hAnsi="Times New Roman" w:cs="Times New Roman" w:eastAsia="Times New Roman" w:hint="default"/>
          <w:spacing w:val="-1"/>
        </w:rPr>
        <w:t>47.9%</w:t>
      </w:r>
      <w:r>
        <w:rPr>
          <w:spacing w:val="-1"/>
        </w:rPr>
        <w:t>，</w:t>
      </w:r>
      <w:r>
        <w:rPr>
          <w:rFonts w:ascii="Times New Roman" w:hAnsi="Times New Roman" w:cs="Times New Roman" w:eastAsia="Times New Roman" w:hint="default"/>
          <w:spacing w:val="-1"/>
        </w:rPr>
        <w:t>2014</w:t>
      </w:r>
      <w:r>
        <w:rPr>
          <w:spacing w:val="-1"/>
        </w:rPr>
        <w:t>年末网民数量较</w:t>
      </w:r>
      <w:r>
        <w:rPr>
          <w:rFonts w:ascii="Times New Roman" w:hAnsi="Times New Roman" w:cs="Times New Roman" w:eastAsia="Times New Roman" w:hint="default"/>
          <w:spacing w:val="-1"/>
        </w:rPr>
        <w:t>2013</w:t>
      </w:r>
      <w:r>
        <w:rPr>
          <w:spacing w:val="-1"/>
        </w:rPr>
        <w:t>年末增加</w:t>
      </w:r>
      <w:r>
        <w:rPr>
          <w:rFonts w:ascii="Times New Roman" w:hAnsi="Times New Roman" w:cs="Times New Roman" w:eastAsia="Times New Roman" w:hint="default"/>
          <w:spacing w:val="-1"/>
        </w:rPr>
        <w:t>3,117</w:t>
      </w:r>
      <w:r>
        <w:rPr>
          <w:spacing w:val="-1"/>
        </w:rPr>
        <w:t>万人，普及率提升</w:t>
      </w:r>
      <w:r>
        <w:rPr>
          <w:rFonts w:ascii="Times New Roman" w:hAnsi="Times New Roman" w:cs="Times New Roman" w:eastAsia="Times New Roman" w:hint="default"/>
          <w:spacing w:val="-1"/>
        </w:rPr>
        <w:t>2.1%</w:t>
      </w:r>
      <w:r>
        <w:rPr>
          <w:spacing w:val="-1"/>
        </w:rPr>
        <w:t>。中国网络游戏用户增长和</w:t>
      </w:r>
      <w:r>
        <w:rPr>
          <w:spacing w:val="-48"/>
        </w:rPr>
        <w:t> </w:t>
      </w:r>
      <w:r>
        <w:rPr>
          <w:spacing w:val="-48"/>
        </w:rPr>
      </w:r>
      <w:r>
        <w:rPr>
          <w:spacing w:val="-1"/>
        </w:rPr>
        <w:t>互联网用户增长高度相关。《</w:t>
      </w:r>
      <w:r>
        <w:rPr>
          <w:rFonts w:ascii="Times New Roman" w:hAnsi="Times New Roman" w:cs="Times New Roman" w:eastAsia="Times New Roman" w:hint="default"/>
          <w:spacing w:val="-1"/>
        </w:rPr>
        <w:t>2014</w:t>
      </w:r>
      <w:r>
        <w:rPr>
          <w:spacing w:val="-1"/>
        </w:rPr>
        <w:t>年中国游戏产业报告》显示，</w:t>
      </w:r>
      <w:r>
        <w:rPr>
          <w:rFonts w:ascii="Times New Roman" w:hAnsi="Times New Roman" w:cs="Times New Roman" w:eastAsia="Times New Roman" w:hint="default"/>
          <w:spacing w:val="-1"/>
        </w:rPr>
        <w:t>2014</w:t>
      </w:r>
      <w:r>
        <w:rPr>
          <w:spacing w:val="-1"/>
        </w:rPr>
        <w:t>年，中国游戏市场用户数量约为</w:t>
      </w:r>
      <w:r>
        <w:rPr>
          <w:rFonts w:ascii="Times New Roman" w:hAnsi="Times New Roman" w:cs="Times New Roman" w:eastAsia="Times New Roman" w:hint="default"/>
          <w:spacing w:val="-1"/>
        </w:rPr>
        <w:t>5.17</w:t>
      </w:r>
      <w:r>
        <w:rPr>
          <w:spacing w:val="-1"/>
        </w:rPr>
        <w:t>亿人，较</w:t>
      </w:r>
      <w:r>
        <w:rPr>
          <w:rFonts w:ascii="Times New Roman" w:hAnsi="Times New Roman" w:cs="Times New Roman" w:eastAsia="Times New Roman" w:hint="default"/>
          <w:spacing w:val="-1"/>
        </w:rPr>
        <w:t>2013</w:t>
      </w:r>
      <w:r>
        <w:rPr>
          <w:spacing w:val="-1"/>
        </w:rPr>
        <w:t>年增</w:t>
      </w:r>
      <w:r>
        <w:rPr>
          <w:spacing w:val="-67"/>
        </w:rPr>
        <w:t> </w:t>
      </w:r>
      <w:r>
        <w:rPr/>
        <w:t>长</w:t>
      </w:r>
      <w:r>
        <w:rPr>
          <w:rFonts w:ascii="Times New Roman" w:hAnsi="Times New Roman" w:cs="Times New Roman" w:eastAsia="Times New Roman" w:hint="default"/>
        </w:rPr>
        <w:t>4.6%</w:t>
      </w:r>
      <w:r>
        <w:rPr/>
        <w:t>。网络游戏用户规模的增长将较大地带动整个网络游戏行业的发展。</w:t>
      </w:r>
    </w:p>
    <w:p>
      <w:pPr>
        <w:pStyle w:val="BodyText"/>
        <w:spacing w:line="316" w:lineRule="auto" w:before="133"/>
        <w:ind w:right="1132" w:firstLine="360"/>
        <w:jc w:val="both"/>
      </w:pPr>
      <w:r>
        <w:rPr>
          <w:spacing w:val="-2"/>
        </w:rPr>
        <w:t>综上，文化产业内动漫及动漫衍生品产业和游戏产业等均面临市场规模快速发展的重要战略机遇期，公司文化生态圈各</w:t>
      </w:r>
      <w:r>
        <w:rPr/>
        <w:t> 业务均拥有良好的市场前景。</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spacing w:line="240" w:lineRule="auto"/>
        <w:ind w:left="513" w:right="0"/>
        <w:jc w:val="left"/>
      </w:pPr>
      <w:r>
        <w:rPr/>
        <w:t>二、公司目前的行业竞争优势</w:t>
      </w:r>
    </w:p>
    <w:p>
      <w:pPr>
        <w:spacing w:line="240" w:lineRule="auto" w:before="0"/>
        <w:rPr>
          <w:rFonts w:ascii="宋体" w:hAnsi="宋体" w:cs="宋体" w:eastAsia="宋体" w:hint="default"/>
          <w:sz w:val="15"/>
          <w:szCs w:val="15"/>
        </w:rPr>
      </w:pPr>
    </w:p>
    <w:p>
      <w:pPr>
        <w:pStyle w:val="BodyText"/>
        <w:spacing w:line="240" w:lineRule="auto"/>
        <w:ind w:left="453" w:right="0"/>
        <w:jc w:val="left"/>
      </w:pPr>
      <w:r>
        <w:rPr>
          <w:rFonts w:ascii="Times New Roman" w:hAnsi="Times New Roman" w:cs="Times New Roman" w:eastAsia="Times New Roman" w:hint="default"/>
        </w:rPr>
        <w:t>1</w:t>
      </w:r>
      <w:r>
        <w:rPr/>
        <w:t>、行业优势</w:t>
      </w:r>
    </w:p>
    <w:p>
      <w:pPr>
        <w:spacing w:line="240" w:lineRule="auto" w:before="13"/>
        <w:rPr>
          <w:rFonts w:ascii="宋体" w:hAnsi="宋体" w:cs="宋体" w:eastAsia="宋体" w:hint="default"/>
          <w:sz w:val="13"/>
          <w:szCs w:val="13"/>
        </w:rPr>
      </w:pPr>
    </w:p>
    <w:p>
      <w:pPr>
        <w:pStyle w:val="BodyText"/>
        <w:spacing w:line="415" w:lineRule="auto"/>
        <w:ind w:left="513" w:right="1118" w:hanging="60"/>
        <w:jc w:val="left"/>
      </w:pPr>
      <w:r>
        <w:rPr/>
        <w:t>（</w:t>
      </w:r>
      <w:r>
        <w:rPr>
          <w:rFonts w:ascii="Times New Roman" w:hAnsi="Times New Roman" w:cs="Times New Roman" w:eastAsia="Times New Roman" w:hint="default"/>
        </w:rPr>
        <w:t>1</w:t>
      </w:r>
      <w:r>
        <w:rPr/>
        <w:t>）原创动漫 </w:t>
      </w:r>
      <w:r>
        <w:rPr>
          <w:spacing w:val="-2"/>
        </w:rPr>
        <w:t>公司控股子公司美盛动漫拥有一支成熟、优秀的动漫开发团队，《星学院》、《莫麟传奇》、《爵士兔之奇幻之旅》等</w:t>
      </w:r>
    </w:p>
    <w:p>
      <w:pPr>
        <w:pStyle w:val="BodyText"/>
        <w:spacing w:line="194" w:lineRule="exact"/>
        <w:ind w:right="0"/>
        <w:jc w:val="left"/>
      </w:pPr>
      <w:r>
        <w:rPr/>
        <w:t>动漫作品反响热烈，深受好评和关注。其中《星学院》是公司重点打造的原创精品</w:t>
      </w:r>
      <w:r>
        <w:rPr>
          <w:rFonts w:ascii="Times New Roman" w:hAnsi="Times New Roman" w:cs="Times New Roman" w:eastAsia="Times New Roman" w:hint="default"/>
        </w:rPr>
        <w:t>IP</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9</w:t>
      </w:r>
      <w:r>
        <w:rPr/>
        <w:t>月，《星学院第一季魔</w:t>
      </w:r>
    </w:p>
    <w:p>
      <w:pPr>
        <w:pStyle w:val="BodyText"/>
        <w:spacing w:line="300" w:lineRule="auto" w:before="63"/>
        <w:ind w:right="1034"/>
        <w:jc w:val="left"/>
      </w:pPr>
      <w:r>
        <w:rPr/>
        <w:t>法礼服》在北京卡酷少儿频道播出，据央视索福瑞统计，在</w:t>
      </w:r>
      <w:r>
        <w:rPr>
          <w:rFonts w:ascii="Times New Roman" w:hAnsi="Times New Roman" w:cs="Times New Roman" w:eastAsia="Times New Roman" w:hint="default"/>
        </w:rPr>
        <w:t>8:00</w:t>
      </w:r>
      <w:r>
        <w:rPr/>
        <w:t>至</w:t>
      </w:r>
      <w:r>
        <w:rPr>
          <w:rFonts w:ascii="Times New Roman" w:hAnsi="Times New Roman" w:cs="Times New Roman" w:eastAsia="Times New Roman" w:hint="default"/>
        </w:rPr>
        <w:t>17:30</w:t>
      </w:r>
      <w:r>
        <w:rPr/>
        <w:t>档的动漫收视排行中，《星学院第一季魔法礼服》</w:t>
      </w:r>
      <w:r>
        <w:rPr>
          <w:spacing w:val="-14"/>
        </w:rPr>
        <w:t> </w:t>
      </w:r>
      <w:r>
        <w:rPr>
          <w:spacing w:val="-14"/>
        </w:rPr>
      </w:r>
      <w:r>
        <w:rPr>
          <w:spacing w:val="-1"/>
        </w:rPr>
        <w:t>名列前茅，在</w:t>
      </w:r>
      <w:r>
        <w:rPr>
          <w:rFonts w:ascii="Times New Roman" w:hAnsi="Times New Roman" w:cs="Times New Roman" w:eastAsia="Times New Roman" w:hint="default"/>
          <w:spacing w:val="-1"/>
        </w:rPr>
        <w:t>9</w:t>
      </w:r>
      <w:r>
        <w:rPr>
          <w:spacing w:val="-1"/>
        </w:rPr>
        <w:t>月播放的</w:t>
      </w:r>
      <w:r>
        <w:rPr>
          <w:rFonts w:ascii="Times New Roman" w:hAnsi="Times New Roman" w:cs="Times New Roman" w:eastAsia="Times New Roman" w:hint="default"/>
          <w:spacing w:val="-1"/>
        </w:rPr>
        <w:t>18</w:t>
      </w:r>
      <w:r>
        <w:rPr>
          <w:spacing w:val="-1"/>
        </w:rPr>
        <w:t>天中，平均收视率为</w:t>
      </w:r>
      <w:r>
        <w:rPr>
          <w:rFonts w:ascii="Times New Roman" w:hAnsi="Times New Roman" w:cs="Times New Roman" w:eastAsia="Times New Roman" w:hint="default"/>
          <w:spacing w:val="-1"/>
        </w:rPr>
        <w:t>0.57%</w:t>
      </w:r>
      <w:r>
        <w:rPr>
          <w:spacing w:val="-1"/>
        </w:rPr>
        <w:t>、平均排名</w:t>
      </w:r>
      <w:r>
        <w:rPr>
          <w:rFonts w:ascii="Times New Roman" w:hAnsi="Times New Roman" w:cs="Times New Roman" w:eastAsia="Times New Roman" w:hint="default"/>
          <w:spacing w:val="-1"/>
        </w:rPr>
        <w:t>3.06</w:t>
      </w:r>
      <w:r>
        <w:rPr>
          <w:spacing w:val="-1"/>
        </w:rPr>
        <w:t>名，其中有</w:t>
      </w:r>
      <w:r>
        <w:rPr>
          <w:rFonts w:ascii="Times New Roman" w:hAnsi="Times New Roman" w:cs="Times New Roman" w:eastAsia="Times New Roman" w:hint="default"/>
          <w:spacing w:val="-1"/>
        </w:rPr>
        <w:t>4</w:t>
      </w:r>
      <w:r>
        <w:rPr>
          <w:spacing w:val="-1"/>
        </w:rPr>
        <w:t>天收视率排名第一。公司在推出《星学院》</w:t>
      </w:r>
      <w:r>
        <w:rPr>
          <w:spacing w:val="-87"/>
        </w:rPr>
        <w:t> </w:t>
      </w:r>
      <w:r>
        <w:rPr>
          <w:spacing w:val="-87"/>
        </w:rPr>
      </w:r>
      <w:r>
        <w:rPr/>
        <w:t>动画片的同时，也在同步进行《星学院》大电影的制作。</w:t>
      </w:r>
    </w:p>
    <w:p>
      <w:pPr>
        <w:pStyle w:val="BodyText"/>
        <w:spacing w:line="432" w:lineRule="exact" w:before="16"/>
        <w:ind w:left="514" w:right="0" w:hanging="60"/>
        <w:jc w:val="left"/>
      </w:pPr>
      <w:r>
        <w:rPr/>
        <w:t>（</w:t>
      </w:r>
      <w:r>
        <w:rPr>
          <w:rFonts w:ascii="Times New Roman" w:hAnsi="Times New Roman" w:cs="Times New Roman" w:eastAsia="Times New Roman" w:hint="default"/>
        </w:rPr>
        <w:t>2</w:t>
      </w:r>
      <w:r>
        <w:rPr/>
        <w:t>）动漫类衍生品 </w:t>
      </w:r>
      <w:r>
        <w:rPr>
          <w:spacing w:val="-2"/>
        </w:rPr>
        <w:t>公司主要客户均为全球主流动漫服饰供应商，通过优化设计及实现更好的产品搭配为客户提供良好的服务和产品。公司</w:t>
      </w:r>
    </w:p>
    <w:p>
      <w:pPr>
        <w:pStyle w:val="BodyText"/>
        <w:spacing w:line="240" w:lineRule="auto" w:before="15"/>
        <w:ind w:left="154" w:right="0"/>
        <w:jc w:val="left"/>
      </w:pPr>
      <w:r>
        <w:rPr/>
        <w:t>是国内主要的动漫服饰制造商之一，在动漫服饰的研发、设计和生产上具备领先优势。</w:t>
      </w:r>
    </w:p>
    <w:p>
      <w:pPr>
        <w:spacing w:line="240" w:lineRule="auto" w:before="0"/>
        <w:rPr>
          <w:rFonts w:ascii="宋体" w:hAnsi="宋体" w:cs="宋体" w:eastAsia="宋体" w:hint="default"/>
          <w:sz w:val="15"/>
          <w:szCs w:val="15"/>
        </w:rPr>
      </w:pPr>
    </w:p>
    <w:p>
      <w:pPr>
        <w:pStyle w:val="BodyText"/>
        <w:spacing w:line="300" w:lineRule="auto"/>
        <w:ind w:left="732" w:right="1118" w:hanging="279"/>
        <w:jc w:val="left"/>
      </w:pPr>
      <w:r>
        <w:rPr/>
        <w:t>（</w:t>
      </w:r>
      <w:r>
        <w:rPr>
          <w:rFonts w:ascii="Times New Roman" w:hAnsi="Times New Roman" w:cs="Times New Roman" w:eastAsia="Times New Roman" w:hint="default"/>
        </w:rPr>
        <w:t>3</w:t>
      </w:r>
      <w:r>
        <w:rPr/>
        <w:t>）游戏行业 公司控股子公司美盛游戏在原创游戏开发方面具有较强实力，网页游戏作品《纸牌三国》、《梦回三国》在国内受</w:t>
      </w:r>
    </w:p>
    <w:p>
      <w:pPr>
        <w:pStyle w:val="BodyText"/>
        <w:spacing w:line="240" w:lineRule="auto" w:before="31"/>
        <w:ind w:left="154" w:right="0"/>
        <w:jc w:val="left"/>
      </w:pPr>
      <w:r>
        <w:rPr/>
        <w:t>到好评的同时，还通过海外授权远销台湾、日本、东南亚等国家和地区。</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444" w:right="0" w:hanging="1"/>
        <w:jc w:val="left"/>
      </w:pPr>
      <w:r>
        <w:rPr>
          <w:rFonts w:ascii="Times New Roman" w:hAnsi="Times New Roman" w:cs="Times New Roman" w:eastAsia="Times New Roman" w:hint="default"/>
        </w:rPr>
        <w:t>2</w:t>
      </w:r>
      <w:r>
        <w:rPr/>
        <w:t>、公司现有各业务板块为项目实施提供了人才储备和技术储备 </w:t>
      </w:r>
      <w:r>
        <w:rPr>
          <w:spacing w:val="-1"/>
        </w:rPr>
        <w:t>如前文所述，自</w:t>
      </w:r>
      <w:r>
        <w:rPr>
          <w:rFonts w:ascii="Times New Roman" w:hAnsi="Times New Roman" w:cs="Times New Roman" w:eastAsia="Times New Roman" w:hint="default"/>
          <w:spacing w:val="-1"/>
        </w:rPr>
        <w:t>2013</w:t>
      </w:r>
      <w:r>
        <w:rPr>
          <w:spacing w:val="-1"/>
        </w:rPr>
        <w:t>年以来，公司先后投资并购了多个标的，涉及网络游戏开发和运营、动漫制作和播放等多个泛娱乐</w:t>
      </w:r>
    </w:p>
    <w:p>
      <w:pPr>
        <w:pStyle w:val="BodyText"/>
        <w:spacing w:line="217" w:lineRule="exact"/>
        <w:ind w:left="154" w:right="0"/>
        <w:jc w:val="left"/>
      </w:pPr>
      <w:r>
        <w:rPr/>
        <w:t>业务板块，本次非公开发行拟收购的真趣网络主要从事轻游戏服务平台业务和移动广告精准投放平台业务。目前，上述公司</w:t>
      </w:r>
    </w:p>
    <w:p>
      <w:pPr>
        <w:pStyle w:val="BodyText"/>
        <w:spacing w:line="319" w:lineRule="auto" w:before="76"/>
        <w:ind w:left="154" w:right="1133"/>
        <w:jc w:val="both"/>
      </w:pPr>
      <w:r>
        <w:rPr>
          <w:spacing w:val="-2"/>
        </w:rPr>
        <w:t>的技术团队保持稳定，而募投项目开发所需要涉及的功能模块，大部分在上述子公司现有产品中已有涉及，仅需要在现有模</w:t>
      </w:r>
      <w:r>
        <w:rPr>
          <w:spacing w:val="-66"/>
        </w:rPr>
        <w:t> </w:t>
      </w:r>
      <w:r>
        <w:rPr>
          <w:spacing w:val="-66"/>
        </w:rPr>
      </w:r>
      <w:r>
        <w:rPr/>
        <w:t>块基础上进行功能强化和针对性的开发，因此公司具有本次募集资金投资项目实施的人才、技术和经验储备。</w:t>
      </w:r>
    </w:p>
    <w:p>
      <w:pPr>
        <w:pStyle w:val="BodyText"/>
        <w:spacing w:line="328" w:lineRule="auto" w:before="58"/>
        <w:ind w:right="0" w:firstLine="290"/>
        <w:jc w:val="left"/>
      </w:pPr>
      <w:r>
        <w:rPr>
          <w:rFonts w:ascii="Times New Roman" w:hAnsi="Times New Roman" w:cs="Times New Roman" w:eastAsia="Times New Roman" w:hint="default"/>
        </w:rPr>
        <w:t>3</w:t>
      </w:r>
      <w:r>
        <w:rPr/>
        <w:t>、公司在文化创意产业经营多年，拥有经验优势 </w:t>
      </w:r>
      <w:r>
        <w:rPr>
          <w:spacing w:val="-2"/>
        </w:rPr>
        <w:t>公司多年来专注于文化创意产业周边产品的生产和销售，业务发展势头良好，在行业经验、客户资源、专业人才储备和服务</w:t>
      </w:r>
      <w:r>
        <w:rPr>
          <w:spacing w:val="-66"/>
        </w:rPr>
        <w:t> </w:t>
      </w:r>
      <w:r>
        <w:rPr>
          <w:spacing w:val="-66"/>
        </w:rPr>
      </w:r>
      <w:r>
        <w:rPr/>
        <w:t>品牌方面的优势将确保本项目的顺利实施。公司前期在泛娱乐领域的业务探索和产品运营效果明显。</w:t>
      </w:r>
    </w:p>
    <w:p>
      <w:pPr>
        <w:pStyle w:val="BodyText"/>
        <w:spacing w:line="338" w:lineRule="auto" w:before="49"/>
        <w:ind w:left="444" w:right="1192" w:hanging="1"/>
        <w:jc w:val="left"/>
      </w:pPr>
      <w:r>
        <w:rPr>
          <w:rFonts w:ascii="Times New Roman" w:hAnsi="Times New Roman" w:cs="Times New Roman" w:eastAsia="Times New Roman" w:hint="default"/>
        </w:rPr>
        <w:t>4</w:t>
      </w:r>
      <w:r>
        <w:rPr/>
        <w:t>、现有平台可以提供优质的用户资源 目前，公司拥有酷米网、美盛游戏、游戏港口、悠窝窝和</w:t>
      </w:r>
      <w:r>
        <w:rPr>
          <w:rFonts w:ascii="Times New Roman" w:hAnsi="Times New Roman" w:cs="Times New Roman" w:eastAsia="Times New Roman" w:hint="default"/>
        </w:rPr>
        <w:t>partyxplosion</w:t>
      </w:r>
      <w:r>
        <w:rPr/>
        <w:t>等多个运营平台，拥有庞大的注册用户，且均为</w:t>
      </w:r>
    </w:p>
    <w:p>
      <w:pPr>
        <w:pStyle w:val="BodyText"/>
        <w:spacing w:line="231" w:lineRule="exact"/>
        <w:ind w:right="0"/>
        <w:jc w:val="left"/>
      </w:pPr>
      <w:r>
        <w:rPr/>
        <w:t>文化创业产业的爱好者和消费者，庞大的用户群体为公司动漫衍生品的销售以及普及公司优质</w:t>
      </w:r>
      <w:r>
        <w:rPr>
          <w:rFonts w:ascii="Times New Roman" w:hAnsi="Times New Roman" w:cs="Times New Roman" w:eastAsia="Times New Roman" w:hint="default"/>
        </w:rPr>
        <w:t>IP</w:t>
      </w:r>
      <w:r>
        <w:rPr/>
        <w:t>提供了优质的用户资源。</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240" w:lineRule="auto"/>
        <w:ind w:left="444" w:right="0"/>
        <w:jc w:val="left"/>
      </w:pPr>
      <w:r>
        <w:rPr/>
        <w:t>三、公司发展战略规划</w:t>
      </w:r>
    </w:p>
    <w:p>
      <w:pPr>
        <w:spacing w:line="240" w:lineRule="auto" w:before="0"/>
        <w:rPr>
          <w:rFonts w:ascii="宋体" w:hAnsi="宋体" w:cs="宋体" w:eastAsia="宋体" w:hint="default"/>
          <w:sz w:val="18"/>
          <w:szCs w:val="18"/>
        </w:rPr>
      </w:pPr>
    </w:p>
    <w:p>
      <w:pPr>
        <w:pStyle w:val="BodyText"/>
        <w:spacing w:line="360" w:lineRule="auto" w:before="153"/>
        <w:ind w:left="513" w:right="0" w:hanging="143"/>
        <w:jc w:val="left"/>
      </w:pPr>
      <w:r>
        <w:rPr/>
        <w:t>（一）公司总体发展战略 </w:t>
      </w:r>
      <w:r>
        <w:rPr>
          <w:spacing w:val="-2"/>
        </w:rPr>
        <w:t>公司在大文化的时代背景下，提出了向产业上下游延伸的发展战略。经过近年来资源整合，公司一体化全产业链格局初</w:t>
      </w:r>
    </w:p>
    <w:p>
      <w:pPr>
        <w:pStyle w:val="BodyText"/>
        <w:spacing w:line="222" w:lineRule="exact"/>
        <w:ind w:right="0"/>
        <w:jc w:val="left"/>
      </w:pPr>
      <w:r>
        <w:rPr>
          <w:spacing w:val="-4"/>
        </w:rPr>
        <w:t>步形成，已布局动漫原创、游戏制作、网络平台、国内外终端销售、儿童剧演艺等多个环节。公司先后投资并购了多个标的，</w:t>
      </w:r>
    </w:p>
    <w:p>
      <w:pPr>
        <w:pStyle w:val="BodyText"/>
        <w:spacing w:line="302" w:lineRule="auto" w:before="76"/>
        <w:ind w:left="154" w:right="1131"/>
        <w:jc w:val="both"/>
      </w:pPr>
      <w:r>
        <w:rPr>
          <w:spacing w:val="-1"/>
        </w:rPr>
        <w:t>由点到面，多方布局，已初步搭建起</w:t>
      </w:r>
      <w:r>
        <w:rPr>
          <w:rFonts w:ascii="Times New Roman" w:hAnsi="Times New Roman" w:cs="Times New Roman" w:eastAsia="Times New Roman" w:hint="default"/>
          <w:spacing w:val="-1"/>
        </w:rPr>
        <w:t>“</w:t>
      </w:r>
      <w:r>
        <w:rPr>
          <w:spacing w:val="-1"/>
        </w:rPr>
        <w:t>自有</w:t>
      </w:r>
      <w:r>
        <w:rPr>
          <w:rFonts w:ascii="Times New Roman" w:hAnsi="Times New Roman" w:cs="Times New Roman" w:eastAsia="Times New Roman" w:hint="default"/>
          <w:spacing w:val="-1"/>
        </w:rPr>
        <w:t>IP+</w:t>
      </w:r>
      <w:r>
        <w:rPr>
          <w:spacing w:val="-1"/>
        </w:rPr>
        <w:t>内容制作（动漫、游戏、电影、儿童剧）</w:t>
      </w:r>
      <w:r>
        <w:rPr>
          <w:rFonts w:ascii="Times New Roman" w:hAnsi="Times New Roman" w:cs="Times New Roman" w:eastAsia="Times New Roman" w:hint="default"/>
          <w:spacing w:val="-1"/>
        </w:rPr>
        <w:t>+</w:t>
      </w:r>
      <w:r>
        <w:rPr>
          <w:spacing w:val="-1"/>
        </w:rPr>
        <w:t>内容发行和运营</w:t>
      </w:r>
      <w:r>
        <w:rPr>
          <w:rFonts w:ascii="Times New Roman" w:hAnsi="Times New Roman" w:cs="Times New Roman" w:eastAsia="Times New Roman" w:hint="default"/>
          <w:spacing w:val="-1"/>
        </w:rPr>
        <w:t>+</w:t>
      </w:r>
      <w:r>
        <w:rPr>
          <w:spacing w:val="-1"/>
        </w:rPr>
        <w:t>衍生品开发设计</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
        </w:rPr>
        <w:t> </w:t>
      </w:r>
      <w:r>
        <w:rPr/>
        <w:t>线上线下零售渠道</w:t>
      </w:r>
      <w:r>
        <w:rPr>
          <w:rFonts w:ascii="Times New Roman" w:hAnsi="Times New Roman" w:cs="Times New Roman" w:eastAsia="Times New Roman" w:hint="default"/>
        </w:rPr>
        <w:t>”</w:t>
      </w:r>
      <w:r>
        <w:rPr/>
        <w:t>的文化生态圈。</w:t>
      </w:r>
    </w:p>
    <w:p>
      <w:pPr>
        <w:pStyle w:val="BodyText"/>
        <w:spacing w:line="319" w:lineRule="auto" w:before="49"/>
        <w:ind w:left="154" w:right="0" w:firstLine="360"/>
        <w:jc w:val="left"/>
      </w:pPr>
      <w:r>
        <w:rPr>
          <w:spacing w:val="-2"/>
        </w:rPr>
        <w:t>未来公司将在进一步完善布局的同时，加强推进整合工作，具体包括管理整合、资源整合及国内外市场整合，促进各环</w:t>
      </w:r>
      <w:r>
        <w:rPr/>
        <w:t> 节的协调发展和协同效应的发挥，以充分发挥产业链布局一体化优势。</w:t>
      </w:r>
    </w:p>
    <w:p>
      <w:pPr>
        <w:pStyle w:val="BodyText"/>
        <w:spacing w:line="309" w:lineRule="auto" w:before="56"/>
        <w:ind w:right="1130" w:firstLine="290"/>
        <w:jc w:val="both"/>
      </w:pPr>
      <w:r>
        <w:rPr/>
        <w:t>公司秉持</w:t>
      </w:r>
      <w:r>
        <w:rPr>
          <w:rFonts w:ascii="Times New Roman" w:hAnsi="Times New Roman" w:cs="Times New Roman" w:eastAsia="Times New Roman" w:hint="default"/>
        </w:rPr>
        <w:t>“</w:t>
      </w:r>
      <w:r>
        <w:rPr/>
        <w:t>文化传承，创意美盛</w:t>
      </w:r>
      <w:r>
        <w:rPr>
          <w:rFonts w:ascii="Times New Roman" w:hAnsi="Times New Roman" w:cs="Times New Roman" w:eastAsia="Times New Roman" w:hint="default"/>
        </w:rPr>
        <w:t>”</w:t>
      </w:r>
      <w:r>
        <w:rPr/>
        <w:t>的企业宗旨，坚持以人为本，为客户谋价值，为员工谋利益，为社会谋发展，注重挖掘 </w:t>
      </w:r>
      <w:r>
        <w:rPr>
          <w:spacing w:val="-2"/>
        </w:rPr>
        <w:t>文化内涵与引领潮流，坚持以创意领先，进一步优化产品规划和改善产品结构，从品牌、产品、市场、质量和企业管理等方</w:t>
      </w:r>
      <w:r>
        <w:rPr>
          <w:spacing w:val="-67"/>
        </w:rPr>
        <w:t> </w:t>
      </w:r>
      <w:r>
        <w:rPr>
          <w:spacing w:val="-67"/>
        </w:rPr>
      </w:r>
      <w:r>
        <w:rPr/>
        <w:t>面不断提升公司的核心竞争力。</w:t>
      </w:r>
    </w:p>
    <w:p>
      <w:pPr>
        <w:pStyle w:val="BodyText"/>
        <w:spacing w:line="240" w:lineRule="auto" w:before="64"/>
        <w:ind w:left="371" w:right="0"/>
        <w:jc w:val="left"/>
      </w:pPr>
      <w:r>
        <w:rPr/>
        <w:t>（二）公司未来发展目标</w:t>
      </w:r>
    </w:p>
    <w:p>
      <w:pPr>
        <w:pStyle w:val="BodyText"/>
        <w:spacing w:line="300" w:lineRule="auto" w:before="76"/>
        <w:ind w:left="444" w:right="0" w:hanging="1"/>
        <w:jc w:val="left"/>
      </w:pPr>
      <w:r>
        <w:rPr>
          <w:rFonts w:ascii="Times New Roman" w:hAnsi="Times New Roman" w:cs="Times New Roman" w:eastAsia="Times New Roman" w:hint="default"/>
        </w:rPr>
        <w:t>1</w:t>
      </w:r>
      <w:r>
        <w:rPr/>
        <w:t>、巩固业务基础，全面提升各环节业务 </w:t>
      </w:r>
      <w:r>
        <w:rPr>
          <w:spacing w:val="-1"/>
        </w:rPr>
        <w:t>公司及各控股子公司将在巩固现有业务的基础上，不断加强产品开发和市场拓展力度，努力提升在各自领域的市场地位</w:t>
      </w:r>
    </w:p>
    <w:p>
      <w:pPr>
        <w:pStyle w:val="BodyText"/>
        <w:spacing w:line="316" w:lineRule="auto" w:before="31"/>
        <w:ind w:left="154" w:right="1043"/>
        <w:jc w:val="both"/>
      </w:pPr>
      <w:r>
        <w:rPr>
          <w:spacing w:val="-4"/>
        </w:rPr>
        <w:t>和影响力；同时公司将统筹各方面资源，根据各业务发展需要提供必要支持，力争旗下产业链各环节均能实现持续健康发展，</w:t>
      </w:r>
      <w:r>
        <w:rPr>
          <w:spacing w:val="-44"/>
        </w:rPr>
        <w:t> </w:t>
      </w:r>
      <w:r>
        <w:rPr>
          <w:spacing w:val="-44"/>
        </w:rPr>
      </w:r>
      <w:r>
        <w:rPr/>
        <w:t>从而带动公司整体效益的进一步提升。</w:t>
      </w:r>
    </w:p>
    <w:p>
      <w:pPr>
        <w:pStyle w:val="BodyText"/>
        <w:spacing w:line="300" w:lineRule="auto" w:before="19"/>
        <w:ind w:left="444" w:right="0" w:hanging="1"/>
        <w:jc w:val="left"/>
      </w:pPr>
      <w:r>
        <w:rPr>
          <w:rFonts w:ascii="Times New Roman" w:hAnsi="Times New Roman" w:cs="Times New Roman" w:eastAsia="Times New Roman" w:hint="default"/>
        </w:rPr>
        <w:t>2</w:t>
      </w:r>
      <w:r>
        <w:rPr/>
        <w:t>、加强整合，促进一体化优势发挥 </w:t>
      </w:r>
      <w:r>
        <w:rPr>
          <w:spacing w:val="-1"/>
        </w:rPr>
        <w:t>在初步实现了全产业链布局后，公司未来将着力加强整合工作。由于并购纳入公司旗下的各子公司整合时间较短，与公</w:t>
      </w:r>
    </w:p>
    <w:p>
      <w:pPr>
        <w:pStyle w:val="BodyText"/>
        <w:spacing w:line="316" w:lineRule="auto" w:before="31"/>
        <w:ind w:left="444" w:right="0" w:hanging="291"/>
        <w:jc w:val="left"/>
      </w:pPr>
      <w:r>
        <w:rPr/>
        <w:t>司在企业文化、管理方式、发展规划等方面都需要加强融合。 </w:t>
      </w:r>
      <w:r>
        <w:rPr>
          <w:spacing w:val="-1"/>
        </w:rPr>
        <w:t>公司一方面将在内部管理方面全面提升以适应未来集团化运作的要求，另一方面加强对各控股子公司的规范化管理和一</w:t>
      </w:r>
    </w:p>
    <w:p>
      <w:pPr>
        <w:pStyle w:val="BodyText"/>
        <w:spacing w:line="309" w:lineRule="auto" w:before="19"/>
        <w:ind w:left="444" w:right="0" w:hanging="291"/>
        <w:jc w:val="left"/>
      </w:pPr>
      <w:r>
        <w:rPr/>
        <w:t>体化方向指导，提升对公司及各子公司资源的利用效率，为充分发挥协同效应创造良好条件。 </w:t>
      </w:r>
      <w:r>
        <w:rPr>
          <w:rFonts w:ascii="Times New Roman" w:hAnsi="Times New Roman" w:cs="Times New Roman" w:eastAsia="Times New Roman" w:hint="default"/>
        </w:rPr>
        <w:t>3</w:t>
      </w:r>
      <w:r>
        <w:rPr/>
        <w:t>、加速推进文化产业转型升级、打造综合性文化产业平台 </w:t>
      </w:r>
      <w:r>
        <w:rPr>
          <w:spacing w:val="-1"/>
        </w:rPr>
        <w:t>公司通过投资和并购初步形成了泛娱乐业务体系，公司未来将在现有产业链版图基础上，根据产业发展动态和公司业务</w:t>
      </w:r>
    </w:p>
    <w:p>
      <w:pPr>
        <w:pStyle w:val="BodyText"/>
        <w:spacing w:line="312" w:lineRule="auto" w:before="24"/>
        <w:ind w:right="1131"/>
        <w:jc w:val="both"/>
      </w:pPr>
      <w:r>
        <w:rPr>
          <w:spacing w:val="-2"/>
        </w:rPr>
        <w:t>发展情况，继续实施转型升级和产业一体化战略，充分整合上下游资源，进一步完善产业布局，全面提升盈利模式和盈利水</w:t>
      </w:r>
      <w:r>
        <w:rPr>
          <w:spacing w:val="-66"/>
        </w:rPr>
        <w:t> </w:t>
      </w:r>
      <w:r>
        <w:rPr>
          <w:spacing w:val="-66"/>
        </w:rPr>
      </w:r>
      <w:r>
        <w:rPr>
          <w:spacing w:val="-2"/>
        </w:rPr>
        <w:t>平。并且对各并购标的公司的业务进行整合，加强业务协同，减少重复投资，降低运营成本，将公司前期业务整合成有机整</w:t>
      </w:r>
      <w:r>
        <w:rPr>
          <w:spacing w:val="-66"/>
        </w:rPr>
        <w:t> </w:t>
      </w:r>
      <w:r>
        <w:rPr>
          <w:spacing w:val="-66"/>
        </w:rPr>
      </w:r>
      <w:r>
        <w:rPr>
          <w:spacing w:val="-2"/>
        </w:rPr>
        <w:t>体，实现协同效应。增强公司文化生态圈中对</w:t>
      </w:r>
      <w:r>
        <w:rPr>
          <w:rFonts w:ascii="Times New Roman" w:hAnsi="Times New Roman" w:cs="Times New Roman" w:eastAsia="Times New Roman" w:hint="default"/>
          <w:spacing w:val="-2"/>
        </w:rPr>
        <w:t>IP</w:t>
      </w:r>
      <w:r>
        <w:rPr>
          <w:spacing w:val="-2"/>
        </w:rPr>
        <w:t>资源的筛选、培育以及全产业链开发和运营能力，为公司未来的发展建立内</w:t>
      </w:r>
      <w:r>
        <w:rPr>
          <w:spacing w:val="-45"/>
        </w:rPr>
        <w:t> </w:t>
      </w:r>
      <w:r>
        <w:rPr>
          <w:spacing w:val="-45"/>
        </w:rPr>
      </w:r>
      <w:r>
        <w:rPr/>
        <w:t>容、用户和品牌基础。</w:t>
      </w:r>
    </w:p>
    <w:p>
      <w:pPr>
        <w:pStyle w:val="BodyText"/>
        <w:spacing w:line="300" w:lineRule="auto" w:before="22"/>
        <w:ind w:left="444" w:right="0" w:hanging="1"/>
        <w:jc w:val="left"/>
      </w:pPr>
      <w:r>
        <w:rPr>
          <w:rFonts w:ascii="Times New Roman" w:hAnsi="Times New Roman" w:cs="Times New Roman" w:eastAsia="Times New Roman" w:hint="default"/>
        </w:rPr>
        <w:t>4</w:t>
      </w:r>
      <w:r>
        <w:rPr/>
        <w:t>、增强对优质</w:t>
      </w:r>
      <w:r>
        <w:rPr>
          <w:rFonts w:ascii="Times New Roman" w:hAnsi="Times New Roman" w:cs="Times New Roman" w:eastAsia="Times New Roman" w:hint="default"/>
        </w:rPr>
        <w:t>IP</w:t>
      </w:r>
      <w:r>
        <w:rPr/>
        <w:t>的发现和获取 近年来，以</w:t>
      </w:r>
      <w:r>
        <w:rPr>
          <w:rFonts w:ascii="Times New Roman" w:hAnsi="Times New Roman" w:cs="Times New Roman" w:eastAsia="Times New Roman" w:hint="default"/>
        </w:rPr>
        <w:t>IP</w:t>
      </w:r>
      <w:r>
        <w:rPr/>
        <w:t>为核心，横跨动漫、游戏、文学、影视、周边产品的泛娱乐产品逐渐增多，优质</w:t>
      </w:r>
      <w:r>
        <w:rPr>
          <w:rFonts w:ascii="Times New Roman" w:hAnsi="Times New Roman" w:cs="Times New Roman" w:eastAsia="Times New Roman" w:hint="default"/>
        </w:rPr>
        <w:t>IP</w:t>
      </w:r>
      <w:r>
        <w:rPr/>
        <w:t>成为泛娱乐产业中维持</w:t>
      </w:r>
    </w:p>
    <w:p>
      <w:pPr>
        <w:pStyle w:val="BodyText"/>
        <w:spacing w:line="240" w:lineRule="auto" w:before="13"/>
        <w:ind w:right="0"/>
        <w:jc w:val="left"/>
      </w:pPr>
      <w:r>
        <w:rPr/>
        <w:t>用户黏性的纽带，以</w:t>
      </w:r>
      <w:r>
        <w:rPr>
          <w:rFonts w:ascii="Times New Roman" w:hAnsi="Times New Roman" w:cs="Times New Roman" w:eastAsia="Times New Roman" w:hint="default"/>
        </w:rPr>
        <w:t>IP</w:t>
      </w:r>
      <w:r>
        <w:rPr/>
        <w:t>为核心的泛娱乐布局成为中国文化产业的发展趋势。</w:t>
      </w:r>
      <w:r>
        <w:rPr>
          <w:rFonts w:ascii="Times New Roman" w:hAnsi="Times New Roman" w:cs="Times New Roman" w:eastAsia="Times New Roman" w:hint="default"/>
        </w:rPr>
        <w:t>2014</w:t>
      </w:r>
      <w:r>
        <w:rPr/>
        <w:t>年被称为</w:t>
      </w:r>
      <w:r>
        <w:rPr>
          <w:rFonts w:ascii="Times New Roman" w:hAnsi="Times New Roman" w:cs="Times New Roman" w:eastAsia="Times New Roman" w:hint="default"/>
        </w:rPr>
        <w:t>“IP</w:t>
      </w:r>
      <w:r>
        <w:rPr/>
        <w:t>年</w:t>
      </w:r>
      <w:r>
        <w:rPr>
          <w:rFonts w:ascii="Times New Roman" w:hAnsi="Times New Roman" w:cs="Times New Roman" w:eastAsia="Times New Roman" w:hint="default"/>
        </w:rPr>
        <w:t>”</w:t>
      </w:r>
      <w:r>
        <w:rPr/>
        <w:t>，</w:t>
      </w:r>
      <w:r>
        <w:rPr>
          <w:rFonts w:ascii="Times New Roman" w:hAnsi="Times New Roman" w:cs="Times New Roman" w:eastAsia="Times New Roman" w:hint="default"/>
        </w:rPr>
        <w:t>IP</w:t>
      </w:r>
      <w:r>
        <w:rPr/>
        <w:t>成为了文化产业的热词，</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left="444" w:right="0" w:hanging="291"/>
        <w:jc w:val="left"/>
      </w:pPr>
      <w:r>
        <w:rPr/>
        <w:t>影视、游戏、视频网站等对热门</w:t>
      </w:r>
      <w:r>
        <w:rPr>
          <w:rFonts w:ascii="Times New Roman" w:hAnsi="Times New Roman" w:cs="Times New Roman" w:eastAsia="Times New Roman" w:hint="default"/>
        </w:rPr>
        <w:t>IP</w:t>
      </w:r>
      <w:r>
        <w:rPr/>
        <w:t>的抢夺达到了白热化程度。 面对</w:t>
      </w:r>
      <w:r>
        <w:rPr>
          <w:rFonts w:ascii="Times New Roman" w:hAnsi="Times New Roman" w:cs="Times New Roman" w:eastAsia="Times New Roman" w:hint="default"/>
        </w:rPr>
        <w:t>IP</w:t>
      </w:r>
      <w:r>
        <w:rPr/>
        <w:t>市场的火热，公司提前布局，综合性文化产业平台已初具雏形，必须加快向产业上游延伸，增强对优质</w:t>
      </w:r>
      <w:r>
        <w:rPr>
          <w:rFonts w:ascii="Times New Roman" w:hAnsi="Times New Roman" w:cs="Times New Roman" w:eastAsia="Times New Roman" w:hint="default"/>
        </w:rPr>
        <w:t>IP</w:t>
      </w:r>
      <w:r>
        <w:rPr/>
        <w:t>的发现</w:t>
      </w:r>
    </w:p>
    <w:p>
      <w:pPr>
        <w:pStyle w:val="BodyText"/>
        <w:spacing w:line="228" w:lineRule="exact"/>
        <w:ind w:right="0"/>
        <w:jc w:val="left"/>
      </w:pPr>
      <w:r>
        <w:rPr/>
        <w:t>能力和获取能力，提高获取优质</w:t>
      </w:r>
      <w:r>
        <w:rPr>
          <w:rFonts w:ascii="Times New Roman" w:hAnsi="Times New Roman" w:cs="Times New Roman" w:eastAsia="Times New Roman" w:hint="default"/>
        </w:rPr>
        <w:t>IP</w:t>
      </w:r>
      <w:r>
        <w:rPr/>
        <w:t>的稳定性和连续性，从而在未来的市场竞争中建立先发优势。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2"/>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6612"/>
        <w:jc w:val="left"/>
      </w:pPr>
      <w:r>
        <w:rPr/>
        <w:t>□ 适用 √ 不适用 公司报告期内未发生接待调研、沟通、采访等活动。</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97.339996pt;margin-top:718.5pt;width:236.45pt;height:15.6pt;mso-position-horizontal-relative:page;mso-position-vertical-relative:page;z-index:-858592" coordorigin="5947,14370" coordsize="4729,312">
            <v:shape style="position:absolute;left:5947;top:14370;width:4729;height:312" coordorigin="5947,14370" coordsize="4729,312" path="m5947,14682l10675,14682,10675,14370,5947,14370,5947,14682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t>□ 适用 √ 不适用</w:t>
      </w:r>
    </w:p>
    <w:p>
      <w:pPr>
        <w:pStyle w:val="BodyText"/>
        <w:spacing w:line="240" w:lineRule="auto" w:before="116"/>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right="1123" w:firstLine="388"/>
        <w:jc w:val="left"/>
      </w:pPr>
      <w:r>
        <w:rPr>
          <w:rFonts w:ascii="Times New Roman" w:hAnsi="Times New Roman" w:cs="Times New Roman" w:eastAsia="Times New Roman" w:hint="default"/>
        </w:rPr>
        <w:t>2014</w:t>
      </w:r>
      <w:r>
        <w:rPr/>
        <w:t>年度母公司实现净利润</w:t>
      </w:r>
      <w:r>
        <w:rPr>
          <w:rFonts w:ascii="Times New Roman" w:hAnsi="Times New Roman" w:cs="Times New Roman" w:eastAsia="Times New Roman" w:hint="default"/>
        </w:rPr>
        <w:t>96,942,315.71</w:t>
      </w:r>
      <w:r>
        <w:rPr/>
        <w:t>元，根据公司章程及公司法规定，提取法定盈余公积</w:t>
      </w:r>
      <w:r>
        <w:rPr>
          <w:rFonts w:ascii="Times New Roman" w:hAnsi="Times New Roman" w:cs="Times New Roman" w:eastAsia="Times New Roman" w:hint="default"/>
        </w:rPr>
        <w:t>9,694,231.57</w:t>
      </w:r>
      <w:r>
        <w:rPr/>
        <w:t>元，加年初 </w:t>
      </w:r>
      <w:r>
        <w:rPr>
          <w:spacing w:val="-1"/>
        </w:rPr>
        <w:t>未分配利润</w:t>
      </w:r>
      <w:r>
        <w:rPr>
          <w:rFonts w:ascii="Times New Roman" w:hAnsi="Times New Roman" w:cs="Times New Roman" w:eastAsia="Times New Roman" w:hint="default"/>
          <w:spacing w:val="-1"/>
        </w:rPr>
        <w:t>126,921,501.46</w:t>
      </w:r>
      <w:r>
        <w:rPr>
          <w:spacing w:val="-1"/>
        </w:rPr>
        <w:t>元，扣除</w:t>
      </w:r>
      <w:r>
        <w:rPr>
          <w:rFonts w:ascii="Times New Roman" w:hAnsi="Times New Roman" w:cs="Times New Roman" w:eastAsia="Times New Roman" w:hint="default"/>
          <w:spacing w:val="-1"/>
        </w:rPr>
        <w:t>2013</w:t>
      </w:r>
      <w:r>
        <w:rPr>
          <w:spacing w:val="-1"/>
        </w:rPr>
        <w:t>年度利润分配</w:t>
      </w:r>
      <w:r>
        <w:rPr>
          <w:rFonts w:ascii="Times New Roman" w:hAnsi="Times New Roman" w:cs="Times New Roman" w:eastAsia="Times New Roman" w:hint="default"/>
          <w:spacing w:val="-1"/>
        </w:rPr>
        <w:t>4,675,000.00</w:t>
      </w:r>
      <w:r>
        <w:rPr>
          <w:spacing w:val="-1"/>
        </w:rPr>
        <w:t>元，</w:t>
      </w:r>
      <w:r>
        <w:rPr>
          <w:rFonts w:ascii="Times New Roman" w:hAnsi="Times New Roman" w:cs="Times New Roman" w:eastAsia="Times New Roman" w:hint="default"/>
          <w:spacing w:val="-1"/>
        </w:rPr>
        <w:t>2014</w:t>
      </w:r>
      <w:r>
        <w:rPr>
          <w:spacing w:val="-1"/>
        </w:rPr>
        <w:t>年度可供股东分配的利润为</w:t>
      </w:r>
      <w:r>
        <w:rPr>
          <w:rFonts w:ascii="Times New Roman" w:hAnsi="Times New Roman" w:cs="Times New Roman" w:eastAsia="Times New Roman" w:hint="default"/>
          <w:spacing w:val="-1"/>
        </w:rPr>
        <w:t>209,494,585.60</w:t>
      </w:r>
      <w:r>
        <w:rPr>
          <w:spacing w:val="-1"/>
        </w:rPr>
        <w:t>元。本</w:t>
      </w:r>
      <w:r>
        <w:rPr>
          <w:spacing w:val="-58"/>
        </w:rPr>
        <w:t> </w:t>
      </w:r>
      <w:r>
        <w:rPr>
          <w:spacing w:val="-58"/>
        </w:rPr>
      </w:r>
      <w:r>
        <w:rPr/>
        <w:t>年度董事会提议利润分配预案为：以报告期末总股本</w:t>
      </w:r>
      <w:r>
        <w:rPr>
          <w:rFonts w:ascii="Times New Roman" w:hAnsi="Times New Roman" w:cs="Times New Roman" w:eastAsia="Times New Roman" w:hint="default"/>
        </w:rPr>
        <w:t>205,700,000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元（含税）， 共计</w:t>
      </w:r>
      <w:r>
        <w:rPr>
          <w:rFonts w:ascii="Times New Roman" w:hAnsi="Times New Roman" w:cs="Times New Roman" w:eastAsia="Times New Roman" w:hint="default"/>
        </w:rPr>
        <w:t>20,570,000</w:t>
      </w:r>
      <w:r>
        <w:rPr/>
        <w:t>元，向全体股东以资本公积每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205,700,000</w:t>
      </w:r>
      <w:r>
        <w:rPr/>
        <w:t>股，转增后公司总股本为</w:t>
      </w:r>
      <w:r>
        <w:rPr>
          <w:rFonts w:ascii="Times New Roman" w:hAnsi="Times New Roman" w:cs="Times New Roman" w:eastAsia="Times New Roman" w:hint="default"/>
        </w:rPr>
        <w:t>411,400,000</w:t>
      </w:r>
      <w:r>
        <w:rPr/>
        <w:t>股。 上述分配预案，需提交股东大会审议通过后方可实施。</w:t>
      </w:r>
    </w:p>
    <w:p>
      <w:pPr>
        <w:pStyle w:val="BodyText"/>
        <w:spacing w:line="240" w:lineRule="auto" w:before="31"/>
        <w:ind w:left="542" w:right="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年公司以报告期末总股本</w:t>
      </w:r>
      <w:r>
        <w:rPr>
          <w:rFonts w:ascii="Times New Roman" w:hAnsi="Times New Roman" w:cs="Times New Roman" w:eastAsia="Times New Roman" w:hint="default"/>
        </w:rPr>
        <w:t>93,500,000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元（含税），共计</w:t>
      </w:r>
      <w:r>
        <w:rPr>
          <w:rFonts w:ascii="Times New Roman" w:hAnsi="Times New Roman" w:cs="Times New Roman" w:eastAsia="Times New Roman" w:hint="default"/>
        </w:rPr>
        <w:t>4,675,000.00</w:t>
      </w:r>
    </w:p>
    <w:p>
      <w:pPr>
        <w:pStyle w:val="BodyText"/>
        <w:spacing w:line="240" w:lineRule="auto" w:before="63"/>
        <w:ind w:right="0"/>
        <w:jc w:val="left"/>
      </w:pPr>
      <w:r>
        <w:rPr/>
        <w:t>元，向全体股东以资本公积每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股，共计转增</w:t>
      </w:r>
      <w:r>
        <w:rPr>
          <w:rFonts w:ascii="Times New Roman" w:hAnsi="Times New Roman" w:cs="Times New Roman" w:eastAsia="Times New Roman" w:hint="default"/>
        </w:rPr>
        <w:t>112,200,000</w:t>
      </w:r>
      <w:r>
        <w:rPr/>
        <w:t>股，转增后公司总股本为</w:t>
      </w:r>
      <w:r>
        <w:rPr>
          <w:rFonts w:ascii="Times New Roman" w:hAnsi="Times New Roman" w:cs="Times New Roman" w:eastAsia="Times New Roman" w:hint="default"/>
        </w:rPr>
        <w:t>205,700,000</w:t>
      </w:r>
      <w:r>
        <w:rPr/>
        <w:t>股。</w:t>
      </w:r>
    </w:p>
    <w:p>
      <w:pPr>
        <w:pStyle w:val="BodyText"/>
        <w:spacing w:line="240" w:lineRule="auto" w:before="103"/>
        <w:ind w:left="516"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spacing w:val="13"/>
        </w:rPr>
        <w:t>年度公司以总股本</w:t>
      </w:r>
      <w:r>
        <w:rPr>
          <w:spacing w:val="-69"/>
        </w:rPr>
        <w:t> </w:t>
      </w:r>
      <w:r>
        <w:rPr>
          <w:rFonts w:ascii="Times New Roman" w:hAnsi="Times New Roman" w:cs="Times New Roman" w:eastAsia="Times New Roman" w:hint="default"/>
        </w:rPr>
        <w:t>93500000</w:t>
      </w:r>
      <w:r>
        <w:rPr>
          <w:rFonts w:ascii="Times New Roman" w:hAnsi="Times New Roman" w:cs="Times New Roman" w:eastAsia="Times New Roman" w:hint="default"/>
          <w:spacing w:val="-27"/>
        </w:rPr>
        <w:t> </w:t>
      </w:r>
      <w:r>
        <w:rPr>
          <w:spacing w:val="14"/>
        </w:rPr>
        <w:t>股为基数向全体股东每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spacing w:val="14"/>
        </w:rPr>
        <w:t>股派发现金股利人民币</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spacing w:val="8"/>
        </w:rPr>
        <w:t>元（</w:t>
      </w:r>
      <w:r>
        <w:rPr>
          <w:spacing w:val="-72"/>
        </w:rPr>
        <w:t> </w:t>
      </w:r>
      <w:r>
        <w:rPr>
          <w:spacing w:val="12"/>
        </w:rPr>
        <w:t>含税），</w:t>
      </w:r>
      <w:r>
        <w:rPr>
          <w:spacing w:val="-72"/>
        </w:rPr>
        <w:t> </w:t>
      </w:r>
      <w:r>
        <w:rPr>
          <w:spacing w:val="13"/>
        </w:rPr>
        <w:t>合计派发现金</w:t>
      </w:r>
    </w:p>
    <w:p>
      <w:pPr>
        <w:pStyle w:val="BodyText"/>
        <w:spacing w:line="240" w:lineRule="auto" w:before="64"/>
        <w:ind w:right="0"/>
        <w:jc w:val="left"/>
      </w:pPr>
      <w:r>
        <w:rPr>
          <w:rFonts w:ascii="Times New Roman" w:hAnsi="Times New Roman" w:cs="Times New Roman" w:eastAsia="Times New Roman" w:hint="default"/>
        </w:rPr>
        <w:t>46,750,000.00</w:t>
      </w:r>
      <w:r>
        <w:rPr/>
        <w:t>元，其余未分配利润结转下年。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126,408,340.12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97,125,358.48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41,730,227.18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97"/>
        <w:gridCol w:w="4772"/>
      </w:tblGrid>
      <w:tr>
        <w:trPr>
          <w:trHeight w:val="71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7" w:right="58"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5"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859" w:hRule="exact"/>
        </w:trPr>
        <w:tc>
          <w:tcPr>
            <w:tcW w:w="4797"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2"/>
              <w:ind w:left="22" w:right="-28" w:firstLine="360"/>
              <w:jc w:val="left"/>
              <w:rPr>
                <w:rFonts w:ascii="宋体" w:hAnsi="宋体" w:cs="宋体" w:eastAsia="宋体" w:hint="default"/>
                <w:sz w:val="18"/>
                <w:szCs w:val="18"/>
              </w:rPr>
            </w:pPr>
            <w:r>
              <w:rPr>
                <w:rFonts w:ascii="宋体" w:hAnsi="宋体" w:cs="宋体" w:eastAsia="宋体" w:hint="default"/>
                <w:sz w:val="18"/>
                <w:szCs w:val="18"/>
              </w:rPr>
              <w:t>根据《公司章程》和《公司未来三年（</w:t>
            </w:r>
            <w:r>
              <w:rPr>
                <w:rFonts w:ascii="Times New Roman" w:hAnsi="Times New Roman" w:cs="Times New Roman" w:eastAsia="Times New Roman" w:hint="default"/>
                <w:sz w:val="18"/>
                <w:szCs w:val="18"/>
              </w:rPr>
              <w:t>2014-2016</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年）股</w:t>
            </w:r>
            <w:r>
              <w:rPr>
                <w:rFonts w:ascii="宋体" w:hAnsi="宋体" w:cs="宋体" w:eastAsia="宋体" w:hint="default"/>
                <w:sz w:val="18"/>
                <w:szCs w:val="18"/>
              </w:rPr>
              <w:t> 东回报规划》制定的公司利润分配政策，在公司现金流满足 正常经营和长期发展的前提下，每年以现金方式分配的利润 应不低于当年实现的可分配利润的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。公司任意三个连续 会计年度内以现金方式累计分配的利润不少于该三年实现的 年均可分配利润的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。公司的利润分配应重视对社会公众 </w:t>
            </w:r>
            <w:r>
              <w:rPr>
                <w:rFonts w:ascii="宋体" w:hAnsi="宋体" w:cs="宋体" w:eastAsia="宋体" w:hint="default"/>
                <w:spacing w:val="-3"/>
                <w:sz w:val="18"/>
                <w:szCs w:val="18"/>
              </w:rPr>
              <w:t>股东的合理投资回报，以可持续发展和维护股东权益为宗旨，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应保持利润分配政策的连续性和稳定性，并符合法律、法规</w:t>
            </w:r>
            <w:r>
              <w:rPr>
                <w:rFonts w:ascii="宋体" w:hAnsi="宋体" w:cs="宋体" w:eastAsia="宋体" w:hint="default"/>
                <w:sz w:val="18"/>
                <w:szCs w:val="18"/>
              </w:rPr>
              <w:t> 的相关规定。考虑公司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年度产业链生态化布局及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 </w:t>
            </w:r>
            <w:r>
              <w:rPr>
                <w:rFonts w:ascii="宋体" w:hAnsi="宋体" w:cs="宋体" w:eastAsia="宋体" w:hint="default"/>
                <w:sz w:val="18"/>
                <w:szCs w:val="18"/>
              </w:rPr>
              <w:t>生</w:t>
            </w:r>
          </w:p>
        </w:tc>
        <w:tc>
          <w:tcPr>
            <w:tcW w:w="4772" w:type="dxa"/>
            <w:tcBorders>
              <w:top w:val="single" w:sz="4" w:space="0" w:color="000000"/>
              <w:left w:val="single" w:sz="9" w:space="0" w:color="FFFFFF"/>
              <w:bottom w:val="single" w:sz="4" w:space="0" w:color="000000"/>
              <w:right w:val="single" w:sz="4" w:space="0" w:color="000000"/>
            </w:tcBorders>
          </w:tcPr>
          <w:p>
            <w:pPr>
              <w:pStyle w:val="TableParagraph"/>
              <w:spacing w:line="307" w:lineRule="auto" w:before="52"/>
              <w:ind w:left="4" w:right="20" w:firstLine="360"/>
              <w:jc w:val="left"/>
              <w:rPr>
                <w:rFonts w:ascii="宋体" w:hAnsi="宋体" w:cs="宋体" w:eastAsia="宋体" w:hint="default"/>
                <w:sz w:val="18"/>
                <w:szCs w:val="18"/>
              </w:rPr>
            </w:pPr>
            <w:r>
              <w:rPr>
                <w:rFonts w:ascii="宋体" w:hAnsi="宋体" w:cs="宋体" w:eastAsia="宋体" w:hint="default"/>
                <w:spacing w:val="-2"/>
                <w:sz w:val="18"/>
                <w:szCs w:val="18"/>
              </w:rPr>
              <w:t>留存未分配利润主要用于：</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、市场开拓及投入、技术研</w:t>
            </w:r>
            <w:r>
              <w:rPr>
                <w:rFonts w:ascii="宋体" w:hAnsi="宋体" w:cs="宋体" w:eastAsia="宋体" w:hint="default"/>
                <w:sz w:val="18"/>
                <w:szCs w:val="18"/>
              </w:rPr>
              <w:t> 发及相关产业资源的整合，为公司进一步完善产业链，优化 </w:t>
            </w:r>
            <w:r>
              <w:rPr>
                <w:rFonts w:ascii="宋体" w:hAnsi="宋体" w:cs="宋体" w:eastAsia="宋体" w:hint="default"/>
                <w:spacing w:val="-3"/>
                <w:sz w:val="18"/>
                <w:szCs w:val="18"/>
              </w:rPr>
              <w:t>产业结构，持续健康发展提供充足资金保障。</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、推进公司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文化生态圈项目的建设，其中具体包括：</w:t>
            </w:r>
            <w:r>
              <w:rPr>
                <w:rFonts w:ascii="Times New Roman" w:hAnsi="Times New Roman" w:cs="Times New Roman" w:eastAsia="Times New Roman" w:hint="default"/>
                <w:sz w:val="18"/>
                <w:szCs w:val="18"/>
              </w:rPr>
              <w:t>SIP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共塑平台、</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仓库、泛娱乐开发运营平台和美盛</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生态产业基地，能够提 高公司持续获得和变现优质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的能力，增强公司对用户流量 的利用能力，并且为公司战略实施提供必要的硬件保障，整 合动漫上下游资源，实现全产业链运营，最终形成集动漫制 作、网络游戏、影视媒体、网络文学、衍生品为一体的泛娱</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9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态圈完善，对资金的需求较大，同时为维护广大股东权益， </w:t>
            </w:r>
            <w:r>
              <w:rPr>
                <w:rFonts w:ascii="宋体" w:hAnsi="宋体" w:cs="宋体" w:eastAsia="宋体" w:hint="default"/>
                <w:spacing w:val="-3"/>
                <w:sz w:val="18"/>
                <w:szCs w:val="18"/>
              </w:rPr>
              <w:t>确保非公开发行进程的顺利进行，公司拟定</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年度不派发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现金红利、不送红股、不以公积金转增股本，未分配利润结 转下一年度。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both"/>
              <w:rPr>
                <w:rFonts w:ascii="宋体" w:hAnsi="宋体" w:cs="宋体" w:eastAsia="宋体" w:hint="default"/>
                <w:sz w:val="18"/>
                <w:szCs w:val="18"/>
              </w:rPr>
            </w:pPr>
            <w:r>
              <w:rPr>
                <w:rFonts w:ascii="宋体" w:hAnsi="宋体" w:cs="宋体" w:eastAsia="宋体" w:hint="default"/>
                <w:spacing w:val="-2"/>
                <w:sz w:val="18"/>
                <w:szCs w:val="18"/>
              </w:rPr>
              <w:t>乐生态布局。</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、满足公司日常经营活动的需要及降低公司的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资产负债率，有效降低财务成本，提高抗风险能力。今后， 公司将一如既往地重视以现金分红形式对投资者进行回报， 严格按照相关法律法规和《公司章程》等规定，综合考虑与 利润分配相关的各种因素，积极履行公司的利润分配制度， 与投资者共享公司发展的成果。</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25"/>
        <w:gridCol w:w="1126"/>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38"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17" w:right="10"/>
              <w:jc w:val="left"/>
              <w:rPr>
                <w:rFonts w:ascii="宋体" w:hAnsi="宋体" w:cs="宋体" w:eastAsia="宋体" w:hint="default"/>
                <w:sz w:val="18"/>
                <w:szCs w:val="18"/>
              </w:rPr>
            </w:pPr>
            <w:r>
              <w:rPr>
                <w:rFonts w:ascii="宋体" w:hAnsi="宋体" w:cs="宋体" w:eastAsia="宋体" w:hint="default"/>
                <w:sz w:val="18"/>
                <w:szCs w:val="18"/>
              </w:rPr>
              <w:t>美盛控股集 团、宏盛投 资、赵小强、 石炜萍</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自公司股票 在证券交易 所上市交易 之日起三十 六个月内，不 转让或者委 托他人管理 其直接或间 接持有的公 司股份，也不 由公司收购 该部分股份。</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完成履行</w:t>
            </w:r>
          </w:p>
        </w:tc>
      </w:tr>
      <w:tr>
        <w:trPr>
          <w:trHeight w:val="392"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604" w:hRule="exact"/>
        </w:trPr>
        <w:tc>
          <w:tcPr>
            <w:tcW w:w="2825"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2235" w:hRule="exact"/>
        </w:trPr>
        <w:tc>
          <w:tcPr>
            <w:tcW w:w="282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赵小强、石炜</w:t>
            </w:r>
            <w:r>
              <w:rPr>
                <w:rFonts w:ascii="宋体" w:hAnsi="宋体" w:cs="宋体" w:eastAsia="宋体" w:hint="default"/>
                <w:sz w:val="18"/>
                <w:szCs w:val="18"/>
              </w:rPr>
              <w:t> 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上述锁定期 </w:t>
            </w:r>
            <w:r>
              <w:rPr>
                <w:rFonts w:ascii="宋体" w:hAnsi="宋体" w:cs="宋体" w:eastAsia="宋体" w:hint="default"/>
                <w:spacing w:val="-2"/>
                <w:sz w:val="18"/>
                <w:szCs w:val="18"/>
              </w:rPr>
              <w:t>满后，若本人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仍担任公司 董事或监事 或高级管理 </w:t>
            </w:r>
            <w:r>
              <w:rPr>
                <w:rFonts w:ascii="宋体" w:hAnsi="宋体" w:cs="宋体" w:eastAsia="宋体" w:hint="default"/>
                <w:spacing w:val="-2"/>
                <w:sz w:val="18"/>
                <w:szCs w:val="18"/>
              </w:rPr>
              <w:t>人员，在任职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期间本人每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董监高股份 承诺继续履 行</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年转让股份 不超过直接 或间接所持 公司股票总 数的百分之 </w:t>
            </w:r>
            <w:r>
              <w:rPr>
                <w:rFonts w:ascii="宋体" w:hAnsi="宋体" w:cs="宋体" w:eastAsia="宋体" w:hint="default"/>
                <w:spacing w:val="-2"/>
                <w:sz w:val="18"/>
                <w:szCs w:val="18"/>
              </w:rPr>
              <w:t>二十五。本人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离任后六个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 所持公司的 </w:t>
            </w:r>
            <w:r>
              <w:rPr>
                <w:rFonts w:ascii="宋体" w:hAnsi="宋体" w:cs="宋体" w:eastAsia="宋体" w:hint="default"/>
                <w:spacing w:val="-2"/>
                <w:sz w:val="18"/>
                <w:szCs w:val="18"/>
              </w:rPr>
              <w:t>任何股份。本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人在申报离 任六个月后 的十二个月 内通过证券 交易所挂牌 交易出售公 司股票数量 占其所直接 或间接持有 公司股票总 数的比例不 得超过百分 之五十。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p>
          <w:p>
            <w:pPr>
              <w:pStyle w:val="TableParagraph"/>
              <w:spacing w:line="314" w:lineRule="auto"/>
              <w:ind w:left="22"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 限售期为自 本次发行新 增股份上市 首日起三十 六个月，可上 市流通时间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郭瑞（持股不</w:t>
            </w:r>
            <w:r>
              <w:rPr>
                <w:rFonts w:ascii="宋体" w:hAnsi="宋体" w:cs="宋体" w:eastAsia="宋体" w:hint="default"/>
                <w:sz w:val="18"/>
                <w:szCs w:val="18"/>
              </w:rPr>
              <w:t> 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 董监高）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p>
          <w:p>
            <w:pPr>
              <w:pStyle w:val="TableParagraph"/>
              <w:spacing w:line="314" w:lineRule="auto"/>
              <w:ind w:left="22" w:right="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 限售期为自 本次发行新 增股份上市 首日起三十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六个月，可上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市流通时间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7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郭瑞（持股不</w:t>
            </w:r>
            <w:r>
              <w:rPr>
                <w:rFonts w:ascii="宋体" w:hAnsi="宋体" w:cs="宋体" w:eastAsia="宋体" w:hint="default"/>
                <w:sz w:val="18"/>
                <w:szCs w:val="18"/>
              </w:rPr>
              <w:t> 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 董监高）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上述锁定期 </w:t>
            </w:r>
            <w:r>
              <w:rPr>
                <w:rFonts w:ascii="宋体" w:hAnsi="宋体" w:cs="宋体" w:eastAsia="宋体" w:hint="default"/>
                <w:spacing w:val="-2"/>
                <w:sz w:val="18"/>
                <w:szCs w:val="18"/>
              </w:rPr>
              <w:t>满后，若本人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仍担任公司 董事或监事 或高级管理 </w:t>
            </w:r>
            <w:r>
              <w:rPr>
                <w:rFonts w:ascii="宋体" w:hAnsi="宋体" w:cs="宋体" w:eastAsia="宋体" w:hint="default"/>
                <w:spacing w:val="-2"/>
                <w:sz w:val="18"/>
                <w:szCs w:val="18"/>
              </w:rPr>
              <w:t>人员，在任职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期间本人每 年转让股份 不超过直接 或间接所持 公司股票总 数的百分之 </w:t>
            </w:r>
            <w:r>
              <w:rPr>
                <w:rFonts w:ascii="宋体" w:hAnsi="宋体" w:cs="宋体" w:eastAsia="宋体" w:hint="default"/>
                <w:spacing w:val="-2"/>
                <w:sz w:val="18"/>
                <w:szCs w:val="18"/>
              </w:rPr>
              <w:t>二十五。本人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离任后六个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 所持公司的 </w:t>
            </w:r>
            <w:r>
              <w:rPr>
                <w:rFonts w:ascii="宋体" w:hAnsi="宋体" w:cs="宋体" w:eastAsia="宋体" w:hint="default"/>
                <w:spacing w:val="-2"/>
                <w:sz w:val="18"/>
                <w:szCs w:val="18"/>
              </w:rPr>
              <w:t>任何股份。本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人在申报离 任六个月后 的十二个月 内通过证券 交易所挂牌 交易出售公 司股票数量 占其所直接 或间接持有 公司股票总 数的比例不 得超过百分 之五十。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董监高股份 承诺继续履 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213"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left="213"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2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3"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3"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left="21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21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63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处置子公司</w:t>
      </w:r>
    </w:p>
    <w:p>
      <w:pPr>
        <w:pStyle w:val="BodyText"/>
        <w:spacing w:line="240" w:lineRule="auto" w:before="63"/>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基本情况</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964"/>
        <w:gridCol w:w="1446"/>
        <w:gridCol w:w="996"/>
        <w:gridCol w:w="998"/>
        <w:gridCol w:w="1272"/>
        <w:gridCol w:w="2127"/>
        <w:gridCol w:w="1837"/>
      </w:tblGrid>
      <w:tr>
        <w:trPr>
          <w:trHeight w:val="2194"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6" w:right="207"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7" w:right="356"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8" w:right="13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股权处置 比例</w:t>
            </w:r>
            <w:r>
              <w:rPr>
                <w:rFonts w:ascii="Times New Roman" w:hAnsi="Times New Roman" w:cs="Times New Roman" w:eastAsia="Times New Roman" w:hint="default"/>
                <w:sz w:val="18"/>
                <w:szCs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4" w:right="131"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2" w:right="269"/>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78" w:right="155" w:hanging="719"/>
              <w:jc w:val="left"/>
              <w:rPr>
                <w:rFonts w:ascii="宋体" w:hAnsi="宋体" w:cs="宋体" w:eastAsia="宋体" w:hint="default"/>
                <w:sz w:val="18"/>
                <w:szCs w:val="18"/>
              </w:rPr>
            </w:pPr>
            <w:r>
              <w:rPr>
                <w:rFonts w:ascii="宋体" w:hAnsi="宋体" w:cs="宋体" w:eastAsia="宋体" w:hint="default"/>
                <w:sz w:val="18"/>
                <w:szCs w:val="18"/>
              </w:rPr>
              <w:t>丧失控制权时点的确定 依据</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4" w:right="191"/>
              <w:jc w:val="center"/>
              <w:rPr>
                <w:rFonts w:ascii="宋体" w:hAnsi="宋体" w:cs="宋体" w:eastAsia="宋体" w:hint="default"/>
                <w:sz w:val="18"/>
                <w:szCs w:val="18"/>
              </w:rPr>
            </w:pPr>
            <w:r>
              <w:rPr>
                <w:rFonts w:ascii="宋体" w:hAnsi="宋体" w:cs="宋体" w:eastAsia="宋体" w:hint="default"/>
                <w:sz w:val="18"/>
                <w:szCs w:val="18"/>
              </w:rPr>
              <w:t>处置价款与处置投 资 对应的合并财务报 表 层面享有该子公司 净</w:t>
            </w:r>
          </w:p>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资产份额的差额</w:t>
            </w:r>
          </w:p>
        </w:tc>
      </w:tr>
      <w:tr>
        <w:trPr>
          <w:trHeight w:val="947"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6"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12,000.00</w:t>
            </w:r>
            <w:r>
              <w:rPr>
                <w:rFonts w:ascii="宋体" w:hAnsi="宋体" w:cs="宋体" w:eastAsia="宋体" w:hint="default"/>
                <w:sz w:val="18"/>
                <w:szCs w:val="18"/>
              </w:rPr>
              <w:t>万元</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3"/>
              <w:jc w:val="both"/>
              <w:rPr>
                <w:rFonts w:ascii="宋体" w:hAnsi="宋体" w:cs="宋体" w:eastAsia="宋体" w:hint="default"/>
                <w:sz w:val="18"/>
                <w:szCs w:val="18"/>
              </w:rPr>
            </w:pPr>
            <w:r>
              <w:rPr>
                <w:rFonts w:ascii="宋体" w:hAnsi="宋体" w:cs="宋体" w:eastAsia="宋体" w:hint="default"/>
                <w:sz w:val="18"/>
                <w:szCs w:val="18"/>
              </w:rPr>
              <w:t>就股权转让事宜已达成 协议且经股东大会审议 通过。</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90" w:right="0"/>
              <w:jc w:val="left"/>
              <w:rPr>
                <w:rFonts w:ascii="Times New Roman" w:hAnsi="Times New Roman" w:cs="Times New Roman" w:eastAsia="Times New Roman" w:hint="default"/>
                <w:sz w:val="18"/>
                <w:szCs w:val="18"/>
              </w:rPr>
            </w:pPr>
            <w:r>
              <w:rPr>
                <w:rFonts w:ascii="Times New Roman"/>
                <w:sz w:val="18"/>
              </w:rPr>
              <w:t>24,894,525.31</w:t>
            </w:r>
          </w:p>
        </w:tc>
      </w:tr>
    </w:tbl>
    <w:p>
      <w:pPr>
        <w:pStyle w:val="BodyText"/>
        <w:spacing w:line="240" w:lineRule="auto" w:before="10"/>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206" w:type="dxa"/>
        <w:tblLayout w:type="fixed"/>
        <w:tblCellMar>
          <w:top w:w="0" w:type="dxa"/>
          <w:left w:w="0" w:type="dxa"/>
          <w:bottom w:w="0" w:type="dxa"/>
          <w:right w:w="0" w:type="dxa"/>
        </w:tblCellMar>
        <w:tblLook w:val="01E0"/>
      </w:tblPr>
      <w:tblGrid>
        <w:gridCol w:w="962"/>
        <w:gridCol w:w="1000"/>
        <w:gridCol w:w="1164"/>
        <w:gridCol w:w="1131"/>
        <w:gridCol w:w="1558"/>
        <w:gridCol w:w="1702"/>
        <w:gridCol w:w="2262"/>
      </w:tblGrid>
      <w:tr>
        <w:trPr>
          <w:trHeight w:val="1283" w:hRule="exact"/>
        </w:trPr>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92" w:right="20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1" w:right="41" w:firstLine="1"/>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4" w:right="31" w:firstLine="1"/>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6" w:right="16" w:firstLine="1"/>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 w:right="48" w:firstLine="1"/>
              <w:jc w:val="center"/>
              <w:rPr>
                <w:rFonts w:ascii="宋体" w:hAnsi="宋体" w:cs="宋体" w:eastAsia="宋体" w:hint="default"/>
                <w:sz w:val="18"/>
                <w:szCs w:val="18"/>
              </w:rPr>
            </w:pPr>
            <w:r>
              <w:rPr>
                <w:rFonts w:ascii="宋体" w:hAnsi="宋体" w:cs="宋体" w:eastAsia="宋体" w:hint="default"/>
                <w:sz w:val="18"/>
                <w:szCs w:val="18"/>
              </w:rPr>
              <w:t>按照公允价值重新 计量剩余股权产生 的利得或损失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2" w:right="33" w:firstLine="1"/>
              <w:jc w:val="center"/>
              <w:rPr>
                <w:rFonts w:ascii="宋体" w:hAnsi="宋体" w:cs="宋体" w:eastAsia="宋体" w:hint="default"/>
                <w:sz w:val="18"/>
                <w:szCs w:val="18"/>
              </w:rPr>
            </w:pPr>
            <w:r>
              <w:rPr>
                <w:rFonts w:ascii="宋体" w:hAnsi="宋体" w:cs="宋体" w:eastAsia="宋体" w:hint="default"/>
                <w:sz w:val="18"/>
                <w:szCs w:val="18"/>
              </w:rPr>
              <w:t>丧失控制权之日剩余 股权公允价值的确定 方法及主要假设</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 w:right="41" w:firstLine="1"/>
              <w:jc w:val="center"/>
              <w:rPr>
                <w:rFonts w:ascii="宋体" w:hAnsi="宋体" w:cs="宋体" w:eastAsia="宋体" w:hint="default"/>
                <w:sz w:val="18"/>
                <w:szCs w:val="18"/>
              </w:rPr>
            </w:pPr>
            <w:r>
              <w:rPr>
                <w:rFonts w:ascii="宋体" w:hAnsi="宋体" w:cs="宋体" w:eastAsia="宋体" w:hint="default"/>
                <w:sz w:val="18"/>
                <w:szCs w:val="18"/>
              </w:rPr>
              <w:t>与原子公司股权投资相关的 其他综合收益、其他所有者 权益变动转入投资损益的金 额</w:t>
            </w:r>
          </w:p>
        </w:tc>
      </w:tr>
      <w:tr>
        <w:trPr>
          <w:trHeight w:val="348" w:hRule="exact"/>
        </w:trPr>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000"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26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6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其他说明</w:t>
      </w:r>
    </w:p>
    <w:p>
      <w:pPr>
        <w:pStyle w:val="BodyText"/>
        <w:spacing w:line="300" w:lineRule="auto" w:before="63"/>
        <w:ind w:left="213"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月，经公司第二届董事会第二十二次会议决议和</w:t>
      </w:r>
      <w:r>
        <w:rPr>
          <w:rFonts w:ascii="Times New Roman" w:hAnsi="Times New Roman" w:cs="Times New Roman" w:eastAsia="Times New Roman" w:hint="default"/>
        </w:rPr>
        <w:t>2015</w:t>
      </w:r>
      <w:r>
        <w:rPr/>
        <w:t>年第一次临时股东大会审议，公司拟向公司控股股东美 盛控股转让公司持有纯真年代</w:t>
      </w:r>
      <w:r>
        <w:rPr>
          <w:rFonts w:ascii="Times New Roman" w:hAnsi="Times New Roman" w:cs="Times New Roman" w:eastAsia="Times New Roman" w:hint="default"/>
        </w:rPr>
        <w:t>70.00%</w:t>
      </w:r>
      <w:r>
        <w:rPr/>
        <w:t>的股权，转让价款</w:t>
      </w:r>
      <w:r>
        <w:rPr>
          <w:rFonts w:ascii="Times New Roman" w:hAnsi="Times New Roman" w:cs="Times New Roman" w:eastAsia="Times New Roman" w:hint="default"/>
        </w:rPr>
        <w:t>12,000</w:t>
      </w:r>
      <w:r>
        <w:rPr/>
        <w:t>万元，此次股权转让完成后公司不再持有纯真年代的股权。</w:t>
      </w:r>
    </w:p>
    <w:p>
      <w:pPr>
        <w:pStyle w:val="BodyText"/>
        <w:spacing w:line="240" w:lineRule="auto" w:before="13"/>
        <w:ind w:left="634" w:right="0"/>
        <w:jc w:val="left"/>
      </w:pPr>
      <w:r>
        <w:rPr/>
        <w:t>根据坤元资产评估有限公司出具的《关于美盛文化创意股份有限公司拟进行股权转让涉及的上海纯真年代影视投资有</w:t>
      </w:r>
    </w:p>
    <w:p>
      <w:pPr>
        <w:spacing w:after="0" w:line="240" w:lineRule="auto"/>
        <w:jc w:val="left"/>
        <w:sectPr>
          <w:pgSz w:w="11910" w:h="16840"/>
          <w:pgMar w:header="747" w:footer="979" w:top="1060" w:bottom="1160" w:left="92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t>限公司股东全部权益价值评估项目资产评估报告》（坤元评报〔</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568 </w:t>
      </w:r>
      <w:r>
        <w:rPr/>
        <w:t>号），评估基准日为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日，评估方法</w:t>
      </w:r>
      <w:r>
        <w:rPr>
          <w:spacing w:val="-86"/>
        </w:rPr>
        <w:t> </w:t>
      </w:r>
      <w:r>
        <w:rPr>
          <w:spacing w:val="-86"/>
        </w:rPr>
      </w:r>
      <w:r>
        <w:rPr>
          <w:spacing w:val="-2"/>
        </w:rPr>
        <w:t>为资产基础法，纯真年代全部股东权益的评估价值为</w:t>
      </w:r>
      <w:r>
        <w:rPr/>
        <w:t> </w:t>
      </w:r>
      <w:r>
        <w:rPr>
          <w:rFonts w:ascii="Times New Roman" w:hAnsi="Times New Roman" w:cs="Times New Roman" w:eastAsia="Times New Roman" w:hint="default"/>
          <w:spacing w:val="-1"/>
        </w:rPr>
        <w:t>13,248.45</w:t>
      </w:r>
      <w:r>
        <w:rPr>
          <w:spacing w:val="-1"/>
        </w:rPr>
        <w:t>万元。考虑到纯真年代原股东对未来两年仍有</w:t>
      </w:r>
      <w:r>
        <w:rPr>
          <w:rFonts w:ascii="Times New Roman" w:hAnsi="Times New Roman" w:cs="Times New Roman" w:eastAsia="Times New Roman" w:hint="default"/>
          <w:spacing w:val="-1"/>
        </w:rPr>
        <w:t>7,000.00</w:t>
      </w:r>
      <w:r>
        <w:rPr>
          <w:spacing w:val="-1"/>
        </w:rPr>
        <w:t>万元的</w:t>
      </w:r>
      <w:r>
        <w:rPr>
          <w:spacing w:val="-89"/>
        </w:rPr>
        <w:t> </w:t>
      </w:r>
      <w:r>
        <w:rPr>
          <w:spacing w:val="-2"/>
        </w:rPr>
        <w:t>业绩承诺，故公司与美盛控股在评估价值的基础上，综合考虑业绩承诺的兑现风险、时间价值等因素，于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日就</w:t>
      </w:r>
      <w:r>
        <w:rPr>
          <w:spacing w:val="-58"/>
        </w:rPr>
        <w:t> </w:t>
      </w:r>
      <w:r>
        <w:rPr>
          <w:spacing w:val="-1"/>
        </w:rPr>
        <w:t>该股权转让事宜达成协议，转让价款为</w:t>
      </w:r>
      <w:r>
        <w:rPr>
          <w:rFonts w:ascii="Times New Roman" w:hAnsi="Times New Roman" w:cs="Times New Roman" w:eastAsia="Times New Roman" w:hint="default"/>
          <w:spacing w:val="-1"/>
        </w:rPr>
        <w:t>12,000</w:t>
      </w:r>
      <w:r>
        <w:rPr>
          <w:spacing w:val="-1"/>
        </w:rPr>
        <w:t>万元，该款项已于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日收到。此后，公司不再将纯真年代纳入合并</w:t>
      </w:r>
      <w:r>
        <w:rPr>
          <w:spacing w:val="-70"/>
        </w:rPr>
        <w:t> </w:t>
      </w:r>
      <w:r>
        <w:rPr>
          <w:spacing w:val="-70"/>
        </w:rPr>
      </w:r>
      <w:r>
        <w:rPr/>
        <w:t>范围。</w:t>
      </w:r>
    </w:p>
    <w:p>
      <w:pPr>
        <w:spacing w:line="240" w:lineRule="auto" w:before="3"/>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其他原因的合并范围变动</w:t>
      </w:r>
    </w:p>
    <w:p>
      <w:pPr>
        <w:pStyle w:val="BodyText"/>
        <w:spacing w:line="24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合并范围增加</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0"/>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合并范围减少</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6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6" w:right="302" w:hanging="270"/>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-2,609,347.90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-18,531.20</w:t>
            </w:r>
            <w:r>
              <w:rPr>
                <w:rFonts w:ascii="Times New Roman"/>
                <w:sz w:val="18"/>
              </w:rPr>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3,291,172.73</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-186,220.47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吕苏阳、卜刚军</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本报告期公司无重大诉讼、仲裁事项。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2786" w:right="2711"/>
        <w:jc w:val="center"/>
      </w:pPr>
      <w:r>
        <w:rPr/>
        <w:pict>
          <v:shape style="position:absolute;margin-left:56.459999pt;margin-top:-39.848267pt;width:479.2pt;height:283.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750"/>
                    <w:gridCol w:w="726"/>
                    <w:gridCol w:w="727"/>
                    <w:gridCol w:w="730"/>
                    <w:gridCol w:w="799"/>
                    <w:gridCol w:w="786"/>
                    <w:gridCol w:w="88"/>
                    <w:gridCol w:w="500"/>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0"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88" w:type="dxa"/>
                        <w:tcBorders>
                          <w:top w:val="single" w:sz="4" w:space="0" w:color="000000"/>
                          <w:left w:val="single" w:sz="4" w:space="0" w:color="000000"/>
                          <w:bottom w:val="single" w:sz="4" w:space="0" w:color="000000"/>
                          <w:right w:val="nil" w:sz="6" w:space="0" w:color="auto"/>
                        </w:tcBorders>
                        <w:shd w:val="clear" w:color="auto" w:fill="D2D2D2"/>
                      </w:tcPr>
                      <w:p>
                        <w:pPr/>
                      </w:p>
                    </w:tc>
                    <w:tc>
                      <w:tcPr>
                        <w:tcW w:w="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5"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25"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美盛控股 集团有限 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75"/>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转让上 海纯真 年代影 视投资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5"/>
                          <w:jc w:val="left"/>
                          <w:rPr>
                            <w:rFonts w:ascii="宋体" w:hAnsi="宋体" w:cs="宋体" w:eastAsia="宋体" w:hint="default"/>
                            <w:sz w:val="18"/>
                            <w:szCs w:val="18"/>
                          </w:rPr>
                        </w:pPr>
                        <w:r>
                          <w:rPr>
                            <w:rFonts w:ascii="宋体" w:hAnsi="宋体" w:cs="宋体" w:eastAsia="宋体" w:hint="default"/>
                            <w:sz w:val="18"/>
                            <w:szCs w:val="18"/>
                          </w:rPr>
                          <w:t>评估及 协商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13,094.09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13,248.45</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12,000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2,489.45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
                            <w:sz w:val="18"/>
                            <w:szCs w:val="18"/>
                          </w:rPr>
                          <w:t>公司本次出售纯真年代符合公司实际情况，有利于公司持续发展及优化公司产业布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局。且控股股东承诺不与上市公司发生同业竞争，优先保障上市公司利益。本次出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售不会对公司财务及经营状况产生不利影响，不存在损害公司及全体股东利益的情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形。</w:t>
                        </w:r>
                      </w:p>
                    </w:tc>
                  </w:tr>
                </w:tbl>
                <w:p>
                  <w:pPr/>
                </w:p>
              </w:txbxContent>
            </v:textbox>
            <w10:wrap type="none"/>
          </v:shape>
        </w:pict>
      </w:r>
      <w:r>
        <w:rPr/>
        <w:t>）</w:t>
      </w:r>
    </w:p>
    <w:p>
      <w:pPr>
        <w:spacing w:after="0" w:line="240" w:lineRule="auto"/>
        <w:jc w:val="cente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59"/>
        <w:gridCol w:w="6510"/>
      </w:tblGrid>
      <w:tr>
        <w:trPr>
          <w:trHeight w:val="258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月，公司与纯真年代原股东方朱质冰、朱质颖及本次投资相关方：北京颐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和尚品文化传媒有限公司、北京纯真年代影视文化传媒有限公司、王文签订了《上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海纯真年代影视投资有限公司投资协议》。公司出资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万元取得纯真年代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z w:val="18"/>
                <w:szCs w:val="18"/>
              </w:rPr>
              <w:t>的股权。朱质冰、朱质颖承诺：上海纯真年代在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 的净利润分别不低于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万元。公司已按照合同 约定支付了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万元；前述增资行为已办理完毕工商变更登记，公司持有纯真年 代</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70%</w:t>
            </w:r>
            <w:r>
              <w:rPr>
                <w:rFonts w:ascii="宋体" w:hAnsi="宋体" w:cs="宋体" w:eastAsia="宋体" w:hint="default"/>
                <w:spacing w:val="-4"/>
                <w:sz w:val="18"/>
                <w:szCs w:val="18"/>
              </w:rPr>
              <w:t>的股权。</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年度，纯真年代实现业绩</w:t>
            </w:r>
            <w:r>
              <w:rPr>
                <w:rFonts w:ascii="Times New Roman" w:hAnsi="Times New Roman" w:cs="Times New Roman" w:eastAsia="Times New Roman" w:hint="default"/>
                <w:sz w:val="18"/>
                <w:szCs w:val="18"/>
              </w:rPr>
              <w:t>-282.91</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万元，需向公司补偿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2,782.91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美盛文 化创意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美盛控 股集团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上海纯 真年代 影视投 资有限 公司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坤元资 产评估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62"/>
              <w:jc w:val="left"/>
              <w:rPr>
                <w:rFonts w:ascii="宋体" w:hAnsi="宋体" w:cs="宋体" w:eastAsia="宋体" w:hint="default"/>
                <w:sz w:val="18"/>
                <w:szCs w:val="18"/>
              </w:rPr>
            </w:pPr>
            <w:r>
              <w:rPr>
                <w:rFonts w:ascii="宋体" w:hAnsi="宋体" w:cs="宋体" w:eastAsia="宋体" w:hint="default"/>
                <w:sz w:val="18"/>
                <w:szCs w:val="18"/>
              </w:rPr>
              <w:t>评估及 协商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62"/>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444" w:right="0" w:firstLine="71"/>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非公开发行股票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日分别召开第二届董事会第二十二次会议和第二届董事会第二十六次会议，于</w:t>
      </w:r>
      <w:r>
        <w:rPr>
          <w:rFonts w:ascii="Times New Roman" w:hAnsi="Times New Roman" w:cs="Times New Roman" w:eastAsia="Times New Roman" w:hint="default"/>
        </w:rPr>
        <w:t>2015</w:t>
      </w:r>
    </w:p>
    <w:p>
      <w:pPr>
        <w:pStyle w:val="BodyText"/>
        <w:spacing w:line="300" w:lineRule="auto" w:before="13"/>
        <w:ind w:left="444" w:right="1028" w:hanging="291"/>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日召开</w:t>
      </w:r>
      <w:r>
        <w:rPr>
          <w:rFonts w:ascii="Times New Roman" w:hAnsi="Times New Roman" w:cs="Times New Roman" w:eastAsia="Times New Roman" w:hint="default"/>
        </w:rPr>
        <w:t>2015</w:t>
      </w:r>
      <w:r>
        <w:rPr/>
        <w:t>年第一次临时股东大会，审议通过了本次非公开发行相关事宜的各项议案。 </w:t>
      </w:r>
      <w:r>
        <w:rPr>
          <w:spacing w:val="-2"/>
        </w:rPr>
        <w:t>本次发行对象为赵小强先生，新余乐活投资管理中心（普通合伙），新余天游投资管理中心（普通合伙）及其他投资者，</w:t>
      </w:r>
    </w:p>
    <w:p>
      <w:pPr>
        <w:pStyle w:val="BodyText"/>
        <w:spacing w:line="240" w:lineRule="auto" w:before="31"/>
        <w:ind w:right="0"/>
        <w:jc w:val="left"/>
      </w:pPr>
      <w:r>
        <w:rPr/>
        <w:t>合计不超过</w:t>
      </w:r>
      <w:r>
        <w:rPr>
          <w:rFonts w:ascii="Times New Roman" w:hAnsi="Times New Roman" w:cs="Times New Roman" w:eastAsia="Times New Roman" w:hint="default"/>
        </w:rPr>
        <w:t>10</w:t>
      </w:r>
      <w:r>
        <w:rPr/>
        <w:t>名特定投资者。赵小强先生认购金额不低于</w:t>
      </w:r>
      <w:r>
        <w:rPr>
          <w:rFonts w:ascii="Times New Roman" w:hAnsi="Times New Roman" w:cs="Times New Roman" w:eastAsia="Times New Roman" w:hint="default"/>
        </w:rPr>
        <w:t>100,000.00</w:t>
      </w:r>
      <w:r>
        <w:rPr/>
        <w:t>万元，新余乐活认购金额</w:t>
      </w:r>
      <w:r>
        <w:rPr>
          <w:rFonts w:ascii="Times New Roman" w:hAnsi="Times New Roman" w:cs="Times New Roman" w:eastAsia="Times New Roman" w:hint="default"/>
        </w:rPr>
        <w:t>8550.00</w:t>
      </w:r>
      <w:r>
        <w:rPr/>
        <w:t>万元，新余天游认购金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额</w:t>
      </w:r>
      <w:r>
        <w:rPr>
          <w:rFonts w:ascii="Times New Roman" w:hAnsi="Times New Roman" w:cs="Times New Roman" w:eastAsia="Times New Roman" w:hint="default"/>
        </w:rPr>
        <w:t>7824.96</w:t>
      </w:r>
      <w:r>
        <w:rPr/>
        <w:t>万元，其余金额由特定投资者认购。</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spacing w:val="-1"/>
        </w:rPr>
        <w:t>本次非公开发行</w:t>
      </w:r>
      <w:r>
        <w:rPr>
          <w:rFonts w:ascii="Times New Roman" w:hAnsi="Times New Roman" w:cs="Times New Roman" w:eastAsia="Times New Roman" w:hint="default"/>
          <w:spacing w:val="-1"/>
        </w:rPr>
        <w:t>A</w:t>
      </w:r>
      <w:r>
        <w:rPr>
          <w:spacing w:val="-1"/>
        </w:rPr>
        <w:t>股的定价基准日为本次非公开发行的发行期首日，股票发行价格不低于定价基准日前</w:t>
      </w:r>
      <w:r>
        <w:rPr>
          <w:rFonts w:ascii="Times New Roman" w:hAnsi="Times New Roman" w:cs="Times New Roman" w:eastAsia="Times New Roman" w:hint="default"/>
          <w:spacing w:val="-1"/>
        </w:rPr>
        <w:t>20</w:t>
      </w:r>
      <w:r>
        <w:rPr>
          <w:spacing w:val="-1"/>
        </w:rPr>
        <w:t>个交易日的交</w:t>
      </w:r>
      <w:r>
        <w:rPr/>
        <w:t> 易均价的</w:t>
      </w:r>
      <w:r>
        <w:rPr>
          <w:rFonts w:ascii="Times New Roman" w:hAnsi="Times New Roman" w:cs="Times New Roman" w:eastAsia="Times New Roman" w:hint="default"/>
        </w:rPr>
        <w:t>90%</w:t>
      </w:r>
      <w:r>
        <w:rPr/>
        <w:t>。</w:t>
      </w:r>
    </w:p>
    <w:p>
      <w:pPr>
        <w:pStyle w:val="BodyText"/>
        <w:spacing w:line="300" w:lineRule="auto" w:before="133"/>
        <w:ind w:right="0" w:firstLine="360"/>
        <w:jc w:val="left"/>
      </w:pPr>
      <w:r>
        <w:rPr>
          <w:spacing w:val="-1"/>
        </w:rPr>
        <w:t>本次非公开发行数量不超过</w:t>
      </w:r>
      <w:r>
        <w:rPr>
          <w:rFonts w:ascii="Times New Roman" w:hAnsi="Times New Roman" w:cs="Times New Roman" w:eastAsia="Times New Roman" w:hint="default"/>
          <w:spacing w:val="-1"/>
        </w:rPr>
        <w:t>9,000</w:t>
      </w:r>
      <w:r>
        <w:rPr>
          <w:spacing w:val="-1"/>
        </w:rPr>
        <w:t>万股（含本数），本次非公开发行股票募集资金总额不超过人民币</w:t>
      </w:r>
      <w:r>
        <w:rPr>
          <w:rFonts w:ascii="Times New Roman" w:hAnsi="Times New Roman" w:cs="Times New Roman" w:eastAsia="Times New Roman" w:hint="default"/>
          <w:spacing w:val="-1"/>
        </w:rPr>
        <w:t>303,031.22</w:t>
      </w:r>
      <w:r>
        <w:rPr>
          <w:spacing w:val="-1"/>
        </w:rPr>
        <w:t>万元，扣</w:t>
      </w:r>
      <w:r>
        <w:rPr/>
        <w:t> 除发行费用后的募集资金净额将投资于以下项目：</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BodyText"/>
        <w:spacing w:line="240" w:lineRule="auto"/>
        <w:ind w:left="0" w:right="1129"/>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76"/>
        <w:gridCol w:w="3969"/>
        <w:gridCol w:w="1751"/>
        <w:gridCol w:w="2134"/>
      </w:tblGrid>
      <w:tr>
        <w:trPr>
          <w:trHeight w:val="355" w:hRule="exact"/>
        </w:trPr>
        <w:tc>
          <w:tcPr>
            <w:tcW w:w="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26" w:right="0"/>
              <w:jc w:val="left"/>
              <w:rPr>
                <w:rFonts w:ascii="宋体" w:hAnsi="宋体" w:cs="宋体" w:eastAsia="宋体" w:hint="default"/>
                <w:sz w:val="18"/>
                <w:szCs w:val="18"/>
              </w:rPr>
            </w:pPr>
            <w:r>
              <w:rPr>
                <w:rFonts w:ascii="宋体" w:hAnsi="宋体" w:cs="宋体" w:eastAsia="宋体" w:hint="default"/>
                <w:b/>
                <w:bCs/>
                <w:sz w:val="18"/>
                <w:szCs w:val="18"/>
              </w:rPr>
              <w:t>项目投资总额</w:t>
            </w:r>
            <w:r>
              <w:rPr>
                <w:rFonts w:ascii="宋体" w:hAnsi="宋体" w:cs="宋体" w:eastAsia="宋体" w:hint="default"/>
                <w:sz w:val="18"/>
                <w:szCs w:val="18"/>
              </w:rPr>
            </w:r>
          </w:p>
        </w:tc>
        <w:tc>
          <w:tcPr>
            <w:tcW w:w="2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b/>
                <w:bCs/>
                <w:sz w:val="18"/>
                <w:szCs w:val="18"/>
              </w:rPr>
              <w:t>拟投入募集资金总额</w:t>
            </w:r>
            <w:r>
              <w:rPr>
                <w:rFonts w:ascii="宋体" w:hAnsi="宋体" w:cs="宋体" w:eastAsia="宋体" w:hint="default"/>
                <w:sz w:val="18"/>
                <w:szCs w:val="18"/>
              </w:rPr>
            </w:r>
          </w:p>
        </w:tc>
      </w:tr>
      <w:tr>
        <w:trPr>
          <w:trHeight w:val="352" w:hRule="exact"/>
        </w:trPr>
        <w:tc>
          <w:tcPr>
            <w:tcW w:w="6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3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宋体" w:hAnsi="宋体" w:cs="宋体" w:eastAsia="宋体" w:hint="default"/>
                <w:sz w:val="18"/>
                <w:szCs w:val="18"/>
              </w:rPr>
              <w:t>文化生态圈项目</w:t>
            </w:r>
          </w:p>
        </w:tc>
        <w:tc>
          <w:tcPr>
            <w:tcW w:w="17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210,000.00</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210,000.00</w:t>
            </w:r>
          </w:p>
        </w:tc>
      </w:tr>
      <w:tr>
        <w:trPr>
          <w:trHeight w:val="353" w:hRule="exact"/>
        </w:trPr>
        <w:tc>
          <w:tcPr>
            <w:tcW w:w="6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3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收购真趣网络</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7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93,031.22</w:t>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93,031.22</w:t>
            </w:r>
          </w:p>
        </w:tc>
      </w:tr>
      <w:tr>
        <w:trPr>
          <w:trHeight w:val="352" w:hRule="exact"/>
        </w:trPr>
        <w:tc>
          <w:tcPr>
            <w:tcW w:w="676" w:type="dxa"/>
            <w:tcBorders>
              <w:top w:val="single" w:sz="12" w:space="0" w:color="000000"/>
              <w:left w:val="single" w:sz="6" w:space="0" w:color="000000"/>
              <w:bottom w:val="single" w:sz="12" w:space="0" w:color="000000"/>
              <w:right w:val="single" w:sz="6" w:space="0" w:color="000000"/>
            </w:tcBorders>
          </w:tcPr>
          <w:p>
            <w:pPr/>
          </w:p>
        </w:tc>
        <w:tc>
          <w:tcPr>
            <w:tcW w:w="3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b/>
                <w:sz w:val="18"/>
              </w:rPr>
              <w:t>303,031.22</w:t>
            </w:r>
            <w:r>
              <w:rPr>
                <w:rFonts w:ascii="Times New Roman"/>
                <w:sz w:val="18"/>
              </w:rPr>
            </w:r>
          </w:p>
        </w:tc>
        <w:tc>
          <w:tcPr>
            <w:tcW w:w="2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b/>
                <w:sz w:val="18"/>
              </w:rPr>
              <w:t>303,031.22</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left="154"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66.26%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-220,657,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-49,767,6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86,522,40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66.26%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-220,657,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-49,767,6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86,522,40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9,000,000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-220,374,</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-101,187,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9,000,000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2.02%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12.69%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-283,600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51,419,40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77,522,40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17.38%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33.74%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220,657,6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359,477,6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80.60%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33.74%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220,657,6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359,477,6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80.60%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2014</w:t>
      </w:r>
      <w:r>
        <w:rPr/>
        <w:t>年年度权益分派方案包括以公司总股本</w:t>
      </w:r>
      <w:r>
        <w:rPr>
          <w:rFonts w:ascii="Times New Roman" w:hAnsi="Times New Roman" w:cs="Times New Roman" w:eastAsia="Times New Roman" w:hint="default"/>
        </w:rPr>
        <w:t>205,700,000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240" w:lineRule="auto" w:before="63"/>
        <w:ind w:left="154" w:right="0"/>
        <w:jc w:val="left"/>
      </w:pPr>
      <w:r>
        <w:rPr>
          <w:rFonts w:ascii="Times New Roman" w:hAnsi="Times New Roman" w:cs="Times New Roman" w:eastAsia="Times New Roman" w:hint="default"/>
        </w:rPr>
        <w:t>2</w:t>
      </w:r>
      <w:r>
        <w:rPr/>
        <w:t>、本公司首发限售股</w:t>
      </w:r>
      <w:r>
        <w:rPr>
          <w:rFonts w:ascii="Times New Roman" w:hAnsi="Times New Roman" w:cs="Times New Roman" w:eastAsia="Times New Roman" w:hint="default"/>
        </w:rPr>
        <w:t>272,580,000</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日解除限售条件并且上市流通。</w:t>
      </w:r>
    </w:p>
    <w:p>
      <w:pPr>
        <w:pStyle w:val="BodyText"/>
        <w:spacing w:line="240" w:lineRule="auto" w:before="63"/>
        <w:ind w:right="0"/>
        <w:jc w:val="left"/>
      </w:pPr>
      <w:r>
        <w:rPr>
          <w:rFonts w:ascii="Times New Roman" w:hAnsi="Times New Roman" w:cs="Times New Roman" w:eastAsia="Times New Roman" w:hint="default"/>
        </w:rPr>
        <w:t>3</w:t>
      </w:r>
      <w:r>
        <w:rPr/>
        <w:t>、赵小强个人</w:t>
      </w:r>
      <w:r>
        <w:rPr>
          <w:rFonts w:ascii="Times New Roman" w:hAnsi="Times New Roman" w:cs="Times New Roman" w:eastAsia="Times New Roman" w:hint="default"/>
        </w:rPr>
        <w:t>51,584,000</w:t>
      </w:r>
      <w:r>
        <w:rPr/>
        <w:t>股为高管锁定股，郭瑞个人</w:t>
      </w:r>
      <w:r>
        <w:rPr>
          <w:rFonts w:ascii="Times New Roman" w:hAnsi="Times New Roman" w:cs="Times New Roman" w:eastAsia="Times New Roman" w:hint="default"/>
        </w:rPr>
        <w:t>338,400</w:t>
      </w:r>
      <w:r>
        <w:rPr/>
        <w:t>股为高管锁定股，高管锁定股共计</w:t>
      </w:r>
      <w:r>
        <w:rPr>
          <w:rFonts w:ascii="Times New Roman" w:hAnsi="Times New Roman" w:cs="Times New Roman" w:eastAsia="Times New Roman" w:hint="default"/>
        </w:rPr>
        <w:t>51,922,400</w:t>
      </w:r>
      <w:r>
        <w:rPr/>
        <w:t>股。</w:t>
      </w:r>
    </w:p>
    <w:p>
      <w:pPr>
        <w:pStyle w:val="BodyText"/>
        <w:spacing w:line="240" w:lineRule="auto" w:before="63"/>
        <w:ind w:left="154" w:right="0"/>
        <w:jc w:val="left"/>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日非公开发行股票</w:t>
      </w:r>
      <w:r>
        <w:rPr>
          <w:rFonts w:ascii="Times New Roman" w:hAnsi="Times New Roman" w:cs="Times New Roman" w:eastAsia="Times New Roman" w:hint="default"/>
        </w:rPr>
        <w:t>34,600,000</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154" w:right="0"/>
        <w:jc w:val="left"/>
      </w:pPr>
      <w:r>
        <w:rPr/>
        <w:t>股份变动的批准情况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年度利润分配方案已于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日经公司</w:t>
      </w:r>
      <w:r>
        <w:rPr>
          <w:rFonts w:ascii="Times New Roman" w:hAnsi="Times New Roman" w:cs="Times New Roman" w:eastAsia="Times New Roman" w:hint="default"/>
        </w:rPr>
        <w:t>2014</w:t>
      </w:r>
      <w:r>
        <w:rPr/>
        <w:t>年度股东大会以现场表决方式审议通过。</w:t>
      </w:r>
    </w:p>
    <w:p>
      <w:pPr>
        <w:pStyle w:val="BodyText"/>
        <w:spacing w:line="240" w:lineRule="auto" w:before="63"/>
        <w:ind w:right="0"/>
        <w:jc w:val="left"/>
      </w:pPr>
      <w:r>
        <w:rPr>
          <w:rFonts w:ascii="Times New Roman" w:hAnsi="Times New Roman" w:cs="Times New Roman" w:eastAsia="Times New Roman" w:hint="default"/>
        </w:rPr>
        <w:t>2</w:t>
      </w:r>
      <w:r>
        <w:rPr/>
        <w:t>、公司已于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日进行提示性公告，首发限售股</w:t>
      </w:r>
      <w:r>
        <w:rPr>
          <w:rFonts w:ascii="Times New Roman" w:hAnsi="Times New Roman" w:cs="Times New Roman" w:eastAsia="Times New Roman" w:hint="default"/>
        </w:rPr>
        <w:t>272,580,000</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日解除限售条件并且上市流通。</w:t>
      </w:r>
    </w:p>
    <w:p>
      <w:pPr>
        <w:pStyle w:val="BodyText"/>
        <w:spacing w:line="240" w:lineRule="auto" w:before="6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日，公司收到中国证券监督管理委员会对公司本次非公开发行股票申请的核准批文。</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股份变动的过户情况</w:t>
      </w:r>
    </w:p>
    <w:p>
      <w:pPr>
        <w:pStyle w:val="BodyText"/>
        <w:spacing w:line="319" w:lineRule="auto" w:before="116"/>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年度利润分配方案以公司总股本</w:t>
      </w:r>
      <w:r>
        <w:rPr>
          <w:rFonts w:ascii="Times New Roman" w:hAnsi="Times New Roman" w:cs="Times New Roman" w:eastAsia="Times New Roman" w:hint="default"/>
        </w:rPr>
        <w:t>205,700,000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股，本次权益分派股 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w:t>
      </w:r>
    </w:p>
    <w:p>
      <w:pPr>
        <w:pStyle w:val="BodyText"/>
        <w:spacing w:line="247" w:lineRule="exact"/>
        <w:ind w:left="154" w:right="0"/>
        <w:jc w:val="left"/>
      </w:pPr>
      <w:r>
        <w:rPr>
          <w:rFonts w:ascii="Times New Roman" w:hAnsi="Times New Roman" w:cs="Times New Roman" w:eastAsia="Times New Roman" w:hint="default"/>
        </w:rPr>
        <w:t>2</w:t>
      </w:r>
      <w:r>
        <w:rPr/>
        <w:t>、首发限售股</w:t>
      </w:r>
      <w:r>
        <w:rPr>
          <w:rFonts w:ascii="Times New Roman" w:hAnsi="Times New Roman" w:cs="Times New Roman" w:eastAsia="Times New Roman" w:hint="default"/>
        </w:rPr>
        <w:t>272,580,000</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日解除限售条件并且上市流通。</w:t>
      </w:r>
    </w:p>
    <w:p>
      <w:pPr>
        <w:pStyle w:val="BodyText"/>
        <w:spacing w:line="240" w:lineRule="auto" w:before="63"/>
        <w:ind w:right="0"/>
        <w:jc w:val="left"/>
      </w:pPr>
      <w:r>
        <w:rPr>
          <w:rFonts w:ascii="Times New Roman" w:hAnsi="Times New Roman" w:cs="Times New Roman" w:eastAsia="Times New Roman" w:hint="default"/>
        </w:rPr>
        <w:t>3</w:t>
      </w:r>
      <w:r>
        <w:rPr/>
        <w:t>、非公开发行股票</w:t>
      </w:r>
      <w:r>
        <w:rPr>
          <w:rFonts w:ascii="Times New Roman" w:hAnsi="Times New Roman" w:cs="Times New Roman" w:eastAsia="Times New Roman" w:hint="default"/>
        </w:rPr>
        <w:t>34,600,000</w:t>
      </w:r>
      <w:r>
        <w:rPr/>
        <w:t>股已于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日上市。</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54" w:right="0"/>
        <w:jc w:val="left"/>
      </w:pPr>
      <w:r>
        <w:rPr/>
        <w:t>股份变动对最近一年和最近一期基本每股收益和稀释每股收益、归属于公司普通股股东的每股净资产等财务指标的影响</w:t>
      </w:r>
    </w:p>
    <w:p>
      <w:pPr>
        <w:pStyle w:val="BodyText"/>
        <w:spacing w:line="240" w:lineRule="auto" w:before="116"/>
        <w:ind w:right="0"/>
        <w:jc w:val="left"/>
      </w:pPr>
      <w:r>
        <w:rPr/>
        <w:t>√ 适用 □ 不适用</w:t>
      </w:r>
    </w:p>
    <w:p>
      <w:pPr>
        <w:pStyle w:val="BodyText"/>
        <w:spacing w:line="300" w:lineRule="auto" w:before="116"/>
        <w:ind w:right="0"/>
        <w:jc w:val="left"/>
      </w:pPr>
      <w:r>
        <w:rPr>
          <w:rFonts w:ascii="Times New Roman" w:hAnsi="Times New Roman" w:cs="Times New Roman" w:eastAsia="Times New Roman" w:hint="default"/>
        </w:rPr>
        <w:t>2014</w:t>
      </w:r>
      <w:r>
        <w:rPr/>
        <w:t>年度利润分配方案以公司总股本</w:t>
      </w:r>
      <w:r>
        <w:rPr>
          <w:rFonts w:ascii="Times New Roman" w:hAnsi="Times New Roman" w:cs="Times New Roman" w:eastAsia="Times New Roman" w:hint="default"/>
        </w:rPr>
        <w:t>205,700,000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月非公开发 行股票</w:t>
      </w:r>
      <w:r>
        <w:rPr>
          <w:rFonts w:ascii="Times New Roman" w:hAnsi="Times New Roman" w:cs="Times New Roman" w:eastAsia="Times New Roman" w:hint="default"/>
        </w:rPr>
        <w:t>34,600,000</w:t>
      </w:r>
      <w:r>
        <w:rPr/>
        <w:t>股。总股本增加</w:t>
      </w:r>
      <w:r>
        <w:rPr>
          <w:rFonts w:ascii="Times New Roman" w:hAnsi="Times New Roman" w:cs="Times New Roman" w:eastAsia="Times New Roman" w:hint="default"/>
        </w:rPr>
        <w:t>240,300,000</w:t>
      </w:r>
      <w:r>
        <w:rPr/>
        <w:t>股，导致基本每股收益和稀释每股收益降低</w:t>
      </w:r>
      <w:r>
        <w:rPr>
          <w:rFonts w:ascii="Times New Roman" w:hAnsi="Times New Roman" w:cs="Times New Roman" w:eastAsia="Times New Roman" w:hint="default"/>
        </w:rPr>
        <w:t>0.32</w:t>
      </w:r>
      <w:r>
        <w:rPr/>
        <w:t>元。 </w:t>
      </w:r>
      <w:r>
        <w:rPr>
          <w:rFonts w:ascii="Times New Roman" w:hAnsi="Times New Roman" w:cs="Times New Roman" w:eastAsia="Times New Roman" w:hint="default"/>
          <w:spacing w:val="-3"/>
        </w:rPr>
        <w:t>2014</w:t>
      </w:r>
      <w:r>
        <w:rPr>
          <w:spacing w:val="-3"/>
        </w:rPr>
        <w:t>年度利润分配方案以公司总股本</w:t>
      </w:r>
      <w:r>
        <w:rPr>
          <w:rFonts w:ascii="Times New Roman" w:hAnsi="Times New Roman" w:cs="Times New Roman" w:eastAsia="Times New Roman" w:hint="default"/>
          <w:spacing w:val="-3"/>
        </w:rPr>
        <w:t>205,700,000</w:t>
      </w:r>
      <w:r>
        <w:rPr>
          <w:spacing w:val="-3"/>
        </w:rPr>
        <w:t>股为基数，以资本公积金向全体股东每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股，导致每股净资产减少；</w:t>
      </w:r>
    </w:p>
    <w:p>
      <w:pPr>
        <w:pStyle w:val="BodyText"/>
        <w:spacing w:line="240" w:lineRule="auto" w:before="13"/>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月非公开发行股票</w:t>
      </w:r>
      <w:r>
        <w:rPr>
          <w:rFonts w:ascii="Times New Roman" w:hAnsi="Times New Roman" w:cs="Times New Roman" w:eastAsia="Times New Roman" w:hint="default"/>
        </w:rPr>
        <w:t>34,600,000</w:t>
      </w:r>
      <w:r>
        <w:rPr/>
        <w:t>股，募集资金总额</w:t>
      </w:r>
      <w:r>
        <w:rPr>
          <w:rFonts w:ascii="Times New Roman" w:hAnsi="Times New Roman" w:cs="Times New Roman" w:eastAsia="Times New Roman" w:hint="default"/>
        </w:rPr>
        <w:t>358,893,915.80</w:t>
      </w:r>
      <w:r>
        <w:rPr/>
        <w:t>元</w:t>
      </w:r>
      <w:r>
        <w:rPr>
          <w:rFonts w:ascii="Times New Roman" w:hAnsi="Times New Roman" w:cs="Times New Roman" w:eastAsia="Times New Roman" w:hint="default"/>
        </w:rPr>
        <w:t>,</w:t>
      </w:r>
      <w:r>
        <w:rPr/>
        <w:t>导致每股净资产增加。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right="0"/>
        <w:jc w:val="left"/>
      </w:pPr>
      <w:r>
        <w:rPr/>
        <w:t>公司认为必要或证券监管机构要求披露的其他内容</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 适用 □ 不适用</w:t>
      </w:r>
    </w:p>
    <w:p>
      <w:pPr>
        <w:pStyle w:val="BodyText"/>
        <w:spacing w:line="240" w:lineRule="auto" w:before="117"/>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26,103,000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52,206,000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75,184,000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首发后限售股、 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首发后限售股于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 解除限售，高管 锁定股于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2" w:lineRule="auto" w:before="3"/>
              <w:ind w:left="22"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2,338,400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首发后限售股、 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首发后限售股于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 解除限售，高管 锁定股于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2" w:lineRule="auto" w:before="3"/>
              <w:ind w:left="22" w:right="3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杭州比因美特卡 通影视有限公司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 解除限售 </w:t>
            </w:r>
            <w:r>
              <w:rPr>
                <w:rFonts w:ascii="Times New Roman" w:hAnsi="Times New Roman" w:cs="Times New Roman" w:eastAsia="Times New Roman" w:hint="default"/>
                <w:sz w:val="18"/>
                <w:szCs w:val="18"/>
              </w:rPr>
              <w:t>9,000,000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52,206,000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86,522,400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86,522,400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34,600,000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34,600,000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2"/>
        <w:ind w:left="154" w:right="0"/>
        <w:jc w:val="left"/>
      </w:pPr>
      <w:r>
        <w:rPr/>
        <w:t>报告期内证券发行（不含优先股）情况的说明</w:t>
      </w:r>
    </w:p>
    <w:p>
      <w:pPr>
        <w:pStyle w:val="BodyText"/>
        <w:spacing w:line="240" w:lineRule="auto" w:before="115"/>
        <w:ind w:left="154" w:right="0"/>
        <w:jc w:val="left"/>
      </w:pPr>
      <w:r>
        <w:rPr>
          <w:rFonts w:ascii="Times New Roman" w:hAnsi="Times New Roman" w:cs="Times New Roman" w:eastAsia="Times New Roman" w:hint="default"/>
        </w:rPr>
        <w:t>1</w:t>
      </w:r>
      <w:r>
        <w:rPr/>
        <w:t>、发行证券的类型：本次发行的证券类型为人民币普通股（</w:t>
      </w:r>
      <w:r>
        <w:rPr>
          <w:rFonts w:ascii="Times New Roman" w:hAnsi="Times New Roman" w:cs="Times New Roman" w:eastAsia="Times New Roman" w:hint="default"/>
        </w:rPr>
        <w:t>A</w:t>
      </w:r>
      <w:r>
        <w:rPr/>
        <w:t>股）。</w:t>
      </w:r>
    </w:p>
    <w:p>
      <w:pPr>
        <w:pStyle w:val="BodyText"/>
        <w:spacing w:line="240" w:lineRule="auto" w:before="63"/>
        <w:ind w:left="154" w:right="0"/>
        <w:jc w:val="left"/>
      </w:pPr>
      <w:r>
        <w:rPr>
          <w:rFonts w:ascii="Times New Roman" w:hAnsi="Times New Roman" w:cs="Times New Roman" w:eastAsia="Times New Roman" w:hint="default"/>
        </w:rPr>
        <w:t>2</w:t>
      </w:r>
      <w:r>
        <w:rPr/>
        <w:t>、发行数量：本次发行股票数量为</w:t>
      </w:r>
      <w:r>
        <w:rPr>
          <w:rFonts w:ascii="Times New Roman" w:hAnsi="Times New Roman" w:cs="Times New Roman" w:eastAsia="Times New Roman" w:hint="default"/>
        </w:rPr>
        <w:t>3,460.00</w:t>
      </w:r>
      <w:r>
        <w:rPr/>
        <w:t>万股。</w:t>
      </w:r>
    </w:p>
    <w:p>
      <w:pPr>
        <w:pStyle w:val="BodyText"/>
        <w:spacing w:line="240" w:lineRule="auto" w:before="63"/>
        <w:ind w:left="154" w:right="0"/>
        <w:jc w:val="left"/>
      </w:pPr>
      <w:r>
        <w:rPr>
          <w:rFonts w:ascii="Times New Roman" w:hAnsi="Times New Roman" w:cs="Times New Roman" w:eastAsia="Times New Roman" w:hint="default"/>
        </w:rPr>
        <w:t>3</w:t>
      </w:r>
      <w:r>
        <w:rPr/>
        <w:t>、发行证券面值：本次发行的股票每股面值为人民币</w:t>
      </w:r>
      <w:r>
        <w:rPr>
          <w:rFonts w:ascii="Times New Roman" w:hAnsi="Times New Roman" w:cs="Times New Roman" w:eastAsia="Times New Roman" w:hint="default"/>
        </w:rPr>
        <w:t>1.00</w:t>
      </w:r>
      <w:r>
        <w:rPr/>
        <w:t>元。</w:t>
      </w:r>
    </w:p>
    <w:p>
      <w:pPr>
        <w:pStyle w:val="BodyText"/>
        <w:spacing w:line="300" w:lineRule="auto" w:before="63"/>
        <w:ind w:right="1131"/>
        <w:jc w:val="both"/>
      </w:pPr>
      <w:r>
        <w:rPr>
          <w:rFonts w:ascii="Times New Roman" w:hAnsi="Times New Roman" w:cs="Times New Roman" w:eastAsia="Times New Roman" w:hint="default"/>
        </w:rPr>
        <w:t>4</w:t>
      </w:r>
      <w:r>
        <w:rPr/>
        <w:t>、发行价格：本次非公开发行的定价基准日为第二届董事会第十五次会议决议公告日，发行价格不低于定价基准日前二十</w:t>
      </w:r>
      <w:r>
        <w:rPr>
          <w:spacing w:val="-83"/>
        </w:rPr>
        <w:t> </w:t>
      </w:r>
      <w:r>
        <w:rPr>
          <w:spacing w:val="-83"/>
        </w:rPr>
      </w:r>
      <w:r>
        <w:rPr/>
        <w:t>个交易日股票交易均价的</w:t>
      </w:r>
      <w:r>
        <w:rPr>
          <w:rFonts w:ascii="Times New Roman" w:hAnsi="Times New Roman" w:cs="Times New Roman" w:eastAsia="Times New Roman" w:hint="default"/>
        </w:rPr>
        <w:t>90%</w:t>
      </w:r>
      <w:r>
        <w:rPr/>
        <w:t>，即发行价格为</w:t>
      </w:r>
      <w:r>
        <w:rPr>
          <w:rFonts w:ascii="Times New Roman" w:hAnsi="Times New Roman" w:cs="Times New Roman" w:eastAsia="Times New Roman" w:hint="default"/>
        </w:rPr>
        <w:t>21.29</w:t>
      </w:r>
      <w:r>
        <w:rPr/>
        <w:t>元</w:t>
      </w:r>
      <w:r>
        <w:rPr>
          <w:rFonts w:ascii="Times New Roman" w:hAnsi="Times New Roman" w:cs="Times New Roman" w:eastAsia="Times New Roman" w:hint="default"/>
        </w:rPr>
        <w:t>/</w:t>
      </w:r>
      <w:r>
        <w:rPr/>
        <w:t>股。公司</w:t>
      </w:r>
      <w:r>
        <w:rPr>
          <w:rFonts w:ascii="Times New Roman" w:hAnsi="Times New Roman" w:cs="Times New Roman" w:eastAsia="Times New Roman" w:hint="default"/>
        </w:rPr>
        <w:t>2014</w:t>
      </w:r>
      <w:r>
        <w:rPr/>
        <w:t>年度权益分派方案实施后，本次非公开发行价格调整为</w:t>
      </w:r>
      <w:r>
        <w:rPr>
          <w:spacing w:val="-66"/>
        </w:rPr>
        <w:t> </w:t>
      </w:r>
      <w:r>
        <w:rPr>
          <w:spacing w:val="-66"/>
        </w:rPr>
      </w:r>
      <w:r>
        <w:rPr>
          <w:rFonts w:ascii="Times New Roman" w:hAnsi="Times New Roman" w:cs="Times New Roman" w:eastAsia="Times New Roman" w:hint="default"/>
        </w:rPr>
        <w:t>10.595</w:t>
      </w:r>
      <w:r>
        <w:rPr/>
        <w:t>元</w:t>
      </w:r>
      <w:r>
        <w:rPr>
          <w:rFonts w:ascii="Times New Roman" w:hAnsi="Times New Roman" w:cs="Times New Roman" w:eastAsia="Times New Roman" w:hint="default"/>
        </w:rPr>
        <w:t>/</w:t>
      </w:r>
      <w:r>
        <w:rPr/>
        <w:t>股。</w:t>
      </w:r>
    </w:p>
    <w:p>
      <w:pPr>
        <w:pStyle w:val="BodyText"/>
        <w:spacing w:line="300" w:lineRule="auto" w:before="13"/>
        <w:ind w:left="154" w:right="1118"/>
        <w:jc w:val="left"/>
      </w:pPr>
      <w:r>
        <w:rPr>
          <w:rFonts w:ascii="Times New Roman" w:hAnsi="Times New Roman" w:cs="Times New Roman" w:eastAsia="Times New Roman" w:hint="default"/>
        </w:rPr>
        <w:t>5</w:t>
      </w:r>
      <w:r>
        <w:rPr/>
        <w:t>、募集资金量：本次发行募集资金总额为</w:t>
      </w:r>
      <w:r>
        <w:rPr>
          <w:rFonts w:ascii="Times New Roman" w:hAnsi="Times New Roman" w:cs="Times New Roman" w:eastAsia="Times New Roman" w:hint="default"/>
        </w:rPr>
        <w:t>36,658.70</w:t>
      </w:r>
      <w:r>
        <w:rPr/>
        <w:t>万元，扣除发行费用</w:t>
      </w:r>
      <w:r>
        <w:rPr>
          <w:rFonts w:ascii="Times New Roman" w:hAnsi="Times New Roman" w:cs="Times New Roman" w:eastAsia="Times New Roman" w:hint="default"/>
        </w:rPr>
        <w:t>769.31</w:t>
      </w:r>
      <w:r>
        <w:rPr/>
        <w:t>万元，本次发行募集资金净额为</w:t>
      </w:r>
      <w:r>
        <w:rPr>
          <w:rFonts w:ascii="Times New Roman" w:hAnsi="Times New Roman" w:cs="Times New Roman" w:eastAsia="Times New Roman" w:hint="default"/>
        </w:rPr>
        <w:t>35,889.39</w:t>
      </w:r>
      <w:r>
        <w:rPr/>
        <w:t>万</w:t>
      </w:r>
      <w:r>
        <w:rPr>
          <w:spacing w:val="-46"/>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left="154"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pStyle w:val="BodyText"/>
        <w:spacing w:line="240" w:lineRule="auto" w:before="115"/>
        <w:ind w:left="15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月，资本公积金转增股本</w:t>
      </w:r>
    </w:p>
    <w:p>
      <w:pPr>
        <w:pStyle w:val="BodyText"/>
        <w:spacing w:line="300" w:lineRule="auto" w:before="63"/>
        <w:ind w:right="111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日，经公司</w:t>
      </w:r>
      <w:r>
        <w:rPr>
          <w:rFonts w:ascii="Times New Roman" w:hAnsi="Times New Roman" w:cs="Times New Roman" w:eastAsia="Times New Roman" w:hint="default"/>
        </w:rPr>
        <w:t>2013</w:t>
      </w:r>
      <w:r>
        <w:rPr/>
        <w:t>年度股东大会审议通过，以公司总股本</w:t>
      </w:r>
      <w:r>
        <w:rPr>
          <w:rFonts w:ascii="Times New Roman" w:hAnsi="Times New Roman" w:cs="Times New Roman" w:eastAsia="Times New Roman" w:hint="default"/>
        </w:rPr>
        <w:t>9,350</w:t>
      </w:r>
      <w:r>
        <w:rPr/>
        <w:t>万股为基数，以资本公积金向全体股东每</w:t>
      </w:r>
      <w:r>
        <w:rPr>
          <w:spacing w:val="20"/>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股转</w:t>
      </w:r>
      <w:r>
        <w:rPr>
          <w:spacing w:val="-83"/>
        </w:rPr>
        <w:t> </w:t>
      </w:r>
      <w:r>
        <w:rPr/>
        <w:t>增</w:t>
      </w:r>
      <w:r>
        <w:rPr>
          <w:spacing w:val="-18"/>
        </w:rPr>
        <w:t> </w:t>
      </w:r>
      <w:r>
        <w:rPr>
          <w:rFonts w:ascii="Times New Roman" w:hAnsi="Times New Roman" w:cs="Times New Roman" w:eastAsia="Times New Roman" w:hint="default"/>
        </w:rPr>
        <w:t>12</w:t>
      </w:r>
      <w:r>
        <w:rPr/>
        <w:t>股，共计</w:t>
      </w:r>
      <w:r>
        <w:rPr>
          <w:rFonts w:ascii="Times New Roman" w:hAnsi="Times New Roman" w:cs="Times New Roman" w:eastAsia="Times New Roman" w:hint="default"/>
        </w:rPr>
        <w:t>11,220</w:t>
      </w:r>
      <w:r>
        <w:rPr/>
        <w:t>万股，并于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日实施完毕，实施后美盛文化总股本由</w:t>
      </w:r>
      <w:r>
        <w:rPr>
          <w:rFonts w:ascii="Times New Roman" w:hAnsi="Times New Roman" w:cs="Times New Roman" w:eastAsia="Times New Roman" w:hint="default"/>
        </w:rPr>
        <w:t>9,350</w:t>
      </w:r>
      <w:r>
        <w:rPr/>
        <w:t>万股增至</w:t>
      </w:r>
      <w:r>
        <w:rPr>
          <w:rFonts w:ascii="Times New Roman" w:hAnsi="Times New Roman" w:cs="Times New Roman" w:eastAsia="Times New Roman" w:hint="default"/>
        </w:rPr>
        <w:t>20,570</w:t>
      </w:r>
      <w:r>
        <w:rPr/>
        <w:t>万股。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月，资本公积转增股本</w:t>
      </w:r>
    </w:p>
    <w:p>
      <w:pPr>
        <w:pStyle w:val="BodyText"/>
        <w:spacing w:line="302" w:lineRule="auto" w:before="13"/>
        <w:ind w:right="111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日，经公司</w:t>
      </w:r>
      <w:r>
        <w:rPr>
          <w:rFonts w:ascii="Times New Roman" w:hAnsi="Times New Roman" w:cs="Times New Roman" w:eastAsia="Times New Roman" w:hint="default"/>
        </w:rPr>
        <w:t>2014</w:t>
      </w:r>
      <w:r>
        <w:rPr/>
        <w:t>年度股东大会审议通过，以公司总股本</w:t>
      </w:r>
      <w:r>
        <w:rPr>
          <w:rFonts w:ascii="Times New Roman" w:hAnsi="Times New Roman" w:cs="Times New Roman" w:eastAsia="Times New Roman" w:hint="default"/>
        </w:rPr>
        <w:t>20,570</w:t>
      </w:r>
      <w:r>
        <w:rPr/>
        <w:t>万股为基数，以资本公积金向全体股东每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股转 增</w:t>
      </w:r>
      <w:r>
        <w:rPr>
          <w:spacing w:val="-18"/>
        </w:rPr>
        <w:t> </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20,570</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日实施完毕，实施后美盛文化总股本由</w:t>
      </w:r>
      <w:r>
        <w:rPr>
          <w:rFonts w:ascii="Times New Roman" w:hAnsi="Times New Roman" w:cs="Times New Roman" w:eastAsia="Times New Roman" w:hint="default"/>
        </w:rPr>
        <w:t>20,570</w:t>
      </w:r>
      <w:r>
        <w:rPr/>
        <w:t>万股增至</w:t>
      </w:r>
      <w:r>
        <w:rPr>
          <w:rFonts w:ascii="Times New Roman" w:hAnsi="Times New Roman" w:cs="Times New Roman" w:eastAsia="Times New Roman" w:hint="default"/>
        </w:rPr>
        <w:t>41,140</w:t>
      </w:r>
      <w:r>
        <w:rPr/>
        <w:t>万股。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月，非公开发行股票 </w:t>
      </w:r>
      <w:r>
        <w:rPr>
          <w:spacing w:val="-2"/>
        </w:rPr>
        <w:t>经中国证监会于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日下发《关于核准美盛文化创意股份有限公司非公开发行股票的批复》（证监许可【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1124</w:t>
      </w:r>
      <w:r>
        <w:rPr>
          <w:rFonts w:ascii="Times New Roman" w:hAnsi="Times New Roman" w:cs="Times New Roman" w:eastAsia="Times New Roman" w:hint="default"/>
          <w:spacing w:val="-7"/>
        </w:rPr>
        <w:t> </w:t>
      </w:r>
      <w:r>
        <w:rPr>
          <w:spacing w:val="-3"/>
        </w:rPr>
        <w:t>号文）核准，美盛文化非公开发行不超过</w:t>
      </w:r>
      <w:r>
        <w:rPr>
          <w:spacing w:val="-30"/>
        </w:rPr>
        <w:t> </w:t>
      </w:r>
      <w:r>
        <w:rPr>
          <w:rFonts w:ascii="Times New Roman" w:hAnsi="Times New Roman" w:cs="Times New Roman" w:eastAsia="Times New Roman" w:hint="default"/>
        </w:rPr>
        <w:t>3,460</w:t>
      </w:r>
      <w:r>
        <w:rPr/>
        <w:t>万股新股，该次发行新增</w:t>
      </w:r>
      <w:r>
        <w:rPr>
          <w:rFonts w:ascii="Times New Roman" w:hAnsi="Times New Roman" w:cs="Times New Roman" w:eastAsia="Times New Roman" w:hint="default"/>
        </w:rPr>
        <w:t>3,460</w:t>
      </w:r>
      <w:r>
        <w:rPr/>
        <w:t>万股的股份登记手续已于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日在中国 </w:t>
      </w:r>
      <w:r>
        <w:rPr>
          <w:spacing w:val="-2"/>
        </w:rPr>
        <w:t>证券登记结算有限公司深圳分公司办理完毕，并由中国证券登记结算有限公司深圳分公司出具了证券登记证明，该次非公开</w:t>
      </w:r>
      <w:r>
        <w:rPr>
          <w:spacing w:val="-64"/>
        </w:rPr>
        <w:t> </w:t>
      </w:r>
      <w:r>
        <w:rPr>
          <w:spacing w:val="-64"/>
        </w:rPr>
      </w:r>
      <w:r>
        <w:rPr/>
        <w:t>发行前公司总股本为</w:t>
      </w:r>
      <w:r>
        <w:rPr>
          <w:spacing w:val="-19"/>
        </w:rPr>
        <w:t> </w:t>
      </w:r>
      <w:r>
        <w:rPr>
          <w:rFonts w:ascii="Times New Roman" w:hAnsi="Times New Roman" w:cs="Times New Roman" w:eastAsia="Times New Roman" w:hint="default"/>
        </w:rPr>
        <w:t>41,140</w:t>
      </w:r>
      <w:r>
        <w:rPr/>
        <w:t>万股，发行后公司总股本增至</w:t>
      </w:r>
      <w:r>
        <w:rPr>
          <w:rFonts w:ascii="Times New Roman" w:hAnsi="Times New Roman" w:cs="Times New Roman" w:eastAsia="Times New Roman" w:hint="default"/>
        </w:rPr>
        <w:t>44,600</w:t>
      </w:r>
      <w:r>
        <w:rPr/>
        <w:t>万股。</w:t>
      </w:r>
    </w:p>
    <w:p>
      <w:pPr>
        <w:pStyle w:val="BodyText"/>
        <w:spacing w:line="240" w:lineRule="auto" w:before="11"/>
        <w:ind w:right="0"/>
        <w:jc w:val="left"/>
      </w:pPr>
      <w:r>
        <w:rPr/>
        <w:t>截至本报告期末，公司股权结构如下：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754"/>
        <w:gridCol w:w="3965"/>
        <w:gridCol w:w="2017"/>
        <w:gridCol w:w="1787"/>
      </w:tblGrid>
      <w:tr>
        <w:trPr>
          <w:trHeight w:val="355" w:hRule="exact"/>
        </w:trPr>
        <w:tc>
          <w:tcPr>
            <w:tcW w:w="7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9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20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持股数额（万股）</w:t>
            </w:r>
            <w:r>
              <w:rPr>
                <w:rFonts w:ascii="宋体" w:hAnsi="宋体" w:cs="宋体" w:eastAsia="宋体" w:hint="default"/>
                <w:sz w:val="18"/>
                <w:szCs w:val="18"/>
              </w:rPr>
            </w:r>
          </w:p>
        </w:tc>
        <w:tc>
          <w:tcPr>
            <w:tcW w:w="1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2" w:hRule="exact"/>
        </w:trPr>
        <w:tc>
          <w:tcPr>
            <w:tcW w:w="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w:t>
            </w:r>
          </w:p>
        </w:tc>
        <w:tc>
          <w:tcPr>
            <w:tcW w:w="3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20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19,080.60</w:t>
            </w:r>
          </w:p>
        </w:tc>
        <w:tc>
          <w:tcPr>
            <w:tcW w:w="1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42.78</w:t>
            </w:r>
          </w:p>
        </w:tc>
      </w:tr>
      <w:tr>
        <w:trPr>
          <w:trHeight w:val="353" w:hRule="exact"/>
        </w:trPr>
        <w:tc>
          <w:tcPr>
            <w:tcW w:w="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w:t>
            </w:r>
          </w:p>
        </w:tc>
        <w:tc>
          <w:tcPr>
            <w:tcW w:w="3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0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7,580.60</w:t>
            </w:r>
          </w:p>
        </w:tc>
        <w:tc>
          <w:tcPr>
            <w:tcW w:w="1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17.00</w:t>
            </w:r>
          </w:p>
        </w:tc>
      </w:tr>
      <w:tr>
        <w:trPr>
          <w:trHeight w:val="352" w:hRule="exact"/>
        </w:trPr>
        <w:tc>
          <w:tcPr>
            <w:tcW w:w="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3</w:t>
            </w:r>
          </w:p>
        </w:tc>
        <w:tc>
          <w:tcPr>
            <w:tcW w:w="3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宏盛投资</w:t>
            </w:r>
          </w:p>
        </w:tc>
        <w:tc>
          <w:tcPr>
            <w:tcW w:w="20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2,956.80</w:t>
            </w:r>
          </w:p>
        </w:tc>
        <w:tc>
          <w:tcPr>
            <w:tcW w:w="1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6.63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54"/>
        <w:gridCol w:w="3965"/>
        <w:gridCol w:w="2017"/>
        <w:gridCol w:w="1787"/>
      </w:tblGrid>
      <w:tr>
        <w:trPr>
          <w:trHeight w:val="355" w:hRule="exact"/>
        </w:trPr>
        <w:tc>
          <w:tcPr>
            <w:tcW w:w="7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39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20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14,982.00</w:t>
            </w:r>
          </w:p>
        </w:tc>
        <w:tc>
          <w:tcPr>
            <w:tcW w:w="1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33.59</w:t>
            </w:r>
          </w:p>
        </w:tc>
      </w:tr>
      <w:tr>
        <w:trPr>
          <w:trHeight w:val="352" w:hRule="exact"/>
        </w:trPr>
        <w:tc>
          <w:tcPr>
            <w:tcW w:w="4719"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left="2" w:right="0"/>
              <w:jc w:val="left"/>
              <w:rPr>
                <w:rFonts w:ascii="Times New Roman" w:hAnsi="Times New Roman" w:cs="Times New Roman" w:eastAsia="Times New Roman" w:hint="default"/>
                <w:sz w:val="18"/>
                <w:szCs w:val="18"/>
              </w:rPr>
            </w:pPr>
            <w:r>
              <w:rPr>
                <w:rFonts w:ascii="Times New Roman"/>
                <w:b/>
                <w:sz w:val="18"/>
              </w:rPr>
              <w:t>44,600.00</w:t>
            </w:r>
            <w:r>
              <w:rPr>
                <w:rFonts w:ascii="Times New Roman"/>
                <w:sz w:val="18"/>
              </w:rPr>
            </w:r>
          </w:p>
        </w:tc>
        <w:tc>
          <w:tcPr>
            <w:tcW w:w="1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left="2"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5"/>
        <w:ind w:left="154"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20,568</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21,753</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美盛控股集团有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42.78%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190,806,0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95,403,0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190,806,0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145,410,000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17.00%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75,806,00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49,703,0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75,184,00</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新昌县宏盛投资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29,568,00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14,784,0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29,568,00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杭州比因美特卡 通影视有限公司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9"/>
              <w:jc w:val="left"/>
              <w:rPr>
                <w:rFonts w:ascii="Times New Roman" w:hAnsi="Times New Roman" w:cs="Times New Roman" w:eastAsia="Times New Roman" w:hint="default"/>
                <w:sz w:val="18"/>
                <w:szCs w:val="18"/>
              </w:rPr>
            </w:pPr>
            <w:r>
              <w:rPr>
                <w:rFonts w:ascii="Times New Roman"/>
                <w:sz w:val="18"/>
              </w:rPr>
              <w:t>9,000,000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份有限公司－中 邮核心成长混合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零九组合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4,235,008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4,235,008</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4,235,008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一六组合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3,715,617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3,715,617</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3,715,617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中信银行股份有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0.73%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3,262,582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3,262,582</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3,262,582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both"/>
              <w:rPr>
                <w:rFonts w:ascii="宋体" w:hAnsi="宋体" w:cs="宋体" w:eastAsia="宋体" w:hint="default"/>
                <w:sz w:val="18"/>
                <w:szCs w:val="18"/>
              </w:rPr>
            </w:pPr>
            <w:r>
              <w:rPr>
                <w:rFonts w:ascii="宋体" w:hAnsi="宋体" w:cs="宋体" w:eastAsia="宋体" w:hint="default"/>
                <w:sz w:val="18"/>
                <w:szCs w:val="18"/>
              </w:rPr>
              <w:t>限公司－中银智 能制造股票型证 券投资基金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2,451,200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2,451,200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2,338,400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易方达价值成长 混合型证券投资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2,394,829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2,394,829</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2,394,829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赵小强为美盛控股集团有限公司和新昌县宏盛投资有限公司的实际控制人，未知其他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股东是否有关联关系。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190,806,000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190,806,000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29,568,000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29,568,000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中国农业银行股份有限公司－中邮 核心成长混合型证券投资基金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4,235,008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4,235,008</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3,715,617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3,715,617</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中信银行股份有限公司－中银智能 制造股票型证券投资基金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3,262,582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3,262,582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中国工商银行－易方达价值成长混 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2,394,829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2,394,829</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汇添富基金－建设银行－中国人寿</w:t>
            </w:r>
          </w:p>
          <w:p>
            <w:pPr>
              <w:pStyle w:val="TableParagraph"/>
              <w:spacing w:line="319" w:lineRule="auto" w:before="75"/>
              <w:ind w:left="22" w:right="147"/>
              <w:jc w:val="left"/>
              <w:rPr>
                <w:rFonts w:ascii="宋体" w:hAnsi="宋体" w:cs="宋体" w:eastAsia="宋体" w:hint="default"/>
                <w:sz w:val="18"/>
                <w:szCs w:val="18"/>
              </w:rPr>
            </w:pPr>
            <w:r>
              <w:rPr>
                <w:rFonts w:ascii="宋体" w:hAnsi="宋体" w:cs="宋体" w:eastAsia="宋体" w:hint="default"/>
                <w:sz w:val="18"/>
                <w:szCs w:val="18"/>
              </w:rPr>
              <w:t>－中国人寿委托汇添富基金公司股 票型组合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2,360,790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2,360,790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交通银行－华安宝利配置证券投资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2,280,768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2,280,768</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 中小盘精选混合型证券投资基金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 w:right="21"/>
              <w:jc w:val="left"/>
              <w:rPr>
                <w:rFonts w:ascii="宋体" w:hAnsi="宋体" w:cs="宋体" w:eastAsia="宋体" w:hint="default"/>
                <w:sz w:val="18"/>
                <w:szCs w:val="18"/>
              </w:rPr>
            </w:pPr>
            <w:r>
              <w:rPr>
                <w:rFonts w:ascii="宋体" w:hAnsi="宋体" w:cs="宋体" w:eastAsia="宋体" w:hint="default"/>
                <w:spacing w:val="-1"/>
                <w:sz w:val="18"/>
                <w:szCs w:val="18"/>
              </w:rPr>
              <w:t>赵小强为美盛控股集团有限公司和新昌县宏盛投资有限公司的实际控制人，未知其他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股东是否有关联关系。</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668325905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实业投资、投资管理、 投资咨询。</w:t>
            </w:r>
          </w:p>
        </w:tc>
      </w:tr>
    </w:tbl>
    <w:p>
      <w:pPr>
        <w:pStyle w:val="BodyText"/>
        <w:spacing w:line="240" w:lineRule="auto" w:before="68"/>
        <w:ind w:left="154" w:right="0"/>
        <w:jc w:val="left"/>
      </w:pPr>
      <w:r>
        <w:rPr/>
        <w:t>控股股东报告期内变更</w:t>
      </w:r>
    </w:p>
    <w:p>
      <w:pPr>
        <w:pStyle w:val="BodyText"/>
        <w:spacing w:line="357" w:lineRule="auto" w:before="117"/>
        <w:ind w:left="154" w:right="8052"/>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详见第八节 董事、监事、高级管理人员和员工情况之任职情况。</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57" w:lineRule="auto" w:before="117"/>
        <w:ind w:left="154" w:right="6792"/>
        <w:jc w:val="left"/>
      </w:pPr>
      <w:r>
        <w:rPr/>
        <w:t>□ 适用 √ 不适用 公司报告期实际控制人未发生变更。 公司与实际控制人之间的产权及控制关系的方框图</w:t>
      </w:r>
    </w:p>
    <w:p>
      <w:pPr>
        <w:spacing w:line="240" w:lineRule="auto" w:before="5"/>
        <w:rPr>
          <w:rFonts w:ascii="宋体" w:hAnsi="宋体" w:cs="宋体" w:eastAsia="宋体" w:hint="default"/>
          <w:sz w:val="24"/>
          <w:szCs w:val="24"/>
        </w:rPr>
      </w:pPr>
    </w:p>
    <w:p>
      <w:pPr>
        <w:spacing w:line="2532" w:lineRule="exact"/>
        <w:ind w:left="2562"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3076059" cy="1608201"/>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8" cstate="print"/>
                    <a:stretch>
                      <a:fillRect/>
                    </a:stretch>
                  </pic:blipFill>
                  <pic:spPr>
                    <a:xfrm>
                      <a:off x="0" y="0"/>
                      <a:ext cx="3076059" cy="1608201"/>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8"/>
        <w:rPr>
          <w:rFonts w:ascii="宋体" w:hAnsi="宋体" w:cs="宋体" w:eastAsia="宋体" w:hint="default"/>
          <w:sz w:val="20"/>
          <w:szCs w:val="20"/>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5"/>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日非公开发行</w:t>
      </w:r>
      <w:r>
        <w:rPr>
          <w:rFonts w:ascii="Times New Roman" w:hAnsi="Times New Roman" w:cs="Times New Roman" w:eastAsia="Times New Roman" w:hint="default"/>
        </w:rPr>
        <w:t>3,460.00</w:t>
      </w:r>
      <w:r>
        <w:rPr/>
        <w:t>万股人民币普通股股份的发行情况如下：</w:t>
      </w:r>
    </w:p>
    <w:p>
      <w:pPr>
        <w:pStyle w:val="BodyText"/>
        <w:spacing w:line="240" w:lineRule="auto" w:before="63"/>
        <w:ind w:left="513" w:right="0"/>
        <w:jc w:val="left"/>
      </w:pPr>
      <w:r>
        <w:rPr>
          <w:rFonts w:ascii="Times New Roman" w:hAnsi="Times New Roman" w:cs="Times New Roman" w:eastAsia="Times New Roman" w:hint="default"/>
        </w:rPr>
        <w:t>1</w:t>
      </w:r>
      <w:r>
        <w:rPr/>
        <w:t>、发行股票的类型及面值：人民币普通股，每股面值</w:t>
      </w:r>
      <w:r>
        <w:rPr>
          <w:rFonts w:ascii="Times New Roman" w:hAnsi="Times New Roman" w:cs="Times New Roman" w:eastAsia="Times New Roman" w:hint="default"/>
        </w:rPr>
        <w:t>1</w:t>
      </w:r>
      <w:r>
        <w:rPr/>
        <w:t>元</w:t>
      </w:r>
    </w:p>
    <w:p>
      <w:pPr>
        <w:pStyle w:val="BodyText"/>
        <w:spacing w:line="240" w:lineRule="auto" w:before="63"/>
        <w:ind w:left="514" w:right="0"/>
        <w:jc w:val="left"/>
      </w:pPr>
      <w:r>
        <w:rPr>
          <w:rFonts w:ascii="Times New Roman" w:hAnsi="Times New Roman" w:cs="Times New Roman" w:eastAsia="Times New Roman" w:hint="default"/>
        </w:rPr>
        <w:t>2</w:t>
      </w:r>
      <w:r>
        <w:rPr/>
        <w:t>、发行数量：</w:t>
      </w:r>
      <w:r>
        <w:rPr>
          <w:rFonts w:ascii="Times New Roman" w:hAnsi="Times New Roman" w:cs="Times New Roman" w:eastAsia="Times New Roman" w:hint="default"/>
        </w:rPr>
        <w:t>3,460.00</w:t>
      </w:r>
      <w:r>
        <w:rPr/>
        <w:t>万股</w:t>
      </w:r>
    </w:p>
    <w:p>
      <w:pPr>
        <w:pStyle w:val="BodyText"/>
        <w:spacing w:line="240" w:lineRule="auto" w:before="63"/>
        <w:ind w:left="514" w:right="0"/>
        <w:jc w:val="left"/>
      </w:pPr>
      <w:r>
        <w:rPr>
          <w:rFonts w:ascii="Times New Roman" w:hAnsi="Times New Roman" w:cs="Times New Roman" w:eastAsia="Times New Roman" w:hint="default"/>
        </w:rPr>
        <w:t>3</w:t>
      </w:r>
      <w:r>
        <w:rPr/>
        <w:t>、发行对象：</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4957"/>
        <w:gridCol w:w="2069"/>
      </w:tblGrid>
      <w:tr>
        <w:trPr>
          <w:trHeight w:val="668" w:hRule="exact"/>
        </w:trPr>
        <w:tc>
          <w:tcPr>
            <w:tcW w:w="49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b/>
                <w:bCs/>
                <w:sz w:val="18"/>
                <w:szCs w:val="18"/>
              </w:rPr>
              <w:t>发行对象</w:t>
            </w:r>
            <w:r>
              <w:rPr>
                <w:rFonts w:ascii="宋体" w:hAnsi="宋体" w:cs="宋体" w:eastAsia="宋体" w:hint="default"/>
                <w:sz w:val="18"/>
                <w:szCs w:val="18"/>
              </w:rPr>
            </w:r>
          </w:p>
        </w:tc>
        <w:tc>
          <w:tcPr>
            <w:tcW w:w="206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left="652" w:right="0"/>
              <w:jc w:val="left"/>
              <w:rPr>
                <w:rFonts w:ascii="宋体" w:hAnsi="宋体" w:cs="宋体" w:eastAsia="宋体" w:hint="default"/>
                <w:sz w:val="18"/>
                <w:szCs w:val="18"/>
              </w:rPr>
            </w:pPr>
            <w:r>
              <w:rPr>
                <w:rFonts w:ascii="宋体" w:hAnsi="宋体" w:cs="宋体" w:eastAsia="宋体" w:hint="default"/>
                <w:b/>
                <w:bCs/>
                <w:sz w:val="18"/>
                <w:szCs w:val="18"/>
              </w:rPr>
              <w:t>配售数量</w:t>
            </w:r>
            <w:r>
              <w:rPr>
                <w:rFonts w:ascii="宋体" w:hAnsi="宋体" w:cs="宋体" w:eastAsia="宋体" w:hint="default"/>
                <w:sz w:val="18"/>
                <w:szCs w:val="18"/>
              </w:rPr>
            </w:r>
          </w:p>
          <w:p>
            <w:pPr>
              <w:pStyle w:val="TableParagraph"/>
              <w:spacing w:line="240" w:lineRule="auto" w:before="76"/>
              <w:ind w:left="652" w:right="0"/>
              <w:jc w:val="left"/>
              <w:rPr>
                <w:rFonts w:ascii="宋体" w:hAnsi="宋体" w:cs="宋体" w:eastAsia="宋体" w:hint="default"/>
                <w:sz w:val="18"/>
                <w:szCs w:val="18"/>
              </w:rPr>
            </w:pPr>
            <w:r>
              <w:rPr>
                <w:rFonts w:ascii="宋体" w:hAnsi="宋体" w:cs="宋体" w:eastAsia="宋体" w:hint="default"/>
                <w:b/>
                <w:bCs/>
                <w:sz w:val="18"/>
                <w:szCs w:val="18"/>
              </w:rPr>
              <w:t>（万股）</w:t>
            </w:r>
            <w:r>
              <w:rPr>
                <w:rFonts w:ascii="宋体" w:hAnsi="宋体" w:cs="宋体" w:eastAsia="宋体" w:hint="default"/>
                <w:sz w:val="18"/>
                <w:szCs w:val="18"/>
              </w:rPr>
            </w:r>
          </w:p>
        </w:tc>
      </w:tr>
      <w:tr>
        <w:trPr>
          <w:trHeight w:val="352" w:hRule="exact"/>
        </w:trPr>
        <w:tc>
          <w:tcPr>
            <w:tcW w:w="495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2,360.00</w:t>
            </w:r>
          </w:p>
        </w:tc>
      </w:tr>
      <w:tr>
        <w:trPr>
          <w:trHeight w:val="352" w:hRule="exact"/>
        </w:trPr>
        <w:tc>
          <w:tcPr>
            <w:tcW w:w="495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200.00</w:t>
            </w:r>
          </w:p>
        </w:tc>
      </w:tr>
      <w:tr>
        <w:trPr>
          <w:trHeight w:val="353" w:hRule="exact"/>
        </w:trPr>
        <w:tc>
          <w:tcPr>
            <w:tcW w:w="495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杭州比因美特卡通影视有限公司</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900.00</w:t>
            </w:r>
          </w:p>
        </w:tc>
      </w:tr>
      <w:tr>
        <w:trPr>
          <w:trHeight w:val="352" w:hRule="exact"/>
        </w:trPr>
        <w:tc>
          <w:tcPr>
            <w:tcW w:w="495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b/>
                <w:sz w:val="18"/>
              </w:rPr>
              <w:t>3,460.00</w:t>
            </w:r>
            <w:r>
              <w:rPr>
                <w:rFonts w:ascii="Times New Roman"/>
                <w:sz w:val="18"/>
              </w:rPr>
            </w:r>
          </w:p>
        </w:tc>
      </w:tr>
    </w:tbl>
    <w:p>
      <w:pPr>
        <w:spacing w:line="240" w:lineRule="auto" w:before="3"/>
        <w:rPr>
          <w:rFonts w:ascii="宋体" w:hAnsi="宋体" w:cs="宋体" w:eastAsia="宋体" w:hint="default"/>
          <w:sz w:val="21"/>
          <w:szCs w:val="21"/>
        </w:rPr>
      </w:pPr>
    </w:p>
    <w:p>
      <w:pPr>
        <w:pStyle w:val="BodyText"/>
        <w:spacing w:line="300" w:lineRule="auto" w:before="44"/>
        <w:ind w:left="154" w:right="1035" w:firstLine="373"/>
        <w:jc w:val="left"/>
      </w:pPr>
      <w:r>
        <w:rPr>
          <w:rFonts w:ascii="Times New Roman" w:hAnsi="Times New Roman" w:cs="Times New Roman" w:eastAsia="Times New Roman" w:hint="default"/>
          <w:spacing w:val="-3"/>
        </w:rPr>
        <w:t>4</w:t>
      </w:r>
      <w:r>
        <w:rPr>
          <w:spacing w:val="-3"/>
        </w:rPr>
        <w:t>、发行对象：</w:t>
      </w:r>
      <w:r>
        <w:rPr>
          <w:spacing w:val="7"/>
        </w:rPr>
        <w:t> </w:t>
      </w:r>
      <w:r>
        <w:rPr>
          <w:spacing w:val="-2"/>
        </w:rPr>
        <w:t>锁定期安排：本次发行的</w:t>
      </w:r>
      <w:r>
        <w:rPr>
          <w:rFonts w:ascii="Times New Roman" w:hAnsi="Times New Roman" w:cs="Times New Roman" w:eastAsia="Times New Roman" w:hint="default"/>
          <w:spacing w:val="-2"/>
        </w:rPr>
        <w:t>3</w:t>
      </w:r>
      <w:r>
        <w:rPr>
          <w:spacing w:val="-2"/>
        </w:rPr>
        <w:t>家认购对象</w:t>
      </w:r>
      <w:r>
        <w:rPr>
          <w:rFonts w:ascii="Times New Roman" w:hAnsi="Times New Roman" w:cs="Times New Roman" w:eastAsia="Times New Roman" w:hint="default"/>
          <w:spacing w:val="-2"/>
        </w:rPr>
        <w:t>——</w:t>
      </w:r>
      <w:r>
        <w:rPr>
          <w:spacing w:val="-2"/>
        </w:rPr>
        <w:t>赵小强、郭瑞、杭州比因美特卡通影视有限公司认购的股票，</w:t>
      </w:r>
      <w:r>
        <w:rPr/>
        <w:t> 自本次非公开发行新增股份上市首日起，三十六个月内不得上市交易或转让。</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75,806,00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2,451,200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2,451,200</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26,051,20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26,103,00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78,257,20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316" w:lineRule="auto" w:before="115"/>
        <w:ind w:left="444" w:right="1122" w:firstLine="18"/>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（一）现任董事的专业背景、主要工作经历以及目前在公司的主要职责</w:t>
      </w:r>
      <w:r>
        <w:rPr>
          <w:rFonts w:ascii="宋体" w:hAnsi="宋体" w:cs="宋体" w:eastAsia="宋体" w:hint="default"/>
          <w:b/>
          <w:bCs/>
          <w:w w:val="99"/>
          <w:sz w:val="18"/>
          <w:szCs w:val="18"/>
        </w:rPr>
        <w:t> </w:t>
      </w:r>
      <w:r>
        <w:rPr>
          <w:rFonts w:ascii="宋体" w:hAnsi="宋体" w:cs="宋体" w:eastAsia="宋体" w:hint="default"/>
          <w:sz w:val="18"/>
          <w:szCs w:val="18"/>
        </w:rPr>
        <w:t>赵小强先生，</w:t>
      </w:r>
      <w:r>
        <w:rPr>
          <w:rFonts w:ascii="Times New Roman" w:hAnsi="Times New Roman" w:cs="Times New Roman" w:eastAsia="Times New Roman" w:hint="default"/>
          <w:sz w:val="18"/>
          <w:szCs w:val="18"/>
        </w:rPr>
        <w:t>1967</w:t>
      </w:r>
      <w:r>
        <w:rPr>
          <w:rFonts w:ascii="宋体" w:hAnsi="宋体" w:cs="宋体" w:eastAsia="宋体" w:hint="default"/>
          <w:sz w:val="18"/>
          <w:szCs w:val="18"/>
        </w:rPr>
        <w:t>年出生，中国国籍，无永久境外居留权。浙江大学</w:t>
      </w:r>
      <w:r>
        <w:rPr>
          <w:rFonts w:ascii="Times New Roman" w:hAnsi="Times New Roman" w:cs="Times New Roman" w:eastAsia="Times New Roman" w:hint="default"/>
          <w:sz w:val="18"/>
          <w:szCs w:val="18"/>
        </w:rPr>
        <w:t>EMBA</w:t>
      </w:r>
      <w:r>
        <w:rPr>
          <w:rFonts w:ascii="宋体" w:hAnsi="宋体" w:cs="宋体" w:eastAsia="宋体" w:hint="default"/>
          <w:sz w:val="18"/>
          <w:szCs w:val="18"/>
        </w:rPr>
        <w:t>，绍兴市第七届人大代表。赵小强先生</w:t>
      </w:r>
      <w:r>
        <w:rPr>
          <w:rFonts w:ascii="Times New Roman" w:hAnsi="Times New Roman" w:cs="Times New Roman" w:eastAsia="Times New Roman" w:hint="default"/>
          <w:sz w:val="18"/>
          <w:szCs w:val="18"/>
        </w:rPr>
        <w:t>1988</w:t>
      </w:r>
    </w:p>
    <w:p>
      <w:pPr>
        <w:pStyle w:val="BodyText"/>
        <w:spacing w:line="316" w:lineRule="auto"/>
        <w:ind w:right="1131"/>
        <w:jc w:val="both"/>
      </w:pPr>
      <w:r>
        <w:rPr>
          <w:spacing w:val="-2"/>
        </w:rPr>
        <w:t>年开始个人创业；先后创办新昌县通利针织制衣厂、新昌泰盛织造有限公司、新昌美盛饰品有限公司、新昌县万盛进出口有</w:t>
      </w:r>
      <w:r>
        <w:rPr>
          <w:spacing w:val="-66"/>
        </w:rPr>
        <w:t> </w:t>
      </w:r>
      <w:r>
        <w:rPr>
          <w:spacing w:val="-66"/>
        </w:rPr>
      </w:r>
      <w:r>
        <w:rPr>
          <w:spacing w:val="-2"/>
        </w:rPr>
        <w:t>限公司、新昌美源工艺有限公司、浙江莱盛实业有限公司。赵小强先生曾被评为浙江省中小企业优秀企业家，是公司的主要</w:t>
      </w:r>
      <w:r>
        <w:rPr>
          <w:spacing w:val="-66"/>
        </w:rPr>
        <w:t> </w:t>
      </w:r>
      <w:r>
        <w:rPr>
          <w:spacing w:val="-66"/>
        </w:rPr>
      </w:r>
      <w:r>
        <w:rPr/>
        <w:t>创立者之一、实际控制人，现任公司董事长。</w:t>
      </w:r>
    </w:p>
    <w:p>
      <w:pPr>
        <w:pStyle w:val="BodyText"/>
        <w:spacing w:line="300" w:lineRule="auto" w:before="19"/>
        <w:ind w:left="154" w:right="1118" w:firstLine="290"/>
        <w:jc w:val="left"/>
      </w:pPr>
      <w:r>
        <w:rPr/>
        <w:t>石炜萍女士，</w:t>
      </w:r>
      <w:r>
        <w:rPr>
          <w:rFonts w:ascii="Times New Roman" w:hAnsi="Times New Roman" w:cs="Times New Roman" w:eastAsia="Times New Roman" w:hint="default"/>
        </w:rPr>
        <w:t>1973</w:t>
      </w:r>
      <w:r>
        <w:rPr/>
        <w:t>年出生，中国国籍，无永久境外居留权，为公司主要创立者之一。石炜萍女士系赵小强先生之配偶， 现任公司董事。</w:t>
      </w:r>
    </w:p>
    <w:p>
      <w:pPr>
        <w:pStyle w:val="BodyText"/>
        <w:spacing w:line="300" w:lineRule="auto" w:before="31"/>
        <w:ind w:left="154" w:right="0" w:firstLine="290"/>
        <w:jc w:val="left"/>
      </w:pPr>
      <w:r>
        <w:rPr>
          <w:spacing w:val="-1"/>
        </w:rPr>
        <w:t>郭瑞先生，</w:t>
      </w:r>
      <w:r>
        <w:rPr>
          <w:rFonts w:ascii="Times New Roman" w:hAnsi="Times New Roman" w:cs="Times New Roman" w:eastAsia="Times New Roman" w:hint="default"/>
          <w:spacing w:val="-1"/>
        </w:rPr>
        <w:t>1979</w:t>
      </w:r>
      <w:r>
        <w:rPr>
          <w:spacing w:val="-1"/>
        </w:rPr>
        <w:t>年出生，中国国籍，无永久境外居留权。本科学历，毕业于上海交通大学国际金融专业。曾任职于上海</w:t>
      </w:r>
      <w:r>
        <w:rPr/>
        <w:t> 微创软件有限公司、明基逐鹿软件（苏州）有限公司、浙江新和成股份有限公司。现任公司董事、总经理、董事会秘书。</w:t>
      </w:r>
    </w:p>
    <w:p>
      <w:pPr>
        <w:pStyle w:val="BodyText"/>
        <w:spacing w:line="300" w:lineRule="auto" w:before="31"/>
        <w:ind w:left="154" w:right="0" w:firstLine="290"/>
        <w:jc w:val="left"/>
      </w:pPr>
      <w:r>
        <w:rPr>
          <w:spacing w:val="-1"/>
        </w:rPr>
        <w:t>袁贤苗先生，</w:t>
      </w:r>
      <w:r>
        <w:rPr>
          <w:rFonts w:ascii="Times New Roman" w:hAnsi="Times New Roman" w:cs="Times New Roman" w:eastAsia="Times New Roman" w:hint="default"/>
          <w:spacing w:val="-1"/>
        </w:rPr>
        <w:t>1965</w:t>
      </w:r>
      <w:r>
        <w:rPr>
          <w:spacing w:val="-1"/>
        </w:rPr>
        <w:t>年出生，中国国籍，无永久境外居留权。大专学历。曾任职于新昌丝绸服装股份有限公司。现任公司</w:t>
      </w:r>
      <w:r>
        <w:rPr/>
        <w:t> 董事、副总经理。</w:t>
      </w:r>
    </w:p>
    <w:p>
      <w:pPr>
        <w:pStyle w:val="BodyText"/>
        <w:spacing w:line="309" w:lineRule="auto" w:before="31"/>
        <w:ind w:left="154" w:right="1133" w:firstLine="290"/>
        <w:jc w:val="both"/>
      </w:pPr>
      <w:r>
        <w:rPr>
          <w:spacing w:val="-1"/>
        </w:rPr>
        <w:t>胡小平先生，</w:t>
      </w:r>
      <w:r>
        <w:rPr>
          <w:rFonts w:ascii="Times New Roman" w:hAnsi="Times New Roman" w:cs="Times New Roman" w:eastAsia="Times New Roman" w:hint="default"/>
          <w:spacing w:val="-1"/>
        </w:rPr>
        <w:t>1962</w:t>
      </w:r>
      <w:r>
        <w:rPr>
          <w:spacing w:val="-1"/>
        </w:rPr>
        <w:t>年出生，中国国籍，无永久境外居留权。浙江大学经济系硕士研究生，高级国际商务师。历任杭州师</w:t>
      </w:r>
      <w:r>
        <w:rPr/>
        <w:t> </w:t>
      </w:r>
      <w:r>
        <w:rPr>
          <w:spacing w:val="-2"/>
        </w:rPr>
        <w:t>范大学讲师，浙江中大集团股份有限公司企管部主管，浙江中大期货经纪有限公司总经理。现任浙江物产中大元通集团股份</w:t>
      </w:r>
      <w:r>
        <w:rPr>
          <w:spacing w:val="-66"/>
        </w:rPr>
        <w:t> </w:t>
      </w:r>
      <w:r>
        <w:rPr>
          <w:spacing w:val="-66"/>
        </w:rPr>
      </w:r>
      <w:r>
        <w:rPr/>
        <w:t>有限公司副总经理，浙江中大元通汽车云服务有限公司董事长，三维通信股份有限公司独立董事。现任公司独立董事。</w:t>
      </w:r>
    </w:p>
    <w:p>
      <w:pPr>
        <w:pStyle w:val="BodyText"/>
        <w:spacing w:line="300" w:lineRule="auto" w:before="24"/>
        <w:ind w:right="1033" w:firstLine="290"/>
        <w:jc w:val="left"/>
      </w:pPr>
      <w:r>
        <w:rPr>
          <w:spacing w:val="-2"/>
        </w:rPr>
        <w:t>舒敏先生，</w:t>
      </w:r>
      <w:r>
        <w:rPr>
          <w:rFonts w:ascii="Times New Roman" w:hAnsi="Times New Roman" w:cs="Times New Roman" w:eastAsia="Times New Roman" w:hint="default"/>
          <w:spacing w:val="-2"/>
        </w:rPr>
        <w:t>1962</w:t>
      </w:r>
      <w:r>
        <w:rPr>
          <w:spacing w:val="-2"/>
        </w:rPr>
        <w:t>年出生，中国国籍，民盟盟员，无永久境外居留权。中南财经大学硕士学历，中国注册会计师，副教授。</w:t>
      </w:r>
      <w:r>
        <w:rPr/>
        <w:t> </w:t>
      </w:r>
      <w:r>
        <w:rPr>
          <w:rFonts w:ascii="Times New Roman" w:hAnsi="Times New Roman" w:cs="Times New Roman" w:eastAsia="Times New Roman" w:hint="default"/>
          <w:spacing w:val="-5"/>
        </w:rPr>
        <w:t>1983</w:t>
      </w:r>
      <w:r>
        <w:rPr>
          <w:spacing w:val="-5"/>
        </w:rPr>
        <w:t>年毕业于江西财经学院（现江西财经大学）会计系，获学士学位；</w:t>
      </w:r>
      <w:r>
        <w:rPr>
          <w:rFonts w:ascii="Times New Roman" w:hAnsi="Times New Roman" w:cs="Times New Roman" w:eastAsia="Times New Roman" w:hint="default"/>
          <w:spacing w:val="-5"/>
        </w:rPr>
        <w:t>1991</w:t>
      </w:r>
      <w:r>
        <w:rPr>
          <w:spacing w:val="-5"/>
        </w:rPr>
        <w:t>年结业于中南财经大学会计系，获硕士学位。</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4"/>
        </w:rPr>
        <w:t> </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月就职于江西财经学院，曾任会计系（现会计学院）财务管理教研室主任、会计系副主任、会计专业硕士研</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444" w:right="1102" w:hanging="291"/>
        <w:jc w:val="left"/>
      </w:pPr>
      <w:r>
        <w:rPr/>
        <w:t>究生导师。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月至今在浙江财经学院任教。现任公司独立董事。 傅争光先生，</w:t>
      </w:r>
      <w:r>
        <w:rPr>
          <w:rFonts w:ascii="Times New Roman" w:hAnsi="Times New Roman" w:cs="Times New Roman" w:eastAsia="Times New Roman" w:hint="default"/>
        </w:rPr>
        <w:t>1966</w:t>
      </w:r>
      <w:r>
        <w:rPr/>
        <w:t>年出生，中国国籍，无永久境外居留权。上海交通大学学士学位。曾担任上海有线电视台信息频道、</w:t>
      </w:r>
    </w:p>
    <w:p>
      <w:pPr>
        <w:pStyle w:val="BodyText"/>
        <w:spacing w:line="319" w:lineRule="auto" w:before="13"/>
        <w:ind w:left="154" w:right="1131"/>
        <w:jc w:val="both"/>
      </w:pPr>
      <w:r>
        <w:rPr>
          <w:spacing w:val="-2"/>
        </w:rPr>
        <w:t>财经频道制片人、责任编辑、财经记者；上海有线电视台总编室节目购销管理主管；上海文广新闻传媒集团影视剧中心制作</w:t>
      </w:r>
      <w:r>
        <w:rPr>
          <w:spacing w:val="-66"/>
        </w:rPr>
        <w:t> </w:t>
      </w:r>
      <w:r>
        <w:rPr>
          <w:spacing w:val="-66"/>
        </w:rPr>
      </w:r>
      <w:r>
        <w:rPr>
          <w:spacing w:val="-2"/>
        </w:rPr>
        <w:t>部、上海录像影视公司市场发展经理；上海畅想音像版权服务有限公司董事总经理；上海东方之星文化发展有限公司常务副</w:t>
      </w:r>
      <w:r>
        <w:rPr>
          <w:spacing w:val="-66"/>
        </w:rPr>
        <w:t> </w:t>
      </w:r>
      <w:r>
        <w:rPr>
          <w:spacing w:val="-66"/>
        </w:rPr>
      </w:r>
      <w:r>
        <w:rPr/>
        <w:t>总经理。现任上海广电影视制作有限公司副总经理。现任公司独立董事。</w:t>
      </w:r>
    </w:p>
    <w:p>
      <w:pPr>
        <w:spacing w:line="316" w:lineRule="auto" w:before="17"/>
        <w:ind w:left="444" w:right="0" w:hanging="59"/>
        <w:jc w:val="left"/>
        <w:rPr>
          <w:rFonts w:ascii="宋体" w:hAnsi="宋体" w:cs="宋体" w:eastAsia="宋体" w:hint="default"/>
          <w:sz w:val="18"/>
          <w:szCs w:val="18"/>
        </w:rPr>
      </w:pPr>
      <w:r>
        <w:rPr>
          <w:rFonts w:ascii="宋体" w:hAnsi="宋体" w:cs="宋体" w:eastAsia="宋体" w:hint="default"/>
          <w:b/>
          <w:bCs/>
          <w:sz w:val="18"/>
          <w:szCs w:val="18"/>
        </w:rPr>
        <w:t>（二）现任监事的专业背景、主要工作经历以及目前在公司的主要职责</w:t>
      </w:r>
      <w:r>
        <w:rPr>
          <w:rFonts w:ascii="宋体" w:hAnsi="宋体" w:cs="宋体" w:eastAsia="宋体" w:hint="default"/>
          <w:b/>
          <w:bCs/>
          <w:w w:val="99"/>
          <w:sz w:val="18"/>
          <w:szCs w:val="18"/>
        </w:rPr>
        <w:t> </w:t>
      </w:r>
      <w:r>
        <w:rPr>
          <w:rFonts w:ascii="宋体" w:hAnsi="宋体" w:cs="宋体" w:eastAsia="宋体" w:hint="default"/>
          <w:spacing w:val="-1"/>
          <w:sz w:val="18"/>
          <w:szCs w:val="18"/>
        </w:rPr>
        <w:t>赵风云女士，</w:t>
      </w:r>
      <w:r>
        <w:rPr>
          <w:rFonts w:ascii="Times New Roman" w:hAnsi="Times New Roman" w:cs="Times New Roman" w:eastAsia="Times New Roman" w:hint="default"/>
          <w:spacing w:val="-1"/>
          <w:sz w:val="18"/>
          <w:szCs w:val="18"/>
        </w:rPr>
        <w:t>1980</w:t>
      </w:r>
      <w:r>
        <w:rPr>
          <w:rFonts w:ascii="宋体" w:hAnsi="宋体" w:cs="宋体" w:eastAsia="宋体" w:hint="default"/>
          <w:spacing w:val="-1"/>
          <w:sz w:val="18"/>
          <w:szCs w:val="18"/>
        </w:rPr>
        <w:t>年出生，中国国籍，无永久境外居留权。本科学历，毕业于青岛科技大学英语专业。先后任职于东莞</w:t>
      </w:r>
    </w:p>
    <w:p>
      <w:pPr>
        <w:pStyle w:val="BodyText"/>
        <w:spacing w:line="316" w:lineRule="auto"/>
        <w:ind w:left="444" w:right="1032" w:hanging="291"/>
        <w:jc w:val="left"/>
      </w:pPr>
      <w:r>
        <w:rPr/>
        <w:t>晨光印刷有限公司、迪华商贸有限公司。现任公司监事、行政经理。 </w:t>
      </w:r>
      <w:r>
        <w:rPr>
          <w:spacing w:val="-2"/>
        </w:rPr>
        <w:t>丁秀萍女士，</w:t>
      </w:r>
      <w:r>
        <w:rPr>
          <w:rFonts w:ascii="Times New Roman" w:hAnsi="Times New Roman" w:cs="Times New Roman" w:eastAsia="Times New Roman" w:hint="default"/>
          <w:spacing w:val="-2"/>
        </w:rPr>
        <w:t>1979</w:t>
      </w:r>
      <w:r>
        <w:rPr>
          <w:spacing w:val="-2"/>
        </w:rPr>
        <w:t>年出生，中国国籍，无永久境外居留权，大专学历。曾任职于浙江莎美针织有限公司。现任公司监事、</w:t>
      </w:r>
    </w:p>
    <w:p>
      <w:pPr>
        <w:pStyle w:val="BodyText"/>
        <w:spacing w:line="316" w:lineRule="auto"/>
        <w:ind w:left="444" w:right="2182" w:hanging="291"/>
        <w:jc w:val="left"/>
      </w:pPr>
      <w:r>
        <w:rPr/>
        <w:t>生产部经理。 李学文先生，</w:t>
      </w:r>
      <w:r>
        <w:rPr>
          <w:rFonts w:ascii="Times New Roman" w:hAnsi="Times New Roman" w:cs="Times New Roman" w:eastAsia="Times New Roman" w:hint="default"/>
        </w:rPr>
        <w:t>1961</w:t>
      </w:r>
      <w:r>
        <w:rPr/>
        <w:t>年出生，中国国籍，无永久境外居留权，高中学历。现任公司监事、荣盛文化董事长。</w:t>
      </w:r>
    </w:p>
    <w:p>
      <w:pPr>
        <w:spacing w:line="307" w:lineRule="auto" w:before="0"/>
        <w:ind w:left="444" w:right="1118" w:hanging="59"/>
        <w:jc w:val="left"/>
        <w:rPr>
          <w:rFonts w:ascii="宋体" w:hAnsi="宋体" w:cs="宋体" w:eastAsia="宋体" w:hint="default"/>
          <w:sz w:val="18"/>
          <w:szCs w:val="18"/>
        </w:rPr>
      </w:pPr>
      <w:r>
        <w:rPr>
          <w:rFonts w:ascii="宋体" w:hAnsi="宋体" w:cs="宋体" w:eastAsia="宋体" w:hint="default"/>
          <w:b/>
          <w:bCs/>
          <w:sz w:val="18"/>
          <w:szCs w:val="18"/>
        </w:rPr>
        <w:t>（三）现任高级管理人员的专业背景、主要工作经历以及目前在公司的主要职责</w:t>
      </w:r>
      <w:r>
        <w:rPr>
          <w:rFonts w:ascii="宋体" w:hAnsi="宋体" w:cs="宋体" w:eastAsia="宋体" w:hint="default"/>
          <w:b/>
          <w:bCs/>
          <w:w w:val="99"/>
          <w:sz w:val="18"/>
          <w:szCs w:val="18"/>
        </w:rPr>
        <w:t> </w:t>
      </w:r>
      <w:r>
        <w:rPr>
          <w:rFonts w:ascii="宋体" w:hAnsi="宋体" w:cs="宋体" w:eastAsia="宋体" w:hint="default"/>
          <w:sz w:val="18"/>
          <w:szCs w:val="18"/>
        </w:rPr>
        <w:t>郭瑞先生，详见</w:t>
      </w:r>
      <w:r>
        <w:rPr>
          <w:rFonts w:ascii="Times New Roman" w:hAnsi="Times New Roman" w:cs="Times New Roman" w:eastAsia="Times New Roman" w:hint="default"/>
          <w:sz w:val="18"/>
          <w:szCs w:val="18"/>
        </w:rPr>
        <w:t>“</w:t>
      </w:r>
      <w:r>
        <w:rPr>
          <w:rFonts w:ascii="宋体" w:hAnsi="宋体" w:cs="宋体" w:eastAsia="宋体" w:hint="default"/>
          <w:sz w:val="18"/>
          <w:szCs w:val="18"/>
        </w:rPr>
        <w:t>（一）现任董事主要工作经历</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袁贤苗先生，详见</w:t>
      </w:r>
      <w:r>
        <w:rPr>
          <w:rFonts w:ascii="Times New Roman" w:hAnsi="Times New Roman" w:cs="Times New Roman" w:eastAsia="Times New Roman" w:hint="default"/>
          <w:sz w:val="18"/>
          <w:szCs w:val="18"/>
        </w:rPr>
        <w:t>“</w:t>
      </w:r>
      <w:r>
        <w:rPr>
          <w:rFonts w:ascii="宋体" w:hAnsi="宋体" w:cs="宋体" w:eastAsia="宋体" w:hint="default"/>
          <w:sz w:val="18"/>
          <w:szCs w:val="18"/>
        </w:rPr>
        <w:t>（一）现任董事主要工作经历</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宋体" w:hAnsi="宋体" w:cs="宋体" w:eastAsia="宋体" w:hint="default"/>
          <w:spacing w:val="-1"/>
          <w:sz w:val="18"/>
          <w:szCs w:val="18"/>
        </w:rPr>
        <w:t>全浩华女士，</w:t>
      </w:r>
      <w:r>
        <w:rPr>
          <w:rFonts w:ascii="Times New Roman" w:hAnsi="Times New Roman" w:cs="Times New Roman" w:eastAsia="Times New Roman" w:hint="default"/>
          <w:spacing w:val="-1"/>
          <w:sz w:val="18"/>
          <w:szCs w:val="18"/>
        </w:rPr>
        <w:t>1970</w:t>
      </w:r>
      <w:r>
        <w:rPr>
          <w:rFonts w:ascii="宋体" w:hAnsi="宋体" w:cs="宋体" w:eastAsia="宋体" w:hint="default"/>
          <w:spacing w:val="-1"/>
          <w:sz w:val="18"/>
          <w:szCs w:val="18"/>
        </w:rPr>
        <w:t>年出生，中国国籍，无永久境外居留权。本科学历，毕业于浙江广播电视大学。先后任职于嘉兴阳湖</w:t>
      </w:r>
    </w:p>
    <w:p>
      <w:pPr>
        <w:pStyle w:val="BodyText"/>
        <w:spacing w:line="300" w:lineRule="auto" w:before="7"/>
        <w:ind w:left="444" w:right="0" w:hanging="291"/>
        <w:jc w:val="left"/>
      </w:pPr>
      <w:r>
        <w:rPr/>
        <w:t>制衣有限公司、浙江依爱夫纺织有限公司。</w:t>
      </w:r>
      <w:r>
        <w:rPr>
          <w:rFonts w:ascii="Times New Roman" w:hAnsi="Times New Roman" w:cs="Times New Roman" w:eastAsia="Times New Roman" w:hint="default"/>
        </w:rPr>
        <w:t>2011</w:t>
      </w:r>
      <w:r>
        <w:rPr/>
        <w:t>年进入公司工作。现任公司副总经理。 </w:t>
      </w:r>
      <w:r>
        <w:rPr>
          <w:spacing w:val="-1"/>
        </w:rPr>
        <w:t>熊旭锋先生，</w:t>
      </w:r>
      <w:r>
        <w:rPr>
          <w:rFonts w:ascii="Times New Roman" w:hAnsi="Times New Roman" w:cs="Times New Roman" w:eastAsia="Times New Roman" w:hint="default"/>
          <w:spacing w:val="-1"/>
        </w:rPr>
        <w:t>1979</w:t>
      </w:r>
      <w:r>
        <w:rPr>
          <w:spacing w:val="-1"/>
        </w:rPr>
        <w:t>年出生，中国国籍，无永久境外居留权，本科学历，毕业于三峡大学工商管理专业。先后任职于浙江</w:t>
      </w:r>
    </w:p>
    <w:p>
      <w:pPr>
        <w:pStyle w:val="BodyText"/>
        <w:spacing w:line="300" w:lineRule="auto" w:before="13"/>
        <w:ind w:left="444" w:right="0" w:hanging="291"/>
        <w:jc w:val="left"/>
      </w:pPr>
      <w:r>
        <w:rPr/>
        <w:t>五洲新春集团、浙江美力弹簧有限公司、浙江同星制冷有限公司。</w:t>
      </w:r>
      <w:r>
        <w:rPr>
          <w:rFonts w:ascii="Times New Roman" w:hAnsi="Times New Roman" w:cs="Times New Roman" w:eastAsia="Times New Roman" w:hint="default"/>
        </w:rPr>
        <w:t>2012</w:t>
      </w:r>
      <w:r>
        <w:rPr/>
        <w:t>年进入公司工作。现任公司副总经理。 </w:t>
      </w:r>
      <w:r>
        <w:rPr>
          <w:spacing w:val="-1"/>
        </w:rPr>
        <w:t>陈文女士，</w:t>
      </w:r>
      <w:r>
        <w:rPr>
          <w:rFonts w:ascii="Times New Roman" w:hAnsi="Times New Roman" w:cs="Times New Roman" w:eastAsia="Times New Roman" w:hint="default"/>
          <w:spacing w:val="-1"/>
        </w:rPr>
        <w:t>1952</w:t>
      </w:r>
      <w:r>
        <w:rPr>
          <w:spacing w:val="-1"/>
        </w:rPr>
        <w:t>年出生，中国国籍，无永久境外居留权。复旦大学工商管理硕士，国家艺术系列一级编辑，全国三八红</w:t>
      </w:r>
    </w:p>
    <w:p>
      <w:pPr>
        <w:pStyle w:val="BodyText"/>
        <w:spacing w:line="316" w:lineRule="auto" w:before="13"/>
        <w:ind w:left="154" w:right="1130"/>
        <w:jc w:val="both"/>
      </w:pPr>
      <w:r>
        <w:rPr>
          <w:spacing w:val="-2"/>
        </w:rPr>
        <w:t>旗手。原上海文广新闻传媒集团影视剧中心主任，上海炫动卡通卫视娱乐有限公司董事、常务副总裁，上海录像影视公司总</w:t>
      </w:r>
      <w:r>
        <w:rPr>
          <w:spacing w:val="-65"/>
        </w:rPr>
        <w:t> </w:t>
      </w:r>
      <w:r>
        <w:rPr>
          <w:spacing w:val="-65"/>
        </w:rPr>
      </w:r>
      <w:r>
        <w:rPr>
          <w:spacing w:val="-2"/>
        </w:rPr>
        <w:t>经理。现任中国动画学会常务理事，中国电视剧制片人协会常务理事，上海市数字内容产业促进中心理事，苏河当代艺术中</w:t>
      </w:r>
      <w:r>
        <w:rPr>
          <w:spacing w:val="-66"/>
        </w:rPr>
        <w:t> </w:t>
      </w:r>
      <w:r>
        <w:rPr>
          <w:spacing w:val="-66"/>
        </w:rPr>
      </w:r>
      <w:r>
        <w:rPr/>
        <w:t>心执行董事。曾任公司独立董事。现任公司副总经理。</w:t>
      </w:r>
    </w:p>
    <w:p>
      <w:pPr>
        <w:pStyle w:val="BodyText"/>
        <w:spacing w:line="319" w:lineRule="auto" w:before="19"/>
        <w:ind w:right="1118" w:firstLine="290"/>
        <w:jc w:val="left"/>
      </w:pPr>
      <w:r>
        <w:rPr>
          <w:spacing w:val="-1"/>
        </w:rPr>
        <w:t>竺林芳女士，</w:t>
      </w:r>
      <w:r>
        <w:rPr>
          <w:rFonts w:ascii="Times New Roman" w:hAnsi="Times New Roman" w:cs="Times New Roman" w:eastAsia="Times New Roman" w:hint="default"/>
          <w:spacing w:val="-1"/>
        </w:rPr>
        <w:t>1979</w:t>
      </w:r>
      <w:r>
        <w:rPr>
          <w:spacing w:val="-1"/>
        </w:rPr>
        <w:t>年出生，中国国籍，无永久境外居留权，本科学历，毕业于中南大学会计学专业，中级会计师。先后</w:t>
      </w:r>
      <w:r>
        <w:rPr/>
        <w:t> 任职于浙江万丰奥威汽轮股份有限公司、浙江华发茶业有限公司。</w:t>
      </w:r>
      <w:r>
        <w:rPr>
          <w:rFonts w:ascii="Times New Roman" w:hAnsi="Times New Roman" w:cs="Times New Roman" w:eastAsia="Times New Roman" w:hint="default"/>
        </w:rPr>
        <w:t>2013</w:t>
      </w:r>
      <w:r>
        <w:rPr/>
        <w:t>年进入公司工作。现任公司财务总监。 在股东单位任职情况</w:t>
      </w:r>
    </w:p>
    <w:p>
      <w:pPr>
        <w:pStyle w:val="BodyText"/>
        <w:spacing w:line="240" w:lineRule="auto" w:before="58"/>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在其他单位任职情况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缔顺科技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万盛有限</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万盛有限</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缔顺科技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浙江物产中大元通集团股份有限公司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浙江中大元通汽车云服务有限公司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浙江财经学院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傅争光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上海广电影视制作有限公司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中国动画学会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中国电视剧制片人协会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上海市数字内容产业促进中心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苏河当代艺术中心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浦发村镇银行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1028" w:hanging="291"/>
        <w:jc w:val="left"/>
      </w:pPr>
      <w:r>
        <w:rPr/>
        <w:t>董事、监事、高级管理人员报酬的决策程序、确定依据、实际支付情况 </w:t>
      </w:r>
      <w:r>
        <w:rPr>
          <w:spacing w:val="-2"/>
        </w:rPr>
        <w:t>公司董事、监事的报酬是根据公司章程规定和经营情况，由董事会、监事会提出议案，股东大会批准决定，公司总经理、</w:t>
      </w:r>
    </w:p>
    <w:p>
      <w:pPr>
        <w:pStyle w:val="BodyText"/>
        <w:spacing w:line="224" w:lineRule="exact"/>
        <w:ind w:right="0"/>
        <w:jc w:val="left"/>
      </w:pPr>
      <w:r>
        <w:rPr/>
        <w:t>副总经理、财务总监、董事会秘书等高级管理人员的报酬由公司董事会薪酬与考核委员会提出议案，报董事会批准决定。报</w:t>
      </w:r>
    </w:p>
    <w:p>
      <w:pPr>
        <w:pStyle w:val="BodyText"/>
        <w:spacing w:line="319" w:lineRule="auto" w:before="76"/>
        <w:ind w:right="0"/>
        <w:jc w:val="left"/>
      </w:pPr>
      <w:r>
        <w:rPr>
          <w:spacing w:val="-2"/>
        </w:rPr>
        <w:t>告期，实际发放额的确定依据是根据公司总体发展战略和年度的经营目标、其在公司担任的职务以及行业平均标准，结合公</w:t>
      </w:r>
      <w:r>
        <w:rPr>
          <w:spacing w:val="-66"/>
        </w:rPr>
        <w:t> </w:t>
      </w:r>
      <w:r>
        <w:rPr>
          <w:spacing w:val="-66"/>
        </w:rPr>
      </w:r>
      <w:r>
        <w:rPr/>
        <w:t>司的工资制度、考核办法而确定的。</w:t>
      </w:r>
    </w:p>
    <w:p>
      <w:pPr>
        <w:pStyle w:val="BodyText"/>
        <w:spacing w:line="240" w:lineRule="auto" w:before="58"/>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董事、总经理、 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袁贤苗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傅争光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赵风云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丁秀萍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全浩华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熊旭锋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305.69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28" w:firstLine="290"/>
        <w:jc w:val="left"/>
      </w:pPr>
      <w:r>
        <w:rPr>
          <w:spacing w:val="-2"/>
        </w:rPr>
        <w:t>公司董事、监事的报酬是根据公司章程规定和经营情况，由董事会、监事会提出议案，股东大会批准决定，公司总经理、</w:t>
      </w:r>
      <w:r>
        <w:rPr/>
        <w:t> </w:t>
      </w:r>
      <w:r>
        <w:rPr>
          <w:spacing w:val="-2"/>
        </w:rPr>
        <w:t>副总经理、财务总监、董事会秘书等高级管理人员的报酬由公司董事会薪酬与考核委员会提出议案，报董事会批准决定。报</w:t>
      </w:r>
      <w:r>
        <w:rPr>
          <w:spacing w:val="-65"/>
        </w:rPr>
        <w:t> </w:t>
      </w:r>
      <w:r>
        <w:rPr>
          <w:spacing w:val="-65"/>
        </w:rPr>
      </w:r>
      <w:r>
        <w:rPr>
          <w:spacing w:val="-2"/>
        </w:rPr>
        <w:t>告期，实际发放额的确定依据是根据公司总体发展战略和年度的经营目标、其在公司担任的职务以及行业平均标准，结合公</w:t>
      </w:r>
      <w:r>
        <w:rPr>
          <w:spacing w:val="-66"/>
        </w:rPr>
        <w:t> </w:t>
      </w:r>
      <w:r>
        <w:rPr>
          <w:spacing w:val="-66"/>
        </w:rPr>
      </w:r>
      <w:r>
        <w:rPr/>
        <w:t>司的工资制度、考核办法而确定的。</w:t>
      </w:r>
    </w:p>
    <w:p>
      <w:pPr>
        <w:pStyle w:val="BodyText"/>
        <w:spacing w:line="316" w:lineRule="auto" w:before="19"/>
        <w:ind w:left="154" w:right="0" w:firstLine="290"/>
        <w:jc w:val="left"/>
      </w:pPr>
      <w:r>
        <w:rPr>
          <w:spacing w:val="-1"/>
        </w:rPr>
        <w:t>高级管理人员实行年薪制，根据行业薪酬水平，结合经营效益、岗位情况等因素确定。年终对高级管理人员履行职责情</w:t>
      </w:r>
      <w:r>
        <w:rPr/>
        <w:t> 况和年度实际业绩进行考评。</w:t>
      </w:r>
      <w:r>
        <w:rPr>
          <w:rFonts w:ascii="Times New Roman" w:hAnsi="Times New Roman" w:cs="Times New Roman" w:eastAsia="Times New Roman" w:hint="default"/>
        </w:rPr>
        <w:t>2015</w:t>
      </w:r>
      <w:r>
        <w:rPr/>
        <w:t>年度公司未实行股权激励等事项。</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290"/>
        <w:jc w:val="left"/>
      </w:pPr>
      <w:r>
        <w:rPr>
          <w:spacing w:val="-1"/>
        </w:rPr>
        <w:t>公司管理层高度重视特定工作岗位所需的用途能力水平的设定，以及对达到该水平所必需的知识和能力的要求。根据实</w:t>
      </w:r>
      <w:r>
        <w:rPr/>
        <w:t> 际工作的需要，针对不同岗位展开多种形式的后期培训教育，使员工都能胜任目前所处的工作岗位。</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2" w:firstLine="290"/>
        <w:jc w:val="both"/>
      </w:pPr>
      <w:r>
        <w:rPr>
          <w:spacing w:val="-1"/>
        </w:rPr>
        <w:t>报告期内，公司严格按照《公司法》、《证券法》、《上市公司治理准则》、《深圳证券交易所股票上市规则》、《中</w:t>
      </w:r>
      <w:r>
        <w:rPr/>
        <w:t> </w:t>
      </w:r>
      <w:r>
        <w:rPr>
          <w:spacing w:val="-2"/>
        </w:rPr>
        <w:t>小板企业上市公司规范运作指引》及其他相关法律、法规的要求，不断完善公司治理结构，建立健全内部控制制度，不断加</w:t>
      </w:r>
      <w:r>
        <w:rPr>
          <w:spacing w:val="-66"/>
        </w:rPr>
        <w:t> </w:t>
      </w:r>
      <w:r>
        <w:rPr>
          <w:spacing w:val="-66"/>
        </w:rPr>
      </w:r>
      <w:r>
        <w:rPr/>
        <w:t>强信息披露工作，积极开展投资者关系管理，不断提高公司治理水平。</w:t>
      </w:r>
    </w:p>
    <w:p>
      <w:pPr>
        <w:pStyle w:val="BodyText"/>
        <w:spacing w:line="357" w:lineRule="auto" w:before="58"/>
        <w:ind w:left="444" w:right="3013" w:hanging="291"/>
        <w:jc w:val="left"/>
      </w:pPr>
      <w:r>
        <w:rPr/>
        <w:t>截止报告期末，公司治理的实际状况基本符合中国证监会发布的有关上市公司治理的规范性文件。 公司已建立的各项制度名称和公开信息披露情况：</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公司已建立的制度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公开信息披露情况</w:t>
            </w: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董事、监事、高级管理人员及有关人员所持本公司股份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及其变动管理制度（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内幕知情人管理制度（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接待特定对象直接沟通相关活动管理制</w:t>
            </w:r>
            <w:r>
              <w:rPr>
                <w:rFonts w:ascii="宋体" w:hAnsi="宋体" w:cs="宋体" w:eastAsia="宋体" w:hint="default"/>
                <w:spacing w:val="-80"/>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bottom w:val="single" w:sz="6" w:space="0" w:color="000000"/>
              <w:right w:val="single" w:sz="6" w:space="0" w:color="000000"/>
            </w:tcBorders>
          </w:tcPr>
          <w:p>
            <w:pPr/>
          </w:p>
        </w:tc>
      </w:tr>
      <w:tr>
        <w:trPr>
          <w:trHeight w:val="73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董事会各专门委员会工作细则</w:t>
            </w:r>
          </w:p>
        </w:tc>
        <w:tc>
          <w:tcPr>
            <w:tcW w:w="4262" w:type="dxa"/>
            <w:vMerge w:val="restart"/>
            <w:tcBorders>
              <w:top w:val="single" w:sz="6" w:space="0" w:color="000000"/>
              <w:left w:val="single" w:sz="6" w:space="0" w:color="000000"/>
              <w:right w:val="single" w:sz="6" w:space="0" w:color="000000"/>
            </w:tcBorders>
          </w:tcPr>
          <w:p>
            <w:pPr>
              <w:pStyle w:val="TableParagraph"/>
              <w:spacing w:line="302"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日，经公司第一届董事会第一次会议审议通</w:t>
            </w:r>
            <w:r>
              <w:rPr>
                <w:rFonts w:ascii="宋体" w:hAnsi="宋体" w:cs="宋体" w:eastAsia="宋体" w:hint="default"/>
                <w:sz w:val="18"/>
                <w:szCs w:val="18"/>
              </w:rPr>
              <w:t> 过。</w:t>
            </w:r>
          </w:p>
        </w:tc>
      </w:tr>
      <w:tr>
        <w:trPr>
          <w:trHeight w:val="42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4262" w:type="dxa"/>
            <w:vMerge/>
            <w:tcBorders>
              <w:left w:val="single" w:sz="6" w:space="0" w:color="000000"/>
              <w:bottom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募集资金专项存储及使用管理制度</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日，经公司第一届董事会第六次会议审议通</w:t>
            </w:r>
            <w:r>
              <w:rPr>
                <w:rFonts w:ascii="宋体" w:hAnsi="宋体" w:cs="宋体" w:eastAsia="宋体" w:hint="default"/>
                <w:sz w:val="18"/>
                <w:szCs w:val="18"/>
              </w:rPr>
              <w:t> 过。</w:t>
            </w: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4262" w:type="dxa"/>
            <w:vMerge/>
            <w:tcBorders>
              <w:left w:val="single" w:sz="6" w:space="0" w:color="000000"/>
              <w:bottom w:val="single" w:sz="6" w:space="0" w:color="000000"/>
              <w:right w:val="single" w:sz="6" w:space="0" w:color="000000"/>
            </w:tcBorders>
          </w:tcPr>
          <w:p>
            <w:pP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远期外汇交易业务内控管理制度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日，经公司第一届董事会第七次会议审议 通过。</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日，经公司创立大会审议通过。</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年第二次临时股东大会审议通过修 改股东大会议事规则。</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4262" w:type="dxa"/>
            <w:vMerge/>
            <w:tcBorders>
              <w:left w:val="single" w:sz="6" w:space="0" w:color="000000"/>
              <w:right w:val="single" w:sz="6" w:space="0" w:color="000000"/>
            </w:tcBorders>
          </w:tcPr>
          <w:p>
            <w:pP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4262" w:type="dxa"/>
            <w:vMerge/>
            <w:tcBorders>
              <w:left w:val="single" w:sz="6" w:space="0" w:color="000000"/>
              <w:right w:val="single" w:sz="6" w:space="0" w:color="000000"/>
            </w:tcBorders>
          </w:tcPr>
          <w:p>
            <w:pPr/>
          </w:p>
        </w:tc>
      </w:tr>
      <w:tr>
        <w:trPr>
          <w:trHeight w:val="42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4262" w:type="dxa"/>
            <w:vMerge/>
            <w:tcBorders>
              <w:left w:val="single" w:sz="6" w:space="0" w:color="000000"/>
              <w:bottom w:val="single" w:sz="6" w:space="0" w:color="000000"/>
              <w:right w:val="single" w:sz="6" w:space="0" w:color="000000"/>
            </w:tcBorders>
          </w:tcPr>
          <w:p>
            <w:pPr/>
          </w:p>
        </w:tc>
      </w:tr>
    </w:tbl>
    <w:p>
      <w:pPr>
        <w:pStyle w:val="BodyText"/>
        <w:spacing w:line="324" w:lineRule="auto" w:before="67"/>
        <w:ind w:left="154" w:right="0" w:firstLine="578"/>
        <w:jc w:val="left"/>
      </w:pPr>
      <w:r>
        <w:rPr>
          <w:rFonts w:ascii="Times New Roman" w:hAnsi="Times New Roman" w:cs="Times New Roman" w:eastAsia="Times New Roman" w:hint="default"/>
        </w:rPr>
        <w:t>1</w:t>
      </w:r>
      <w:r>
        <w:rPr/>
        <w:t>、关于股东与股东大会 </w:t>
      </w:r>
      <w:r>
        <w:rPr>
          <w:spacing w:val="-2"/>
        </w:rPr>
        <w:t>公司严格遵守法律法规，按程序召集、召开股东大会。股东大会的召集、召开程序、出席股东大会的人员资格及股东大会的</w:t>
      </w:r>
      <w:r>
        <w:rPr>
          <w:spacing w:val="-66"/>
        </w:rPr>
        <w:t> </w:t>
      </w:r>
      <w:r>
        <w:rPr>
          <w:spacing w:val="-66"/>
        </w:rPr>
      </w:r>
      <w:r>
        <w:rPr>
          <w:spacing w:val="-2"/>
        </w:rPr>
        <w:t>表决程序均符合《公司法》、《公司章程》及其他法律法规的规定，能够确保全体股东尤其是中小股东享有平等地位，充分</w:t>
      </w:r>
      <w:r>
        <w:rPr>
          <w:spacing w:val="-70"/>
        </w:rPr>
        <w:t> </w:t>
      </w:r>
      <w:r>
        <w:rPr>
          <w:spacing w:val="-70"/>
        </w:rPr>
      </w:r>
      <w:r>
        <w:rPr/>
        <w:t>行使自己的权利。报告期内召开的股东大会均由公司董事会召集召开，并邀请律师进行现场见证。</w:t>
      </w:r>
    </w:p>
    <w:p>
      <w:pPr>
        <w:pStyle w:val="BodyText"/>
        <w:spacing w:line="240" w:lineRule="auto" w:before="54"/>
        <w:ind w:left="732" w:right="0"/>
        <w:jc w:val="left"/>
      </w:pPr>
      <w:r>
        <w:rPr>
          <w:rFonts w:ascii="Times New Roman" w:hAnsi="Times New Roman" w:cs="Times New Roman" w:eastAsia="Times New Roman" w:hint="default"/>
        </w:rPr>
        <w:t>2</w:t>
      </w:r>
      <w:r>
        <w:rPr/>
        <w:t>、关于公司与控股股东</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公司在业务、人员、资产、机构、财务等方面与控股股东相互独立，公司董事会、监事会和内部机构独立运作，公司的重大</w:t>
      </w:r>
      <w:r>
        <w:rPr>
          <w:spacing w:val="-72"/>
        </w:rPr>
        <w:t> </w:t>
      </w:r>
      <w:r>
        <w:rPr>
          <w:spacing w:val="-72"/>
        </w:rPr>
      </w:r>
      <w:r>
        <w:rPr>
          <w:spacing w:val="-2"/>
        </w:rPr>
        <w:t>决策由股东大会依法做出，控股股东依法行使股东权利，没有超越公司股东大会直接或者间接干预公司的决策和经营活动行</w:t>
      </w:r>
      <w:r>
        <w:rPr>
          <w:spacing w:val="-64"/>
        </w:rPr>
        <w:t> </w:t>
      </w:r>
      <w:r>
        <w:rPr>
          <w:spacing w:val="-64"/>
        </w:rPr>
      </w:r>
      <w:r>
        <w:rPr/>
        <w:t>为。本报告期内，不存在控股股东占用公司资金的现象，也不存在公司为控股股东及其子公司提供担保的行为。</w:t>
      </w:r>
    </w:p>
    <w:p>
      <w:pPr>
        <w:pStyle w:val="BodyText"/>
        <w:spacing w:line="319" w:lineRule="auto" w:before="56"/>
        <w:ind w:right="0" w:firstLine="578"/>
        <w:jc w:val="left"/>
      </w:pPr>
      <w:r>
        <w:rPr>
          <w:rFonts w:ascii="Times New Roman" w:hAnsi="Times New Roman" w:cs="Times New Roman" w:eastAsia="Times New Roman" w:hint="default"/>
        </w:rPr>
        <w:t>3</w:t>
      </w:r>
      <w:r>
        <w:rPr/>
        <w:t>、关于董事与董事会 </w:t>
      </w:r>
      <w:r>
        <w:rPr>
          <w:spacing w:val="-2"/>
        </w:rPr>
        <w:t>公司严格按照法律法规和《公司章程》规定选举董事：董事会目前人数</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人，人数和人员构成符合法律法</w:t>
      </w:r>
      <w:r>
        <w:rPr>
          <w:spacing w:val="-64"/>
        </w:rPr>
        <w:t> </w:t>
      </w:r>
      <w:r>
        <w:rPr>
          <w:spacing w:val="-64"/>
        </w:rPr>
      </w:r>
      <w:r>
        <w:rPr>
          <w:spacing w:val="-2"/>
        </w:rPr>
        <w:t>规和《公司章程》的要求。公司董事会设立了审计委员会、提名委员会、薪酬与考核委员会和发展战略委员会，为董事会的</w:t>
      </w:r>
      <w:r>
        <w:rPr>
          <w:spacing w:val="-67"/>
        </w:rPr>
        <w:t> </w:t>
      </w:r>
      <w:r>
        <w:rPr>
          <w:spacing w:val="-67"/>
        </w:rPr>
      </w:r>
      <w:r>
        <w:rPr>
          <w:spacing w:val="-2"/>
        </w:rPr>
        <w:t>决策提供专业意见。公司全体董事能够依据《董事会议事规则》、《独立董事制度》等制度开展工作。公司三名独立董事在</w:t>
      </w:r>
      <w:r>
        <w:rPr>
          <w:spacing w:val="-70"/>
        </w:rPr>
        <w:t> </w:t>
      </w:r>
      <w:r>
        <w:rPr>
          <w:spacing w:val="-70"/>
        </w:rPr>
      </w:r>
      <w:r>
        <w:rPr/>
        <w:t>工作中保持充分的独立性，认真审议各项议案，对有关事项发表了独立意见，切实维护了公司和中小股东的利益。</w:t>
      </w:r>
    </w:p>
    <w:p>
      <w:pPr>
        <w:pStyle w:val="BodyText"/>
        <w:spacing w:line="338" w:lineRule="auto" w:before="56"/>
        <w:ind w:left="154" w:right="3552" w:firstLine="578"/>
        <w:jc w:val="left"/>
      </w:pPr>
      <w:r>
        <w:rPr>
          <w:rFonts w:ascii="Times New Roman" w:hAnsi="Times New Roman" w:cs="Times New Roman" w:eastAsia="Times New Roman" w:hint="default"/>
        </w:rPr>
        <w:t>4</w:t>
      </w:r>
      <w:r>
        <w:rPr/>
        <w:t>、关于监事和监事会 公司治理的实际状况与中国证监会发布的有关上市公司治理的规范性文件是否存在重大差异</w:t>
      </w:r>
    </w:p>
    <w:p>
      <w:pPr>
        <w:pStyle w:val="BodyText"/>
        <w:spacing w:line="357" w:lineRule="auto" w:before="43"/>
        <w:ind w:right="3553"/>
        <w:jc w:val="left"/>
      </w:pPr>
      <w:r>
        <w:rPr/>
        <w:t>□ 是 √ 否 公司治理的实际状况与中国证监会发布的有关上市公司治理的规范性文件不存在重大差异。</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290"/>
        <w:jc w:val="both"/>
      </w:pPr>
      <w:r>
        <w:rPr/>
        <w:t>公司自设立以来，严格按照《公司法》、《证券法》等有关法律、法规和公司章程的要求规范运作，公司与控股股东在 </w:t>
      </w:r>
      <w:r>
        <w:rPr>
          <w:spacing w:val="-2"/>
        </w:rPr>
        <w:t>业务、人员、资产、机构、财务等方面完全分开，具有独立完整的自主经营能力。（一）业务独立情况，公司拥有完整的供</w:t>
      </w:r>
      <w:r>
        <w:rPr>
          <w:spacing w:val="-69"/>
        </w:rPr>
        <w:t> </w:t>
      </w:r>
      <w:r>
        <w:rPr>
          <w:spacing w:val="-69"/>
        </w:rPr>
      </w:r>
      <w:r>
        <w:rPr/>
        <w:t>应、研发、生产和销售体系，具有独立面向市场自主经营的能力，独立开展业务，独立核算和决策，独立承担责任与风险。</w:t>
      </w:r>
    </w:p>
    <w:p>
      <w:pPr>
        <w:pStyle w:val="BodyText"/>
        <w:spacing w:line="319" w:lineRule="auto" w:before="19"/>
        <w:ind w:right="1033"/>
        <w:jc w:val="left"/>
      </w:pPr>
      <w:r>
        <w:rPr>
          <w:spacing w:val="-2"/>
        </w:rPr>
        <w:t>（二）资产完整情况，公司与控股股东产权关系明晰，公司对所有资产有完全的控制支配权，不存在资产、资金被控股股东</w:t>
      </w:r>
      <w:r>
        <w:rPr>
          <w:spacing w:val="-66"/>
        </w:rPr>
        <w:t> </w:t>
      </w:r>
      <w:r>
        <w:rPr>
          <w:spacing w:val="-66"/>
        </w:rPr>
      </w:r>
      <w:r>
        <w:rPr/>
        <w:t>占用而损害公司利益的情况。（三）人员独立情况，公司董事、监事、高级管理人员均严格按照《公司法》、《公司章程》 </w:t>
      </w:r>
      <w:r>
        <w:rPr>
          <w:spacing w:val="-2"/>
        </w:rPr>
        <w:t>的有关规定产生，不存在在股东公司或下属企业兼任除董事、监事以外的执行职务的情况。（四）机构独立情况，公司拥有</w:t>
      </w:r>
      <w:r>
        <w:rPr>
          <w:spacing w:val="-66"/>
        </w:rPr>
        <w:t> </w:t>
      </w:r>
      <w:r>
        <w:rPr>
          <w:spacing w:val="-66"/>
        </w:rPr>
      </w:r>
      <w:r>
        <w:rPr>
          <w:spacing w:val="-2"/>
        </w:rPr>
        <w:t>独立完整的组织机构，建立健全了股东大会、董事会、监事会和总经理等相互约束的法人治理结构。不存在股东公司及其它</w:t>
      </w:r>
      <w:r>
        <w:rPr>
          <w:spacing w:val="-66"/>
        </w:rPr>
        <w:t> </w:t>
      </w:r>
      <w:r>
        <w:rPr>
          <w:spacing w:val="-66"/>
        </w:rPr>
      </w:r>
      <w:r>
        <w:rPr>
          <w:spacing w:val="-2"/>
        </w:rPr>
        <w:t>关联公司干预公司机构设置的情况。（五）财务独立情况，公司设有独立的财务会计部门和内部审计部门，建立了独立的会</w:t>
      </w:r>
      <w:r>
        <w:rPr>
          <w:spacing w:val="-65"/>
        </w:rPr>
        <w:t> </w:t>
      </w:r>
      <w:r>
        <w:rPr>
          <w:spacing w:val="-65"/>
        </w:rPr>
      </w:r>
      <w:r>
        <w:rPr/>
        <w:t>计核算体系和规范的财务管理制度，独立进行财务决策。不存在与股东共用银行账户或者混合纳税现象。</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before="44"/>
        <w:ind w:left="0" w:right="1148"/>
        <w:jc w:val="right"/>
      </w:pPr>
      <w:r>
        <w:rPr/>
        <w:pict>
          <v:shape style="position:absolute;margin-left:56.459999pt;margin-top:-36.518284pt;width:479.1pt;height:168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2015-013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6" w:lineRule="auto" w:before="61"/>
                          <w:ind w:left="23" w:right="119"/>
                          <w:jc w:val="left"/>
                          <w:rPr>
                            <w:rFonts w:ascii="宋体" w:hAnsi="宋体" w:cs="宋体" w:eastAsia="宋体" w:hint="default"/>
                            <w:sz w:val="18"/>
                            <w:szCs w:val="18"/>
                          </w:rPr>
                        </w:pPr>
                        <w:r>
                          <w:rPr>
                            <w:rFonts w:ascii="宋体" w:hAnsi="宋体" w:cs="宋体" w:eastAsia="宋体" w:hint="default"/>
                            <w:sz w:val="18"/>
                            <w:szCs w:val="18"/>
                          </w:rPr>
                          <w:t>股东大会决议公告 巨潮资讯</w:t>
                        </w:r>
                      </w:p>
                      <w:p>
                        <w:pPr>
                          <w:pStyle w:val="TableParagraph"/>
                          <w:spacing w:line="302" w:lineRule="auto" w:before="19"/>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9">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年第一届临时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2015-072 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6"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一次临时股东大会 </w:t>
                        </w:r>
                        <w:r>
                          <w:rPr>
                            <w:rFonts w:ascii="宋体" w:hAnsi="宋体" w:cs="宋体" w:eastAsia="宋体" w:hint="default"/>
                            <w:spacing w:val="-10"/>
                            <w:sz w:val="18"/>
                            <w:szCs w:val="18"/>
                          </w:rPr>
                          <w:t>决议公告。巨潮资讯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9">
                          <w:r>
                            <w:rPr>
                              <w:rFonts w:ascii="Times New Roman" w:hAnsi="Times New Roman" w:cs="Times New Roman" w:eastAsia="Times New Roman" w:hint="default"/>
                              <w:sz w:val="18"/>
                              <w:szCs w:val="18"/>
                            </w:rPr>
                            <w:t>www.cninfo.com.</w:t>
                          </w:r>
                        </w:hyperlink>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傅争光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09" w:lineRule="auto" w:before="42"/>
        <w:ind w:right="1043" w:firstLine="362"/>
        <w:jc w:val="both"/>
      </w:pPr>
      <w:r>
        <w:rPr>
          <w:rFonts w:ascii="Times New Roman" w:hAnsi="Times New Roman" w:cs="Times New Roman" w:eastAsia="Times New Roman" w:hint="default"/>
        </w:rPr>
        <w:t>2015</w:t>
      </w:r>
      <w:r>
        <w:rPr/>
        <w:t>年度，独立董事对公司进行了多次现场考察，了解公司的生产经营情况、内部控制和财务状况；与公司其他董事、 </w:t>
      </w:r>
      <w:r>
        <w:rPr>
          <w:spacing w:val="-4"/>
        </w:rPr>
        <w:t>高管人员及相关工作人员保持密切联系，及时获悉公司各重大事项的进展情况，时刻关注外部环境及市场变化对公司的影响，</w:t>
      </w:r>
      <w:r>
        <w:rPr>
          <w:spacing w:val="-44"/>
        </w:rPr>
        <w:t> </w:t>
      </w:r>
      <w:r>
        <w:rPr>
          <w:spacing w:val="-44"/>
        </w:rPr>
      </w:r>
      <w:r>
        <w:rPr/>
        <w:t>积极对公司经营管理提出建议。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49" w:firstLine="362"/>
        <w:jc w:val="both"/>
      </w:pPr>
      <w:r>
        <w:rPr/>
        <w:t>报告期内，董事会下设专门委员会，各委员在报告期内恪尽职守、诚实守信地履行职责，积极参加董事会和股东大会， 召开相关会议，发挥各自的专业特长、技能和经验，积极地履行职责，切实维护公司及股东特别是社会公众股股东的权益。</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group style="position:absolute;margin-left:383.980011pt;margin-top:571.059998pt;width:149.8pt;height:15.6pt;mso-position-horizontal-relative:page;mso-position-vertical-relative:page;z-index:-858520" coordorigin="7680,11421" coordsize="2996,312">
            <v:shape style="position:absolute;left:7680;top:11421;width:2996;height:312" coordorigin="7680,11421" coordsize="2996,312" path="m7680,11733l10675,11733,10675,11421,7680,11421,7680,11733xe" filled="true" fillcolor="#ffffff" stroked="false">
              <v:path arrowok="t"/>
              <v:fill type="solid"/>
            </v:shape>
            <w10:wrap type="none"/>
          </v:group>
        </w:pict>
      </w:r>
    </w:p>
    <w:p>
      <w:pPr>
        <w:pStyle w:val="Heading2"/>
        <w:spacing w:line="240" w:lineRule="auto" w:before="26"/>
        <w:ind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60" w:lineRule="auto" w:before="116"/>
        <w:ind w:right="7693"/>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2"/>
        <w:jc w:val="left"/>
      </w:pPr>
      <w:r>
        <w:rPr>
          <w:spacing w:val="-2"/>
        </w:rPr>
        <w:t>高级管理人员实行年薪制，根据行业薪酬水平，结合经营效益、岗位情况等因素确定。年终对高级管理人员履行职责情</w:t>
      </w:r>
      <w:r>
        <w:rPr/>
        <w:t> 况和年度实际业绩进行考评。</w:t>
      </w:r>
      <w:r>
        <w:rPr>
          <w:rFonts w:ascii="Times New Roman" w:hAnsi="Times New Roman" w:cs="Times New Roman" w:eastAsia="Times New Roman" w:hint="default"/>
        </w:rPr>
        <w:t>2014</w:t>
      </w:r>
      <w:r>
        <w:rPr/>
        <w:t>年度公司未实行股权激励等事项。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8"/>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日在巨潮资讯网披露的相关公告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94.24%</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75.28%</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1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6" w:lineRule="auto" w:before="52"/>
              <w:ind w:left="22" w:right="-28" w:firstLine="360"/>
              <w:jc w:val="both"/>
              <w:rPr>
                <w:rFonts w:ascii="宋体" w:hAnsi="宋体" w:cs="宋体" w:eastAsia="宋体" w:hint="default"/>
                <w:sz w:val="18"/>
                <w:szCs w:val="18"/>
              </w:rPr>
            </w:pPr>
            <w:r>
              <w:rPr>
                <w:rFonts w:ascii="宋体" w:hAnsi="宋体" w:cs="宋体" w:eastAsia="宋体" w:hint="default"/>
                <w:sz w:val="18"/>
                <w:szCs w:val="18"/>
              </w:rPr>
              <w:t>财务报告内部控制重大缺陷的迹象包 括：①公司董事、监事和高级管理人员的 </w:t>
            </w:r>
            <w:r>
              <w:rPr>
                <w:rFonts w:ascii="宋体" w:hAnsi="宋体" w:cs="宋体" w:eastAsia="宋体" w:hint="default"/>
                <w:spacing w:val="-6"/>
                <w:sz w:val="18"/>
                <w:szCs w:val="18"/>
              </w:rPr>
              <w:t>舞弊行为；②公司更正已公布的财务报告；</w:t>
            </w:r>
            <w:r>
              <w:rPr>
                <w:rFonts w:ascii="宋体" w:hAnsi="宋体" w:cs="宋体" w:eastAsia="宋体" w:hint="default"/>
                <w:sz w:val="18"/>
                <w:szCs w:val="18"/>
              </w:rPr>
            </w:r>
          </w:p>
          <w:p>
            <w:pPr>
              <w:pStyle w:val="TableParagraph"/>
              <w:spacing w:line="316" w:lineRule="auto" w:before="19"/>
              <w:ind w:left="22" w:right="53"/>
              <w:jc w:val="both"/>
              <w:rPr>
                <w:rFonts w:ascii="宋体" w:hAnsi="宋体" w:cs="宋体" w:eastAsia="宋体" w:hint="default"/>
                <w:sz w:val="18"/>
                <w:szCs w:val="18"/>
              </w:rPr>
            </w:pPr>
            <w:r>
              <w:rPr>
                <w:rFonts w:ascii="宋体" w:hAnsi="宋体" w:cs="宋体" w:eastAsia="宋体" w:hint="default"/>
                <w:sz w:val="18"/>
                <w:szCs w:val="18"/>
              </w:rPr>
              <w:t>③注册会计师发现的却未被公司内部控制 识别的当期财务报告中的重大错报；④审 计委员会和审计部门对公司的对外财务报 告和财务报告内部控制监督无效。财务报 告内部控制重要缺陷的迹象包括：①未依 照公认会计准则选择和应用会计政策；② 未建立反舞弊程序和控制措施；③对于非 常规或特殊交易的账务处理没有建立相应 的控制机制或没有实施且没有相应的补偿 性控制；④对于期末财务报告过程的控制 存在一项或多项缺陷且不能合理保证编制</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2"/>
              <w:ind w:left="4" w:right="-42" w:firstLine="36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 缺陷评价的定性标准以缺陷对业务流 </w:t>
            </w:r>
            <w:r>
              <w:rPr>
                <w:rFonts w:ascii="宋体" w:hAnsi="宋体" w:cs="宋体" w:eastAsia="宋体" w:hint="default"/>
                <w:spacing w:val="-4"/>
                <w:sz w:val="18"/>
                <w:szCs w:val="18"/>
              </w:rPr>
              <w:t>程有效性的影响程度、发生的可能性作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判定，认定标准如下：①非财务报告内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部控制的重大缺陷包括：缺陷发生的可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能性高，会严重降低工作效率或效果、 </w:t>
            </w:r>
            <w:r>
              <w:rPr>
                <w:rFonts w:ascii="宋体" w:hAnsi="宋体" w:cs="宋体" w:eastAsia="宋体" w:hint="default"/>
                <w:spacing w:val="-4"/>
                <w:sz w:val="18"/>
                <w:szCs w:val="18"/>
              </w:rPr>
              <w:t>或严重加大效果的不确定性、或使之严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重偏离预期目标。②非财务报告内部控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制的重要缺陷包括：缺陷发生的可能性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较高，会显著降低工作效率或效果、或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显著加大效果的不确定性、或使之显著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偏离预期目标。③非财务报告内部控制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的一般缺陷包括：缺陷发生的可能性较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小，会降低工作效率或效果、或加大效</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01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83.980011pt;margin-top:154.999985pt;width:149.8pt;height:15.6pt;mso-position-horizontal-relative:page;mso-position-vertical-relative:page;z-index:-858496" coordorigin="7680,3100" coordsize="2996,312">
            <v:shape style="position:absolute;left:7680;top:3100;width:2996;height:312" coordorigin="7680,3100" coordsize="2996,312" path="m7680,3412l10675,3412,10675,3100,7680,3100,7680,341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35"/>
        <w:gridCol w:w="3039"/>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0"/>
              <w:jc w:val="both"/>
              <w:rPr>
                <w:rFonts w:ascii="宋体" w:hAnsi="宋体" w:cs="宋体" w:eastAsia="宋体" w:hint="default"/>
                <w:sz w:val="18"/>
                <w:szCs w:val="18"/>
              </w:rPr>
            </w:pPr>
            <w:r>
              <w:rPr>
                <w:rFonts w:ascii="宋体" w:hAnsi="宋体" w:cs="宋体" w:eastAsia="宋体" w:hint="default"/>
                <w:sz w:val="18"/>
                <w:szCs w:val="18"/>
              </w:rPr>
              <w:t>的财务报表达到真实、完整的目标。财务 报告内部控制一般缺陷的迹象包括：除上 述重大缺陷、重要缺陷之外的其他控制缺 陷。</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42"/>
              <w:jc w:val="left"/>
              <w:rPr>
                <w:rFonts w:ascii="宋体" w:hAnsi="宋体" w:cs="宋体" w:eastAsia="宋体" w:hint="default"/>
                <w:sz w:val="18"/>
                <w:szCs w:val="18"/>
              </w:rPr>
            </w:pPr>
            <w:r>
              <w:rPr>
                <w:rFonts w:ascii="宋体" w:hAnsi="宋体" w:cs="宋体" w:eastAsia="宋体" w:hint="default"/>
                <w:sz w:val="18"/>
                <w:szCs w:val="18"/>
              </w:rPr>
              <w:t>果的不确定性、或使之偏离预期目标。</w:t>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资产总额的</w:t>
            </w:r>
          </w:p>
          <w:p>
            <w:pPr>
              <w:pStyle w:val="TableParagraph"/>
              <w:spacing w:line="240" w:lineRule="auto" w:before="61"/>
              <w:ind w:left="23" w:right="-28"/>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宋体" w:hAnsi="宋体" w:cs="宋体" w:eastAsia="宋体" w:hint="default"/>
                <w:spacing w:val="-96"/>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spacing w:val="-6"/>
                <w:w w:val="99"/>
                <w:sz w:val="18"/>
                <w:szCs w:val="18"/>
              </w:rPr>
              <w:t>）</w:t>
            </w:r>
            <w:r>
              <w:rPr>
                <w:rFonts w:ascii="宋体" w:hAnsi="宋体" w:cs="宋体" w:eastAsia="宋体" w:hint="default"/>
                <w:w w:val="99"/>
                <w:sz w:val="18"/>
                <w:szCs w:val="18"/>
              </w:rPr>
              <w:t>错报金</w:t>
            </w:r>
            <w:r>
              <w:rPr>
                <w:rFonts w:ascii="宋体" w:hAnsi="宋体" w:cs="宋体" w:eastAsia="宋体" w:hint="default"/>
                <w:spacing w:val="-1"/>
                <w:w w:val="99"/>
                <w:sz w:val="18"/>
                <w:szCs w:val="18"/>
              </w:rPr>
              <w:t>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2%</w:t>
            </w:r>
            <w:r>
              <w:rPr>
                <w:rFonts w:ascii="宋体" w:hAnsi="宋体" w:cs="宋体" w:eastAsia="宋体" w:hint="default"/>
                <w:spacing w:val="-34"/>
                <w:sz w:val="18"/>
                <w:szCs w:val="18"/>
              </w:rPr>
              <w:t>；</w:t>
            </w:r>
            <w:r>
              <w:rPr>
                <w:rFonts w:ascii="宋体" w:hAnsi="宋体" w:cs="宋体" w:eastAsia="宋体" w:hint="default"/>
                <w:sz w:val="18"/>
                <w:szCs w:val="18"/>
              </w:rPr>
            </w:r>
          </w:p>
          <w:p>
            <w:pPr>
              <w:pStyle w:val="TableParagraph"/>
              <w:spacing w:line="300" w:lineRule="auto" w:before="63"/>
              <w:ind w:left="23" w:right="25"/>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、重要缺陷：（</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）资产总额的</w:t>
            </w:r>
            <w:r>
              <w:rPr>
                <w:rFonts w:ascii="宋体" w:hAnsi="宋体" w:cs="宋体" w:eastAsia="宋体" w:hint="default"/>
                <w:spacing w:val="7"/>
                <w:sz w:val="18"/>
                <w:szCs w:val="18"/>
              </w:rPr>
              <w:t> </w:t>
            </w:r>
            <w:r>
              <w:rPr>
                <w:rFonts w:ascii="Times New Roman" w:hAnsi="Times New Roman" w:cs="Times New Roman" w:eastAsia="Times New Roman" w:hint="default"/>
                <w:spacing w:val="-1"/>
                <w:w w:val="100"/>
                <w:sz w:val="18"/>
                <w:szCs w:val="18"/>
              </w:rPr>
              <w:t>0.5%</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w:t>
            </w:r>
            <w:r>
              <w:rPr>
                <w:rFonts w:ascii="宋体" w:hAnsi="宋体" w:cs="宋体" w:eastAsia="宋体" w:hint="default"/>
                <w:sz w:val="18"/>
                <w:szCs w:val="18"/>
              </w:rPr>
              <w:t> 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7"/>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）营业收入总额</w:t>
            </w:r>
            <w:r>
              <w:rPr>
                <w:rFonts w:ascii="宋体" w:hAnsi="宋体" w:cs="宋体" w:eastAsia="宋体" w:hint="default"/>
                <w:sz w:val="18"/>
                <w:szCs w:val="18"/>
              </w:rPr>
              <w:t> 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）错报金额</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资产总额的</w:t>
            </w:r>
          </w:p>
          <w:p>
            <w:pPr>
              <w:pStyle w:val="TableParagraph"/>
              <w:spacing w:line="240" w:lineRule="auto" w:before="14"/>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pacing w:val="-16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错</w:t>
            </w:r>
            <w:r>
              <w:rPr>
                <w:rFonts w:ascii="宋体" w:hAnsi="宋体" w:cs="宋体" w:eastAsia="宋体" w:hint="default"/>
                <w:spacing w:val="-2"/>
                <w:sz w:val="18"/>
                <w:szCs w:val="18"/>
              </w:rPr>
              <w:t>报</w:t>
            </w:r>
            <w:r>
              <w:rPr>
                <w:rFonts w:ascii="宋体" w:hAnsi="宋体" w:cs="宋体" w:eastAsia="宋体" w:hint="default"/>
                <w:sz w:val="18"/>
                <w:szCs w:val="18"/>
              </w:rPr>
              <w:t>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pacing w:val="-35"/>
                <w:sz w:val="18"/>
                <w:szCs w:val="18"/>
              </w:rPr>
              <w:t>。</w:t>
            </w:r>
            <w:r>
              <w:rPr>
                <w:rFonts w:ascii="宋体" w:hAnsi="宋体" w:cs="宋体" w:eastAsia="宋体" w:hint="default"/>
                <w:sz w:val="18"/>
                <w:szCs w:val="18"/>
              </w:rPr>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0" w:lineRule="auto" w:before="51"/>
              <w:ind w:left="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非财务报告内 部控制缺陷导致的直接经济损失</w:t>
            </w:r>
            <w:r>
              <w:rPr>
                <w:rFonts w:ascii="Times New Roman" w:hAnsi="Times New Roman" w:cs="Times New Roman" w:eastAsia="Times New Roman" w:hint="default"/>
                <w:sz w:val="18"/>
                <w:szCs w:val="18"/>
              </w:rPr>
              <w:t>&lt;200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、一般缺陷：非财务报告内部 控制缺陷导致的直接经济损失金额</w:t>
            </w:r>
          </w:p>
          <w:p>
            <w:pPr>
              <w:pStyle w:val="TableParagraph"/>
              <w:spacing w:line="240" w:lineRule="auto" w:before="3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&lt;100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r>
        <w:rPr/>
        <w:pict>
          <v:group style="position:absolute;margin-left:383.980011pt;margin-top:-110.384377pt;width:149.8pt;height:17.650pt;mso-position-horizontal-relative:page;mso-position-vertical-relative:paragraph;z-index:-858472" coordorigin="7680,-2208" coordsize="2996,353">
            <v:shape style="position:absolute;left:7680;top:-2208;width:2996;height:353" coordorigin="7680,-2208" coordsize="2996,353" path="m7680,-1855l10675,-1855,10675,-2208,7680,-2208,7680,-1855xe" filled="true" fillcolor="#ffffff" stroked="false">
              <v:path arrowok="t"/>
              <v:fill type="solid"/>
            </v:shape>
            <w10:wrap type="none"/>
          </v:group>
        </w:pict>
      </w: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十节 财务报告" w:id="147"/>
      <w:bookmarkEnd w:id="147"/>
      <w:r>
        <w:rPr>
          <w:b w:val="0"/>
          <w:bCs w:val="0"/>
        </w:rPr>
      </w:r>
      <w:bookmarkStart w:name="_bookmark9" w:id="148"/>
      <w:bookmarkEnd w:id="148"/>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5178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吕苏阳、卜刚军</w:t>
            </w:r>
          </w:p>
        </w:tc>
      </w:tr>
    </w:tbl>
    <w:p>
      <w:pPr>
        <w:pStyle w:val="BodyText"/>
        <w:spacing w:line="240" w:lineRule="auto" w:before="51"/>
        <w:ind w:left="2786" w:right="3762"/>
        <w:jc w:val="center"/>
      </w:pPr>
      <w:r>
        <w:rPr/>
        <w:t>审计报告正文</w:t>
      </w:r>
    </w:p>
    <w:p>
      <w:pPr>
        <w:pStyle w:val="BodyText"/>
        <w:spacing w:line="240" w:lineRule="auto" w:before="115"/>
        <w:ind w:right="0"/>
        <w:jc w:val="left"/>
      </w:pPr>
      <w:r>
        <w:rPr/>
        <w:t>美盛文化创意股份有限公司全体股东：</w:t>
      </w:r>
    </w:p>
    <w:p>
      <w:pPr>
        <w:pStyle w:val="BodyText"/>
        <w:spacing w:line="300" w:lineRule="auto" w:before="76"/>
        <w:ind w:right="1131" w:firstLine="360"/>
        <w:jc w:val="both"/>
      </w:pPr>
      <w:r>
        <w:rPr>
          <w:spacing w:val="-2"/>
        </w:rPr>
        <w:t>我们审计了后附的美盛文化创意股份有限公司（以下简称美盛文化公司）财务报表，包括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t> </w:t>
      </w:r>
      <w:r>
        <w:rPr>
          <w:spacing w:val="-2"/>
        </w:rPr>
        <w:t>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年度的合并及母公司利润表、合并及母公司现金流量表、合并及母公司所有者权益变动表，以及财务报</w:t>
      </w:r>
      <w:r>
        <w:rPr>
          <w:spacing w:val="-61"/>
        </w:rPr>
        <w:t> </w:t>
      </w:r>
      <w:r>
        <w:rPr>
          <w:spacing w:val="-61"/>
        </w:rPr>
      </w:r>
      <w:r>
        <w:rPr/>
        <w:t>表附注。</w:t>
      </w:r>
    </w:p>
    <w:p>
      <w:pPr>
        <w:spacing w:line="240" w:lineRule="auto" w:before="3"/>
        <w:rPr>
          <w:rFonts w:ascii="宋体" w:hAnsi="宋体" w:cs="宋体" w:eastAsia="宋体" w:hint="default"/>
          <w:sz w:val="26"/>
          <w:szCs w:val="26"/>
        </w:rPr>
      </w:pPr>
    </w:p>
    <w:p>
      <w:pPr>
        <w:spacing w:line="316" w:lineRule="auto"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编制和公允列报财务报表是美盛文化公司管理层的责任，这种责任包括：（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48" w:lineRule="exact"/>
        <w:ind w:right="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3" w:right="0"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2" w:lineRule="auto" w:before="19"/>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w:t>
      </w:r>
      <w:r>
        <w:rPr>
          <w:rFonts w:ascii="宋体" w:hAnsi="宋体" w:cs="宋体" w:eastAsia="宋体" w:hint="default"/>
          <w:i/>
          <w:spacing w:val="-2"/>
          <w:sz w:val="19"/>
          <w:szCs w:val="19"/>
        </w:rPr>
        <w:t>，</w:t>
      </w:r>
      <w:r>
        <w:rPr>
          <w:spacing w:val="-2"/>
        </w:rPr>
        <w:t>但目的并非对内部控制的有效性发表意见审计工作还包括评价管理层选用会计</w:t>
      </w:r>
      <w:r>
        <w:rPr>
          <w:spacing w:val="-74"/>
        </w:rPr>
        <w:t> </w:t>
      </w:r>
      <w:r>
        <w:rPr/>
        <w:t>政策的恰当性和作出会计估计的合理性，以及评价财务报表的总体列报。</w:t>
      </w:r>
    </w:p>
    <w:p>
      <w:pPr>
        <w:pStyle w:val="BodyText"/>
        <w:spacing w:line="240" w:lineRule="auto" w:before="22"/>
        <w:ind w:left="513"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13" w:right="1118" w:firstLine="1"/>
        <w:jc w:val="left"/>
        <w:rPr>
          <w:rFonts w:ascii="Times New Roman" w:hAnsi="Times New Roman" w:cs="Times New Roman" w:eastAsia="Times New Roman" w:hint="default"/>
        </w:rPr>
      </w:pPr>
      <w:r>
        <w:rPr>
          <w:rFonts w:ascii="宋体" w:hAnsi="宋体" w:cs="宋体" w:eastAsia="宋体" w:hint="default"/>
          <w:b/>
          <w:bCs/>
        </w:rPr>
        <w:t>三、审计意见</w:t>
      </w:r>
      <w:r>
        <w:rPr>
          <w:rFonts w:ascii="宋体" w:hAnsi="宋体" w:cs="宋体" w:eastAsia="宋体" w:hint="default"/>
          <w:b/>
          <w:bCs/>
          <w:w w:val="99"/>
        </w:rPr>
        <w:t> </w:t>
      </w:r>
      <w:r>
        <w:rPr/>
        <w:t>我们认为，美盛文化公司财务报表在所有重大方面按照企业会计准则的规定编制，公允反映了美盛文化公司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p>
    <w:p>
      <w:pPr>
        <w:pStyle w:val="BodyText"/>
        <w:spacing w:line="248" w:lineRule="exact"/>
        <w:ind w:right="0"/>
        <w:jc w:val="left"/>
      </w:pP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right="0"/>
        <w:jc w:val="left"/>
      </w:pPr>
      <w:r>
        <w:rPr/>
        <w:t>天健会计师事务所（特殊普通合伙）</w:t>
      </w:r>
      <w:r>
        <w:rPr>
          <w:spacing w:val="-30"/>
        </w:rPr>
        <w:t> </w:t>
      </w:r>
      <w:r>
        <w:rPr/>
        <w:t>中国注册会计师：</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tabs>
          <w:tab w:pos="2412" w:val="left" w:leader="none"/>
        </w:tabs>
        <w:spacing w:line="600" w:lineRule="auto" w:before="44"/>
        <w:ind w:left="1834" w:right="7072" w:hanging="1261"/>
        <w:jc w:val="left"/>
      </w:pPr>
      <w:r>
        <w:rPr>
          <w:spacing w:val="-1"/>
        </w:rPr>
        <w:t>中国</w:t>
      </w:r>
      <w:r>
        <w:rPr>
          <w:rFonts w:ascii="Times New Roman" w:hAnsi="Times New Roman" w:cs="Times New Roman" w:eastAsia="Times New Roman" w:hint="default"/>
          <w:spacing w:val="-1"/>
        </w:rPr>
        <w:t>·</w:t>
      </w:r>
      <w:r>
        <w:rPr>
          <w:spacing w:val="-1"/>
        </w:rPr>
        <w:t>杭州</w:t>
        <w:tab/>
        <w:tab/>
        <w:t>中国注册会计师：</w:t>
      </w:r>
      <w:r>
        <w:rPr>
          <w:spacing w:val="-84"/>
        </w:rPr>
        <w:t> </w:t>
      </w:r>
      <w:r>
        <w:rPr>
          <w:spacing w:val="-84"/>
        </w:rPr>
      </w:r>
      <w:r>
        <w:rPr/>
        <w:t>二〇一六年四月二十二日</w:t>
      </w:r>
    </w:p>
    <w:p>
      <w:pPr>
        <w:pStyle w:val="Heading2"/>
        <w:spacing w:line="240" w:lineRule="auto" w:before="59"/>
        <w:ind w:right="0"/>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编制单位：美盛文化创意股份有限公司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576,277,605.46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249,627,548.13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7,723,488.68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20,117,601.26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71,175,185.98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60,208,835.73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8,348,920.67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13,900,707.88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1,491,028.78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7,977,632.87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91,201,350.93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175,683,766.71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917,512.39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24,870,912.62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757,135,092.89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552,387,005.20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111,787,684.82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2,551,466.12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34,486,457.32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294,647,245.32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233,586,573.23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32,265,637.60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53,901,144.63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24,095,271.92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23,959,188.68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921,423.56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62,893,767.88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91,276,780.88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5,725,941.47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1,347,501.33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950,656.26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1,548,510.62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625,774,086.15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413,171,165.49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1,382,909,179.04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965,558,170.69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3,013,804.78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60,661,529.50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60,068,472.50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1,762,584.37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258,753.40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7,204,707.73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5,310,650.53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22,216,950.95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8,519,754.81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445,261.48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319,397.12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629,702.80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33,838,572.21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89,816,256.70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182,789,443.53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111,329,405.35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69,560,792.00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16,175,399.21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23,349,413.07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16,321,402.76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6,133,652.40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8,029,400.32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29,483,065.47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110,086,994.29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212,272,509.00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221,416,399.64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384,783,788.30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266,189,872.50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-10,729,082.21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-4,012,131.97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38,660,143.75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28,991,065.07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298,921,852.98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202,752,591.54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1,157,636,702.82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699,621,397.14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12,999,967.22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44,520,373.91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1,170,636,670.04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744,141,771.05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1,382,909,179.04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965,558,170.69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法定代表人：赵小强</w:t>
        <w:tab/>
        <w:t>主管会计工作负责人：竺林芳</w:t>
        <w:tab/>
        <w:t>会计机构负责人：石军龙</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478,011,320.21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176,194,054.60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7,723,488.68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20,117,601.26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67,971,219.55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51,937,625.75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3,595,091.06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4,884,251.19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1,733,643.62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8,762,691.51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41,888,691.08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39,036,520.58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20,000,380.88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600,923,454.20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320,933,125.77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269,830,711.42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230,739,873.20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34,486,457.32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290,898,706.09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231,451,535.71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53,901,144.63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11,879,467.13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12,086,998.54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3,772,583.01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1,174,045.22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1,580,633.22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702,262,970.19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534,760,185.30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1,303,186,424.39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855,693,311.07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3,013,804.78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57,993,056.75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57,296,755.67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1,055,797.30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173,999.78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6,079,810.10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5,190,452.53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20,105,002.90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6,493,182.85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10,037,346.99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18,309,715.91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95,323,464.04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90,477,911.52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22,587,338.11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13,058,731.95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6,133,652.40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8,029,400.32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28,720,990.51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21,088,132.27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124,044,454.55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111,566,043.79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418,535,532.41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299,941,616.61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38,660,143.75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28,991,065.07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275,946,293.68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209,494,585.60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1,179,141,969.84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744,127,267.28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1,303,186,424.39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855,693,311.07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408,101,150.30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455,996,687.08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408,101,150.30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455,996,687.08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332,952,953.64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366,000,308.76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254,198,835.68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289,596,998.44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2,804,792.40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2,522,710.54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15,857,948.52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13,569,135.35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60,657,610.38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50,501,352.72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-7,423,654.18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1,154,076.25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6,857,420.84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8,656,035.46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-9,432,757.80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14,550,446.48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70,623,885.46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10,133,917.62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-2,000,595.96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-446,353.15</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136,339,324.32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114,680,742.42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27,967,009.23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20,661,896.01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3,913.30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967,250.44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1,133,168.59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13,543.55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11,285.47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163,339,083.11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134,209,469.84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36,185,901.55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36,098,816.38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127,153,181.56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98,110,653.46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126,408,340.12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97,125,358.48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744,841.44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985,294.98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-6,999,584.31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-5,388,269.89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-6,716,950.24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-4,535,702.08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-6,716,950.24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-4,535,702.08</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-142,440.14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-6,574,510.10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-4,535,702.08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-282,634.07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-852,567.81</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120,153,597.25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92,722,383.57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119,691,389.88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92,589,656.40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462,207.37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132,727.17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法定代表人：赵小强</w:t>
        <w:tab/>
        <w:t>主管会计工作负责人：竺林芳</w:t>
        <w:tab/>
        <w:t>会计机构负责人：石军龙</w:t>
      </w:r>
    </w:p>
    <w:p>
      <w:pPr>
        <w:pStyle w:val="Heading3"/>
        <w:spacing w:line="240" w:lineRule="auto" w:before="63"/>
        <w:ind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307,199,604.92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385,767,931.98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05.339996pt;margin-top:299.629974pt;width:163.35pt;height:20.8pt;mso-position-horizontal-relative:page;mso-position-vertical-relative:page;z-index:-858448" coordorigin="4107,5993" coordsize="3267,416">
            <v:group style="position:absolute;left:4118;top:6004;width:2;height:393" coordorigin="4118,6004" coordsize="2,393">
              <v:shape style="position:absolute;left:4118;top:6004;width:2;height:393" coordorigin="4118,6004" coordsize="0,393" path="m4118,6004l4118,6396e" filled="false" stroked="true" strokeweight="1.140pt" strokecolor="#ffffff">
                <v:path arrowok="t"/>
              </v:shape>
            </v:group>
            <v:group style="position:absolute;left:4130;top:6004;width:3244;height:393" coordorigin="4130,6004" coordsize="3244,393">
              <v:shape style="position:absolute;left:4130;top:6004;width:3244;height:393" coordorigin="4130,6004" coordsize="3244,393" path="m4130,6396l7374,6396,7374,6004,4130,6004,4130,6396xe" filled="true" fillcolor="#ffffff" stroked="false">
                <v:path arrowok="t"/>
                <v:fill type="solid"/>
              </v:shape>
            </v:group>
            <w10:wrap type="none"/>
          </v:group>
        </w:pict>
      </w:r>
      <w:r>
        <w:rPr/>
        <w:pict>
          <v:group style="position:absolute;margin-left:205.339996pt;margin-top:455.949982pt;width:163.35pt;height:20.8pt;mso-position-horizontal-relative:page;mso-position-vertical-relative:page;z-index:-858424" coordorigin="4107,9119" coordsize="3267,416">
            <v:group style="position:absolute;left:4118;top:9130;width:2;height:393" coordorigin="4118,9130" coordsize="2,393">
              <v:shape style="position:absolute;left:4118;top:9130;width:2;height:393" coordorigin="4118,9130" coordsize="0,393" path="m4118,9130l4118,9523e" filled="false" stroked="true" strokeweight="1.140pt" strokecolor="#ffffff">
                <v:path arrowok="t"/>
              </v:shape>
            </v:group>
            <v:group style="position:absolute;left:4130;top:9130;width:3244;height:393" coordorigin="4130,9130" coordsize="3244,393">
              <v:shape style="position:absolute;left:4130;top:9130;width:3244;height:393" coordorigin="4130,9130" coordsize="3244,393" path="m4130,9523l7374,9523,7374,9130,4130,9130,4130,952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1105"/>
        <w:gridCol w:w="2196"/>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213,162,347.93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254,826,135.11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2,416,068.13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2,337,453.17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7,696,086.11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7,998,329.22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35,407,006.14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30,370,340.73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-7,916,311.48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24,332.47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7,366,999.83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2,732,276.48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-9,432,757.80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14,550,446.48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66,454,198.68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10,445,328.31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-1,434,958.90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106,088,849.14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112,474,839.59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25,438,943.12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18,408,243.84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861,211.74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801,609.15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42" w:right="0"/>
              <w:jc w:val="left"/>
              <w:rPr>
                <w:rFonts w:ascii="Times New Roman" w:hAnsi="Times New Roman" w:cs="Times New Roman" w:eastAsia="Times New Roman" w:hint="default"/>
                <w:sz w:val="18"/>
                <w:szCs w:val="18"/>
              </w:rPr>
            </w:pPr>
            <w:r>
              <w:rPr>
                <w:rFonts w:ascii="Times New Roman"/>
                <w:sz w:val="18"/>
              </w:rPr>
              <w:t>130,666,580.52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130,081,474.28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33,975,793.76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33,139,158.57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96,690,786.76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96,942,315.71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96,690,786.76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96,942,315.71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418,659,896.48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427,300,400.93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21,293,412.90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21,403,344.98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29,419,388.84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28,978,160.69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469,372,698.22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477,681,906.60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254,467,205.39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343,764,234.15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93,330,772.82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78,334,724.35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32,670,262.31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37,933,279.06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37,257,058.56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40,145,476.07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417,725,299.08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500,177,713.63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51,647,399.14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-22,495,807.03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2,612,354.85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10,580,270.77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20,447.46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118,889,337.96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75,117,601.26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287,803,711.99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199,871,994.07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298,404,430.22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90,398,573.27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70,494,682.29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23,009,139.00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5,755,790.67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254,648,573.27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102,259,611.96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-54,776,579.20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196,144,818.26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358,893,915.80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369,893,915.80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22,055,120.85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6,205,153.98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18,268,370.64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26,393,000.00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40,323,491.49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32,598,153.98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329,570,424.31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-17,598,153.98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208,813.08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-2,541,151.91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326,650,057.33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153,509,705.34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249,627,548.13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96,117,842.79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576,277,605.46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249,627,548.13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306,565,260.12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361,778,606.41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21,291,251.17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21,403,344.98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28,895,085.13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19,535,837.92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356,751,596.42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402,717,789.31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193,489,212.01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202,794,390.57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59,147,311.39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58,039,747.47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28,644,849.80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34,381,991.85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21,717,482.00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27,564,261.38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302,998,855.20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322,780,391.27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53,752,741.22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79,937,398.04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2,553,176.77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10,445,328.31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19,611.65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122,468,379.55</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75,117,601.26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200,139,157.58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266,454,939.96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82,807,989.62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68,834,383.15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97,980,300.00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141,543,400.00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300,788,289.62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230,377,783.15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-100,649,132.04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36,077,156.81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358,893,915.80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368,393,915.80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347,823,915.80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889,740.63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-226,671.88</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301,817,265.61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111,112,882.97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176,194,054.60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65,081,171.63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478,011,320.21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176,194,054.60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266,189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,872.50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-4,012,1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31.97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065.07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202,752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,591.54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44,520,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373.91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744,141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,771.05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266,189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,872.50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-4,012,1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31.97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065.07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202,752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,591.54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44,520,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373.91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744,141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,771.05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6" w:lineRule="auto" w:before="51"/>
              <w:ind w:left="11" w:right="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74"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240,30</w:t>
            </w:r>
          </w:p>
          <w:p>
            <w:pPr>
              <w:pStyle w:val="TableParagraph"/>
              <w:spacing w:line="240" w:lineRule="auto" w:before="64"/>
              <w:ind w:left="-135"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0,000.</w:t>
            </w:r>
          </w:p>
          <w:p>
            <w:pPr>
              <w:pStyle w:val="TableParagraph"/>
              <w:spacing w:line="240" w:lineRule="auto" w:before="104"/>
              <w:ind w:left="33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312"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3pt;height:15.6pt;mso-position-horizontal-relative:char;mso-position-vertical-relative:line" coordorigin="0,0" coordsize="506,312">
                  <v:group style="position:absolute;left:0;top:0;width:506;height:312" coordorigin="0,0" coordsize="506,312">
                    <v:shape style="position:absolute;left:0;top:0;width:506;height:312" coordorigin="0,0" coordsize="506,312" path="m0,312l505,312,50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118,593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-6,716,9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50.24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9,669,0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78.68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96,169,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261.44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-31,520,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406.69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426,494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,898.99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-6,716,9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50.24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126,408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,340.12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462,207</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120,153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,597.25</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324,293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,915.80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-822,79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358,071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,122.62</w:t>
            </w:r>
          </w:p>
        </w:tc>
      </w:tr>
      <w:tr>
        <w:trPr>
          <w:trHeight w:val="705"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324,293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,915.80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-822,79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358,071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,122.62</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9,669,0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78.68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-30,239,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078.68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9,669,0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78.68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-9,669,0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78.68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-31,159,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820.88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-31,159,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820.88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384,783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,788.30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-10,729,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082.21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38,660,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143.75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298,921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,852.98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967.22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412,009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,560.82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523,570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833.50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119,996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,464.63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16,962,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304.64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662,288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,733.70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93,500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412,009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523,570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19,296,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5" w:right="0"/>
              <w:jc w:val="left"/>
              <w:rPr>
                <w:rFonts w:ascii="Times New Roman" w:hAnsi="Times New Roman" w:cs="Times New Roman" w:eastAsia="Times New Roman" w:hint="default"/>
                <w:sz w:val="18"/>
                <w:szCs w:val="18"/>
              </w:rPr>
            </w:pPr>
            <w:r>
              <w:rPr>
                <w:rFonts w:ascii="Times New Roman"/>
                <w:sz w:val="18"/>
              </w:rPr>
              <w:t>119,996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16,962,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662,288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,560.82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833.50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,464.63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304.64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,733.70</w:t>
            </w:r>
          </w:p>
        </w:tc>
      </w:tr>
      <w:tr>
        <w:trPr>
          <w:trHeight w:val="1026" w:hRule="exact"/>
        </w:trPr>
        <w:tc>
          <w:tcPr>
            <w:tcW w:w="143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9" w:lineRule="auto" w:before="51"/>
              <w:ind w:left="22" w:right="15"/>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112,20</w:t>
            </w:r>
          </w:p>
          <w:p>
            <w:pPr>
              <w:pStyle w:val="TableParagraph"/>
              <w:spacing w:line="240" w:lineRule="auto" w:before="64"/>
              <w:ind w:left="-130"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0,000.</w:t>
            </w:r>
          </w:p>
          <w:p>
            <w:pPr>
              <w:pStyle w:val="TableParagraph"/>
              <w:spacing w:line="240" w:lineRule="auto" w:before="104"/>
              <w:ind w:left="34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31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35pt;height:15.6pt;mso-position-horizontal-relative:char;mso-position-vertical-relative:line" coordorigin="0,0" coordsize="507,312">
                  <v:group style="position:absolute;left:0;top:0;width:507;height:312" coordorigin="0,0" coordsize="507,312">
                    <v:shape style="position:absolute;left:0;top:0;width:507;height:312" coordorigin="0,0" coordsize="507,312" path="m0,312l506,312,50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9,688.3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-4,535,7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82,756,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126.91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27,558,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069.27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81,853,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037.35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-4,535,7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97,125,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358.48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132,727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92,722,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383.57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-33,619,</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688.32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-33,619,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688.32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-33,619,</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688.32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-33,619,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688.32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-14,369,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231.57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31.57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112,20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112,20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27,425,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342.10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27,425,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342.10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266,189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,872.50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-4,012,1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31.97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065.07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202,752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,591.54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44,520,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373.91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744,141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,771.05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299,941,6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28,991,06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209,494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,585.60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744,127,2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67.28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299,941,6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28,991,06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209,494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,585.60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744,127,2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67.28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8" w:right="0"/>
              <w:jc w:val="center"/>
              <w:rPr>
                <w:rFonts w:ascii="Times New Roman" w:hAnsi="Times New Roman" w:cs="Times New Roman" w:eastAsia="Times New Roman" w:hint="default"/>
                <w:sz w:val="18"/>
                <w:szCs w:val="18"/>
              </w:rPr>
            </w:pPr>
            <w:r>
              <w:rPr>
                <w:rFonts w:ascii="Times New Roman"/>
                <w:sz w:val="18"/>
              </w:rPr>
              <w:t>240,300,</w:t>
            </w:r>
          </w:p>
          <w:p>
            <w:pPr>
              <w:pStyle w:val="TableParagraph"/>
              <w:spacing w:line="171"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44"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
              <w:ind w:right="0"/>
              <w:jc w:val="left"/>
              <w:rPr>
                <w:rFonts w:ascii="宋体" w:hAnsi="宋体" w:cs="宋体" w:eastAsia="宋体" w:hint="default"/>
                <w:sz w:val="11"/>
                <w:szCs w:val="11"/>
              </w:rPr>
            </w:pPr>
          </w:p>
          <w:p>
            <w:pPr>
              <w:pStyle w:val="TableParagraph"/>
              <w:spacing w:line="727" w:lineRule="exact"/>
              <w:ind w:left="4" w:right="-14"/>
              <w:jc w:val="left"/>
              <w:rPr>
                <w:rFonts w:ascii="宋体" w:hAnsi="宋体" w:cs="宋体" w:eastAsia="宋体" w:hint="default"/>
                <w:sz w:val="20"/>
                <w:szCs w:val="20"/>
              </w:rPr>
            </w:pPr>
            <w:r>
              <w:rPr>
                <w:rFonts w:ascii="宋体" w:hAnsi="宋体" w:cs="宋体" w:eastAsia="宋体" w:hint="default"/>
                <w:position w:val="-14"/>
                <w:sz w:val="20"/>
                <w:szCs w:val="20"/>
              </w:rPr>
              <w:pict>
                <v:group style="width:32.9pt;height:36.4pt;mso-position-horizontal-relative:char;mso-position-vertical-relative:line" coordorigin="0,0" coordsize="658,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635;height:353" coordorigin="23,11" coordsize="635,353">
                    <v:shape style="position:absolute;left:23;top:11;width:635;height:353" coordorigin="23,11" coordsize="635,353" path="m23,364l658,364,658,11,23,11,23,364xe" filled="true" fillcolor="#ffffff" stroked="false">
                      <v:path arrowok="t"/>
                      <v:fill type="solid"/>
                    </v:shape>
                  </v:group>
                  <v:group style="position:absolute;left:23;top:364;width:635;height:352" coordorigin="23,364" coordsize="635,352">
                    <v:shape style="position:absolute;left:23;top:364;width:635;height:352" coordorigin="23,364" coordsize="635,352" path="m23,716l658,716,658,364,23,364,23,716xe" filled="true" fillcolor="#ffffff" stroked="false">
                      <v:path arrowok="t"/>
                      <v:fill type="solid"/>
                    </v:shape>
                  </v:group>
                </v:group>
              </w:pict>
            </w:r>
            <w:r>
              <w:rPr>
                <w:rFonts w:ascii="宋体" w:hAnsi="宋体" w:cs="宋体" w:eastAsia="宋体" w:hint="default"/>
                <w:position w:val="-14"/>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118,593,9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15.80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9,669,078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66,451,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708.08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435,014,7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02.56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96,690,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786.76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96,690,78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6.76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34,600,0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324,293,9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15.80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358,893,9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15.80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34,600,0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324,293,9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15.80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358,893,9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15.80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9,669,078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-30,239,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078.68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9,669,078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-9,669,0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78.68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-20,570,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446,000,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418,535,5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38,660,14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275,946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,293.68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1,179,141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,969.84</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93,500,0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412,141,6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19,296,83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126,921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,501.46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651,859,9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51.57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93,500,0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412,141,6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19,296,83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126,921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,501.46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651,859,9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51.57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9" w:right="0"/>
              <w:jc w:val="left"/>
              <w:rPr>
                <w:rFonts w:ascii="Times New Roman" w:hAnsi="Times New Roman" w:cs="Times New Roman" w:eastAsia="Times New Roman" w:hint="default"/>
                <w:sz w:val="18"/>
                <w:szCs w:val="18"/>
              </w:rPr>
            </w:pPr>
            <w:r>
              <w:rPr>
                <w:rFonts w:ascii="Times New Roman"/>
                <w:sz w:val="18"/>
              </w:rPr>
              <w:t>112,200,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-112,200,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9,694,231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82,573,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92,267,31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9.020004pt;margin-top:71.909981pt;width:32.9pt;height:18.8pt;mso-position-horizontal-relative:page;mso-position-vertical-relative:page;z-index:-858328" coordorigin="2580,1438" coordsize="658,376">
            <v:group style="position:absolute;left:2592;top:1450;width:2;height:353" coordorigin="2592,1450" coordsize="2,353">
              <v:shape style="position:absolute;left:2592;top:1450;width:2;height:353" coordorigin="2592,1450" coordsize="0,353" path="m2592,1450l2592,1802e" filled="false" stroked="true" strokeweight="1.140pt" strokecolor="#ffffff">
                <v:path arrowok="t"/>
              </v:shape>
            </v:group>
            <v:group style="position:absolute;left:2603;top:1450;width:635;height:353" coordorigin="2603,1450" coordsize="635,353">
              <v:shape style="position:absolute;left:2603;top:1450;width:635;height:353" coordorigin="2603,1450" coordsize="635,353" path="m2603,1802l3238,1802,3238,1450,2603,1450,2603,18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114"/>
        <w:gridCol w:w="577"/>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12"/>
              <w:jc w:val="left"/>
              <w:rPr>
                <w:rFonts w:ascii="宋体" w:hAnsi="宋体" w:cs="宋体" w:eastAsia="宋体" w:hint="default"/>
                <w:sz w:val="18"/>
                <w:szCs w:val="18"/>
              </w:rPr>
            </w:pP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5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084.14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5.71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315.71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96,942,31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9,694,231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-14,369,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231.57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-4,675,00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9,694,231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-9,694,2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31.57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-4,675,0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-4,675,00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-112,200,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gridSpan w:val="2"/>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205,700,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299,941,6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28,991,06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209,494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,585.60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744,127,2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59"/>
      <w:bookmarkEnd w:id="15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450"/>
        <w:jc w:val="both"/>
      </w:pPr>
      <w:r>
        <w:rPr/>
        <w:t>美盛文化创意股份有限公司（以下简称公司或本公司）系由原新昌美盛饰品有限公司以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日为基准日整体 变更设立的股份有限公司，于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日在浙江省工商行政管理局重新登记注册，总部位于浙江省绍兴市新昌县。公司</w:t>
      </w:r>
      <w:r>
        <w:rPr>
          <w:spacing w:val="-83"/>
        </w:rPr>
        <w:t> </w:t>
      </w:r>
      <w:r>
        <w:rPr>
          <w:spacing w:val="-83"/>
        </w:rPr>
      </w:r>
      <w:r>
        <w:rPr/>
        <w:t>现持有注册号为</w:t>
      </w:r>
      <w:r>
        <w:rPr>
          <w:rFonts w:ascii="Times New Roman" w:hAnsi="Times New Roman" w:cs="Times New Roman" w:eastAsia="Times New Roman" w:hint="default"/>
        </w:rPr>
        <w:t>330600400009081</w:t>
      </w:r>
      <w:r>
        <w:rPr/>
        <w:t>的营业执照，注册资本</w:t>
      </w:r>
      <w:r>
        <w:rPr>
          <w:rFonts w:ascii="Times New Roman" w:hAnsi="Times New Roman" w:cs="Times New Roman" w:eastAsia="Times New Roman" w:hint="default"/>
        </w:rPr>
        <w:t>44,600</w:t>
      </w:r>
      <w:r>
        <w:rPr/>
        <w:t>万元，股份总数</w:t>
      </w:r>
      <w:r>
        <w:rPr>
          <w:rFonts w:ascii="Times New Roman" w:hAnsi="Times New Roman" w:cs="Times New Roman" w:eastAsia="Times New Roman" w:hint="default"/>
        </w:rPr>
        <w:t>44,600</w:t>
      </w:r>
      <w:r>
        <w:rPr/>
        <w:t>万股（每股面值</w:t>
      </w:r>
      <w:r>
        <w:rPr>
          <w:rFonts w:ascii="Times New Roman" w:hAnsi="Times New Roman" w:cs="Times New Roman" w:eastAsia="Times New Roman" w:hint="default"/>
        </w:rPr>
        <w:t>1</w:t>
      </w:r>
      <w:r>
        <w:rPr/>
        <w:t>元）。其中，有限售</w:t>
      </w:r>
      <w:r>
        <w:rPr>
          <w:spacing w:val="-85"/>
        </w:rPr>
        <w:t> </w:t>
      </w:r>
      <w:r>
        <w:rPr>
          <w:spacing w:val="-85"/>
        </w:rPr>
      </w:r>
      <w:r>
        <w:rPr/>
        <w:t>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86,522,400</w:t>
      </w:r>
      <w:r>
        <w:rPr/>
        <w:t>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359,477,600</w:t>
      </w:r>
      <w:r>
        <w:rPr/>
        <w:t>股。公司股票已于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日在深圳证券交</w:t>
      </w:r>
      <w:r>
        <w:rPr>
          <w:spacing w:val="-80"/>
        </w:rPr>
        <w:t> </w:t>
      </w:r>
      <w:r>
        <w:rPr>
          <w:spacing w:val="-80"/>
        </w:rPr>
      </w:r>
      <w:r>
        <w:rPr/>
        <w:t>易所挂牌交易。</w:t>
      </w:r>
    </w:p>
    <w:p>
      <w:pPr>
        <w:pStyle w:val="BodyText"/>
        <w:spacing w:line="316" w:lineRule="auto" w:before="31"/>
        <w:ind w:right="1133" w:firstLine="360"/>
        <w:jc w:val="both"/>
      </w:pPr>
      <w:r>
        <w:rPr>
          <w:spacing w:val="-2"/>
        </w:rPr>
        <w:t>本公司属动漫服饰行业。涉足动漫原创、影视制作、动画制作、动漫衍生品研发生产和销售、媒体广告、网络游戏、手</w:t>
      </w:r>
      <w:r>
        <w:rPr/>
        <w:t> 机游戏、演艺等领域。</w:t>
      </w:r>
    </w:p>
    <w:p>
      <w:pPr>
        <w:pStyle w:val="BodyText"/>
        <w:spacing w:line="300" w:lineRule="auto" w:before="19"/>
        <w:ind w:left="573" w:right="0" w:hanging="60"/>
        <w:jc w:val="left"/>
      </w:pPr>
      <w:r>
        <w:rPr/>
        <w:t>本财务报表业经公司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日二届二十七次董事会批准对外报出。 本公司将上海纯真年代影视投资有限公司、杭州美盛游戏技术开发有限公司（原名浙江缔顺科技有限公司）、香港美</w:t>
      </w:r>
    </w:p>
    <w:p>
      <w:pPr>
        <w:pStyle w:val="BodyText"/>
        <w:spacing w:line="300" w:lineRule="auto" w:before="31"/>
        <w:ind w:left="154" w:right="0"/>
        <w:jc w:val="left"/>
      </w:pPr>
      <w:r>
        <w:rPr>
          <w:spacing w:val="-2"/>
        </w:rPr>
        <w:t>盛文化有限公司等</w:t>
      </w:r>
      <w:r>
        <w:rPr>
          <w:rFonts w:ascii="Times New Roman" w:hAnsi="Times New Roman" w:cs="Times New Roman" w:eastAsia="Times New Roman" w:hint="default"/>
          <w:spacing w:val="-2"/>
        </w:rPr>
        <w:t>11</w:t>
      </w:r>
      <w:r>
        <w:rPr>
          <w:spacing w:val="-2"/>
        </w:rPr>
        <w:t>家子公司纳入本合并财务报表范围，部分子公司、联营企业全称及简称如下表所示，情况详见本财务报</w:t>
      </w:r>
      <w:r>
        <w:rPr>
          <w:spacing w:val="-64"/>
        </w:rPr>
        <w:t> </w:t>
      </w:r>
      <w:r>
        <w:rPr>
          <w:spacing w:val="-64"/>
        </w:rPr>
      </w:r>
      <w:r>
        <w:rPr/>
        <w:t>表附注合并范围的变更和在其他主体中的权益之说明。</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公司简称</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莱盛童话服饰（上海）有限公司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莱盛童话</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杭州美盛动漫有限公司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美盛动漫</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香港美盛文化有限公司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香港美盛</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嵊州市美源饰品有限公司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美源饰品</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杭州美盛游戏技术开发有限公司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美盛游戏</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内蒙古荣盛文化传媒股份有限公司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荣盛文化</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星梦工坊</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上海纯真年代影视投资有限公司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纯真年代</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杭州美盛电子商务有限公司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美盛电商</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杭州美盛二次元文化发展有限公司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美盛二次元</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杭州美盛爱彼文化发展有限公司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美盛爱彼</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上海瑛麒动漫科技有限公司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瑛麒动漫</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北京微媒互动科技有限公司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微媒互动</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广州创幻数码科技有限公司</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广州创幻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3"/>
        <w:ind w:left="154" w:right="0"/>
        <w:jc w:val="left"/>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68" w:right="0"/>
        <w:jc w:val="left"/>
      </w:pPr>
      <w:r>
        <w:rPr/>
        <w:t>本公司财务报表以持续经营为编制基础。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6" w:right="3550" w:hanging="363"/>
        <w:jc w:val="left"/>
      </w:pPr>
      <w:r>
        <w:rPr/>
        <w:t>具体会计政策和会计估计提示： 以下披露内容已涵盖了本公司根据实际生产经营特点制定的具体会计政策和会计估计。</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290"/>
        <w:jc w:val="left"/>
      </w:pPr>
      <w:r>
        <w:rPr>
          <w:spacing w:val="-1"/>
        </w:rPr>
        <w:t>本公司所编制的财务报表符合企业会计准则的要求，真实、完整地反映了公司的财务状况、经营成果和现金流量等有关</w:t>
      </w:r>
      <w:r>
        <w:rPr/>
        <w:t> 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65"/>
      <w:bookmarkEnd w:id="16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spacing w:line="547" w:lineRule="auto" w:before="0"/>
        <w:ind w:left="153" w:right="4272" w:firstLine="0"/>
        <w:jc w:val="left"/>
        <w:rPr>
          <w:rFonts w:ascii="宋体" w:hAnsi="宋体" w:cs="宋体" w:eastAsia="宋体" w:hint="default"/>
          <w:sz w:val="21"/>
          <w:szCs w:val="21"/>
        </w:rPr>
      </w:pPr>
      <w:bookmarkStart w:name="3、营业周期" w:id="166"/>
      <w:bookmarkEnd w:id="1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18"/>
          <w:szCs w:val="18"/>
        </w:rPr>
        <w:t>公司经营业务的营业周期较短，以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个月作为资产和负债的流动性划分标准。 </w:t>
      </w:r>
      <w:bookmarkStart w:name="4、记账本位币" w:id="167"/>
      <w:bookmarkEnd w:id="16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9"/>
        <w:ind w:left="573" w:right="0"/>
        <w:jc w:val="left"/>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1"/>
        <w:ind w:right="1033"/>
        <w:jc w:val="left"/>
      </w:pPr>
      <w:r>
        <w:rPr/>
        <w:t>被合并方所有者权益在最终控制方合并财务报表中的账面价值份额与支付的合并对价账面价值或发行股份面值总额的差额， 调整资本公积；资本公积不足冲减的，调整留存收益。</w:t>
      </w:r>
    </w:p>
    <w:p>
      <w:pPr>
        <w:pStyle w:val="BodyText"/>
        <w:spacing w:line="300" w:lineRule="auto" w:before="19"/>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非同一控制下企业合并的会计处理方法 公司在购买日对合并成本大于合并中取得的被购买方可辨认净资产公允价值份额的差额，确认为商誉；如果合并成本</w:t>
      </w:r>
    </w:p>
    <w:p>
      <w:pPr>
        <w:pStyle w:val="BodyText"/>
        <w:spacing w:line="316" w:lineRule="auto" w:before="31"/>
        <w:ind w:right="113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8、现金及现金等价物的确定标准" w:id="171"/>
      <w:bookmarkEnd w:id="17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列示于现金流量表中的现金是指库存现金以及可以随时用于支付的存款。现金等价物是指企业持有的期限短、流动性 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外币业务折算 外币交易在初始确认时，采用交易发生日的即期汇率折算为人民币金额。资产负债表日，外币货币性项目采用资产负</w:t>
      </w:r>
    </w:p>
    <w:p>
      <w:pPr>
        <w:pStyle w:val="BodyText"/>
        <w:spacing w:line="309" w:lineRule="auto" w:before="31"/>
        <w:ind w:right="1130"/>
        <w:jc w:val="both"/>
      </w:pPr>
      <w:r>
        <w:rPr>
          <w:spacing w:val="-2"/>
        </w:rPr>
        <w:t>债表日即期汇率折算，因汇率不同而产生的汇兑差额，除与购建符合资本化条件资产有关的外币专门借款本金及利息的汇兑</w:t>
      </w:r>
      <w:r>
        <w:rPr>
          <w:spacing w:val="-64"/>
        </w:rPr>
        <w:t> </w:t>
      </w:r>
      <w:r>
        <w:rPr>
          <w:spacing w:val="-64"/>
        </w:rPr>
      </w:r>
      <w:r>
        <w:rPr>
          <w:spacing w:val="-2"/>
        </w:rPr>
        <w:t>差额外，计入当期损益；以历史成本计量的外币非货币性项目仍采用交易发生日的即期汇</w:t>
      </w:r>
      <w:r>
        <w:rPr>
          <w:rFonts w:ascii="宋体" w:hAnsi="宋体" w:cs="宋体" w:eastAsia="宋体" w:hint="default"/>
          <w:i/>
          <w:spacing w:val="-2"/>
          <w:sz w:val="19"/>
          <w:szCs w:val="19"/>
        </w:rPr>
        <w:t>率</w:t>
      </w:r>
      <w:r>
        <w:rPr>
          <w:spacing w:val="-2"/>
        </w:rPr>
        <w:t>折算，不改变其人民币金额；以</w:t>
      </w:r>
      <w:r>
        <w:rPr>
          <w:spacing w:val="-76"/>
        </w:rPr>
        <w:t> </w:t>
      </w:r>
      <w:r>
        <w:rPr>
          <w:spacing w:val="-76"/>
        </w:rPr>
      </w:r>
      <w:r>
        <w:rPr/>
        <w:t>公允价值计量的外币非货币性项目，采用公允价值确定日的即期汇率折算，差额计入当期损益或其他综合收益。</w:t>
      </w:r>
    </w:p>
    <w:p>
      <w:pPr>
        <w:pStyle w:val="BodyText"/>
        <w:spacing w:line="300" w:lineRule="auto" w:before="24"/>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3"/>
        <w:ind w:right="0"/>
        <w:jc w:val="left"/>
      </w:pPr>
      <w:r>
        <w:rPr>
          <w:spacing w:val="-2"/>
        </w:rPr>
        <w:t>项目采用交易发生日的即期汇率折算；利润表中的收入和费用项目，采用交易发生日即期汇率的近似汇率折算。按照上述折</w:t>
      </w:r>
      <w:r>
        <w:rPr>
          <w:spacing w:val="-66"/>
        </w:rPr>
        <w:t> </w:t>
      </w:r>
      <w:r>
        <w:rPr>
          <w:spacing w:val="-66"/>
        </w:rPr>
      </w:r>
      <w:r>
        <w:rPr/>
        <w:t>算产生的外币财务报表折算差额，计入其他综合收益。</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金融资产和金融负债的分类 金融资产在初始确认时划分为以下四类：以公允价值计量且其变动计入当期损益的金融资产（包括交易性金融资产和</w:t>
      </w:r>
    </w:p>
    <w:p>
      <w:pPr>
        <w:pStyle w:val="BodyText"/>
        <w:spacing w:line="316" w:lineRule="auto" w:before="31"/>
        <w:ind w:left="154" w:right="1118"/>
        <w:jc w:val="left"/>
      </w:pPr>
      <w:r>
        <w:rPr>
          <w:spacing w:val="-2"/>
        </w:rPr>
        <w:t>在初始确认时指定为以公允价值计量且其变动计入当期损益的金融资产）、持有至到期投资、贷款和应收款项、可供出售金</w:t>
      </w:r>
      <w:r>
        <w:rPr>
          <w:spacing w:val="-66"/>
        </w:rPr>
        <w:t> </w:t>
      </w:r>
      <w:r>
        <w:rPr>
          <w:spacing w:val="-66"/>
        </w:rPr>
      </w:r>
      <w:r>
        <w:rPr/>
        <w:t>融资产。</w:t>
      </w:r>
    </w:p>
    <w:p>
      <w:pPr>
        <w:pStyle w:val="BodyText"/>
        <w:spacing w:line="316" w:lineRule="auto" w:before="19"/>
        <w:ind w:left="154" w:right="1128" w:firstLine="420"/>
        <w:jc w:val="both"/>
      </w:pPr>
      <w:r>
        <w:rPr/>
        <w:t>金融负债在初始确认时划分为以下两类：以公允价值计量且其变动计入当期损益的金融负债（包括交易性金融负债和 在初始确认时指定为以公允价值计量且其变动计入当期损益的金融负债）、其他金融负债。</w:t>
      </w:r>
    </w:p>
    <w:p>
      <w:pPr>
        <w:pStyle w:val="BodyText"/>
        <w:spacing w:line="300" w:lineRule="auto" w:before="19"/>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金融资产和金融负债的确认依据、计量方法和终止确认条件 公司成为金融工具合同的一方时，确认一项金融资产或金融负债。初始确认金融资产或金融负债时，按照公允价值计</w:t>
      </w:r>
    </w:p>
    <w:p>
      <w:pPr>
        <w:pStyle w:val="BodyText"/>
        <w:spacing w:line="316" w:lineRule="auto" w:before="31"/>
        <w:ind w:left="154" w:right="0"/>
        <w:jc w:val="left"/>
      </w:pPr>
      <w:r>
        <w:rPr>
          <w:spacing w:val="-2"/>
        </w:rPr>
        <w:t>量；对于以公允价值计量且其变动计入当期损益的金融资产和金融负债，相关交易费用直接计入当期损益；对于其他类别的</w:t>
      </w:r>
      <w:r>
        <w:rPr>
          <w:spacing w:val="-66"/>
        </w:rPr>
        <w:t> </w:t>
      </w:r>
      <w:r>
        <w:rPr>
          <w:spacing w:val="-66"/>
        </w:rPr>
      </w:r>
      <w:r>
        <w:rPr/>
        <w:t>金融资产或金融负债，相关交易费用计入初始确认金额。</w:t>
      </w:r>
    </w:p>
    <w:p>
      <w:pPr>
        <w:pStyle w:val="BodyText"/>
        <w:spacing w:line="309" w:lineRule="auto" w:before="19"/>
        <w:ind w:left="154" w:right="1024" w:firstLine="420"/>
        <w:jc w:val="left"/>
      </w:pPr>
      <w:r>
        <w:rPr>
          <w:spacing w:val="-1"/>
        </w:rPr>
        <w:t>公司按照公允价值对金融资产进行后续计量，且不扣除将来处置该金融资产时可能发生的交易费用，但下列情况除外：</w:t>
      </w:r>
      <w:r>
        <w:rPr/>
        <w:t>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66"/>
        </w:rPr>
        <w:t> </w:t>
      </w:r>
      <w:r>
        <w:rPr>
          <w:spacing w:val="-66"/>
        </w:rPr>
      </w:r>
      <w:r>
        <w:rPr/>
        <w:t>可靠计量的权益工具投资，以及与该权益工具挂钩并须通过交付该权益工具结算的衍生金融资产，按照成本计量。</w:t>
      </w:r>
    </w:p>
    <w:p>
      <w:pPr>
        <w:pStyle w:val="BodyText"/>
        <w:spacing w:line="302" w:lineRule="auto" w:before="24"/>
        <w:ind w:left="154" w:right="1127" w:firstLine="420"/>
        <w:jc w:val="both"/>
      </w:pPr>
      <w:r>
        <w:rPr>
          <w:spacing w:val="-2"/>
        </w:rPr>
        <w:t>公司采用实际利率法，按摊余成本对金融负债进行后续计量，但下列情况除外：</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6"/>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按照《企业会计准则第</w:t>
      </w:r>
      <w:r>
        <w:rPr>
          <w:spacing w:val="-81"/>
        </w:rPr>
        <w:t> </w:t>
      </w:r>
      <w:r>
        <w:rPr>
          <w:spacing w:val="-8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61"/>
        </w:rPr>
        <w:t> </w:t>
      </w:r>
      <w:r>
        <w:rPr>
          <w:spacing w:val="-61"/>
        </w:rPr>
      </w:r>
      <w:r>
        <w:rPr/>
        <w:t>的余额。</w:t>
      </w:r>
    </w:p>
    <w:p>
      <w:pPr>
        <w:pStyle w:val="BodyText"/>
        <w:spacing w:line="312" w:lineRule="auto" w:before="29"/>
        <w:ind w:left="154"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1"/>
        </w:rPr>
        <w:t> </w:t>
      </w:r>
      <w:r>
        <w:rPr>
          <w:spacing w:val="-1"/>
        </w:rPr>
        <w:t>以公允价值计量</w:t>
      </w:r>
      <w:r>
        <w:rPr/>
        <w:t>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可供出售金融资产的公允价值变动计入其他综合收益；持有期间按实际利率法计算的利息，计入</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6" w:lineRule="auto" w:before="19"/>
        <w:ind w:right="1132"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300" w:lineRule="auto" w:before="19"/>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金融资产转移的确认依据和计量方法 公司已将金融资产所有权上几乎所有的风险和报酬转移给了转入方的，终止确认该金融资产；保留了金融资产所有权</w:t>
      </w:r>
    </w:p>
    <w:p>
      <w:pPr>
        <w:pStyle w:val="BodyText"/>
        <w:spacing w:line="309" w:lineRule="auto" w:before="31"/>
        <w:ind w:right="1029"/>
        <w:jc w:val="left"/>
      </w:pPr>
      <w:r>
        <w:rPr>
          <w:spacing w:val="-2"/>
        </w:rPr>
        <w:t>上几乎所有的风险和报酬的，继续确认所转移的金融资产，并将收到的对价确认为一项金融负债。公司既没有转移也没有保</w:t>
      </w:r>
      <w:r>
        <w:rPr>
          <w:spacing w:val="-66"/>
        </w:rPr>
        <w:t> </w:t>
      </w:r>
      <w:r>
        <w:rPr>
          <w:spacing w:val="-66"/>
        </w:rPr>
      </w:r>
      <w:r>
        <w:rPr>
          <w:spacing w:val="-2"/>
        </w:rPr>
        <w:t>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1"/>
        </w:rPr>
        <w:t> </w:t>
      </w:r>
      <w:r>
        <w:rPr>
          <w:spacing w:val="-2"/>
        </w:rPr>
        <w:t>放弃了对该金融资产控制的，终止确认该金融资产；</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未放弃对该金融资产控制的，按照继续涉入所转移金融资产的程度确认有关金融资产，并相应确认有关负债。</w:t>
      </w:r>
    </w:p>
    <w:p>
      <w:pPr>
        <w:pStyle w:val="BodyText"/>
        <w:spacing w:line="309" w:lineRule="auto" w:before="5"/>
        <w:ind w:right="1129" w:firstLine="420"/>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 </w:t>
      </w:r>
      <w:r>
        <w:rPr>
          <w:spacing w:val="-4"/>
        </w:rPr>
        <w:t>所转移金融资产的账面价值；</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6"/>
        </w:rPr>
        <w:t> </w:t>
      </w:r>
      <w:r>
        <w:rPr/>
        <w:t>因 </w:t>
      </w: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终止确认部分的对价，与原直接计入所有者权益的公允价值变</w:t>
      </w:r>
      <w:r>
        <w:rPr>
          <w:spacing w:val="-83"/>
        </w:rPr>
        <w:t> </w:t>
      </w:r>
      <w:r>
        <w:rPr>
          <w:spacing w:val="-83"/>
        </w:rPr>
      </w:r>
      <w:r>
        <w:rPr/>
        <w:t>动累计额中对应终止确认部分的金额之和。</w:t>
      </w:r>
    </w:p>
    <w:p>
      <w:pPr>
        <w:pStyle w:val="BodyText"/>
        <w:spacing w:line="300" w:lineRule="auto" w:before="24"/>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1"/>
        <w:ind w:right="0"/>
        <w:jc w:val="left"/>
      </w:pPr>
      <w:r>
        <w:rPr/>
        <w:t>值。公司将估值技术使用的输入值分以下层级，并依次使用：</w:t>
      </w:r>
    </w:p>
    <w:p>
      <w:pPr>
        <w:pStyle w:val="BodyText"/>
        <w:spacing w:line="240" w:lineRule="auto" w:before="76"/>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pStyle w:val="BodyText"/>
        <w:spacing w:line="309" w:lineRule="auto" w:before="63"/>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2"/>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7"/>
        </w:rPr>
        <w:t> </w:t>
      </w:r>
      <w:r>
        <w:rPr>
          <w:spacing w:val="-67"/>
        </w:rPr>
      </w:r>
      <w:r>
        <w:rPr/>
        <w:t>的利率和收益率曲线等；市场验证的输入值等；</w:t>
      </w:r>
    </w:p>
    <w:p>
      <w:pPr>
        <w:pStyle w:val="BodyText"/>
        <w:spacing w:line="300" w:lineRule="auto" w:before="24"/>
        <w:ind w:right="113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2"/>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金融资产的减值测试和减值准备计提方法</w:t>
      </w:r>
    </w:p>
    <w:p>
      <w:pPr>
        <w:pStyle w:val="BodyText"/>
        <w:spacing w:line="300" w:lineRule="auto" w:before="63"/>
        <w:ind w:left="15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2"/>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left="154"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spacing w:val="-2"/>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7"/>
        </w:rPr>
        <w:t> </w:t>
      </w:r>
      <w:r>
        <w:rPr>
          <w:spacing w:val="-67"/>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测试。测试结果表明其发生了减值的，根据其账面价值高于预计未来现金流量现值的差额确认减值损失。</w:t>
      </w:r>
    </w:p>
    <w:p>
      <w:pPr>
        <w:pStyle w:val="BodyText"/>
        <w:spacing w:line="240" w:lineRule="auto" w:before="22"/>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可供出售金融资产</w:t>
      </w:r>
    </w:p>
    <w:p>
      <w:pPr>
        <w:pStyle w:val="BodyText"/>
        <w:spacing w:line="240" w:lineRule="auto" w:before="63"/>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表明可供出售债务工具投资发生减值的客观证据包括：</w:t>
      </w:r>
    </w:p>
    <w:p>
      <w:pPr>
        <w:pStyle w:val="BodyText"/>
        <w:spacing w:line="240" w:lineRule="auto" w:before="63"/>
        <w:ind w:left="573" w:right="0"/>
        <w:jc w:val="left"/>
      </w:pPr>
      <w:r>
        <w:rPr/>
        <w:t>①</w:t>
      </w:r>
      <w:r>
        <w:rPr>
          <w:spacing w:val="-19"/>
        </w:rPr>
        <w:t> </w:t>
      </w:r>
      <w:r>
        <w:rPr/>
        <w:t>债务人发生严重财务困难；</w:t>
      </w:r>
    </w:p>
    <w:p>
      <w:pPr>
        <w:pStyle w:val="BodyText"/>
        <w:spacing w:line="240" w:lineRule="auto" w:before="76"/>
        <w:ind w:left="573" w:right="0"/>
        <w:jc w:val="left"/>
      </w:pPr>
      <w:r>
        <w:rPr/>
        <w:t>②</w:t>
      </w:r>
      <w:r>
        <w:rPr>
          <w:spacing w:val="-19"/>
        </w:rPr>
        <w:t> </w:t>
      </w:r>
      <w:r>
        <w:rPr/>
        <w:t>债务人违反了合同条款，如偿付利息或本金发生违约或逾期；</w:t>
      </w:r>
    </w:p>
    <w:p>
      <w:pPr>
        <w:pStyle w:val="BodyText"/>
        <w:spacing w:line="240" w:lineRule="auto" w:before="76"/>
        <w:ind w:left="573" w:right="0"/>
        <w:jc w:val="left"/>
      </w:pPr>
      <w:r>
        <w:rPr/>
        <w:t>③</w:t>
      </w:r>
      <w:r>
        <w:rPr>
          <w:spacing w:val="-19"/>
        </w:rPr>
        <w:t> </w:t>
      </w:r>
      <w:r>
        <w:rPr/>
        <w:t>公司出于经济或法律等方面因素的考虑，对发生财务困难的债务人作出让步；</w:t>
      </w:r>
    </w:p>
    <w:p>
      <w:pPr>
        <w:pStyle w:val="BodyText"/>
        <w:spacing w:line="240" w:lineRule="auto" w:before="76"/>
        <w:ind w:left="573" w:right="0"/>
        <w:jc w:val="left"/>
      </w:pPr>
      <w:r>
        <w:rPr/>
        <w:t>④</w:t>
      </w:r>
      <w:r>
        <w:rPr>
          <w:spacing w:val="-19"/>
        </w:rPr>
        <w:t> </w:t>
      </w:r>
      <w:r>
        <w:rPr/>
        <w:t>债务人很可能倒闭或进行其他财务重组；</w:t>
      </w:r>
    </w:p>
    <w:p>
      <w:pPr>
        <w:pStyle w:val="BodyText"/>
        <w:spacing w:line="240" w:lineRule="auto" w:before="76"/>
        <w:ind w:left="573" w:right="0"/>
        <w:jc w:val="left"/>
      </w:pPr>
      <w:r>
        <w:rPr/>
        <w:t>⑤</w:t>
      </w:r>
      <w:r>
        <w:rPr>
          <w:spacing w:val="-19"/>
        </w:rPr>
        <w:t> </w:t>
      </w:r>
      <w:r>
        <w:rPr/>
        <w:t>因债务人发生重大财务困难，该债务工具无法在活跃市场继续交易；</w:t>
      </w:r>
    </w:p>
    <w:p>
      <w:pPr>
        <w:pStyle w:val="BodyText"/>
        <w:spacing w:line="240" w:lineRule="auto" w:before="76"/>
        <w:ind w:left="573" w:right="0"/>
        <w:jc w:val="left"/>
      </w:pPr>
      <w:r>
        <w:rPr/>
        <w:t>⑥</w:t>
      </w:r>
      <w:r>
        <w:rPr>
          <w:spacing w:val="-19"/>
        </w:rPr>
        <w:t> </w:t>
      </w:r>
      <w:r>
        <w:rPr/>
        <w:t>其他表明可供出售债务工具已经发生减值的情况。</w:t>
      </w:r>
    </w:p>
    <w:p>
      <w:pPr>
        <w:pStyle w:val="BodyText"/>
        <w:spacing w:line="300" w:lineRule="auto" w:before="76"/>
        <w:ind w:right="1132" w:firstLine="420"/>
        <w:jc w:val="both"/>
      </w:pPr>
      <w:r>
        <w:rPr>
          <w:rFonts w:ascii="Times New Roman" w:hAnsi="Times New Roman" w:cs="Times New Roman" w:eastAsia="Times New Roman" w:hint="default"/>
          <w:spacing w:val="-2"/>
        </w:rPr>
        <w:t>2</w:t>
      </w:r>
      <w:r>
        <w:rPr>
          <w:spacing w:val="-2"/>
        </w:rPr>
        <w:t>）表明可供出售权益工具投资发生减值的客观证据包括权益工具投资的公允价值发生严重或非暂时性下跌，以及被投</w:t>
      </w:r>
      <w:r>
        <w:rPr/>
        <w:t> 资单位经营所处的技术、市场、经济或法律环境等发生重大不利变化使公司可能无法收回投资成本。</w:t>
      </w:r>
    </w:p>
    <w:p>
      <w:pPr>
        <w:pStyle w:val="BodyText"/>
        <w:spacing w:line="307" w:lineRule="auto" w:before="32"/>
        <w:ind w:right="1131" w:firstLine="420"/>
        <w:jc w:val="both"/>
      </w:pPr>
      <w:r>
        <w:rPr/>
        <w:t>本公司于资产负债表日对各项可供出售权益工具投资单独进行检查。对于以公允价值计量的权益工具投资，若其于资 </w:t>
      </w:r>
      <w:r>
        <w:rPr>
          <w:spacing w:val="-1"/>
        </w:rPr>
        <w:t>产负债表日的公允价值低于其成本超过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个月）的，则表明其发生减</w:t>
      </w:r>
      <w:r>
        <w:rPr>
          <w:spacing w:val="-55"/>
        </w:rPr>
        <w:t> </w:t>
      </w:r>
      <w:r>
        <w:rPr>
          <w:spacing w:val="-55"/>
        </w:rPr>
      </w:r>
      <w:r>
        <w:rPr>
          <w:spacing w:val="-5"/>
        </w:rPr>
        <w:t>值；若其于资产负债表日的公允价值低于其成本超过</w:t>
      </w:r>
      <w:r>
        <w:rPr>
          <w:rFonts w:ascii="Times New Roman" w:hAnsi="Times New Roman" w:cs="Times New Roman" w:eastAsia="Times New Roman" w:hint="default"/>
          <w:spacing w:val="-5"/>
        </w:rPr>
        <w:t>20%</w:t>
      </w:r>
      <w:r>
        <w:rPr>
          <w:spacing w:val="-5"/>
        </w:rPr>
        <w:t>（含</w:t>
      </w:r>
      <w:r>
        <w:rPr>
          <w:rFonts w:ascii="Times New Roman" w:hAnsi="Times New Roman" w:cs="Times New Roman" w:eastAsia="Times New Roman" w:hint="default"/>
          <w:spacing w:val="-5"/>
        </w:rPr>
        <w:t>20%</w:t>
      </w:r>
      <w:r>
        <w:rPr>
          <w:spacing w:val="-5"/>
        </w:rPr>
        <w:t>）但尚未达到</w:t>
      </w:r>
      <w:r>
        <w:rPr>
          <w:rFonts w:ascii="Times New Roman" w:hAnsi="Times New Roman" w:cs="Times New Roman" w:eastAsia="Times New Roman" w:hint="default"/>
          <w:spacing w:val="-5"/>
        </w:rPr>
        <w:t>50%</w:t>
      </w:r>
      <w:r>
        <w:rPr>
          <w:spacing w:val="-5"/>
        </w:rPr>
        <w:t>的，或低于其成本持续时间超过</w:t>
      </w:r>
      <w:r>
        <w:rPr>
          <w:rFonts w:ascii="Times New Roman" w:hAnsi="Times New Roman" w:cs="Times New Roman" w:eastAsia="Times New Roman" w:hint="default"/>
          <w:spacing w:val="-5"/>
        </w:rPr>
        <w:t>6</w:t>
      </w:r>
      <w:r>
        <w:rPr>
          <w:spacing w:val="-5"/>
        </w:rPr>
        <w:t>个月（含</w:t>
      </w:r>
      <w:r>
        <w:rPr>
          <w:spacing w:val="-59"/>
        </w:rPr>
        <w:t> </w:t>
      </w:r>
      <w:r>
        <w:rPr>
          <w:spacing w:val="-59"/>
        </w:rPr>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个月的，本公司会综合考虑其他相关因素，诸如价格波动率等，判断该权益工具投资是否发生减值。对</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4"/>
        </w:rPr>
        <w:t>于以成本计量的权益工具投资，公司综合考虑被投资单位经营所处的技术、市场、经济或法律环境等是否发生重大不利变化，</w:t>
      </w:r>
      <w:r>
        <w:rPr>
          <w:spacing w:val="-44"/>
        </w:rPr>
        <w:t> </w:t>
      </w:r>
      <w:r>
        <w:rPr>
          <w:spacing w:val="-44"/>
        </w:rPr>
      </w:r>
      <w:r>
        <w:rPr/>
        <w:t>判断该权益工具是否发生减值。</w:t>
      </w:r>
    </w:p>
    <w:p>
      <w:pPr>
        <w:pStyle w:val="BodyText"/>
        <w:spacing w:line="319" w:lineRule="auto" w:before="19"/>
        <w:ind w:right="1132" w:firstLine="420"/>
        <w:jc w:val="both"/>
      </w:pPr>
      <w:r>
        <w:rPr/>
        <w:t>以公允价值计量的可供出售金融资产发生减值时，原直接计入其他综合收益的因公允价值下降形成的累计损失予以转 </w:t>
      </w: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6"/>
        </w:rPr>
        <w:t> </w:t>
      </w:r>
      <w:r>
        <w:rPr>
          <w:spacing w:val="-66"/>
        </w:rPr>
      </w:r>
      <w:r>
        <w:rPr/>
        <w:t>直接计入其他综合收益。</w:t>
      </w:r>
    </w:p>
    <w:p>
      <w:pPr>
        <w:pStyle w:val="BodyText"/>
        <w:spacing w:line="316" w:lineRule="auto" w:before="17"/>
        <w:ind w:right="1130" w:firstLine="420"/>
        <w:jc w:val="both"/>
      </w:pPr>
      <w:r>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 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57" w:lineRule="auto" w:before="117"/>
        <w:ind w:left="154" w:right="7512"/>
        <w:jc w:val="left"/>
      </w:pPr>
      <w:r>
        <w:rPr/>
        <w:t>□ 适用 √ 不适用 组合中，采用其他方法计提坏账准备的：</w:t>
      </w:r>
    </w:p>
    <w:p>
      <w:pPr>
        <w:pStyle w:val="BodyText"/>
        <w:spacing w:line="240" w:lineRule="auto" w:before="29"/>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其未来现金流量现值与以账龄为信用风险特征的应收款项组 合的未来现金流量现值存在显著差异。</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值的差额计提坏账准备。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left="154" w:right="0"/>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存货的分类 存货包括在日常活动中持有以备出售的产成品或商品、处在生产过程中的在产品、在生产过程或提供劳务过程中耗用</w:t>
      </w:r>
    </w:p>
    <w:p>
      <w:pPr>
        <w:pStyle w:val="BodyText"/>
        <w:spacing w:line="240" w:lineRule="auto" w:before="31"/>
        <w:ind w:right="0"/>
        <w:jc w:val="left"/>
      </w:pPr>
      <w:r>
        <w:rPr/>
        <w:t>的材料和物料等。</w:t>
      </w:r>
    </w:p>
    <w:p>
      <w:pPr>
        <w:pStyle w:val="BodyText"/>
        <w:spacing w:line="309" w:lineRule="auto" w:before="76"/>
        <w:ind w:left="573" w:right="74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存货可变现净值的确定依据</w:t>
      </w:r>
    </w:p>
    <w:p>
      <w:pPr>
        <w:pStyle w:val="BodyText"/>
        <w:spacing w:line="316" w:lineRule="auto" w:before="5"/>
        <w:ind w:right="1130" w:firstLine="420"/>
        <w:jc w:val="both"/>
      </w:pPr>
      <w:r>
        <w:rPr/>
        <w:t>资产负债表日，存货采用成本与可变现净值孰低计量，按照单个存货成本高于可变现净值的差额计提存货跌价准备。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300" w:lineRule="auto" w:before="19"/>
        <w:ind w:left="573" w:right="781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存货的盘存制度 存货的盘存制度为永续盘存制。</w:t>
      </w:r>
    </w:p>
    <w:p>
      <w:pPr>
        <w:pStyle w:val="BodyText"/>
        <w:spacing w:line="240" w:lineRule="auto" w:before="31"/>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低值易耗品和包装物的摊销方法</w:t>
      </w:r>
    </w:p>
    <w:p>
      <w:pPr>
        <w:pStyle w:val="BodyText"/>
        <w:spacing w:line="309" w:lineRule="auto" w:before="63"/>
        <w:ind w:left="573" w:right="81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包装物</w:t>
      </w:r>
      <w:r>
        <w:rPr>
          <w:w w:val="99"/>
        </w:rPr>
        <w:t> </w:t>
      </w:r>
      <w:r>
        <w:rPr/>
        <w:t>按照一次转销法进行摊销。</w:t>
      </w:r>
      <w:r>
        <w:rPr>
          <w:w w:val="99"/>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动漫、影视作品</w:t>
      </w:r>
    </w:p>
    <w:p>
      <w:pPr>
        <w:pStyle w:val="BodyText"/>
        <w:spacing w:line="309" w:lineRule="auto" w:before="5"/>
        <w:ind w:right="112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2"/>
        </w:rPr>
        <w:t>公司动漫、影视作品按照实际成本进行初始计量。公司从事与境内外其他单位合作摄制影片业务的，按以下规定和</w:t>
      </w:r>
      <w:r>
        <w:rPr>
          <w:w w:val="99"/>
        </w:rPr>
        <w:t> </w:t>
      </w:r>
      <w:r>
        <w:rPr>
          <w:spacing w:val="-2"/>
        </w:rPr>
        <w:t>方法执行：公司负责摄制成本核算的，在收到合作方按合同约定预付的制片款项时，先通过</w:t>
      </w:r>
      <w:r>
        <w:rPr>
          <w:rFonts w:ascii="Times New Roman" w:hAnsi="Times New Roman" w:cs="Times New Roman" w:eastAsia="Times New Roman" w:hint="default"/>
          <w:spacing w:val="-2"/>
        </w:rPr>
        <w:t>“</w:t>
      </w:r>
      <w:r>
        <w:rPr>
          <w:spacing w:val="-2"/>
        </w:rPr>
        <w:t>预收款项－预收制片款</w:t>
      </w:r>
      <w:r>
        <w:rPr>
          <w:rFonts w:ascii="Times New Roman" w:hAnsi="Times New Roman" w:cs="Times New Roman" w:eastAsia="Times New Roman" w:hint="default"/>
          <w:spacing w:val="-2"/>
        </w:rPr>
        <w:t>”</w:t>
      </w:r>
      <w:r>
        <w:rPr>
          <w:spacing w:val="-2"/>
        </w:rPr>
        <w:t>科目进</w:t>
      </w:r>
      <w:r>
        <w:rPr>
          <w:spacing w:val="-44"/>
        </w:rPr>
        <w:t> </w:t>
      </w:r>
      <w:r>
        <w:rPr>
          <w:spacing w:val="-2"/>
        </w:rPr>
        <w:t>行核算；当动漫、影视作品完成摄制结转入库时，再将该款项转作动漫、影视作品库存成本的备抵，并在结转销售成本时予</w:t>
      </w:r>
      <w:r>
        <w:rPr>
          <w:spacing w:val="-66"/>
        </w:rPr>
        <w:t> </w:t>
      </w:r>
      <w:r>
        <w:rPr>
          <w:spacing w:val="-66"/>
        </w:rPr>
      </w:r>
      <w:r>
        <w:rPr>
          <w:spacing w:val="-2"/>
        </w:rPr>
        <w:t>以冲抵。其他合作方负责摄制成本核算的，公司按合同约定支付合作方的制片款，先通过</w:t>
      </w:r>
      <w:r>
        <w:rPr>
          <w:rFonts w:ascii="Times New Roman" w:hAnsi="Times New Roman" w:cs="Times New Roman" w:eastAsia="Times New Roman" w:hint="default"/>
          <w:spacing w:val="-2"/>
        </w:rPr>
        <w:t>“</w:t>
      </w:r>
      <w:r>
        <w:rPr>
          <w:spacing w:val="-2"/>
        </w:rPr>
        <w:t>预付款项－预付制片款</w:t>
      </w:r>
      <w:r>
        <w:rPr>
          <w:rFonts w:ascii="Times New Roman" w:hAnsi="Times New Roman" w:cs="Times New Roman" w:eastAsia="Times New Roman" w:hint="default"/>
          <w:spacing w:val="-2"/>
        </w:rPr>
        <w:t>”</w:t>
      </w:r>
      <w:r>
        <w:rPr>
          <w:spacing w:val="-2"/>
        </w:rPr>
        <w:t>科目进行</w:t>
      </w:r>
      <w:r>
        <w:rPr>
          <w:spacing w:val="-43"/>
        </w:rPr>
        <w:t> </w:t>
      </w:r>
      <w:r>
        <w:rPr>
          <w:spacing w:val="-2"/>
        </w:rPr>
        <w:t>核算，当动漫、影视作品完成摄制并收到其他合作方出具的经审计或双方确认的有关成本、费用结算凭据或报表时，按实际</w:t>
      </w:r>
      <w:r>
        <w:rPr>
          <w:spacing w:val="-66"/>
        </w:rPr>
        <w:t> </w:t>
      </w:r>
      <w:r>
        <w:rPr>
          <w:spacing w:val="-66"/>
        </w:rPr>
      </w:r>
      <w:r>
        <w:rPr>
          <w:spacing w:val="-2"/>
        </w:rPr>
        <w:t>结算金额将该款项转作动漫、影视作品库存成本。当动漫、影视作品完成摄制并取得《国产动画片播放许可证》、《电影片</w:t>
      </w:r>
      <w:r>
        <w:rPr>
          <w:spacing w:val="-71"/>
        </w:rPr>
        <w:t> </w:t>
      </w:r>
      <w:r>
        <w:rPr>
          <w:spacing w:val="-71"/>
        </w:rPr>
      </w:r>
      <w:r>
        <w:rPr/>
        <w:t>公映许可证》或《电视剧发行许可证》时，结转至</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库存商品</w:t>
      </w:r>
      <w:r>
        <w:rPr>
          <w:rFonts w:ascii="Times New Roman" w:hAnsi="Times New Roman" w:cs="Times New Roman" w:eastAsia="Times New Roman" w:hint="default"/>
        </w:rPr>
        <w:t>”</w:t>
      </w:r>
      <w:r>
        <w:rPr/>
        <w:t>。</w:t>
      </w:r>
    </w:p>
    <w:p>
      <w:pPr>
        <w:pStyle w:val="BodyText"/>
        <w:spacing w:line="240" w:lineRule="auto" w:before="5"/>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发出存货采用个别计价法，自符合收入确认条件之日起，按以下方法和规定结转销售成本：</w:t>
      </w:r>
    </w:p>
    <w:p>
      <w:pPr>
        <w:pStyle w:val="BodyText"/>
        <w:spacing w:line="24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一次性卖断国内全部著作权的，在确认收入时，将全部实际成本一次性结转销售成本。</w:t>
      </w:r>
    </w:p>
    <w:p>
      <w:pPr>
        <w:pStyle w:val="BodyText"/>
        <w:spacing w:line="314" w:lineRule="auto" w:before="63"/>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采用按票款、发行收入等分账结算方式，或采用多次、局部（特定院线或一定区域、一定时期内）将发行权、放映</w:t>
      </w:r>
      <w:r>
        <w:rPr>
          <w:w w:val="99"/>
        </w:rPr>
        <w:t> </w:t>
      </w:r>
      <w:r>
        <w:rPr>
          <w:spacing w:val="-2"/>
        </w:rPr>
        <w:t>权转让给部分电影院线（发行公司）或电视台等，且仍可继续向其他单位发行、销售的影视剧，一般在符合收入确认条件之</w:t>
      </w:r>
      <w:r>
        <w:rPr>
          <w:spacing w:val="-67"/>
        </w:rPr>
        <w:t> </w:t>
      </w:r>
      <w:r>
        <w:rPr>
          <w:spacing w:val="-67"/>
        </w:rPr>
      </w:r>
      <w:r>
        <w:rPr>
          <w:spacing w:val="-2"/>
        </w:rPr>
        <w:t>日起，在一定期限内（提供给电视台播映电视剧片可在不超过五年的期间内、动漫作品可在不超过三年的期间内、电影作品</w:t>
      </w:r>
      <w:r>
        <w:rPr>
          <w:spacing w:val="-67"/>
        </w:rPr>
        <w:t> </w:t>
      </w:r>
      <w:r>
        <w:rPr>
          <w:spacing w:val="-67"/>
        </w:rPr>
      </w:r>
      <w:r>
        <w:rPr>
          <w:spacing w:val="-2"/>
        </w:rPr>
        <w:t>可在不超过两年的期间内），采用计划收入比例法将其全部实际成本逐笔（期）结转销售成本。计划收入比例法具体的计算</w:t>
      </w:r>
      <w:r>
        <w:rPr>
          <w:spacing w:val="-66"/>
        </w:rPr>
        <w:t> </w:t>
      </w:r>
      <w:r>
        <w:rPr>
          <w:spacing w:val="-66"/>
        </w:rPr>
      </w:r>
      <w:r>
        <w:rPr>
          <w:spacing w:val="-2"/>
        </w:rPr>
        <w:t>原则和方法：从符合收入确认条件之日起，在各收入确认的期间内，以本期确认收入占预计总收入的比例为权数，计算确定</w:t>
      </w:r>
      <w:r>
        <w:rPr>
          <w:spacing w:val="-67"/>
        </w:rPr>
        <w:t> </w:t>
      </w:r>
      <w:r>
        <w:rPr>
          <w:spacing w:val="-67"/>
        </w:rPr>
      </w:r>
      <w:r>
        <w:rPr/>
        <w:t>本期应结转的销售成本。即当期应结转的销售成本＝总成本</w:t>
      </w:r>
      <w:r>
        <w:rPr>
          <w:rFonts w:ascii="Times New Roman" w:hAnsi="Times New Roman" w:cs="Times New Roman" w:eastAsia="Times New Roman" w:hint="default"/>
        </w:rPr>
        <w:t>×</w:t>
      </w:r>
      <w:r>
        <w:rPr/>
        <w:t>（当期收入</w:t>
      </w:r>
      <w:r>
        <w:rPr>
          <w:rFonts w:ascii="Times New Roman" w:hAnsi="Times New Roman" w:cs="Times New Roman" w:eastAsia="Times New Roman" w:hint="default"/>
        </w:rPr>
        <w:t>÷</w:t>
      </w:r>
      <w:r>
        <w:rPr/>
        <w:t>预计总收入）。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共同控制、重要影响的判断</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20"/>
        <w:jc w:val="both"/>
      </w:pPr>
      <w:r>
        <w:rPr/>
        <w:t>按照相关约定对某项安排所共有的控制，并且该安排的相关活动必须经过分享控制权的参与方一致同意后才能决策， </w:t>
      </w: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9"/>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投资成本的确定</w:t>
      </w:r>
    </w:p>
    <w:p>
      <w:pPr>
        <w:pStyle w:val="BodyText"/>
        <w:spacing w:line="312" w:lineRule="auto" w:before="63"/>
        <w:ind w:right="1033"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4"/>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9" w:lineRule="auto" w:before="22"/>
        <w:ind w:left="154" w:right="1130"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4"/>
        </w:rPr>
        <w:t> </w:t>
      </w:r>
      <w:r>
        <w:rPr>
          <w:spacing w:val="-44"/>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24"/>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right="0"/>
        <w:jc w:val="left"/>
      </w:pPr>
      <w:r>
        <w:rPr/>
        <w:t>会计处理：</w:t>
      </w:r>
    </w:p>
    <w:p>
      <w:pPr>
        <w:pStyle w:val="BodyText"/>
        <w:spacing w:line="240" w:lineRule="auto" w:before="76"/>
        <w:ind w:left="574" w:right="0"/>
        <w:jc w:val="left"/>
      </w:pPr>
      <w:r>
        <w:rPr>
          <w:rFonts w:ascii="Times New Roman" w:hAnsi="Times New Roman" w:cs="Times New Roman" w:eastAsia="Times New Roman" w:hint="default"/>
        </w:rPr>
        <w:t>1)</w:t>
      </w:r>
      <w:r>
        <w:rPr/>
        <w:t>在个别财务报表中，按照原持有的股权投资的账面价值加上新增投资成本之和，作为改按成本法核算的初始投资成</w:t>
      </w:r>
    </w:p>
    <w:p>
      <w:pPr>
        <w:pStyle w:val="BodyText"/>
        <w:spacing w:line="240" w:lineRule="auto" w:before="63"/>
        <w:ind w:left="154" w:right="0"/>
        <w:jc w:val="both"/>
      </w:pPr>
      <w:r>
        <w:rPr/>
        <w:t>本。</w:t>
      </w:r>
    </w:p>
    <w:p>
      <w:pPr>
        <w:pStyle w:val="BodyText"/>
        <w:spacing w:line="309" w:lineRule="auto" w:before="76"/>
        <w:ind w:right="0" w:firstLine="290"/>
        <w:jc w:val="left"/>
      </w:pPr>
      <w:r>
        <w:rPr>
          <w:rFonts w:ascii="Times New Roman" w:hAnsi="Times New Roman" w:cs="Times New Roman" w:eastAsia="Times New Roman" w:hint="default"/>
        </w:rPr>
        <w:t>2)</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 </w:t>
      </w:r>
      <w:r>
        <w:rPr>
          <w:spacing w:val="-3"/>
        </w:rPr>
        <w:t>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的，对于购买日之前持有的被购买方的股权，按照该股权在购买日的公允价值进行重新计量，</w:t>
      </w:r>
      <w:r>
        <w:rPr>
          <w:spacing w:val="-77"/>
        </w:rPr>
        <w:t> </w:t>
      </w:r>
      <w:r>
        <w:rPr>
          <w:spacing w:val="-77"/>
        </w:rPr>
      </w:r>
      <w:r>
        <w:rPr/>
        <w:t>公允价值与其账面价值的差额计入当期投资收益；购买日之前持有的被购买方的股权涉及权益法核算下的其他综合收益等</w:t>
      </w:r>
      <w:r>
        <w:rPr>
          <w:spacing w:val="-9"/>
        </w:rPr>
        <w:t> </w:t>
      </w:r>
      <w:r>
        <w:rPr>
          <w:spacing w:val="-9"/>
        </w:rPr>
      </w:r>
      <w:r>
        <w:rPr>
          <w:spacing w:val="-2"/>
        </w:rPr>
        <w:t>的，与其相关的其他综合收益等转为购买日所属当期收益。但由于被投资方重新计量设定受益计划净负债或净资产变动而产</w:t>
      </w:r>
      <w:r>
        <w:rPr>
          <w:spacing w:val="-64"/>
        </w:rPr>
        <w:t> </w:t>
      </w:r>
      <w:r>
        <w:rPr>
          <w:spacing w:val="-64"/>
        </w:rPr>
      </w:r>
      <w:r>
        <w:rPr/>
        <w:t>生的其他综合收益除外。</w:t>
      </w:r>
    </w:p>
    <w:p>
      <w:pPr>
        <w:pStyle w:val="BodyText"/>
        <w:spacing w:line="300" w:lineRule="auto" w:before="24"/>
        <w:ind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5"/>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2"/>
        </w:rPr>
        <w:t> </w:t>
      </w:r>
      <w:r>
        <w:rPr>
          <w:spacing w:val="-82"/>
        </w:rPr>
      </w:r>
      <w:r>
        <w:rPr/>
        <w:t>成本。</w:t>
      </w:r>
    </w:p>
    <w:p>
      <w:pPr>
        <w:pStyle w:val="BodyText"/>
        <w:spacing w:line="309" w:lineRule="auto" w:before="31"/>
        <w:ind w:left="573" w:right="115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后续计量及损益确认方法 对被投资单位实施控制的长期股权投资采用成本法核算；对联营企业和合营企业的长期股权投资，采用权益法核算。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通过多次交易分步处置对子公司投资至丧失控制权的的处理方法</w:t>
      </w:r>
    </w:p>
    <w:p>
      <w:pPr>
        <w:pStyle w:val="BodyText"/>
        <w:spacing w:line="300" w:lineRule="auto" w:before="5"/>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31"/>
        <w:ind w:right="1131"/>
        <w:jc w:val="both"/>
      </w:pPr>
      <w:r>
        <w:rPr>
          <w:spacing w:val="-2"/>
        </w:rPr>
        <w:t>响或者与其他方一起实施共同控制的，转为权益法核算；不能再对被投资单位实施控制、共同控制或重大影响的，确认为金</w:t>
      </w:r>
      <w:r>
        <w:rPr>
          <w:spacing w:val="-66"/>
        </w:rPr>
        <w:t> </w:t>
      </w:r>
      <w:r>
        <w:rPr>
          <w:spacing w:val="-66"/>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合并财务报表</w:t>
      </w:r>
    </w:p>
    <w:p>
      <w:pPr>
        <w:pStyle w:val="BodyText"/>
        <w:spacing w:line="30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316" w:lineRule="auto" w:before="31"/>
        <w:ind w:left="573" w:right="0" w:hanging="420"/>
        <w:jc w:val="left"/>
      </w:pPr>
      <w:r>
        <w:rPr/>
        <w:t>间的差额，调整资本公积（资本溢价），资本溢价不足冲减的，冲减留存收益。 丧失对原子公司控制权时，对于剩余股权，按照其在丧失控制权日的公允价值进行重新计量。处置股权取得的对价与</w:t>
      </w:r>
    </w:p>
    <w:p>
      <w:pPr>
        <w:pStyle w:val="BodyText"/>
        <w:spacing w:line="319" w:lineRule="auto" w:before="19"/>
        <w:ind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6"/>
        </w:rPr>
        <w:t> </w:t>
      </w:r>
      <w:r>
        <w:rPr>
          <w:spacing w:val="-66"/>
        </w:rPr>
      </w:r>
      <w:r>
        <w:rPr/>
        <w:t>转为当期投资收益。</w:t>
      </w:r>
    </w:p>
    <w:p>
      <w:pPr>
        <w:pStyle w:val="BodyText"/>
        <w:spacing w:line="300" w:lineRule="auto" w:before="1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240" w:lineRule="auto" w:before="25"/>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投资性房地产包括已出租的土地使用权、持有并准备增值后转让的土地使用权和已出租的建筑物。</w:t>
      </w:r>
    </w:p>
    <w:p>
      <w:pPr>
        <w:pStyle w:val="BodyText"/>
        <w:spacing w:line="300" w:lineRule="auto" w:before="63"/>
        <w:ind w:left="154" w:right="0"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投资性房地产按照成本进行初始计量，采用成本模式进行后续计量，并采用与固定资产和无形资产相同的方法计提</w:t>
      </w:r>
      <w:r>
        <w:rPr>
          <w:spacing w:val="1"/>
        </w:rPr>
        <w:t> </w:t>
      </w:r>
      <w:r>
        <w:rPr/>
        <w:t>折旧或进行摊销。</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22" w:firstLine="630"/>
        <w:jc w:val="left"/>
      </w:pPr>
      <w:r>
        <w:rPr/>
        <w:t>固定资产是指为生产商品、提供劳务、出租或经营管理而持有的，使用年限超过一个会计年度的有形资产。固定资 产在同时满足经济利益很可能流入、成本能够可靠计量时予以确认。</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18.00-33.33</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firstLine="420"/>
        <w:jc w:val="left"/>
      </w:pPr>
      <w:r>
        <w:rPr>
          <w:rFonts w:ascii="Times New Roman" w:hAnsi="Times New Roman" w:cs="Times New Roman" w:eastAsia="Times New Roman" w:hint="default"/>
        </w:rPr>
        <w:t>1.</w:t>
      </w:r>
      <w:r>
        <w:rPr/>
        <w:t>在建工程同时满足经济利益很可能流入、成本能够可靠计量则予以确认。在建工程按建造该项资产达到预定可使用 状态前所发生的实际成本计量。</w:t>
      </w:r>
    </w:p>
    <w:p>
      <w:pPr>
        <w:pStyle w:val="BodyText"/>
        <w:spacing w:line="300" w:lineRule="auto" w:before="31"/>
        <w:ind w:left="154" w:right="0" w:firstLine="420"/>
        <w:jc w:val="left"/>
      </w:pP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left="154" w:right="0"/>
        <w:jc w:val="left"/>
      </w:pPr>
      <w:r>
        <w:rPr/>
        <w:t>他借款费用，在发生时确认为费用，计入当期损益。</w:t>
      </w:r>
    </w:p>
    <w:p>
      <w:pPr>
        <w:pStyle w:val="BodyText"/>
        <w:spacing w:line="240" w:lineRule="auto" w:before="76"/>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借款费用资本化期间</w:t>
      </w:r>
    </w:p>
    <w:p>
      <w:pPr>
        <w:pStyle w:val="BodyText"/>
        <w:spacing w:line="240" w:lineRule="auto" w:before="63"/>
        <w:ind w:left="574" w:right="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  </w:t>
      </w:r>
      <w:r>
        <w:rPr>
          <w:rFonts w:ascii="Times New Roman" w:hAnsi="Times New Roman" w:cs="Times New Roman" w:eastAsia="Times New Roman" w:hint="default"/>
          <w:spacing w:val="3"/>
        </w:rPr>
        <w:t> </w:t>
      </w:r>
      <w:r>
        <w:rPr/>
        <w:t>为使资产达到预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定可使用或可销售状态所必要的购建或者生产活动已经开始。</w:t>
      </w:r>
    </w:p>
    <w:p>
      <w:pPr>
        <w:pStyle w:val="BodyText"/>
        <w:spacing w:line="300" w:lineRule="auto" w:before="76"/>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240" w:lineRule="auto" w:before="31"/>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当所购建或者生产符合资本化条件的资产达到预定可使用或可销售状态时，借款费用停止资本化。</w:t>
      </w:r>
    </w:p>
    <w:p>
      <w:pPr>
        <w:pStyle w:val="BodyText"/>
        <w:spacing w:line="300" w:lineRule="auto" w:before="63"/>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借款费用资本化率以及资本化金额 为购建或者生产符合资本化条件的资产而借入专门借款的，以专门借款当期实际发生的利息费用（包括按照实际利率</w:t>
      </w:r>
    </w:p>
    <w:p>
      <w:pPr>
        <w:pStyle w:val="BodyText"/>
        <w:spacing w:line="316" w:lineRule="auto" w:before="31"/>
        <w:ind w:right="1132"/>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00" w:lineRule="auto" w:before="63"/>
        <w:ind w:right="0" w:firstLine="420"/>
        <w:jc w:val="left"/>
      </w:pPr>
      <w:r>
        <w:rPr>
          <w:rFonts w:ascii="Times New Roman" w:hAnsi="Times New Roman" w:cs="Times New Roman" w:eastAsia="Times New Roman" w:hint="default"/>
        </w:rPr>
        <w:t>2.</w:t>
      </w:r>
      <w:r>
        <w:rPr/>
        <w:t>使用寿命有限的无形资产，在使用寿命内按照与该项无形资产有关的经济利益的预期实现方式系统合理地摊销，无 法可靠确定预期实现方式的，采用直线法摊销。具体年限如下：</w:t>
      </w:r>
    </w:p>
    <w:tbl>
      <w:tblPr>
        <w:tblW w:w="0" w:type="auto"/>
        <w:jc w:val="left"/>
        <w:tblInd w:w="506" w:type="dxa"/>
        <w:tblLayout w:type="fixed"/>
        <w:tblCellMar>
          <w:top w:w="0" w:type="dxa"/>
          <w:left w:w="0" w:type="dxa"/>
          <w:bottom w:w="0" w:type="dxa"/>
          <w:right w:w="0" w:type="dxa"/>
        </w:tblCellMar>
        <w:tblLook w:val="01E0"/>
      </w:tblPr>
      <w:tblGrid>
        <w:gridCol w:w="2160"/>
        <w:gridCol w:w="2160"/>
      </w:tblGrid>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240" w:lineRule="auto" w:before="35"/>
        <w:ind w:left="154"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4" w:right="1033" w:firstLine="325"/>
        <w:jc w:val="left"/>
      </w:pPr>
      <w:r>
        <w:rPr>
          <w:spacing w:val="-3"/>
        </w:rPr>
        <w:t>内部研究开发项目研究阶段的支出，于发生时计入当期损益。内部研究开发项目开发阶段的支出，同时满足下列条件的，</w:t>
      </w:r>
      <w:r>
        <w:rPr/>
        <w:t> 确认为无形资产：</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具有完成该无形资产并使用或出售 的意图；</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无形资产产生经济利益的方式，包括能够证明运用该无形资产生产的产品存在市场或无形资产自身存在市场， 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有足够的技术、财务资源和其他资源支持，以完成该无形资产的开发，并 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归属于该无形资产开发阶段的支出能够可靠地计量。</w:t>
      </w:r>
    </w:p>
    <w:p>
      <w:pPr>
        <w:spacing w:line="240" w:lineRule="auto" w:before="10"/>
        <w:rPr>
          <w:rFonts w:ascii="宋体" w:hAnsi="宋体" w:cs="宋体" w:eastAsia="宋体" w:hint="default"/>
          <w:sz w:val="21"/>
          <w:szCs w:val="21"/>
        </w:rPr>
      </w:pPr>
    </w:p>
    <w:p>
      <w:pPr>
        <w:pStyle w:val="Heading3"/>
        <w:spacing w:line="240" w:lineRule="auto"/>
        <w:ind w:left="154" w:right="0"/>
        <w:jc w:val="left"/>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30" w:firstLine="420"/>
        <w:jc w:val="both"/>
      </w:pPr>
      <w:r>
        <w:rPr/>
        <w:t>对长期股权投资、采用成本模式计量的投资性房地产、固定资产、在建工程、采用成本模式计量的生产性生物资产、 油气资产、使用寿命有限的无形资产等长期资产</w:t>
      </w:r>
      <w:r>
        <w:rPr>
          <w:rFonts w:ascii="Times New Roman" w:hAnsi="Times New Roman" w:cs="Times New Roman" w:eastAsia="Times New Roman" w:hint="default"/>
        </w:rPr>
        <w:t>,</w:t>
      </w:r>
      <w:r>
        <w:rPr/>
        <w:t>在资产负债表日有迹象表明发生减值的，估计其可收回金额。对因企业合</w:t>
      </w:r>
      <w:r>
        <w:rPr>
          <w:spacing w:val="-44"/>
        </w:rPr>
        <w:t> </w:t>
      </w:r>
      <w:r>
        <w:rPr>
          <w:spacing w:val="-44"/>
        </w:rPr>
      </w:r>
      <w:r>
        <w:rPr>
          <w:spacing w:val="-2"/>
        </w:rPr>
        <w:t>并所形成的商誉和使用寿命不确定的无形资产，无论是否存在减值迹象，每年都进行减值测试。商誉结合与其相关的资产组</w:t>
      </w:r>
      <w:r>
        <w:rPr>
          <w:spacing w:val="-66"/>
        </w:rPr>
        <w:t> </w:t>
      </w:r>
      <w:r>
        <w:rPr>
          <w:spacing w:val="-66"/>
        </w:rPr>
      </w:r>
      <w:r>
        <w:rPr/>
        <w:t>或者资产组组合进行减值测试。</w:t>
      </w:r>
    </w:p>
    <w:p>
      <w:pPr>
        <w:pStyle w:val="BodyText"/>
        <w:spacing w:line="240" w:lineRule="auto" w:before="22"/>
        <w:ind w:left="574" w:right="0"/>
        <w:jc w:val="left"/>
      </w:pPr>
      <w:r>
        <w:rPr/>
        <w:t>若上述长期资产的可收回金额低于其账面价值的，按其差额确认资产减值准备并计入当期损益。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420"/>
        <w:jc w:val="both"/>
      </w:pP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年）的各项费用。长期待摊费用按实际发生额入账，在受益 </w:t>
      </w:r>
      <w:r>
        <w:rPr>
          <w:spacing w:val="-2"/>
        </w:rPr>
        <w:t>期或规定的期限内分期平均摊销。如果长期待摊的费用项目不能使以后会计期间受益则将尚未摊销的该项目的摊余价值全部</w:t>
      </w:r>
      <w:r>
        <w:rPr>
          <w:spacing w:val="-64"/>
        </w:rPr>
        <w:t> </w:t>
      </w:r>
      <w:r>
        <w:rPr>
          <w:spacing w:val="-64"/>
        </w:rPr>
      </w:r>
      <w:r>
        <w:rPr/>
        <w:t>转入当期损益。</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9" w:right="0"/>
        <w:jc w:val="left"/>
      </w:pPr>
      <w:r>
        <w:rPr/>
        <w:t>在职工为公司提供服务的会计期间，将实际发生的短期薪酬确认为负债，并计入当期损益或相关资产成本。</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离职后福利分为设定提存计划和设定受益计划。</w:t>
      </w:r>
    </w:p>
    <w:p>
      <w:pPr>
        <w:pStyle w:val="BodyText"/>
        <w:spacing w:line="300" w:lineRule="auto" w:before="76"/>
        <w:ind w:left="154"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对设定受益计划的会计处理通常包括下列步骤：</w:t>
      </w:r>
    </w:p>
    <w:p>
      <w:pPr>
        <w:pStyle w:val="BodyText"/>
        <w:spacing w:line="309" w:lineRule="auto" w:before="63"/>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根据预期累计福利单位法，采用无偏且相互一致的精算假设对有关人口统计变量和财务变量等作出估计，计量设定</w:t>
      </w:r>
      <w:r>
        <w:rPr>
          <w:w w:val="99"/>
        </w:rPr>
        <w:t> </w:t>
      </w:r>
      <w:r>
        <w:rPr>
          <w:spacing w:val="-2"/>
        </w:rPr>
        <w:t>受益计划所产生的义务，并确定相关义务的所属期间。同时，对设定受益计划所产生的义务予以折现，以确定设定受益计划</w:t>
      </w:r>
      <w:r>
        <w:rPr>
          <w:spacing w:val="-67"/>
        </w:rPr>
        <w:t> </w:t>
      </w:r>
      <w:r>
        <w:rPr>
          <w:spacing w:val="-67"/>
        </w:rPr>
      </w:r>
      <w:r>
        <w:rPr/>
        <w:t>义务的现值和当期服务成本；</w:t>
      </w:r>
    </w:p>
    <w:p>
      <w:pPr>
        <w:pStyle w:val="BodyText"/>
        <w:spacing w:line="309" w:lineRule="auto" w:before="2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设定受益计划存在资产的，将设定受益计划义务现值减去设定受益计划资产公允价值所形成的赤字或盈余确认为一</w:t>
      </w:r>
      <w:r>
        <w:rPr>
          <w:w w:val="99"/>
        </w:rPr>
        <w:t> </w:t>
      </w:r>
      <w:r>
        <w:rPr>
          <w:spacing w:val="-2"/>
        </w:rPr>
        <w:t>项设定受益计划净负债或净资产。设定受益计划存在盈余的，以设定受益计划的盈余和资产上限两项的孰低者计量设定受益</w:t>
      </w:r>
      <w:r>
        <w:rPr>
          <w:spacing w:val="-65"/>
        </w:rPr>
        <w:t> </w:t>
      </w:r>
      <w:r>
        <w:rPr>
          <w:spacing w:val="-65"/>
        </w:rPr>
      </w:r>
      <w:r>
        <w:rPr/>
        <w:t>计划净资产；</w:t>
      </w:r>
    </w:p>
    <w:p>
      <w:pPr>
        <w:pStyle w:val="BodyText"/>
        <w:spacing w:line="312" w:lineRule="auto" w:before="24"/>
        <w:ind w:left="154" w:right="1131"/>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期末，将设定受益计划产生的职工薪酬成本确认为服务成本、设定受益计划净负债或净资产的利息净额以及重新计量设</w:t>
      </w:r>
      <w:r>
        <w:rPr>
          <w:spacing w:val="-83"/>
        </w:rPr>
        <w:t> </w:t>
      </w:r>
      <w:r>
        <w:rPr>
          <w:spacing w:val="-83"/>
        </w:rPr>
      </w:r>
      <w:r>
        <w:rPr>
          <w:spacing w:val="-2"/>
          <w:w w:val="99"/>
        </w:rPr>
        <w:t>定受益计划净负债或净资产所产生的变动等三部分，其中服务成本和设定受益计划净负债或净资产的利息净额计入当期损益</w:t>
      </w:r>
      <w:r>
        <w:rPr>
          <w:spacing w:val="-64"/>
          <w:w w:val="99"/>
        </w:rPr>
        <w:t> </w:t>
      </w:r>
      <w:r>
        <w:rPr>
          <w:spacing w:val="-64"/>
          <w:w w:val="99"/>
        </w:rPr>
      </w:r>
      <w:r>
        <w:rPr>
          <w:spacing w:val="-2"/>
        </w:rPr>
        <w:t>或相关资产成本，重新计量设定受益计划净负债或净资产所产生的变动计入其他综合收益，并且在后续会计期间不允许转回</w:t>
      </w:r>
      <w:r>
        <w:rPr>
          <w:spacing w:val="-65"/>
        </w:rPr>
        <w:t> </w:t>
      </w:r>
      <w:r>
        <w:rPr>
          <w:spacing w:val="-65"/>
        </w:rPr>
      </w:r>
      <w:r>
        <w:rPr/>
        <w:t>至损益，但可以在权益范围内转移这些在其他综合收益确认的金额。</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27" w:firstLine="373"/>
        <w:jc w:val="both"/>
      </w:pPr>
      <w:r>
        <w:rPr/>
        <w:t>向职工提供的辞退福利，在下列两者孰早日确认辞退福利产生的职工薪酬负债，并计入当期损益：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公司不能单方面 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公司确认与涉及支付辞退福利的重组相关的成本或费用时。</w:t>
      </w:r>
    </w:p>
    <w:p>
      <w:pPr>
        <w:spacing w:line="240" w:lineRule="auto" w:before="1"/>
        <w:rPr>
          <w:rFonts w:ascii="宋体" w:hAnsi="宋体" w:cs="宋体" w:eastAsia="宋体" w:hint="default"/>
          <w:sz w:val="22"/>
          <w:szCs w:val="22"/>
        </w:rPr>
      </w:pPr>
    </w:p>
    <w:p>
      <w:pPr>
        <w:pStyle w:val="Heading3"/>
        <w:spacing w:line="240" w:lineRule="auto"/>
        <w:ind w:left="154" w:right="0"/>
        <w:jc w:val="both"/>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420"/>
        <w:jc w:val="left"/>
      </w:pPr>
      <w:r>
        <w:rPr/>
        <w:t>向职工提供的其他长期福利，符合设定提存计划条件的，按照设定提存计划的有关规定进行会计处理；除此之外的其 </w:t>
      </w:r>
      <w:r>
        <w:rPr>
          <w:spacing w:val="-4"/>
        </w:rPr>
        <w:t>他长期福利，按照设定受益计划的有关规定进行会计处理，为简化相关会计处理，将其产生的职工薪酬成本确认为服务成本、</w:t>
      </w:r>
      <w:r>
        <w:rPr>
          <w:spacing w:val="-44"/>
        </w:rPr>
        <w:t> </w:t>
      </w:r>
      <w:r>
        <w:rPr>
          <w:spacing w:val="-44"/>
        </w:rPr>
      </w:r>
      <w:r>
        <w:rPr/>
        <w:t>其他长期职工福利净负债或净资产的利息净额以及重新计量其他长期职工福利净负债或净资产所产生的变动等组成项目的</w:t>
      </w:r>
      <w:r>
        <w:rPr>
          <w:spacing w:val="-9"/>
        </w:rPr>
        <w:t> </w:t>
      </w:r>
      <w:r>
        <w:rPr>
          <w:spacing w:val="-9"/>
        </w:rPr>
      </w:r>
      <w:r>
        <w:rPr/>
        <w:t>总净额计入当期损益或相关资产成本。</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57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因对外提供担保、诉讼事项、产品质量保证、亏损合同等或有事项形成的义务成为公司承担的现时义务，履行该 义务很可能导致经济利益流出公司，且该义务的金额能够可靠的计量时，公司将该项义务确认为预计负债。</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firstLine="57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公司按照履行相关现时义务所需支出的最佳估计数对预计负债进行初始计量，并在资产负债表日对预计负债的账 面价值进行复核。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both"/>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销售商品</w:t>
      </w:r>
    </w:p>
    <w:p>
      <w:pPr>
        <w:pStyle w:val="BodyText"/>
        <w:spacing w:line="240" w:lineRule="auto" w:before="63"/>
        <w:ind w:left="573" w:right="0"/>
        <w:jc w:val="left"/>
      </w:pPr>
      <w:r>
        <w:rPr/>
        <w:t>销售商品收入在同时满足下列条件时予以确认： </w:t>
      </w:r>
      <w:r>
        <w:rPr>
          <w:rFonts w:ascii="Times New Roman" w:hAnsi="Times New Roman" w:cs="Times New Roman" w:eastAsia="Times New Roman" w:hint="default"/>
        </w:rPr>
        <w:t>1) </w:t>
      </w:r>
      <w:r>
        <w:rPr/>
        <w:t>将商品所有权上的主要风险和报酬转移给购货方；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公司不再保</w:t>
      </w:r>
    </w:p>
    <w:p>
      <w:pPr>
        <w:pStyle w:val="BodyText"/>
        <w:spacing w:line="240" w:lineRule="auto" w:before="63"/>
        <w:ind w:right="0"/>
        <w:jc w:val="both"/>
      </w:pPr>
      <w:r>
        <w:rPr/>
        <w:t>留通常与所有权相联系的继续管理权，也不再对已售出的商品实施有效控制； </w:t>
      </w:r>
      <w:r>
        <w:rPr>
          <w:rFonts w:ascii="Times New Roman" w:hAnsi="Times New Roman" w:cs="Times New Roman" w:eastAsia="Times New Roman" w:hint="default"/>
        </w:rPr>
        <w:t>3)  </w:t>
      </w:r>
      <w:r>
        <w:rPr/>
        <w:t>收入的金额能够可靠地计量；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相关的</w:t>
      </w:r>
    </w:p>
    <w:p>
      <w:pPr>
        <w:pStyle w:val="BodyText"/>
        <w:spacing w:line="240" w:lineRule="auto" w:before="63"/>
        <w:ind w:right="0"/>
        <w:jc w:val="both"/>
      </w:pPr>
      <w:r>
        <w:rPr/>
        <w:t>经济利益很可能流入；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相关的已发生或将发生的成本能够可靠地计量。</w:t>
      </w:r>
    </w:p>
    <w:p>
      <w:pPr>
        <w:pStyle w:val="BodyText"/>
        <w:spacing w:line="300" w:lineRule="auto" w:before="63"/>
        <w:ind w:left="57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提供劳务 提供劳务收入采用交付并验收合格后确认提供劳务的收入（同时满足收入的金额能够可靠地计量、相关经济利益很可</w:t>
      </w:r>
    </w:p>
    <w:p>
      <w:pPr>
        <w:pStyle w:val="BodyText"/>
        <w:spacing w:line="316" w:lineRule="auto" w:before="31"/>
        <w:ind w:right="1131"/>
        <w:jc w:val="both"/>
      </w:pPr>
      <w:r>
        <w:rPr>
          <w:spacing w:val="-2"/>
        </w:rPr>
        <w:t>能流入、交易中已发生和将发生的成本能够可靠地计量）。提供劳务交易的结果在资产负债表日不能够可靠估计的，若已经</w:t>
      </w:r>
      <w:r>
        <w:rPr>
          <w:spacing w:val="-66"/>
        </w:rPr>
        <w:t> </w:t>
      </w:r>
      <w:r>
        <w:rPr>
          <w:spacing w:val="-66"/>
        </w:rPr>
      </w:r>
      <w:r>
        <w:rPr>
          <w:spacing w:val="-2"/>
        </w:rPr>
        <w:t>发生的劳务成本预计能够得到补偿，按已经发生的劳务成本金额确认提供劳务收入，并按相同金额结转劳务成本；若已经发</w:t>
      </w:r>
      <w:r>
        <w:rPr>
          <w:spacing w:val="-65"/>
        </w:rPr>
        <w:t> </w:t>
      </w:r>
      <w:r>
        <w:rPr>
          <w:spacing w:val="-65"/>
        </w:rPr>
      </w:r>
      <w:r>
        <w:rPr/>
        <w:t>生的劳务成本预计不能够得到补偿，将已经发生的劳务成本计入当期损益，不确认劳务收入。</w:t>
      </w:r>
    </w:p>
    <w:p>
      <w:pPr>
        <w:pStyle w:val="BodyText"/>
        <w:spacing w:line="300" w:lineRule="auto" w:before="19"/>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让渡资产使用权 让渡资产使用权在同时满足相关的经济利益很可能流入、收入金额能够可靠计量时，确认让渡资产使用权的收入。利</w:t>
      </w:r>
    </w:p>
    <w:p>
      <w:pPr>
        <w:pStyle w:val="BodyText"/>
        <w:spacing w:line="319" w:lineRule="auto" w:before="31"/>
        <w:ind w:right="1118"/>
        <w:jc w:val="left"/>
      </w:pPr>
      <w:r>
        <w:rPr>
          <w:spacing w:val="-2"/>
        </w:rPr>
        <w:t>息收入按照他人使用本公司货币资金的时间和实际利率计算确定；使用费收入按有关合同或协议约定的收费时间和方法计算</w:t>
      </w:r>
      <w:r>
        <w:rPr>
          <w:spacing w:val="-64"/>
        </w:rPr>
        <w:t> </w:t>
      </w:r>
      <w:r>
        <w:rPr>
          <w:spacing w:val="-64"/>
        </w:rPr>
      </w:r>
      <w:r>
        <w:rPr/>
        <w:t>确定。</w:t>
      </w:r>
    </w:p>
    <w:p>
      <w:pPr>
        <w:pStyle w:val="BodyText"/>
        <w:spacing w:line="300" w:lineRule="auto" w:before="17"/>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动漫、影视作品收入的确认方法 在动漫、影视作品取得《国产动画片播放许可证》、《电视剧发行许可证》母带已经交付，且交易相关的经济利益很</w:t>
      </w:r>
    </w:p>
    <w:p>
      <w:pPr>
        <w:pStyle w:val="BodyText"/>
        <w:spacing w:line="316" w:lineRule="auto" w:before="31"/>
        <w:ind w:left="573" w:right="0" w:hanging="420"/>
        <w:jc w:val="left"/>
      </w:pPr>
      <w:r>
        <w:rPr/>
        <w:t>可能流入本公司时确认。 动漫、影视作品授权形象收入在取得《国产动画片播放许可证》、《电视剧发行许可证》且交易相关的经济利益很可</w:t>
      </w:r>
    </w:p>
    <w:p>
      <w:pPr>
        <w:pStyle w:val="BodyText"/>
        <w:spacing w:line="240" w:lineRule="auto" w:before="19"/>
        <w:ind w:right="0"/>
        <w:jc w:val="both"/>
      </w:pPr>
      <w:r>
        <w:rPr/>
        <w:t>能流入本公司，根据合同或者协议规定的时间、金额或收费方法确认收入。</w:t>
      </w:r>
    </w:p>
    <w:p>
      <w:pPr>
        <w:pStyle w:val="BodyText"/>
        <w:spacing w:line="240" w:lineRule="auto" w:before="76"/>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游戏版权收入</w:t>
      </w:r>
    </w:p>
    <w:p>
      <w:pPr>
        <w:pStyle w:val="BodyText"/>
        <w:spacing w:line="309" w:lineRule="auto" w:before="63"/>
        <w:ind w:left="573" w:right="29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移动终端单机游戏</w:t>
      </w:r>
      <w:r>
        <w:rPr>
          <w:w w:val="99"/>
        </w:rPr>
        <w:t> </w:t>
      </w:r>
      <w:r>
        <w:rPr/>
        <w:t>在收到电信运营商或服务商提供的计费账单并经公司相关部门核对结算金额后，确认为收入。</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移动终端联网游戏、互联网页面游戏</w:t>
      </w:r>
    </w:p>
    <w:p>
      <w:pPr>
        <w:pStyle w:val="BodyText"/>
        <w:spacing w:line="316" w:lineRule="auto" w:before="5"/>
        <w:ind w:left="573" w:right="0"/>
        <w:jc w:val="left"/>
      </w:pPr>
      <w:r>
        <w:rPr/>
        <w:t>公司官方网站上运营的自有网络游戏：道具收费模式下，在游戏玩家实际使用虚拟货币购买虚拟道具时确认收入。 公司官方网站上运营的合作网络游戏、公司与网络游戏平台合作运营的网络游戏：在取得合作方提供的按协议约定计</w:t>
      </w:r>
    </w:p>
    <w:p>
      <w:pPr>
        <w:pStyle w:val="BodyText"/>
        <w:spacing w:line="240" w:lineRule="auto" w:before="19"/>
        <w:ind w:right="0"/>
        <w:jc w:val="both"/>
      </w:pPr>
      <w:r>
        <w:rPr/>
        <w:t>算并经双方核对无误的计费账单后，确认为收入。</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24" w:firstLine="420"/>
        <w:jc w:val="left"/>
      </w:pPr>
      <w:r>
        <w:rPr>
          <w:spacing w:val="-1"/>
        </w:rPr>
        <w:t>公司取得的、用于购建或以其他方式形成长期资产的政府补助划分为与资产相关的政府补助。与资产相关的政府补助，</w:t>
      </w:r>
      <w:r>
        <w:rPr/>
        <w:t> </w:t>
      </w:r>
      <w:r>
        <w:rPr>
          <w:spacing w:val="-2"/>
        </w:rPr>
        <w:t>确认为递延收益，并在相关资产使用寿命内平均分配，计入当期损益。但是，按照名义金额计量的政府补助，直接计入当期</w:t>
      </w:r>
      <w:r>
        <w:rPr>
          <w:spacing w:val="-66"/>
        </w:rPr>
        <w:t> </w:t>
      </w:r>
      <w:r>
        <w:rPr>
          <w:spacing w:val="-66"/>
        </w:rPr>
      </w:r>
      <w:r>
        <w:rPr/>
        <w:t>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8" w:firstLine="420"/>
        <w:jc w:val="both"/>
      </w:pPr>
      <w:r>
        <w:rPr/>
        <w:t>除与资产相关的政府补助之外的政府补助划分为与收益相关的政府补助。与收益相关的政府补助，用于补偿以后期间 </w:t>
      </w:r>
      <w:r>
        <w:rPr>
          <w:spacing w:val="-2"/>
        </w:rPr>
        <w:t>的相关费用或损失的，确认为递延收益，在确认相关费用的期间，计入当期损益；用于补偿已发生的相关费用或损失的，直</w:t>
      </w:r>
      <w:r>
        <w:rPr>
          <w:spacing w:val="-66"/>
        </w:rPr>
        <w:t> </w:t>
      </w:r>
      <w:r>
        <w:rPr>
          <w:spacing w:val="-66"/>
        </w:rPr>
      </w:r>
      <w:r>
        <w:rPr/>
        <w:t>接计入当期损益。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3" w:firstLine="420"/>
        <w:jc w:val="both"/>
      </w:pPr>
      <w:r>
        <w:rPr>
          <w:rFonts w:ascii="Times New Roman" w:hAnsi="Times New Roman" w:cs="Times New Roman" w:eastAsia="Times New Roman" w:hint="default"/>
        </w:rPr>
        <w:t>1.</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00" w:lineRule="auto" w:before="24"/>
        <w:ind w:right="1132" w:firstLine="420"/>
        <w:jc w:val="both"/>
      </w:pP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1"/>
        <w:ind w:right="1140" w:firstLine="420"/>
        <w:jc w:val="both"/>
      </w:pPr>
      <w:r>
        <w:rPr>
          <w:rFonts w:ascii="Times New Roman" w:hAnsi="Times New Roman" w:cs="Times New Roman" w:eastAsia="Times New Roman" w:hint="default"/>
        </w:rPr>
        <w:t>3.</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240" w:lineRule="auto" w:before="31"/>
        <w:ind w:left="573" w:right="0"/>
        <w:jc w:val="left"/>
      </w:pPr>
      <w:r>
        <w:rPr>
          <w:rFonts w:ascii="Times New Roman" w:hAnsi="Times New Roman" w:cs="Times New Roman" w:eastAsia="Times New Roman" w:hint="default"/>
          <w:spacing w:val="-3"/>
        </w:rPr>
        <w:t>4.</w:t>
      </w:r>
      <w:r>
        <w:rPr>
          <w:spacing w:val="-3"/>
        </w:rPr>
        <w:t>公司当期所得税和递延所得税作为所得税费用或收益计入当期损益，但不包括下列情况产生的所得税：</w:t>
      </w:r>
      <w:r>
        <w:rPr>
          <w:rFonts w:ascii="Times New Roman" w:hAnsi="Times New Roman" w:cs="Times New Roman" w:eastAsia="Times New Roman" w:hint="default"/>
          <w:spacing w:val="-3"/>
        </w:rPr>
        <w:t>(1) </w:t>
      </w:r>
      <w:r>
        <w:rPr>
          <w:rFonts w:ascii="Times New Roman" w:hAnsi="Times New Roman" w:cs="Times New Roman" w:eastAsia="Times New Roman" w:hint="default"/>
          <w:spacing w:val="25"/>
        </w:rPr>
        <w:t> </w:t>
      </w:r>
      <w:r>
        <w:rPr/>
        <w:t>企业合并；</w:t>
      </w:r>
    </w:p>
    <w:p>
      <w:pPr>
        <w:pStyle w:val="BodyText"/>
        <w:spacing w:line="240" w:lineRule="auto" w:before="6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420"/>
        <w:jc w:val="left"/>
      </w:pPr>
      <w:r>
        <w:rPr>
          <w:spacing w:val="-2"/>
        </w:rPr>
        <w:t>公司为承租人时，在租赁期内各个期间按照直线法将租金计入相关资产成本或确认为当期损益，发生的初始直接费用，</w:t>
      </w:r>
      <w:r>
        <w:rPr/>
        <w:t> 直接计入当期损益。或有租金在实际发生时计入当期损益。 </w:t>
      </w:r>
      <w:r>
        <w:rPr>
          <w:spacing w:val="-2"/>
        </w:rPr>
        <w:t>公司为出租人时，在租赁期内各个期间按照直线法将租金确认为当期损益，发生的初始直接费用，除金额较大的予以资本化</w:t>
      </w:r>
      <w:r>
        <w:rPr>
          <w:spacing w:val="-66"/>
        </w:rPr>
        <w:t> </w:t>
      </w:r>
      <w:r>
        <w:rPr>
          <w:spacing w:val="-66"/>
        </w:rPr>
      </w:r>
      <w:r>
        <w:rPr/>
        <w:t>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966" w:firstLine="0"/>
        <w:jc w:val="left"/>
        <w:rPr>
          <w:rFonts w:ascii="宋体" w:hAnsi="宋体" w:cs="宋体" w:eastAsia="宋体" w:hint="default"/>
          <w:sz w:val="21"/>
          <w:szCs w:val="21"/>
        </w:rPr>
      </w:pPr>
      <w:bookmarkStart w:name="34、其他" w:id="215"/>
      <w:bookmarkEnd w:id="21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6"/>
      <w:bookmarkEnd w:id="21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7"/>
      <w:bookmarkEnd w:id="21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（荷兰公司）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（荷兰公司）</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693" w:firstLine="0"/>
        <w:jc w:val="left"/>
        <w:rPr>
          <w:rFonts w:ascii="宋体" w:hAnsi="宋体" w:cs="宋体" w:eastAsia="宋体" w:hint="default"/>
          <w:sz w:val="21"/>
          <w:szCs w:val="21"/>
        </w:rPr>
      </w:pPr>
      <w:bookmarkStart w:name="3、其他" w:id="219"/>
      <w:bookmarkEnd w:id="2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0"/>
      <w:bookmarkEnd w:id="220"/>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1"/>
      <w:bookmarkEnd w:id="22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156,822.58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104,507.44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570,388,745.60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248,960,589.22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5,732,037.28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562,451.47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576,277,605.46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249,627,548.13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23,315,101.04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18,418,085.12</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7,723,488.68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20,117,601.26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7,723,488.68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20,117,601.26</w:t>
            </w:r>
          </w:p>
        </w:tc>
      </w:tr>
    </w:tbl>
    <w:p>
      <w:pPr>
        <w:pStyle w:val="BodyText"/>
        <w:spacing w:line="240" w:lineRule="auto" w:before="51"/>
        <w:ind w:left="154" w:right="0"/>
        <w:jc w:val="left"/>
      </w:pPr>
      <w:r>
        <w:rPr/>
        <w:t>其他说明：</w:t>
      </w:r>
    </w:p>
    <w:p>
      <w:pPr>
        <w:pStyle w:val="BodyText"/>
        <w:spacing w:line="300" w:lineRule="auto" w:before="115"/>
        <w:ind w:right="1192" w:firstLine="336"/>
        <w:jc w:val="left"/>
      </w:pPr>
      <w:r>
        <w:rPr/>
        <w:t>公司将年末应收的业绩承诺补偿款</w:t>
      </w:r>
      <w:r>
        <w:rPr>
          <w:rFonts w:ascii="Times New Roman" w:hAnsi="Times New Roman" w:cs="Times New Roman" w:eastAsia="Times New Roman" w:hint="default"/>
        </w:rPr>
        <w:t>7,723,488.68</w:t>
      </w:r>
      <w:r>
        <w:rPr/>
        <w:t>元确认为以公允价值计量且其变动计入当期损益的金融资产，该补偿款 已于期后收回，详见本财务报告附注十三之说明。</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3、应收账款" w:id="223"/>
      <w:bookmarkEnd w:id="22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75,853,6</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65.28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4,678,47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71,175,18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63,952,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890.70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3,744,054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60,208,835.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75,853,6</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65.28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4,678,47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71,175,18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63,952,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890.70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3,744,054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57" w:lineRule="auto" w:before="117"/>
        <w:ind w:left="154" w:right="160"/>
        <w:jc w:val="left"/>
      </w:pPr>
      <w:r>
        <w:rPr/>
        <w:t>□ 适用 √ 不适用 组合中，按账龄分析法计提坏账准备的应收账款：</w:t>
      </w:r>
    </w:p>
    <w:p>
      <w:pPr>
        <w:pStyle w:val="BodyText"/>
        <w:spacing w:line="240" w:lineRule="auto" w:before="29"/>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74,244,684.90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3,712,234.25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139,334.26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13,933.43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751,123.29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375,561.65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41,911.90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33,529.52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666,952.38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533,561.90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75,853,665.28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4,678,479.30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60" w:lineRule="auto" w:before="26"/>
        <w:ind w:left="154" w:right="6792"/>
        <w:jc w:val="left"/>
      </w:pPr>
      <w:r>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991,370.86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420"/>
        <w:jc w:val="left"/>
      </w:pPr>
      <w:r>
        <w:rPr>
          <w:spacing w:val="-1"/>
        </w:rPr>
        <w:t>期末余额前</w:t>
      </w:r>
      <w:r>
        <w:rPr>
          <w:rFonts w:ascii="Times New Roman" w:hAnsi="Times New Roman" w:cs="Times New Roman" w:eastAsia="Times New Roman" w:hint="default"/>
          <w:spacing w:val="-1"/>
        </w:rPr>
        <w:t>5</w:t>
      </w:r>
      <w:r>
        <w:rPr>
          <w:spacing w:val="-1"/>
        </w:rPr>
        <w:t>名的应收账款合计数为</w:t>
      </w:r>
      <w:r>
        <w:rPr>
          <w:rFonts w:ascii="Times New Roman" w:hAnsi="Times New Roman" w:cs="Times New Roman" w:eastAsia="Times New Roman" w:hint="default"/>
          <w:spacing w:val="-1"/>
        </w:rPr>
        <w:t>54,616,162.92</w:t>
      </w:r>
      <w:r>
        <w:rPr>
          <w:spacing w:val="-1"/>
        </w:rPr>
        <w:t>元，占应收账款期末余额合计数的比例为</w:t>
      </w:r>
      <w:r>
        <w:rPr>
          <w:rFonts w:ascii="Times New Roman" w:hAnsi="Times New Roman" w:cs="Times New Roman" w:eastAsia="Times New Roman" w:hint="default"/>
          <w:spacing w:val="-1"/>
        </w:rPr>
        <w:t>72.00%</w:t>
      </w:r>
      <w:r>
        <w:rPr>
          <w:spacing w:val="-1"/>
        </w:rPr>
        <w:t>，相应计提的坏账准</w:t>
      </w:r>
      <w:r>
        <w:rPr/>
        <w:t> 备合计数为</w:t>
      </w:r>
      <w:r>
        <w:rPr>
          <w:rFonts w:ascii="Times New Roman" w:hAnsi="Times New Roman" w:cs="Times New Roman" w:eastAsia="Times New Roman" w:hint="default"/>
        </w:rPr>
        <w:t>2,730,808.15</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因金融资产转移而终止确认的应收账款" w:id="228"/>
      <w:bookmarkEnd w:id="22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29"/>
      <w:bookmarkEnd w:id="22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预付款项" w:id="230"/>
      <w:bookmarkEnd w:id="230"/>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8,348,920.67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13,731,902.55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168,805.33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8,348,920.67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13,900,707.88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553" w:firstLine="420"/>
        <w:jc w:val="left"/>
      </w:pPr>
      <w:r>
        <w:rPr/>
        <w:t>期末余额前</w:t>
      </w:r>
      <w:r>
        <w:rPr>
          <w:rFonts w:ascii="Times New Roman" w:hAnsi="Times New Roman" w:cs="Times New Roman" w:eastAsia="Times New Roman" w:hint="default"/>
        </w:rPr>
        <w:t>5</w:t>
      </w:r>
      <w:r>
        <w:rPr/>
        <w:t>名的预付款项合计数为</w:t>
      </w:r>
      <w:r>
        <w:rPr>
          <w:rFonts w:ascii="Times New Roman" w:hAnsi="Times New Roman" w:cs="Times New Roman" w:eastAsia="Times New Roman" w:hint="default"/>
        </w:rPr>
        <w:t>4,203,794.18</w:t>
      </w:r>
      <w:r>
        <w:rPr/>
        <w:t>元，占预付款项期末余额合计数的比例为</w:t>
      </w:r>
      <w:r>
        <w:rPr>
          <w:rFonts w:ascii="Times New Roman" w:hAnsi="Times New Roman" w:cs="Times New Roman" w:eastAsia="Times New Roman" w:hint="default"/>
        </w:rPr>
        <w:t>50.35%</w:t>
      </w:r>
      <w:r>
        <w:rPr>
          <w:rFonts w:ascii="Times New Roman" w:hAnsi="Times New Roman" w:cs="Times New Roman" w:eastAsia="Times New Roman" w:hint="default"/>
          <w:spacing w:val="25"/>
        </w:rPr>
        <w:t> </w:t>
      </w:r>
      <w:r>
        <w:rPr/>
        <w:t>。 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应收款" w:id="233"/>
      <w:bookmarkEnd w:id="233"/>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4"/>
      <w:bookmarkEnd w:id="23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1,860,49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3.45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369,464.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1,491,028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8,473,8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34.61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496,201.7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7,977,632.8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1,860,49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3.45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369,464.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19.86%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1,491,028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8,473,8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34.61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496,201.7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7,977,632.8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57" w:lineRule="auto" w:before="117"/>
        <w:ind w:left="154" w:right="160"/>
        <w:jc w:val="left"/>
      </w:pPr>
      <w:r>
        <w:rPr/>
        <w:t>□ 适用 √ 不适用 组合中，按账龄分析法计提坏账准备的其他应收款：</w:t>
      </w:r>
    </w:p>
    <w:p>
      <w:pPr>
        <w:pStyle w:val="BodyText"/>
        <w:spacing w:line="240" w:lineRule="auto" w:before="28"/>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923,293.45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46,164.67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4"/>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1,860,493.45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369,464.67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60" w:lineRule="auto" w:before="26"/>
        <w:ind w:left="154" w:right="6612"/>
        <w:jc w:val="left"/>
      </w:pPr>
      <w:r>
        <w:rPr/>
        <w:t>□ 适用 √ 不适用 组合中，采用其他方法计提坏账准备的其他应收款：</w:t>
      </w:r>
    </w:p>
    <w:p>
      <w:pPr>
        <w:pStyle w:val="BodyText"/>
        <w:spacing w:line="240" w:lineRule="auto" w:before="26"/>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5"/>
        <w:jc w:val="left"/>
      </w:pPr>
      <w:r>
        <w:rPr/>
        <w:t>本期计提坏账准备金额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117,737.07</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313" w:space="2517"/>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236"/>
      <w:bookmarkEnd w:id="23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37"/>
      <w:bookmarkEnd w:id="23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738,893.45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840,263.67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6,347,820.94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1,860,493.45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8,473,834.61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38"/>
      <w:bookmarkEnd w:id="23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新昌县非税收入汇 缴核算专户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219,750.00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新昌县财政局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北京海迪菲文化传 播有限公司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俞亚莲</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90,975.40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4,548.77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1,117,475.40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272,998.77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39"/>
      <w:bookmarkEnd w:id="23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40"/>
      <w:bookmarkEnd w:id="24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241"/>
      <w:bookmarkEnd w:id="24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存货" w:id="242"/>
      <w:bookmarkEnd w:id="242"/>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43"/>
      <w:bookmarkEnd w:id="24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9,302,596.05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9,302,596.05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10,344,186.29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10,344,186.29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24,073,524.00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24,073,524.00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23,207,995.72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23,207,995.72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52,075,308.93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7,841,989.06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44,233,319.87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118,380,839.00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15,752,087.18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102,628,751.82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11,342,395.79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11,342,395.79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39,502,832.88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39,502,832.88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202,929.06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202,929.06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2,046,586.16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2,046,586.16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99,043,339.99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7,841,989.06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91,201,350.93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191,435,853.89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15,752,087.18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175,683,766.71</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44"/>
      <w:bookmarkEnd w:id="24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15,752,087.18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7,311,986.54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598,111.58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7,841,989.06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15,752,087.18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7,311,986.54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598,111.58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7,841,989.06</w:t>
            </w:r>
          </w:p>
        </w:tc>
      </w:tr>
    </w:tbl>
    <w:p>
      <w:pPr>
        <w:pStyle w:val="BodyText"/>
        <w:spacing w:line="316" w:lineRule="auto" w:before="10"/>
        <w:ind w:left="574" w:right="6192"/>
        <w:jc w:val="left"/>
      </w:pPr>
      <w:r>
        <w:rPr/>
        <w:t>本期转销存货跌价准备的原因说明 公司销售产品，并相应转销原计提的存货跌价准备。</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3）存货期末余额含有借款费用资本化金额的说明" w:id="245"/>
      <w:bookmarkEnd w:id="24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46"/>
      <w:bookmarkEnd w:id="24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其他流动资产" w:id="247"/>
      <w:bookmarkEnd w:id="247"/>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珠江电影频道项目款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917,512.39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429,760.05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1,441,152.57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917,512.39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24,870,912.62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可供出售金融资产" w:id="248"/>
      <w:bookmarkEnd w:id="248"/>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9"/>
      <w:bookmarkEnd w:id="24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期末按成本计量的可供出售金融资产" w:id="250"/>
      <w:bookmarkEnd w:id="25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浙江新昌 浦发村镇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750,000.00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北京创新 工场创业 投资中心</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750,000.00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可供出售权益工具期末公允价值严重下跌或非暂时性下跌但未计提减值准备的相关说" w:id="251"/>
      <w:bookmarkEnd w:id="251"/>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0"/>
        <w:jc w:val="left"/>
      </w:pPr>
      <w:r>
        <w:rPr/>
        <w:t>其他说明</w:t>
      </w:r>
    </w:p>
    <w:p>
      <w:pPr>
        <w:pStyle w:val="BodyText"/>
        <w:spacing w:line="300" w:lineRule="auto" w:before="116"/>
        <w:ind w:right="0"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日，公司与北京创新工场创业投资中心（有限合伙）达成协议，公司作为有限合伙人以</w:t>
      </w:r>
      <w:r>
        <w:rPr>
          <w:rFonts w:ascii="Times New Roman" w:hAnsi="Times New Roman" w:cs="Times New Roman" w:eastAsia="Times New Roman" w:hint="default"/>
          <w:spacing w:val="-1"/>
        </w:rPr>
        <w:t>5,000</w:t>
      </w:r>
      <w:r>
        <w:rPr>
          <w:spacing w:val="-1"/>
        </w:rPr>
        <w:t>万元人民币</w:t>
      </w:r>
      <w:r>
        <w:rPr/>
        <w:t> 认购其发行的基金</w:t>
      </w:r>
      <w:r>
        <w:rPr>
          <w:rFonts w:ascii="Times New Roman" w:hAnsi="Times New Roman" w:cs="Times New Roman" w:eastAsia="Times New Roman" w:hint="default"/>
        </w:rPr>
        <w:t>5,000</w:t>
      </w:r>
      <w:r>
        <w:rPr/>
        <w:t>万份，该基金规模不大于</w:t>
      </w:r>
      <w:r>
        <w:rPr>
          <w:rFonts w:ascii="Times New Roman" w:hAnsi="Times New Roman" w:cs="Times New Roman" w:eastAsia="Times New Roman" w:hint="default"/>
        </w:rPr>
        <w:t>25</w:t>
      </w:r>
      <w:r>
        <w:rPr/>
        <w:t>亿元，截至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日，公司已出资</w:t>
      </w:r>
      <w:r>
        <w:rPr>
          <w:rFonts w:ascii="Times New Roman" w:hAnsi="Times New Roman" w:cs="Times New Roman" w:eastAsia="Times New Roman" w:hint="default"/>
        </w:rPr>
        <w:t>1,500</w:t>
      </w:r>
      <w:r>
        <w:rPr/>
        <w:t>万元。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9、长期股权投资" w:id="252"/>
      <w:bookmarkEnd w:id="252"/>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1"/>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pacing w:val="-3"/>
                <w:sz w:val="18"/>
              </w:rPr>
              <w:t>PACIFIC</w:t>
            </w:r>
            <w:r>
              <w:rPr>
                <w:rFonts w:ascii="Times New Roman"/>
                <w:w w:val="99"/>
                <w:sz w:val="18"/>
              </w:rPr>
              <w:t> </w:t>
            </w:r>
            <w:r>
              <w:rPr>
                <w:rFonts w:ascii="Times New Roman"/>
                <w:sz w:val="18"/>
              </w:rPr>
              <w:t>TRADIN</w:t>
            </w:r>
            <w:r>
              <w:rPr>
                <w:rFonts w:ascii="Times New Roman"/>
                <w:w w:val="99"/>
                <w:sz w:val="18"/>
              </w:rPr>
              <w:t> </w:t>
            </w:r>
            <w:r>
              <w:rPr>
                <w:rFonts w:ascii="Times New Roman"/>
                <w:sz w:val="18"/>
              </w:rPr>
              <w:t>G </w:t>
            </w:r>
            <w:r>
              <w:rPr>
                <w:rFonts w:ascii="Times New Roman"/>
                <w:spacing w:val="-6"/>
                <w:sz w:val="18"/>
              </w:rPr>
              <w:t>LTD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2,551,466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-565,637.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-142,440.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129,254.8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1,972,643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瑛麒动漫</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45,000,00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-1,434,95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43,565,04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8.90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1.10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广州创幻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2,551,466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111,250,0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-2,000,59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-142,440.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129,254.8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111,787,6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2,551,466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111,250,0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-2,000,59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-142,440.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129,254.8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111,787,6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0" w:lineRule="auto" w:before="116"/>
        <w:ind w:left="154" w:right="0"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日，公司与瑛麒动漫及股东陈瑞福、林杰、瑞安市漫道文化传媒有限公司（以下简称瑞安文化）签订协议，</w:t>
      </w:r>
      <w:r>
        <w:rPr/>
        <w:t> 公司以</w:t>
      </w:r>
      <w:r>
        <w:rPr>
          <w:rFonts w:ascii="Times New Roman" w:hAnsi="Times New Roman" w:cs="Times New Roman" w:eastAsia="Times New Roman" w:hint="default"/>
        </w:rPr>
        <w:t>500</w:t>
      </w:r>
      <w:r>
        <w:rPr/>
        <w:t>万元购买瑞安文化持有瑛麒动漫</w:t>
      </w:r>
      <w:r>
        <w:rPr>
          <w:rFonts w:ascii="Times New Roman" w:hAnsi="Times New Roman" w:cs="Times New Roman" w:eastAsia="Times New Roman" w:hint="default"/>
        </w:rPr>
        <w:t>5.88%</w:t>
      </w:r>
      <w:r>
        <w:rPr/>
        <w:t>的股权，同时以</w:t>
      </w:r>
      <w:r>
        <w:rPr>
          <w:rFonts w:ascii="Times New Roman" w:hAnsi="Times New Roman" w:cs="Times New Roman" w:eastAsia="Times New Roman" w:hint="default"/>
        </w:rPr>
        <w:t>4,000</w:t>
      </w:r>
      <w:r>
        <w:rPr/>
        <w:t>万元的价格认购瑛麒动漫新增</w:t>
      </w:r>
      <w:r>
        <w:rPr>
          <w:rFonts w:ascii="Times New Roman" w:hAnsi="Times New Roman" w:cs="Times New Roman" w:eastAsia="Times New Roman" w:hint="default"/>
        </w:rPr>
        <w:t>32%</w:t>
      </w:r>
      <w:r>
        <w:rPr/>
        <w:t>的股权。本次投资</w:t>
      </w:r>
      <w:r>
        <w:rPr>
          <w:spacing w:val="-31"/>
        </w:rPr>
        <w:t> </w:t>
      </w:r>
      <w:r>
        <w:rPr>
          <w:spacing w:val="-31"/>
        </w:rPr>
      </w:r>
      <w:r>
        <w:rPr/>
        <w:t>完成后，公司将持有瑞安文化</w:t>
      </w:r>
      <w:r>
        <w:rPr>
          <w:rFonts w:ascii="Times New Roman" w:hAnsi="Times New Roman" w:cs="Times New Roman" w:eastAsia="Times New Roman" w:hint="default"/>
        </w:rPr>
        <w:t>36%</w:t>
      </w:r>
      <w:r>
        <w:rPr/>
        <w:t>的股权。</w:t>
      </w:r>
    </w:p>
    <w:p>
      <w:pPr>
        <w:pStyle w:val="BodyText"/>
        <w:spacing w:line="300" w:lineRule="auto" w:before="13"/>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日，公司全资子公司美盛二次元与广州创幻及股东上海冠润创业投资合伙企业（有限合伙）（以下简称上</w:t>
      </w:r>
      <w:r>
        <w:rPr/>
        <w:t> 海冠润）、陈坚、姚国栋签订协议，公司以</w:t>
      </w:r>
      <w:r>
        <w:rPr>
          <w:rFonts w:ascii="Times New Roman" w:hAnsi="Times New Roman" w:cs="Times New Roman" w:eastAsia="Times New Roman" w:hint="default"/>
        </w:rPr>
        <w:t>250</w:t>
      </w:r>
      <w:r>
        <w:rPr/>
        <w:t>万元购买原上海冠润持有广州创幻</w:t>
      </w:r>
      <w:r>
        <w:rPr>
          <w:rFonts w:ascii="Times New Roman" w:hAnsi="Times New Roman" w:cs="Times New Roman" w:eastAsia="Times New Roman" w:hint="default"/>
        </w:rPr>
        <w:t>7.1429%</w:t>
      </w:r>
      <w:r>
        <w:rPr/>
        <w:t>的股权，同时以</w:t>
      </w:r>
      <w:r>
        <w:rPr>
          <w:rFonts w:ascii="Times New Roman" w:hAnsi="Times New Roman" w:cs="Times New Roman" w:eastAsia="Times New Roman" w:hint="default"/>
        </w:rPr>
        <w:t>1750</w:t>
      </w:r>
      <w:r>
        <w:rPr/>
        <w:t>万元的价格</w:t>
      </w:r>
      <w:r>
        <w:rPr>
          <w:spacing w:val="-14"/>
        </w:rPr>
        <w:t> </w:t>
      </w:r>
      <w:r>
        <w:rPr>
          <w:spacing w:val="-14"/>
        </w:rPr>
      </w:r>
      <w:r>
        <w:rPr>
          <w:spacing w:val="-1"/>
        </w:rPr>
        <w:t>认购广州创幻新增的</w:t>
      </w:r>
      <w:r>
        <w:rPr>
          <w:rFonts w:ascii="Times New Roman" w:hAnsi="Times New Roman" w:cs="Times New Roman" w:eastAsia="Times New Roman" w:hint="default"/>
          <w:spacing w:val="-1"/>
        </w:rPr>
        <w:t>30%</w:t>
      </w:r>
      <w:r>
        <w:rPr>
          <w:spacing w:val="-1"/>
        </w:rPr>
        <w:t>股权。本次投资完成后，公司将持有广州创幻</w:t>
      </w:r>
      <w:r>
        <w:rPr>
          <w:rFonts w:ascii="Times New Roman" w:hAnsi="Times New Roman" w:cs="Times New Roman" w:eastAsia="Times New Roman" w:hint="default"/>
          <w:spacing w:val="-1"/>
        </w:rPr>
        <w:t>35%</w:t>
      </w:r>
      <w:r>
        <w:rPr>
          <w:spacing w:val="-1"/>
        </w:rPr>
        <w:t>的股权。截至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日，公司已累计支付</w:t>
      </w:r>
      <w:r>
        <w:rPr>
          <w:spacing w:val="-53"/>
        </w:rPr>
        <w:t> </w:t>
      </w:r>
      <w:r>
        <w:rPr>
          <w:spacing w:val="-53"/>
        </w:rPr>
      </w:r>
      <w:r>
        <w:rPr/>
        <w:t>投资款</w:t>
      </w:r>
      <w:r>
        <w:rPr>
          <w:rFonts w:ascii="Times New Roman" w:hAnsi="Times New Roman" w:cs="Times New Roman" w:eastAsia="Times New Roman" w:hint="default"/>
        </w:rPr>
        <w:t>625</w:t>
      </w:r>
      <w:r>
        <w:rPr/>
        <w:t>万元。</w:t>
      </w:r>
    </w:p>
    <w:p>
      <w:pPr>
        <w:pStyle w:val="BodyText"/>
        <w:spacing w:line="300" w:lineRule="auto" w:before="13"/>
        <w:ind w:right="0"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日，公司以</w:t>
      </w:r>
      <w:r>
        <w:rPr>
          <w:rFonts w:ascii="Times New Roman" w:hAnsi="Times New Roman" w:cs="Times New Roman" w:eastAsia="Times New Roman" w:hint="default"/>
          <w:spacing w:val="-2"/>
        </w:rPr>
        <w:t>6,000</w:t>
      </w:r>
      <w:r>
        <w:rPr>
          <w:spacing w:val="-2"/>
        </w:rPr>
        <w:t>万元的价格认购微媒互动新增的</w:t>
      </w:r>
      <w:r>
        <w:rPr>
          <w:rFonts w:ascii="Times New Roman" w:hAnsi="Times New Roman" w:cs="Times New Roman" w:eastAsia="Times New Roman" w:hint="default"/>
          <w:spacing w:val="-2"/>
        </w:rPr>
        <w:t>15%</w:t>
      </w:r>
      <w:r>
        <w:rPr>
          <w:spacing w:val="-2"/>
        </w:rPr>
        <w:t>股权。本次投资完成后，公司将持有微媒互动</w:t>
      </w:r>
      <w:r>
        <w:rPr>
          <w:rFonts w:ascii="Times New Roman" w:hAnsi="Times New Roman" w:cs="Times New Roman" w:eastAsia="Times New Roman" w:hint="default"/>
          <w:spacing w:val="-2"/>
        </w:rPr>
        <w:t>15%</w:t>
      </w:r>
      <w:r>
        <w:rPr>
          <w:spacing w:val="-2"/>
        </w:rPr>
        <w:t>的</w:t>
      </w:r>
      <w:r>
        <w:rPr/>
        <w:t> 股权，截至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日，公司已累计支付投资款</w:t>
      </w:r>
      <w:r>
        <w:rPr>
          <w:rFonts w:ascii="Times New Roman" w:hAnsi="Times New Roman" w:cs="Times New Roman" w:eastAsia="Times New Roman" w:hint="default"/>
        </w:rPr>
        <w:t>6,000</w:t>
      </w:r>
      <w:r>
        <w:rPr/>
        <w:t>万元。股权变更手续于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日办理完毕。</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10、投资性房地产" w:id="253"/>
      <w:bookmarkEnd w:id="253"/>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54"/>
      <w:bookmarkEnd w:id="25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 适用 □ 不适用</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37,741,223.80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37,741,223.80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37,741,223.80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37,741,223.80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37,741,223.80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37,741,223.80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3,254,766.48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3,254,766.48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1,132,236.72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1,132,236.72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2,122,529.76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2,122,529.76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3,254,766.48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3,254,766.48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34,486,457.32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34,486,457.32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采用公允价值计量模式的投资性房地产" w:id="255"/>
      <w:bookmarkEnd w:id="25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未办妥产权证书的投资性房地产情况" w:id="256"/>
      <w:bookmarkEnd w:id="25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1、固定资产" w:id="257"/>
      <w:bookmarkEnd w:id="257"/>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58"/>
      <w:bookmarkEnd w:id="25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239,151,661.61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13,533,231.52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7,366,626.21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12,329,018.05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272,380,537.39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98,382,061.61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342,859.05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4,892,739.86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4,120,676.01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107,738,336.53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189,657.30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342,859.05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4,592,739.86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4,120,676.01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9,245,932.22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98,192,404.31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98,492,404.31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37,741,223.80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38,178.66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396,081.00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614,424.06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38,789,907.52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38,178.66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396,081.00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376,430.02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810,689.68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汇率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140,987.04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140,987.04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合并转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97,007.00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转入投资性房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37,741,223.80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37,741,223.80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299,792,499.42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13,837,911.91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11,863,285.07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15,835,270.00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341,328,966.40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18,867,988.44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6,286,318.56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4,526,626.70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9,113,030.46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38,793,964.16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6,240,534.61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1,220,463.27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1,675,461.88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1,406,421.48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10,542,881.24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6,240,534.61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1,220,463.27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1,675,461.88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1,406,421.48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10,542,881.24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2,122,529.76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129,266.36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401,141.48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2,655,124.32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129,266.36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254,303.70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385,756.78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汇率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127,593.57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127,593.57</w:t>
            </w:r>
          </w:p>
        </w:tc>
      </w:tr>
      <w:tr>
        <w:trPr>
          <w:trHeight w:val="715"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( 3 )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转出</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19,244.21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19,244.21</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转入投资性房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2,122,529.76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2,122,529.76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22,985,993.29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7,504,595.11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6,072,822.22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10,118,310.46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46,681,721.08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276,806,506.13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6,333,316.80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5,790,462.85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5,716,959.54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294,647,245.32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220,283,673.17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7,246,912.96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2,839,999.51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3,215,987.59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233,586,573.23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59"/>
      <w:bookmarkEnd w:id="25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60"/>
      <w:bookmarkEnd w:id="26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61"/>
      <w:bookmarkEnd w:id="26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68,489,864.20</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68,489,864.20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办妥产权证书的固定资产情况" w:id="262"/>
      <w:bookmarkEnd w:id="26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footerReference w:type="default" r:id="rId21"/>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动漫基地房产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141,994,068.98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141,994,068.98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在建工程" w:id="263"/>
      <w:bookmarkEnd w:id="263"/>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64"/>
      <w:bookmarkEnd w:id="26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研发车间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19,099,879.63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19,099,879.63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购房款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34,382,370.00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34,382,370.00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研发车间室内装 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22,646,000.00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创意产业体验厅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44,637.60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44,637.60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418,895.00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418,895.00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32,265,637.60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32,265,637.60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53,901,144.63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53,901,144.63</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65"/>
      <w:bookmarkEnd w:id="26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44,000,0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8,844,45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8,844,45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研发车 间</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91,500,0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19,099,8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79.63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33,523,4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52,623,2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80.13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研发车 间室内 装修工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22,646,0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22,646,0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创意产 业体验 厅</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9,575,00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9,575,00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购房款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34,380,0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34,382,3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34,382,3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2,268,04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2,642,30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44,637.6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169,880,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53,901,1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44.63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76,856,8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97.28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98,492,4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04.31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32,265,6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37.60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66"/>
      <w:bookmarkEnd w:id="26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0"/>
        <w:jc w:val="left"/>
      </w:pPr>
      <w:r>
        <w:rPr/>
        <w:t>其他说明</w:t>
      </w:r>
    </w:p>
    <w:p>
      <w:pPr>
        <w:pStyle w:val="BodyText"/>
        <w:spacing w:line="300" w:lineRule="auto" w:before="116"/>
        <w:ind w:left="154" w:right="0" w:firstLine="420"/>
        <w:jc w:val="left"/>
      </w:pPr>
      <w:r>
        <w:rPr/>
        <w:t>公司建设的</w:t>
      </w:r>
      <w:r>
        <w:rPr>
          <w:rFonts w:ascii="Times New Roman" w:hAnsi="Times New Roman" w:cs="Times New Roman" w:eastAsia="Times New Roman" w:hint="default"/>
        </w:rPr>
        <w:t>6#</w:t>
      </w:r>
      <w:r>
        <w:rPr/>
        <w:t>厂房已于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月达到预定可使用状态，</w:t>
      </w:r>
      <w:r>
        <w:rPr>
          <w:rFonts w:ascii="Times New Roman" w:hAnsi="Times New Roman" w:cs="Times New Roman" w:eastAsia="Times New Roman" w:hint="default"/>
        </w:rPr>
        <w:t>2014</w:t>
      </w:r>
      <w:r>
        <w:rPr/>
        <w:t>年转入固定资产金额为</w:t>
      </w:r>
      <w:r>
        <w:rPr>
          <w:rFonts w:ascii="Times New Roman" w:hAnsi="Times New Roman" w:cs="Times New Roman" w:eastAsia="Times New Roman" w:hint="default"/>
        </w:rPr>
        <w:t>33,968,634.37</w:t>
      </w:r>
      <w:r>
        <w:rPr/>
        <w:t>元。</w:t>
      </w:r>
      <w:r>
        <w:rPr>
          <w:rFonts w:ascii="Times New Roman" w:hAnsi="Times New Roman" w:cs="Times New Roman" w:eastAsia="Times New Roman" w:hint="default"/>
        </w:rPr>
        <w:t>2015</w:t>
      </w:r>
      <w:r>
        <w:rPr/>
        <w:t>年经决算 调整原值</w:t>
      </w:r>
      <w:r>
        <w:rPr>
          <w:rFonts w:ascii="Times New Roman" w:hAnsi="Times New Roman" w:cs="Times New Roman" w:eastAsia="Times New Roman" w:hint="default"/>
        </w:rPr>
        <w:t>8,844,450.00</w:t>
      </w:r>
      <w:r>
        <w:rPr/>
        <w:t>元，并转入固定资产。</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13、无形资产" w:id="267"/>
      <w:bookmarkEnd w:id="267"/>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68"/>
      <w:bookmarkEnd w:id="26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23,326,496.70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2,320,677.20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265,069.81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11,966,394.75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37,878,638.46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1,004,419.60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1,363,164.08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2,367,583.68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1,004,419.60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1,363,164.08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2,367,583.68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107,259.86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107,259.86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85,711.18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85,711.18</w:t>
            </w:r>
          </w:p>
        </w:tc>
      </w:tr>
      <w:tr>
        <w:trPr>
          <w:trHeight w:val="1026" w:hRule="exact"/>
        </w:trPr>
        <w:tc>
          <w:tcPr>
            <w:tcW w:w="1197" w:type="dxa"/>
            <w:tcBorders>
              <w:top w:val="single" w:sz="4" w:space="0" w:color="000000"/>
              <w:left w:val="single" w:sz="4" w:space="0" w:color="000000"/>
              <w:bottom w:val="single" w:sz="12" w:space="0" w:color="D2D2D2"/>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15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 </w:t>
            </w:r>
            <w:r>
              <w:rPr>
                <w:rFonts w:ascii="宋体" w:hAnsi="宋体" w:cs="宋体" w:eastAsia="宋体" w:hint="default"/>
                <w:sz w:val="18"/>
                <w:szCs w:val="18"/>
              </w:rPr>
              <w:t>汇率变 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21,548.68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21,548.68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23,326,496.70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3,217,836.94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265,069.81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13,329,558.83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40,138,962.28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2,891,954.47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865,639.29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79,164.15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6,373,269.20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10,210,027.11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616,487.63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601,161.91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19,202.28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904,249.23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2,141,101.05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616,487.63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601,161.91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19,202.28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904,249.23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2,141,101.05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16,860.47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16,860.47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13,347.71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13,347.71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3,512.76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3,512.76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3,508,442.10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1,449,940.73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98,366.43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7,277,518.43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12,334,267.69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3,709,422.67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3,709,422.67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3,709,422.67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3,709,422.67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19,818,054.60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1,767,896.21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166,703.38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2,342,617.73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24,095,271.92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20,434,542.23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1,455,037.91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185,905.66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1,883,702.88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23,959,188.68</w:t>
            </w:r>
          </w:p>
        </w:tc>
      </w:tr>
    </w:tbl>
    <w:p>
      <w:pPr>
        <w:pStyle w:val="BodyText"/>
        <w:spacing w:line="240" w:lineRule="auto" w:before="51"/>
        <w:ind w:left="154" w:right="0"/>
        <w:jc w:val="left"/>
      </w:pPr>
      <w:r>
        <w:rPr/>
        <w:t>本期末通过公司内部研发形成的无形资产占无形资产余额的比例。</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未办妥产权证书的土地使用权情况" w:id="269"/>
      <w:bookmarkEnd w:id="26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开发支出" w:id="270"/>
      <w:bookmarkEnd w:id="270"/>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309"/>
              <w:jc w:val="right"/>
              <w:rPr>
                <w:rFonts w:ascii="宋体" w:hAnsi="宋体" w:cs="宋体" w:eastAsia="宋体" w:hint="default"/>
                <w:sz w:val="18"/>
                <w:szCs w:val="18"/>
              </w:rPr>
            </w:pPr>
            <w:r>
              <w:rPr>
                <w:rFonts w:ascii="宋体" w:hAnsi="宋体" w:cs="宋体" w:eastAsia="宋体" w:hint="default"/>
                <w:sz w:val="18"/>
                <w:szCs w:val="18"/>
              </w:rPr>
              <w:t>游戏版权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2,284,587.64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1,363,164.08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921,423.56</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2,284,587.64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1,363,164.08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921,423.56</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5、商誉" w:id="271"/>
      <w:bookmarkEnd w:id="271"/>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72"/>
      <w:bookmarkEnd w:id="27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9,551,471.73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9,551,471.73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55,568,037.71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55,568,037.71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9,876,030.45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9,876,030.45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22,399,225.95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22,399,225.95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97,394,765.84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22,399,225.95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74,995,539.89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73"/>
      <w:bookmarkEnd w:id="27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6,117,984.96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1,254,284.17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7,372,269.13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4,729,502.88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4,729,502.88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6,117,984.96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5,983,787.05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12,101,772.01</w:t>
            </w:r>
          </w:p>
        </w:tc>
      </w:tr>
    </w:tbl>
    <w:p>
      <w:pPr>
        <w:pStyle w:val="BodyText"/>
        <w:spacing w:line="240" w:lineRule="auto" w:before="51"/>
        <w:ind w:left="154" w:right="0"/>
        <w:jc w:val="left"/>
      </w:pPr>
      <w:r>
        <w:rPr/>
        <w:t>说明商誉减值测试过程、参数及商誉减值损失的确认方法：</w:t>
      </w:r>
    </w:p>
    <w:p>
      <w:pPr>
        <w:pStyle w:val="BodyText"/>
        <w:spacing w:line="240" w:lineRule="auto" w:before="115"/>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荷兰公司</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firstLine="420"/>
        <w:jc w:val="left"/>
      </w:pPr>
      <w:r>
        <w:rPr/>
        <w:t>商誉的可收回金额按照预计未来现金流量的现值计算。预计现金流量系根据荷兰公司批准的未来</w:t>
      </w:r>
      <w:r>
        <w:rPr>
          <w:rFonts w:ascii="Times New Roman" w:hAnsi="Times New Roman" w:cs="Times New Roman" w:eastAsia="Times New Roman" w:hint="default"/>
        </w:rPr>
        <w:t>10</w:t>
      </w:r>
      <w:r>
        <w:rPr/>
        <w:t>年期现金流量预测 为基础测算，采用一年期贷款利率</w:t>
      </w:r>
      <w:r>
        <w:rPr>
          <w:rFonts w:ascii="Times New Roman" w:hAnsi="Times New Roman" w:cs="Times New Roman" w:eastAsia="Times New Roman" w:hint="default"/>
        </w:rPr>
        <w:t>4.35%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5.60%</w:t>
      </w:r>
      <w:r>
        <w:rPr/>
        <w:t>）为折现率。</w:t>
      </w:r>
    </w:p>
    <w:p>
      <w:pPr>
        <w:pStyle w:val="BodyText"/>
        <w:spacing w:line="240" w:lineRule="auto" w:before="13"/>
        <w:ind w:left="573" w:right="0"/>
        <w:jc w:val="left"/>
      </w:pPr>
      <w:r>
        <w:rPr/>
        <w:t>上述对可收回金额的预计表明商誉存在减值，公司本期增加确认商誉减值损失</w:t>
      </w:r>
      <w:r>
        <w:rPr>
          <w:rFonts w:ascii="Times New Roman" w:hAnsi="Times New Roman" w:cs="Times New Roman" w:eastAsia="Times New Roman" w:hint="default"/>
        </w:rPr>
        <w:t>1,254,284.17</w:t>
      </w:r>
      <w:r>
        <w:rPr/>
        <w:t>元。</w:t>
      </w:r>
    </w:p>
    <w:p>
      <w:pPr>
        <w:pStyle w:val="BodyText"/>
        <w:spacing w:line="300" w:lineRule="auto" w:before="63"/>
        <w:ind w:left="573" w:right="111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美盛游戏</w:t>
      </w:r>
      <w:r>
        <w:rPr>
          <w:w w:val="99"/>
        </w:rPr>
        <w:t> </w:t>
      </w:r>
      <w:r>
        <w:rPr>
          <w:spacing w:val="-1"/>
        </w:rPr>
        <w:t>商誉的可收回金额按照预计未来现金流量的现值计算。预计现金流量系根据美盛游戏批准的未来</w:t>
      </w:r>
      <w:r>
        <w:rPr>
          <w:rFonts w:ascii="Times New Roman" w:hAnsi="Times New Roman" w:cs="Times New Roman" w:eastAsia="Times New Roman" w:hint="default"/>
          <w:spacing w:val="-1"/>
        </w:rPr>
        <w:t>5</w:t>
      </w:r>
      <w:r>
        <w:rPr>
          <w:spacing w:val="-1"/>
        </w:rPr>
        <w:t>年期现金流量预测为</w:t>
      </w:r>
    </w:p>
    <w:p>
      <w:pPr>
        <w:pStyle w:val="BodyText"/>
        <w:spacing w:line="300" w:lineRule="auto" w:before="13"/>
        <w:ind w:left="574" w:right="5322" w:hanging="420"/>
        <w:jc w:val="left"/>
      </w:pPr>
      <w:r>
        <w:rPr/>
        <w:t>基础测算，采用一年期贷款利率</w:t>
      </w:r>
      <w:r>
        <w:rPr>
          <w:rFonts w:ascii="Times New Roman" w:hAnsi="Times New Roman" w:cs="Times New Roman" w:eastAsia="Times New Roman" w:hint="default"/>
        </w:rPr>
        <w:t>4.35%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5.60%</w:t>
      </w:r>
      <w:r>
        <w:rPr/>
        <w:t>）为折现率。 上述对可收回金额的预计表明商誉并未出现减值损失。</w:t>
      </w:r>
    </w:p>
    <w:p>
      <w:pPr>
        <w:pStyle w:val="BodyText"/>
        <w:spacing w:line="300" w:lineRule="auto" w:before="31"/>
        <w:ind w:left="574" w:right="111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星梦工坊</w:t>
      </w:r>
      <w:r>
        <w:rPr>
          <w:w w:val="99"/>
        </w:rPr>
        <w:t> </w:t>
      </w:r>
      <w:r>
        <w:rPr>
          <w:spacing w:val="-1"/>
        </w:rPr>
        <w:t>商誉的可收回金额按照预计未来现金流量的现值计算。预计现金流量系根据星梦工坊批准的</w:t>
      </w:r>
      <w:r>
        <w:rPr>
          <w:rFonts w:ascii="Times New Roman" w:hAnsi="Times New Roman" w:cs="Times New Roman" w:eastAsia="Times New Roman" w:hint="default"/>
          <w:spacing w:val="-1"/>
        </w:rPr>
        <w:t>5</w:t>
      </w:r>
      <w:r>
        <w:rPr>
          <w:spacing w:val="-1"/>
        </w:rPr>
        <w:t>年期现金流量预测为基础</w:t>
      </w:r>
    </w:p>
    <w:p>
      <w:pPr>
        <w:pStyle w:val="BodyText"/>
        <w:spacing w:line="300" w:lineRule="auto" w:before="13"/>
        <w:ind w:left="574" w:right="3627" w:hanging="420"/>
        <w:jc w:val="left"/>
      </w:pPr>
      <w:r>
        <w:rPr/>
        <w:t>测算，采用一年期贷款利率</w:t>
      </w:r>
      <w:r>
        <w:rPr>
          <w:rFonts w:ascii="Times New Roman" w:hAnsi="Times New Roman" w:cs="Times New Roman" w:eastAsia="Times New Roman" w:hint="default"/>
        </w:rPr>
        <w:t>4.35%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5.60%</w:t>
      </w:r>
      <w:r>
        <w:rPr/>
        <w:t>）为折现率。 上述对可收回金额的预计表明商誉存在减值，本期确认商誉减值损失</w:t>
      </w:r>
      <w:r>
        <w:rPr>
          <w:rFonts w:ascii="Times New Roman" w:hAnsi="Times New Roman" w:cs="Times New Roman" w:eastAsia="Times New Roman" w:hint="default"/>
        </w:rPr>
        <w:t>4,729,502.88</w:t>
      </w:r>
      <w:r>
        <w:rPr/>
        <w:t>元。</w:t>
      </w:r>
    </w:p>
    <w:p>
      <w:pPr>
        <w:pStyle w:val="BodyText"/>
        <w:spacing w:line="240" w:lineRule="auto" w:before="53"/>
        <w:ind w:right="0"/>
        <w:jc w:val="left"/>
      </w:pPr>
      <w:r>
        <w:rPr/>
        <w:t>其他说明</w:t>
      </w:r>
    </w:p>
    <w:p>
      <w:pPr>
        <w:pStyle w:val="BodyText"/>
        <w:spacing w:line="240" w:lineRule="auto" w:before="116"/>
        <w:ind w:left="514" w:right="0"/>
        <w:jc w:val="left"/>
      </w:pPr>
      <w:r>
        <w:rPr/>
        <w:t>本期减少系本期出售纯真年代全部股权相应转出。</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16、长期待摊费用" w:id="274"/>
      <w:bookmarkEnd w:id="274"/>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579,824.34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3,772,583.01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316,745.94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121,551.75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3,914,109.66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剧目制作费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767,676.99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1,254,691.00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210,536.18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1,811,831.81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1,347,501.33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5,027,274.01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527,282.12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121,551.75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5,725,941.47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递延所得税资产/递延所得税负债" w:id="275"/>
      <w:bookmarkEnd w:id="275"/>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6"/>
      <w:bookmarkEnd w:id="27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3,750,175.04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937,543.76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3,180,237.69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795,059.42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衍生金融负债公允价值 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3,013,804.78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753,451.20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3,802,625.04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950,656.26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6,194,042.47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1,548,510.62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77"/>
      <w:bookmarkEnd w:id="27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年业绩承诺补偿</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4,811,120.90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1,202,780.23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年业绩承诺补偿</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7,723,488.68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1,930,872.17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20,117,601.26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5,029,400.32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24,534,609.58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6,133,652.40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32,117,601.26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8,029,400.32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78"/>
      <w:bookmarkEnd w:id="27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950,656.26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1,548,510.62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6,133,652.40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8,029,400.32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279"/>
      <w:bookmarkEnd w:id="27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9,610,948.71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34,364,997.10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928,304.26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563,817.28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1,045,986.55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5,194,957.58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3,709,422.67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3,709,422.67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15,294,662.19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43,833,194.63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280"/>
      <w:bookmarkEnd w:id="28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24,716.37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4,588,110.18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4,268,327.53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2,395,295.26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20,552,418.50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2,353,578.06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4,931,424.52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4,862,075.39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9,610,948.71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34,364,997.10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8、其他非流动资产" w:id="281"/>
      <w:bookmarkEnd w:id="281"/>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正在履行的对外投资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0" w:lineRule="auto" w:before="115"/>
        <w:ind w:right="1132"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月，公司与天津酷米网络科技有限责任公司（以下简称酷米网络）及其股东孔中、王虹宇、李竹、张海军、天</w:t>
      </w:r>
      <w:r>
        <w:rPr/>
        <w:t> 津英诺创业投资合伙企业（有限合伙）、北京酷米网络科技有限公司签订一揽子协议，公司以</w:t>
      </w:r>
      <w:r>
        <w:rPr>
          <w:rFonts w:ascii="Times New Roman" w:hAnsi="Times New Roman" w:cs="Times New Roman" w:eastAsia="Times New Roman" w:hint="default"/>
        </w:rPr>
        <w:t>2,000</w:t>
      </w:r>
      <w:r>
        <w:rPr/>
        <w:t>万元向原股东北京酷米</w:t>
      </w:r>
      <w:r>
        <w:rPr>
          <w:spacing w:val="-44"/>
        </w:rPr>
        <w:t> </w:t>
      </w:r>
      <w:r>
        <w:rPr>
          <w:spacing w:val="-44"/>
        </w:rPr>
      </w:r>
      <w:r>
        <w:rPr/>
        <w:t>网络科技有限公司收购其持有酷米网络</w:t>
      </w:r>
      <w:r>
        <w:rPr>
          <w:rFonts w:ascii="Times New Roman" w:hAnsi="Times New Roman" w:cs="Times New Roman" w:eastAsia="Times New Roman" w:hint="default"/>
        </w:rPr>
        <w:t>24.17%</w:t>
      </w:r>
      <w:r>
        <w:rPr/>
        <w:t>的股权，并以</w:t>
      </w:r>
      <w:r>
        <w:rPr>
          <w:rFonts w:ascii="Times New Roman" w:hAnsi="Times New Roman" w:cs="Times New Roman" w:eastAsia="Times New Roman" w:hint="default"/>
        </w:rPr>
        <w:t>2,200</w:t>
      </w:r>
      <w:r>
        <w:rPr/>
        <w:t>万元价格认购酷米网络新增</w:t>
      </w:r>
      <w:r>
        <w:rPr>
          <w:rFonts w:ascii="Times New Roman" w:hAnsi="Times New Roman" w:cs="Times New Roman" w:eastAsia="Times New Roman" w:hint="default"/>
        </w:rPr>
        <w:t>21%</w:t>
      </w:r>
      <w:r>
        <w:rPr/>
        <w:t>的股权，投资总额为</w:t>
      </w:r>
      <w:r>
        <w:rPr>
          <w:rFonts w:ascii="Times New Roman" w:hAnsi="Times New Roman" w:cs="Times New Roman" w:eastAsia="Times New Roman" w:hint="default"/>
        </w:rPr>
        <w:t>4,400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万元。本次投资完成后，公司将持有酷米网络</w:t>
      </w:r>
      <w:r>
        <w:rPr>
          <w:rFonts w:ascii="Times New Roman" w:hAnsi="Times New Roman" w:cs="Times New Roman" w:eastAsia="Times New Roman" w:hint="default"/>
        </w:rPr>
        <w:t>40.10%</w:t>
      </w:r>
      <w:r>
        <w:rPr/>
        <w:t>的股权，并享有</w:t>
      </w:r>
      <w:r>
        <w:rPr>
          <w:rFonts w:ascii="Times New Roman" w:hAnsi="Times New Roman" w:cs="Times New Roman" w:eastAsia="Times New Roman" w:hint="default"/>
        </w:rPr>
        <w:t>50.17%</w:t>
      </w:r>
      <w:r>
        <w:rPr/>
        <w:t>的表决权。</w:t>
      </w:r>
    </w:p>
    <w:p>
      <w:pPr>
        <w:pStyle w:val="BodyText"/>
        <w:spacing w:line="316" w:lineRule="auto" w:before="13"/>
        <w:ind w:right="1131" w:firstLine="360"/>
        <w:jc w:val="both"/>
      </w:pPr>
      <w:r>
        <w:rPr>
          <w:spacing w:val="-2"/>
        </w:rPr>
        <w:t>鉴于酷米网络运营所需资质依赖于李竹等控制的北京天天宽广网络科技有限公司（以下简称天天宽广）所拥有的《信息</w:t>
      </w:r>
      <w:r>
        <w:rPr/>
        <w:t> </w:t>
      </w:r>
      <w:r>
        <w:rPr>
          <w:spacing w:val="-2"/>
        </w:rPr>
        <w:t>网络传播视听节目许可证》等，因此，上述一揽子协议还约定：酷米网络应在规定时间内完成对天天宽广的收购并办妥股东</w:t>
      </w:r>
      <w:r>
        <w:rPr>
          <w:spacing w:val="-66"/>
        </w:rPr>
        <w:t> </w:t>
      </w:r>
      <w:r>
        <w:rPr>
          <w:spacing w:val="-66"/>
        </w:rPr>
      </w:r>
      <w:r>
        <w:rPr>
          <w:spacing w:val="-2"/>
        </w:rPr>
        <w:t>变更的工商变更登记，同时完成《信息网络传播视听节目许可证》的变更，否则本公司有权解除协议，要求退还已经支付的</w:t>
      </w:r>
      <w:r>
        <w:rPr>
          <w:spacing w:val="-66"/>
        </w:rPr>
        <w:t> </w:t>
      </w:r>
      <w:r>
        <w:rPr>
          <w:spacing w:val="-66"/>
        </w:rPr>
      </w:r>
      <w:r>
        <w:rPr/>
        <w:t>全部股权转让款和增资款。</w:t>
      </w:r>
    </w:p>
    <w:p>
      <w:pPr>
        <w:pStyle w:val="BodyText"/>
        <w:spacing w:line="300" w:lineRule="auto" w:before="19"/>
        <w:ind w:right="1130" w:firstLine="289"/>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日，公司已累计支付投资款</w:t>
      </w:r>
      <w:r>
        <w:rPr>
          <w:rFonts w:ascii="Times New Roman" w:hAnsi="Times New Roman" w:cs="Times New Roman" w:eastAsia="Times New Roman" w:hint="default"/>
        </w:rPr>
        <w:t>3,800</w:t>
      </w:r>
      <w:r>
        <w:rPr/>
        <w:t>万元，余额</w:t>
      </w:r>
      <w:r>
        <w:rPr>
          <w:rFonts w:ascii="Times New Roman" w:hAnsi="Times New Roman" w:cs="Times New Roman" w:eastAsia="Times New Roman" w:hint="default"/>
        </w:rPr>
        <w:t>400</w:t>
      </w:r>
      <w:r>
        <w:rPr/>
        <w:t>万元尚未支付。因一揽子协议约定的酷米网络收购天 天宽广的工商变更登记手续于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日才办理完毕，本年末公司收购酷米网络事项还存在不确定性，因此将支付的投</w:t>
      </w:r>
      <w:r>
        <w:rPr>
          <w:spacing w:val="-83"/>
        </w:rPr>
        <w:t> </w:t>
      </w:r>
      <w:r>
        <w:rPr>
          <w:spacing w:val="-83"/>
        </w:rPr>
      </w:r>
      <w:r>
        <w:rPr/>
        <w:t>资款暂列其他非流动资产。</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19、以公允价值计量且其变动计入当期损益的金融负债" w:id="282"/>
      <w:bookmarkEnd w:id="282"/>
      <w:r>
        <w:rPr>
          <w:b w:val="0"/>
          <w:bCs w:val="0"/>
        </w:rPr>
      </w:r>
      <w:r>
        <w:rPr>
          <w:rFonts w:ascii="Times New Roman" w:hAnsi="Times New Roman" w:cs="Times New Roman" w:eastAsia="Times New Roman" w:hint="default"/>
        </w:rPr>
        <w:t>19</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3,013,804.78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3,013,804.78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应付账款" w:id="283"/>
      <w:bookmarkEnd w:id="283"/>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84"/>
      <w:bookmarkEnd w:id="28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51,041,970.85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49,395,587.61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3,574,693.95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10,143,091.39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6,044,864.70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480,793.50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60,661,529.50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60,068,472.50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应付账款" w:id="285"/>
      <w:bookmarkEnd w:id="28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预收款项" w:id="286"/>
      <w:bookmarkEnd w:id="286"/>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87"/>
      <w:bookmarkEnd w:id="28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1,055,797.30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201,753.40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预收制作费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512,943.39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193,843.68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1,762,584.37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258,753.40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88"/>
      <w:bookmarkEnd w:id="28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289"/>
      <w:bookmarkEnd w:id="289"/>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应付职工薪酬" w:id="290"/>
      <w:bookmarkEnd w:id="290"/>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91"/>
      <w:bookmarkEnd w:id="29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5,310,650.53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89,976,825.67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88,082,768.47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7,204,707.73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5,036,862.96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5,036,862.96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5,310,650.53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95,013,688.63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93,119,631.43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7,204,707.73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短期薪酬列示" w:id="292"/>
      <w:bookmarkEnd w:id="29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5,310,650.53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83,485,508.47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81,591,451.27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7,204,707.73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1,474,923.71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1,474,923.71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2,954,292.40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2,954,292.40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2,491,784.26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2,491,784.26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277,329.40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277,329.40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185,178.74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185,178.74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1,899,925.00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1,899,925.00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162,176.09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162,176.09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5,310,650.53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89,976,825.67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88,082,768.47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7,204,707.73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93"/>
      <w:bookmarkEnd w:id="29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4,558,363.63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4,558,363.63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478,499.33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478,499.33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5,036,862.96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5,036,862.96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应交税费" w:id="294"/>
      <w:bookmarkEnd w:id="294"/>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3,529,772.42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1,868,977.07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13,530.50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49,688.33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17,697,113.81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6,057,090.31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149,944.07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79,634.13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349,971.80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169,111.76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197,475.00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90,791.81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131,650.00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59,861.22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68,038.81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75,584.35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62,484.59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51,211.73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16,969.95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17,424.87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22,216,950.95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8,519,754.81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应付利息" w:id="295"/>
      <w:bookmarkEnd w:id="295"/>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445,261.48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319,397.12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445,261.48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319,397.12</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其他应付款" w:id="296"/>
      <w:bookmarkEnd w:id="296"/>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97"/>
      <w:bookmarkEnd w:id="29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71,810.01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437,716.80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1,291,762.20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629,702.80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33,838,572.21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98"/>
      <w:bookmarkEnd w:id="29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6、一年内到期的非流动负债" w:id="299"/>
      <w:bookmarkEnd w:id="299"/>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73,819,244.80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15,997,011.90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89,816,256.70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长期借款" w:id="300"/>
      <w:bookmarkEnd w:id="300"/>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301"/>
      <w:bookmarkEnd w:id="30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69,560,792.00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69,560,792.00</w:t>
            </w:r>
          </w:p>
        </w:tc>
      </w:tr>
    </w:tbl>
    <w:p>
      <w:pPr>
        <w:pStyle w:val="BodyText"/>
        <w:spacing w:line="240" w:lineRule="auto" w:before="51"/>
        <w:ind w:left="154" w:right="0"/>
        <w:jc w:val="left"/>
      </w:pPr>
      <w:r>
        <w:rPr/>
        <w:t>长期借款分类的说明：</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136"/>
        <w:gridCol w:w="1115"/>
        <w:gridCol w:w="1115"/>
        <w:gridCol w:w="416"/>
        <w:gridCol w:w="1182"/>
        <w:gridCol w:w="992"/>
        <w:gridCol w:w="1134"/>
        <w:gridCol w:w="1385"/>
        <w:gridCol w:w="1385"/>
      </w:tblGrid>
      <w:tr>
        <w:trPr>
          <w:trHeight w:val="347"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15" w:type="dxa"/>
            <w:vMerge w:val="restart"/>
            <w:tcBorders>
              <w:top w:val="single" w:sz="6" w:space="0" w:color="000000"/>
              <w:left w:val="single" w:sz="6" w:space="0" w:color="000000"/>
              <w:right w:val="single" w:sz="6" w:space="0" w:color="000000"/>
            </w:tcBorders>
          </w:tcPr>
          <w:p>
            <w:pPr>
              <w:pStyle w:val="TableParagraph"/>
              <w:spacing w:line="316" w:lineRule="auto" w:before="21"/>
              <w:ind w:left="279" w:right="278"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15" w:type="dxa"/>
            <w:vMerge w:val="restart"/>
            <w:tcBorders>
              <w:top w:val="single" w:sz="6" w:space="0" w:color="000000"/>
              <w:left w:val="single" w:sz="6" w:space="0" w:color="000000"/>
              <w:right w:val="single" w:sz="6" w:space="0" w:color="000000"/>
            </w:tcBorders>
          </w:tcPr>
          <w:p>
            <w:pPr>
              <w:pStyle w:val="TableParagraph"/>
              <w:spacing w:line="316" w:lineRule="auto" w:before="21"/>
              <w:ind w:left="279" w:right="278"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416" w:type="dxa"/>
            <w:vMerge w:val="restart"/>
            <w:tcBorders>
              <w:top w:val="single" w:sz="6" w:space="0" w:color="000000"/>
              <w:left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18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21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136" w:type="dxa"/>
            <w:vMerge/>
            <w:tcBorders>
              <w:left w:val="single" w:sz="6" w:space="0" w:color="000000"/>
              <w:bottom w:val="single" w:sz="6" w:space="0" w:color="000000"/>
              <w:right w:val="single" w:sz="6" w:space="0" w:color="000000"/>
            </w:tcBorders>
          </w:tcPr>
          <w:p>
            <w:pPr/>
          </w:p>
        </w:tc>
        <w:tc>
          <w:tcPr>
            <w:tcW w:w="1115" w:type="dxa"/>
            <w:vMerge/>
            <w:tcBorders>
              <w:left w:val="single" w:sz="6" w:space="0" w:color="000000"/>
              <w:bottom w:val="single" w:sz="6" w:space="0" w:color="000000"/>
              <w:right w:val="single" w:sz="6" w:space="0" w:color="000000"/>
            </w:tcBorders>
          </w:tcPr>
          <w:p>
            <w:pPr/>
          </w:p>
        </w:tc>
        <w:tc>
          <w:tcPr>
            <w:tcW w:w="1115" w:type="dxa"/>
            <w:vMerge/>
            <w:tcBorders>
              <w:left w:val="single" w:sz="6" w:space="0" w:color="000000"/>
              <w:bottom w:val="single" w:sz="6" w:space="0" w:color="000000"/>
              <w:right w:val="single" w:sz="6" w:space="0" w:color="000000"/>
            </w:tcBorders>
          </w:tcPr>
          <w:p>
            <w:pPr/>
          </w:p>
        </w:tc>
        <w:tc>
          <w:tcPr>
            <w:tcW w:w="416" w:type="dxa"/>
            <w:vMerge/>
            <w:tcBorders>
              <w:left w:val="single" w:sz="6" w:space="0" w:color="000000"/>
              <w:bottom w:val="single" w:sz="6" w:space="0" w:color="000000"/>
              <w:right w:val="single" w:sz="6" w:space="0" w:color="000000"/>
            </w:tcBorders>
          </w:tcPr>
          <w:p>
            <w:pPr/>
          </w:p>
        </w:tc>
        <w:tc>
          <w:tcPr>
            <w:tcW w:w="1182"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23"/>
              <w:jc w:val="right"/>
              <w:rPr>
                <w:rFonts w:ascii="宋体" w:hAnsi="宋体" w:cs="宋体" w:eastAsia="宋体" w:hint="default"/>
                <w:sz w:val="18"/>
                <w:szCs w:val="18"/>
              </w:rPr>
            </w:pPr>
            <w:r>
              <w:rPr>
                <w:rFonts w:ascii="宋体" w:hAnsi="宋体" w:cs="宋体" w:eastAsia="宋体" w:hint="default"/>
                <w:sz w:val="18"/>
                <w:szCs w:val="18"/>
              </w:rPr>
              <w:t>原币金额</w:t>
            </w:r>
          </w:p>
        </w:tc>
        <w:tc>
          <w:tcPr>
            <w:tcW w:w="13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45"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97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5"/>
              <w:jc w:val="both"/>
              <w:rPr>
                <w:rFonts w:ascii="宋体" w:hAnsi="宋体" w:cs="宋体" w:eastAsia="宋体" w:hint="default"/>
                <w:sz w:val="18"/>
                <w:szCs w:val="18"/>
              </w:rPr>
            </w:pPr>
            <w:r>
              <w:rPr>
                <w:rFonts w:ascii="宋体" w:hAnsi="宋体" w:cs="宋体" w:eastAsia="宋体" w:hint="default"/>
                <w:spacing w:val="7"/>
                <w:sz w:val="18"/>
                <w:szCs w:val="18"/>
              </w:rPr>
              <w:t>交通银行股份 有限公司香港 </w:t>
            </w:r>
            <w:r>
              <w:rPr>
                <w:rFonts w:ascii="宋体" w:hAnsi="宋体" w:cs="宋体" w:eastAsia="宋体" w:hint="default"/>
                <w:sz w:val="18"/>
                <w:szCs w:val="18"/>
              </w:rPr>
              <w:t>分行</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2013/10/23</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2016/10/23</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LIBOR</w:t>
            </w:r>
            <w:r>
              <w:rPr>
                <w:rFonts w:ascii="Times New Roman" w:hAnsi="Times New Roman" w:cs="Times New Roman" w:eastAsia="Times New Roman" w:hint="default"/>
                <w:spacing w:val="-19"/>
                <w:sz w:val="18"/>
                <w:szCs w:val="18"/>
              </w:rPr>
              <w:t> </w:t>
            </w:r>
            <w:r>
              <w:rPr>
                <w:rFonts w:ascii="宋体" w:hAnsi="宋体" w:cs="宋体" w:eastAsia="宋体" w:hint="default"/>
                <w:spacing w:val="18"/>
                <w:sz w:val="18"/>
                <w:szCs w:val="18"/>
              </w:rPr>
              <w:t>利率上</w:t>
            </w:r>
            <w:r>
              <w:rPr>
                <w:rFonts w:ascii="宋体" w:hAnsi="宋体" w:cs="宋体" w:eastAsia="宋体" w:hint="default"/>
                <w:spacing w:val="-63"/>
                <w:w w:val="99"/>
                <w:sz w:val="18"/>
                <w:szCs w:val="18"/>
              </w:rPr>
              <w:t> </w:t>
            </w:r>
            <w:r>
              <w:rPr>
                <w:rFonts w:ascii="宋体" w:hAnsi="宋体" w:cs="宋体" w:eastAsia="宋体" w:hint="default"/>
                <w:sz w:val="18"/>
                <w:szCs w:val="18"/>
              </w:rPr>
              <w:t>浮</w:t>
            </w:r>
            <w:r>
              <w:rPr>
                <w:rFonts w:ascii="Times New Roman" w:hAnsi="Times New Roman" w:cs="Times New Roman" w:eastAsia="Times New Roman" w:hint="default"/>
                <w:sz w:val="18"/>
                <w:szCs w:val="18"/>
              </w:rPr>
              <w:t>1.8%</w:t>
            </w: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1"/>
              <w:jc w:val="right"/>
              <w:rPr>
                <w:rFonts w:ascii="Times New Roman" w:hAnsi="Times New Roman" w:cs="Times New Roman" w:eastAsia="Times New Roman" w:hint="default"/>
                <w:sz w:val="18"/>
                <w:szCs w:val="18"/>
              </w:rPr>
            </w:pPr>
            <w:r>
              <w:rPr>
                <w:rFonts w:ascii="Times New Roman"/>
                <w:spacing w:val="-1"/>
                <w:sz w:val="18"/>
              </w:rPr>
              <w:t>11,368,000.00</w:t>
            </w:r>
          </w:p>
        </w:tc>
        <w:tc>
          <w:tcPr>
            <w:tcW w:w="13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69,560,792.00</w:t>
            </w:r>
          </w:p>
        </w:tc>
      </w:tr>
      <w:tr>
        <w:trPr>
          <w:trHeight w:val="34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115"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31"/>
              <w:jc w:val="right"/>
              <w:rPr>
                <w:rFonts w:ascii="Times New Roman" w:hAnsi="Times New Roman" w:cs="Times New Roman" w:eastAsia="Times New Roman" w:hint="default"/>
                <w:sz w:val="18"/>
                <w:szCs w:val="18"/>
              </w:rPr>
            </w:pPr>
            <w:r>
              <w:rPr>
                <w:rFonts w:ascii="Times New Roman"/>
                <w:spacing w:val="-1"/>
                <w:sz w:val="18"/>
              </w:rPr>
              <w:t>11,368,000.00</w:t>
            </w:r>
          </w:p>
        </w:tc>
        <w:tc>
          <w:tcPr>
            <w:tcW w:w="13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69,560,792.00</w:t>
            </w:r>
          </w:p>
        </w:tc>
      </w:tr>
    </w:tbl>
    <w:p>
      <w:pPr>
        <w:pStyle w:val="BodyText"/>
        <w:spacing w:line="357" w:lineRule="auto" w:before="51"/>
        <w:ind w:left="574" w:right="3582" w:hanging="420"/>
        <w:jc w:val="left"/>
      </w:pPr>
      <w:r>
        <w:rPr/>
        <w:t>其他说明，包括利率区间： 期末余额</w:t>
      </w:r>
      <w:r>
        <w:rPr>
          <w:rFonts w:ascii="Times New Roman" w:hAnsi="Times New Roman" w:cs="Times New Roman" w:eastAsia="Times New Roman" w:hint="default"/>
        </w:rPr>
        <w:t>11,368,000.00</w:t>
      </w:r>
      <w:r>
        <w:rPr/>
        <w:t>美元折合人民币</w:t>
      </w:r>
      <w:r>
        <w:rPr>
          <w:rFonts w:ascii="Times New Roman" w:hAnsi="Times New Roman" w:cs="Times New Roman" w:eastAsia="Times New Roman" w:hint="default"/>
        </w:rPr>
        <w:t>73,819,244.80</w:t>
      </w:r>
      <w:r>
        <w:rPr/>
        <w:t>元转列一年内到期的非流动负债。</w:t>
      </w:r>
    </w:p>
    <w:p>
      <w:pPr>
        <w:spacing w:line="240" w:lineRule="auto" w:before="5"/>
        <w:rPr>
          <w:rFonts w:ascii="宋体" w:hAnsi="宋体" w:cs="宋体" w:eastAsia="宋体" w:hint="default"/>
          <w:sz w:val="18"/>
          <w:szCs w:val="18"/>
        </w:rPr>
      </w:pPr>
    </w:p>
    <w:p>
      <w:pPr>
        <w:pStyle w:val="Heading3"/>
        <w:spacing w:line="240" w:lineRule="auto"/>
        <w:ind w:left="154" w:right="0"/>
        <w:jc w:val="left"/>
        <w:rPr>
          <w:b w:val="0"/>
          <w:bCs w:val="0"/>
        </w:rPr>
      </w:pPr>
      <w:bookmarkStart w:name="28、长期应付款" w:id="302"/>
      <w:bookmarkEnd w:id="302"/>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03"/>
      <w:bookmarkEnd w:id="30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S.B. Sevenum</w:t>
            </w:r>
            <w:r>
              <w:rPr>
                <w:rFonts w:ascii="Times New Roman"/>
                <w:spacing w:val="1"/>
                <w:sz w:val="18"/>
              </w:rPr>
              <w:t> </w:t>
            </w:r>
            <w:r>
              <w:rPr>
                <w:rFonts w:ascii="Times New Roman"/>
                <w:spacing w:val="-7"/>
                <w:sz w:val="18"/>
              </w:rPr>
              <w:t>B.V.</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16,991,778.38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816,379.17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16,175,399.21</w:t>
            </w:r>
          </w:p>
        </w:tc>
      </w:tr>
    </w:tbl>
    <w:p>
      <w:pPr>
        <w:pStyle w:val="BodyText"/>
        <w:spacing w:line="240" w:lineRule="auto" w:before="51"/>
        <w:ind w:left="154" w:right="0"/>
        <w:jc w:val="left"/>
      </w:pPr>
      <w:r>
        <w:rPr/>
        <w:t>其他说明：</w:t>
      </w:r>
    </w:p>
    <w:p>
      <w:pPr>
        <w:pStyle w:val="BodyText"/>
        <w:spacing w:line="300" w:lineRule="auto" w:before="115"/>
        <w:ind w:right="1130" w:firstLine="420"/>
        <w:jc w:val="both"/>
      </w:pPr>
      <w:r>
        <w:rPr/>
        <w:t>根据</w:t>
      </w:r>
      <w:r>
        <w:rPr>
          <w:rFonts w:ascii="Times New Roman" w:hAnsi="Times New Roman" w:cs="Times New Roman" w:eastAsia="Times New Roman" w:hint="default"/>
        </w:rPr>
        <w:t>2013</w:t>
      </w:r>
      <w:r>
        <w:rPr/>
        <w:t>年公司全资子公司香港美盛公司与</w:t>
      </w:r>
      <w:r>
        <w:rPr>
          <w:rFonts w:ascii="Times New Roman" w:hAnsi="Times New Roman" w:cs="Times New Roman" w:eastAsia="Times New Roman" w:hint="default"/>
        </w:rPr>
        <w:t>S.B. Sevenum</w:t>
      </w:r>
      <w:r>
        <w:rPr>
          <w:rFonts w:ascii="Times New Roman" w:hAnsi="Times New Roman" w:cs="Times New Roman" w:eastAsia="Times New Roman" w:hint="default"/>
          <w:spacing w:val="-27"/>
        </w:rPr>
        <w:t> </w:t>
      </w:r>
      <w:r>
        <w:rPr>
          <w:rFonts w:ascii="Times New Roman" w:hAnsi="Times New Roman" w:cs="Times New Roman" w:eastAsia="Times New Roman" w:hint="default"/>
        </w:rPr>
        <w:t>B.V.</w:t>
      </w:r>
      <w:r>
        <w:rPr/>
        <w:t>签订的《收购协议》，香港美盛以固定支付</w:t>
      </w:r>
      <w:r>
        <w:rPr>
          <w:rFonts w:ascii="Times New Roman" w:hAnsi="Times New Roman" w:cs="Times New Roman" w:eastAsia="Times New Roman" w:hint="default"/>
        </w:rPr>
        <w:t>850</w:t>
      </w:r>
      <w:r>
        <w:rPr/>
        <w:t>万欧元和 浮动支付约</w:t>
      </w:r>
      <w:r>
        <w:rPr>
          <w:rFonts w:ascii="Times New Roman" w:hAnsi="Times New Roman" w:cs="Times New Roman" w:eastAsia="Times New Roman" w:hint="default"/>
        </w:rPr>
        <w:t>232.50</w:t>
      </w:r>
      <w:r>
        <w:rPr/>
        <w:t>万欧元合计约</w:t>
      </w:r>
      <w:r>
        <w:rPr>
          <w:rFonts w:ascii="Times New Roman" w:hAnsi="Times New Roman" w:cs="Times New Roman" w:eastAsia="Times New Roman" w:hint="default"/>
        </w:rPr>
        <w:t>1,082.50</w:t>
      </w:r>
      <w:r>
        <w:rPr/>
        <w:t>万欧元受让</w:t>
      </w:r>
      <w:r>
        <w:rPr>
          <w:rFonts w:ascii="Times New Roman" w:hAnsi="Times New Roman" w:cs="Times New Roman" w:eastAsia="Times New Roman" w:hint="default"/>
        </w:rPr>
        <w:t>S.B. Sevenum B.V.</w:t>
      </w:r>
      <w:r>
        <w:rPr/>
        <w:t>持有荷兰公司</w:t>
      </w:r>
      <w:r>
        <w:rPr>
          <w:rFonts w:ascii="Times New Roman" w:hAnsi="Times New Roman" w:cs="Times New Roman" w:eastAsia="Times New Roman" w:hint="default"/>
        </w:rPr>
        <w:t>85%</w:t>
      </w:r>
      <w:r>
        <w:rPr/>
        <w:t>的股权，此外公司将按照年利息率</w:t>
      </w:r>
      <w:r>
        <w:rPr>
          <w:spacing w:val="-82"/>
        </w:rPr>
        <w:t> </w:t>
      </w:r>
      <w:r>
        <w:rPr>
          <w:spacing w:val="-82"/>
        </w:rPr>
      </w:r>
      <w:r>
        <w:rPr>
          <w:rFonts w:ascii="Times New Roman" w:hAnsi="Times New Roman" w:cs="Times New Roman" w:eastAsia="Times New Roman" w:hint="default"/>
        </w:rPr>
        <w:t>3%</w:t>
      </w:r>
      <w:r>
        <w:rPr/>
        <w:t>以浮动支付部分为基数向</w:t>
      </w:r>
      <w:r>
        <w:rPr>
          <w:rFonts w:ascii="Times New Roman" w:hAnsi="Times New Roman" w:cs="Times New Roman" w:eastAsia="Times New Roman" w:hint="default"/>
        </w:rPr>
        <w:t>S.B. Sevenum</w:t>
      </w:r>
      <w:r>
        <w:rPr>
          <w:rFonts w:ascii="Times New Roman" w:hAnsi="Times New Roman" w:cs="Times New Roman" w:eastAsia="Times New Roman" w:hint="default"/>
          <w:spacing w:val="15"/>
        </w:rPr>
        <w:t> </w:t>
      </w:r>
      <w:r>
        <w:rPr>
          <w:rFonts w:ascii="Times New Roman" w:hAnsi="Times New Roman" w:cs="Times New Roman" w:eastAsia="Times New Roman" w:hint="default"/>
        </w:rPr>
        <w:t>B.V.</w:t>
      </w:r>
      <w:r>
        <w:rPr/>
        <w:t>支付自交割日起至浮动部分实际支付日止的利息。其中浮动支付部分具体金 额视荷兰公司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-2016</w:t>
      </w:r>
      <w:r>
        <w:rPr/>
        <w:t>年三个会计年度（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日）合计经调整的</w:t>
      </w:r>
      <w:r>
        <w:rPr>
          <w:rFonts w:ascii="Times New Roman" w:hAnsi="Times New Roman" w:cs="Times New Roman" w:eastAsia="Times New Roman" w:hint="default"/>
        </w:rPr>
        <w:t>EBITDA</w:t>
      </w:r>
      <w:r>
        <w:rPr/>
        <w:t>（税息折旧及摊销前利</w:t>
      </w:r>
      <w:r>
        <w:rPr>
          <w:spacing w:val="-85"/>
        </w:rPr>
        <w:t> </w:t>
      </w:r>
      <w:r>
        <w:rPr>
          <w:spacing w:val="-85"/>
        </w:rPr>
      </w:r>
      <w:r>
        <w:rPr/>
        <w:t>润）结算。香港美盛已于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日支付股权转让款</w:t>
      </w:r>
      <w:r>
        <w:rPr>
          <w:rFonts w:ascii="Times New Roman" w:hAnsi="Times New Roman" w:cs="Times New Roman" w:eastAsia="Times New Roman" w:hint="default"/>
        </w:rPr>
        <w:t>870</w:t>
      </w:r>
      <w:r>
        <w:rPr/>
        <w:t>万欧元，并办理了相应的财产权交接手续。公司预计届时很可</w:t>
      </w:r>
      <w:r>
        <w:rPr>
          <w:spacing w:val="-83"/>
        </w:rPr>
        <w:t> </w:t>
      </w:r>
      <w:r>
        <w:rPr>
          <w:spacing w:val="-83"/>
        </w:rPr>
      </w:r>
      <w:r>
        <w:rPr/>
        <w:t>能向</w:t>
      </w:r>
      <w:r>
        <w:rPr>
          <w:rFonts w:ascii="Times New Roman" w:hAnsi="Times New Roman" w:cs="Times New Roman" w:eastAsia="Times New Roman" w:hint="default"/>
        </w:rPr>
        <w:t>S.B.</w:t>
      </w:r>
      <w:r>
        <w:rPr>
          <w:rFonts w:ascii="Times New Roman" w:hAnsi="Times New Roman" w:cs="Times New Roman" w:eastAsia="Times New Roman" w:hint="default"/>
          <w:spacing w:val="-32"/>
        </w:rPr>
        <w:t> </w:t>
      </w:r>
      <w:r>
        <w:rPr>
          <w:rFonts w:ascii="Times New Roman" w:hAnsi="Times New Roman" w:cs="Times New Roman" w:eastAsia="Times New Roman" w:hint="default"/>
        </w:rPr>
        <w:t>Sevenum</w:t>
      </w:r>
      <w:r>
        <w:rPr>
          <w:rFonts w:ascii="Times New Roman" w:hAnsi="Times New Roman" w:cs="Times New Roman" w:eastAsia="Times New Roman" w:hint="default"/>
          <w:spacing w:val="-32"/>
        </w:rPr>
        <w:t> </w:t>
      </w:r>
      <w:r>
        <w:rPr>
          <w:rFonts w:ascii="Times New Roman" w:hAnsi="Times New Roman" w:cs="Times New Roman" w:eastAsia="Times New Roman" w:hint="default"/>
        </w:rPr>
        <w:t>B.V.</w:t>
      </w:r>
      <w:r>
        <w:rPr/>
        <w:t>支付浮动对价</w:t>
      </w:r>
      <w:r>
        <w:rPr>
          <w:rFonts w:ascii="Times New Roman" w:hAnsi="Times New Roman" w:cs="Times New Roman" w:eastAsia="Times New Roman" w:hint="default"/>
        </w:rPr>
        <w:t>2,125,000.00</w:t>
      </w:r>
      <w:r>
        <w:rPr/>
        <w:t>欧元及其利息</w:t>
      </w:r>
      <w:r>
        <w:rPr>
          <w:rFonts w:ascii="Times New Roman" w:hAnsi="Times New Roman" w:cs="Times New Roman" w:eastAsia="Times New Roman" w:hint="default"/>
        </w:rPr>
        <w:t>154,062.50</w:t>
      </w:r>
      <w:r>
        <w:rPr/>
        <w:t>欧元合计</w:t>
      </w:r>
      <w:r>
        <w:rPr>
          <w:rFonts w:ascii="Times New Roman" w:hAnsi="Times New Roman" w:cs="Times New Roman" w:eastAsia="Times New Roman" w:hint="default"/>
        </w:rPr>
        <w:t>2,279,062.50</w:t>
      </w:r>
      <w:r>
        <w:rPr/>
        <w:t>欧元。公司将到期应支付金额</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3" w:right="3193" w:hanging="420"/>
        <w:jc w:val="left"/>
      </w:pPr>
      <w:r>
        <w:rPr/>
        <w:t>与其现值之间的差异计入未确认融资费用，并在交割日至浮动部分实际支付日期间内平均摊销。 期末余额</w:t>
      </w:r>
      <w:r>
        <w:rPr>
          <w:rFonts w:ascii="Times New Roman" w:hAnsi="Times New Roman" w:cs="Times New Roman" w:eastAsia="Times New Roman" w:hint="default"/>
        </w:rPr>
        <w:t>15,997,011.90</w:t>
      </w:r>
      <w:r>
        <w:rPr/>
        <w:t>元转列一年内到期的非流动负债。</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9、递延收益" w:id="304"/>
      <w:bookmarkEnd w:id="304"/>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16,321,402.76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10,000,000.00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2,971,989.69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23,349,413.07</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16,321,402.76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8" w:right="0"/>
              <w:jc w:val="left"/>
              <w:rPr>
                <w:rFonts w:ascii="Times New Roman" w:hAnsi="Times New Roman" w:cs="Times New Roman" w:eastAsia="Times New Roman" w:hint="default"/>
                <w:sz w:val="18"/>
                <w:szCs w:val="18"/>
              </w:rPr>
            </w:pPr>
            <w:r>
              <w:rPr>
                <w:rFonts w:ascii="Times New Roman"/>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2,971,989.69</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23,349,413.07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动漫文化创意基 地（一期）建设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1,849,999.91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1,783,333.19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动漫文化创意服 务平台建设项目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4,824,046.92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175,953.00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4,648,093.92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动漫服饰扩产项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642,487.43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23,083.44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619,403.99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动漫产业生产出 口基地及走出去 项目建设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5,742,197.69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205,690.68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5,536,507.01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动漫文化产品创 意设计中心建设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《莫麟传奇之远 古神兽》动画片 制作补助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1,247,321.41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997,857.24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249,464.17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《爵士兔之永恒 之曲》动画片制 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862,731.39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450,120.60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412,610.79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《坦坦小动员》 动画片制作补助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1,052,618.01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1,052,618.01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《鞋子也疯狂》 动画片制作补助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16,321,402.76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2,971,989.69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23,349,413.07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footerReference w:type="default" r:id="rId22"/>
          <w:pgSz w:w="11910" w:h="16840"/>
          <w:pgMar w:footer="979" w:header="747" w:top="1060" w:bottom="1160" w:left="980" w:right="0"/>
          <w:pgNumType w:start="113"/>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0、股本" w:id="305"/>
      <w:bookmarkEnd w:id="305"/>
      <w:r>
        <w:rPr>
          <w:b w:val="0"/>
          <w:bCs w:val="0"/>
        </w:rPr>
      </w:r>
      <w:r>
        <w:rPr>
          <w:rFonts w:ascii="Times New Roman" w:hAnsi="Times New Roman" w:cs="Times New Roman" w:eastAsia="Times New Roman" w:hint="default"/>
        </w:rPr>
        <w:t>30</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205,700,000.00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34,600,000.00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205,700,000.00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240,300,000.00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446,000,000.00</w:t>
            </w:r>
          </w:p>
        </w:tc>
      </w:tr>
    </w:tbl>
    <w:p>
      <w:pPr>
        <w:pStyle w:val="BodyText"/>
        <w:spacing w:line="240" w:lineRule="auto" w:before="51"/>
        <w:ind w:left="154" w:right="0"/>
        <w:jc w:val="both"/>
      </w:pPr>
      <w:r>
        <w:rPr/>
        <w:t>其他说明：</w:t>
      </w:r>
    </w:p>
    <w:p>
      <w:pPr>
        <w:pStyle w:val="BodyText"/>
        <w:spacing w:line="300" w:lineRule="auto" w:before="115"/>
        <w:ind w:right="1131"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月，经</w:t>
      </w:r>
      <w:r>
        <w:rPr>
          <w:rFonts w:ascii="Times New Roman" w:hAnsi="Times New Roman" w:cs="Times New Roman" w:eastAsia="Times New Roman" w:hint="default"/>
          <w:spacing w:val="-1"/>
        </w:rPr>
        <w:t>2014</w:t>
      </w:r>
      <w:r>
        <w:rPr>
          <w:spacing w:val="-1"/>
        </w:rPr>
        <w:t>年度股东大会审议批准，以</w:t>
      </w:r>
      <w:r>
        <w:rPr>
          <w:rFonts w:ascii="Times New Roman" w:hAnsi="Times New Roman" w:cs="Times New Roman" w:eastAsia="Times New Roman" w:hint="default"/>
          <w:spacing w:val="-1"/>
        </w:rPr>
        <w:t>2014</w:t>
      </w:r>
      <w:r>
        <w:rPr>
          <w:spacing w:val="-1"/>
        </w:rPr>
        <w:t>年期末总股本</w:t>
      </w:r>
      <w:r>
        <w:rPr>
          <w:rFonts w:ascii="Times New Roman" w:hAnsi="Times New Roman" w:cs="Times New Roman" w:eastAsia="Times New Roman" w:hint="default"/>
          <w:spacing w:val="-1"/>
        </w:rPr>
        <w:t>20,570</w:t>
      </w:r>
      <w:r>
        <w:rPr>
          <w:spacing w:val="-1"/>
        </w:rPr>
        <w:t>万股为基数，向全体股东以资本公积每</w:t>
      </w:r>
      <w:r>
        <w:rPr>
          <w:rFonts w:ascii="Times New Roman" w:hAnsi="Times New Roman" w:cs="Times New Roman" w:eastAsia="Times New Roman" w:hint="default"/>
          <w:spacing w:val="-1"/>
        </w:rPr>
        <w:t>10</w:t>
      </w:r>
      <w:r>
        <w:rPr>
          <w:spacing w:val="-1"/>
        </w:rPr>
        <w:t>股转</w:t>
      </w:r>
      <w:r>
        <w:rPr/>
        <w:t> 增</w:t>
      </w:r>
      <w:r>
        <w:rPr>
          <w:rFonts w:ascii="Times New Roman" w:hAnsi="Times New Roman" w:cs="Times New Roman" w:eastAsia="Times New Roman" w:hint="default"/>
        </w:rPr>
        <w:t>10</w:t>
      </w:r>
      <w:r>
        <w:rPr/>
        <w:t>股，公积转增</w:t>
      </w:r>
      <w:r>
        <w:rPr>
          <w:rFonts w:ascii="Times New Roman" w:hAnsi="Times New Roman" w:cs="Times New Roman" w:eastAsia="Times New Roman" w:hint="default"/>
        </w:rPr>
        <w:t>20,570</w:t>
      </w:r>
      <w:r>
        <w:rPr/>
        <w:t>万股，转增后总股本为</w:t>
      </w:r>
      <w:r>
        <w:rPr>
          <w:rFonts w:ascii="Times New Roman" w:hAnsi="Times New Roman" w:cs="Times New Roman" w:eastAsia="Times New Roman" w:hint="default"/>
        </w:rPr>
        <w:t>41,140</w:t>
      </w:r>
      <w:r>
        <w:rPr/>
        <w:t>万股。本次变更业经天健会计师事务所（特殊普通合伙）审验，并出</w:t>
      </w:r>
      <w:r>
        <w:rPr>
          <w:spacing w:val="-85"/>
        </w:rPr>
        <w:t> </w:t>
      </w:r>
      <w:r>
        <w:rPr>
          <w:spacing w:val="-85"/>
        </w:rPr>
      </w:r>
      <w:r>
        <w:rPr/>
        <w:t>其具《验资报告》（天健验〔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84</w:t>
      </w:r>
      <w:r>
        <w:rPr/>
        <w:t>号）。</w:t>
      </w:r>
    </w:p>
    <w:p>
      <w:pPr>
        <w:pStyle w:val="BodyText"/>
        <w:spacing w:line="240" w:lineRule="auto" w:before="13"/>
        <w:ind w:left="0" w:right="1042"/>
        <w:jc w:val="right"/>
      </w:pPr>
      <w:r>
        <w:rPr>
          <w:rFonts w:ascii="Times New Roman" w:hAnsi="Times New Roman" w:cs="Times New Roman" w:eastAsia="Times New Roman" w:hint="default"/>
        </w:rPr>
        <w:t>2015</w:t>
      </w:r>
      <w:r>
        <w:rPr>
          <w:spacing w:val="-2"/>
        </w:rPr>
        <w:t>年</w:t>
      </w:r>
      <w:r>
        <w:rPr>
          <w:rFonts w:ascii="Times New Roman" w:hAnsi="Times New Roman" w:cs="Times New Roman" w:eastAsia="Times New Roman" w:hint="default"/>
        </w:rPr>
        <w:t>6</w:t>
      </w:r>
      <w:r>
        <w:rPr/>
        <w:t>月</w:t>
      </w:r>
      <w:r>
        <w:rPr>
          <w:spacing w:val="-75"/>
        </w:rPr>
        <w:t>，</w:t>
      </w:r>
      <w:r>
        <w:rPr/>
        <w:t>经中国证券监督管理委员</w:t>
      </w:r>
      <w:r>
        <w:rPr>
          <w:spacing w:val="-75"/>
        </w:rPr>
        <w:t>会</w:t>
      </w:r>
      <w:r>
        <w:rPr/>
        <w:t>《关于核准美盛文化创意股份有限公司非公开发行股票的批复</w:t>
      </w:r>
      <w:r>
        <w:rPr>
          <w:spacing w:val="-149"/>
        </w:rPr>
        <w:t>》</w:t>
      </w:r>
      <w:r>
        <w:rPr/>
        <w:t>（证监许</w:t>
      </w:r>
      <w:r>
        <w:rPr>
          <w:spacing w:val="-75"/>
        </w:rPr>
        <w:t>可</w:t>
      </w:r>
      <w:r>
        <w:rPr/>
        <w:t>〔</w:t>
      </w:r>
      <w:r>
        <w:rPr>
          <w:rFonts w:ascii="Times New Roman" w:hAnsi="Times New Roman" w:cs="Times New Roman" w:eastAsia="Times New Roman" w:hint="default"/>
        </w:rPr>
        <w:t>2015</w:t>
      </w:r>
      <w:r>
        <w:rPr/>
        <w:t>〕</w:t>
      </w:r>
    </w:p>
    <w:p>
      <w:pPr>
        <w:pStyle w:val="BodyText"/>
        <w:spacing w:line="300" w:lineRule="auto" w:before="63"/>
        <w:ind w:right="1129"/>
        <w:jc w:val="both"/>
      </w:pPr>
      <w:r>
        <w:rPr>
          <w:rFonts w:ascii="Times New Roman" w:hAnsi="Times New Roman" w:cs="Times New Roman" w:eastAsia="Times New Roman" w:hint="default"/>
          <w:spacing w:val="-1"/>
        </w:rPr>
        <w:t>1124</w:t>
      </w:r>
      <w:r>
        <w:rPr>
          <w:spacing w:val="-1"/>
        </w:rPr>
        <w:t>号）核准，公司获准向赵小强等三名发行对象非公开发行人民币普通股（</w:t>
      </w:r>
      <w:r>
        <w:rPr>
          <w:rFonts w:ascii="Times New Roman" w:hAnsi="Times New Roman" w:cs="Times New Roman" w:eastAsia="Times New Roman" w:hint="default"/>
          <w:spacing w:val="-1"/>
        </w:rPr>
        <w:t>A</w:t>
      </w:r>
      <w:r>
        <w:rPr>
          <w:spacing w:val="-1"/>
        </w:rPr>
        <w:t>股）股票</w:t>
      </w:r>
      <w:r>
        <w:rPr>
          <w:rFonts w:ascii="Times New Roman" w:hAnsi="Times New Roman" w:cs="Times New Roman" w:eastAsia="Times New Roman" w:hint="default"/>
          <w:spacing w:val="-1"/>
        </w:rPr>
        <w:t>34,600,000</w:t>
      </w:r>
      <w:r>
        <w:rPr>
          <w:spacing w:val="-1"/>
        </w:rPr>
        <w:t>股，每股面值</w:t>
      </w:r>
      <w:r>
        <w:rPr>
          <w:rFonts w:ascii="Times New Roman" w:hAnsi="Times New Roman" w:cs="Times New Roman" w:eastAsia="Times New Roman" w:hint="default"/>
          <w:spacing w:val="-1"/>
        </w:rPr>
        <w:t>1</w:t>
      </w:r>
      <w:r>
        <w:rPr>
          <w:spacing w:val="-1"/>
        </w:rPr>
        <w:t>元，每股</w:t>
      </w:r>
      <w:r>
        <w:rPr>
          <w:spacing w:val="-61"/>
        </w:rPr>
        <w:t> </w:t>
      </w:r>
      <w:r>
        <w:rPr>
          <w:spacing w:val="-61"/>
        </w:rPr>
      </w:r>
      <w:r>
        <w:rPr/>
        <w:t>发行价格为人民币</w:t>
      </w:r>
      <w:r>
        <w:rPr>
          <w:rFonts w:ascii="Times New Roman" w:hAnsi="Times New Roman" w:cs="Times New Roman" w:eastAsia="Times New Roman" w:hint="default"/>
        </w:rPr>
        <w:t>10.595</w:t>
      </w:r>
      <w:r>
        <w:rPr/>
        <w:t>元。募集资金总额为人民币</w:t>
      </w:r>
      <w:r>
        <w:rPr>
          <w:rFonts w:ascii="Times New Roman" w:hAnsi="Times New Roman" w:cs="Times New Roman" w:eastAsia="Times New Roman" w:hint="default"/>
        </w:rPr>
        <w:t>366,587,000.00</w:t>
      </w:r>
      <w:r>
        <w:rPr/>
        <w:t>元，减除发行费用人民币</w:t>
      </w:r>
      <w:r>
        <w:rPr>
          <w:rFonts w:ascii="Times New Roman" w:hAnsi="Times New Roman" w:cs="Times New Roman" w:eastAsia="Times New Roman" w:hint="default"/>
        </w:rPr>
        <w:t>7,693,084.20</w:t>
      </w:r>
      <w:r>
        <w:rPr/>
        <w:t>元后，募集资金净</w:t>
      </w:r>
      <w:r>
        <w:rPr>
          <w:spacing w:val="-51"/>
        </w:rPr>
        <w:t> </w:t>
      </w:r>
      <w:r>
        <w:rPr>
          <w:spacing w:val="-51"/>
        </w:rPr>
      </w:r>
      <w:r>
        <w:rPr/>
        <w:t>额为人民币</w:t>
      </w:r>
      <w:r>
        <w:rPr>
          <w:rFonts w:ascii="Times New Roman" w:hAnsi="Times New Roman" w:cs="Times New Roman" w:eastAsia="Times New Roman" w:hint="default"/>
        </w:rPr>
        <w:t>358,893,915.80</w:t>
      </w:r>
      <w:r>
        <w:rPr/>
        <w:t>元，其中计入股本人民币</w:t>
      </w:r>
      <w:r>
        <w:rPr>
          <w:rFonts w:ascii="Times New Roman" w:hAnsi="Times New Roman" w:cs="Times New Roman" w:eastAsia="Times New Roman" w:hint="default"/>
        </w:rPr>
        <w:t>34,600,000.00</w:t>
      </w:r>
      <w:r>
        <w:rPr/>
        <w:t>元，计入资本公积（股本溢价）人民币</w:t>
      </w:r>
      <w:r>
        <w:rPr>
          <w:rFonts w:ascii="Times New Roman" w:hAnsi="Times New Roman" w:cs="Times New Roman" w:eastAsia="Times New Roman" w:hint="default"/>
        </w:rPr>
        <w:t>324,293,915.80</w:t>
      </w:r>
      <w:r>
        <w:rPr/>
        <w:t>元。</w:t>
      </w:r>
      <w:r>
        <w:rPr>
          <w:spacing w:val="-52"/>
        </w:rPr>
        <w:t> </w:t>
      </w:r>
      <w:r>
        <w:rPr/>
        <w:t>本次变更业经天健会计师事务所（特殊普通合伙）审验，并其出具《验资报告》（天健验〔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210</w:t>
      </w:r>
      <w:r>
        <w:rPr/>
        <w:t>号）。</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31、资本公积" w:id="306"/>
      <w:bookmarkEnd w:id="306"/>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261,887,229.47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324,293,915.80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380,481,145.27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4,302,643.03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4,302,643.03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266,189,872.50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324,293,915.80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384,783,788.30</w:t>
            </w:r>
          </w:p>
        </w:tc>
      </w:tr>
    </w:tbl>
    <w:p>
      <w:pPr>
        <w:pStyle w:val="BodyText"/>
        <w:spacing w:line="357" w:lineRule="auto" w:before="51"/>
        <w:ind w:left="574" w:right="6192" w:hanging="420"/>
        <w:jc w:val="left"/>
      </w:pPr>
      <w:r>
        <w:rPr/>
        <w:t>其他说明，包括本期增减变动情况、变动原因说明： 资本公积变动详见本财务报告附注实收资本之说明。</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32、其他综合收益" w:id="307"/>
      <w:bookmarkEnd w:id="307"/>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-4,012,131.97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-6,999,584.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-6,716,950.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-282,634.07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-10,729,0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82.21</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-142,440.14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-142,440.14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-142,440.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-4,012,131.97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-6,857,144.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-282,634.07</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-10,586,6</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42.07</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-4,012,131.97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-6,999,584.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-6,716,950.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-282,634.07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-10,729,0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82.21</w:t>
            </w: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盈余公积" w:id="308"/>
      <w:bookmarkEnd w:id="308"/>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28,991,065.07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9,669,078.68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38,660,143.75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28,991,065.07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9,669,078.68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38,660,143.75</w:t>
            </w:r>
          </w:p>
        </w:tc>
      </w:tr>
    </w:tbl>
    <w:p>
      <w:pPr>
        <w:pStyle w:val="BodyText"/>
        <w:spacing w:line="240" w:lineRule="auto" w:before="51"/>
        <w:ind w:left="15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4、未分配利润" w:id="309"/>
      <w:bookmarkEnd w:id="309"/>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202,752,591.54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119,996,464.63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126,408,340.12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97,125,358.48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9,669,078.68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9,694,231.57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298,921,852.98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202,752,591.54</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营业收入和营业成本" w:id="310"/>
      <w:bookmarkEnd w:id="310"/>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405,603,828.72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252,774,320.99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452,544,641.56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288,149,256.63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2,497,321.58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1,424,514.69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3,452,045.52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1,447,741.81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408,101,150.30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254,198,835.68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455,996,687.08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289,596,998.44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6、营业税金及附加" w:id="311"/>
      <w:bookmarkEnd w:id="311"/>
      <w:r>
        <w:rPr>
          <w:b w:val="0"/>
          <w:bCs w:val="0"/>
        </w:rPr>
      </w:r>
      <w:r>
        <w:rPr>
          <w:rFonts w:ascii="Times New Roman" w:hAnsi="Times New Roman" w:cs="Times New Roman" w:eastAsia="Times New Roman" w:hint="default"/>
        </w:rPr>
        <w:t>36</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67,995.83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47,220.11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1,395,063.97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1,249,567.85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804,855.56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735,953.37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536,877.04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489,969.21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2,804,792.40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2,522,710.54</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销售费用" w:id="312"/>
      <w:bookmarkEnd w:id="312"/>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4,048,220.09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6,650,210.95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3,183,946.93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2,510,027.14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播映费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2,726,774.76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1,804,005.01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1,701,613.11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1,197,764.83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1,238,299.54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826,482.24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736,748.72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640,373.95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383,725.00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693,631.99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1,085,259.61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15,857,948.52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13,569,135.35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管理费用" w:id="313"/>
      <w:bookmarkEnd w:id="313"/>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24,841,946.33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22,120,185.22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8,836,774.03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5,360,267.33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6,652,847.02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6,903,276.05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3,851,858.77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2,903,948.00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2,386,394.59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3,033,736.14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3,434,626.09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2,724,820.56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1,793,984.06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2,594,009.48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2,544,889.16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774,905.67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551,615.42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4,096,952.38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2,502,166.80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60,657,610.38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50,501,352.72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财务费用" w:id="314"/>
      <w:bookmarkEnd w:id="314"/>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2,253,477.03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1,775,216.88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4,203,779.21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1,964,618.02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-7,005,884.06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-524,737.91</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1,532,532.06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1,868,215.30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-7,423,654.18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1,154,076.25</w:t>
            </w:r>
          </w:p>
        </w:tc>
      </w:tr>
    </w:tbl>
    <w:p>
      <w:pPr>
        <w:pStyle w:val="BodyText"/>
        <w:spacing w:line="240" w:lineRule="auto" w:before="51"/>
        <w:ind w:left="154" w:right="0"/>
        <w:jc w:val="left"/>
      </w:pPr>
      <w:r>
        <w:rPr/>
        <w:t>其他说明：</w:t>
      </w:r>
    </w:p>
    <w:p>
      <w:pPr>
        <w:pStyle w:val="BodyText"/>
        <w:spacing w:line="240" w:lineRule="auto" w:before="116"/>
        <w:ind w:left="444" w:right="0"/>
        <w:jc w:val="left"/>
      </w:pPr>
      <w:r>
        <w:rPr/>
        <w:t>主要是汇兑收益增加所致。</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40、资产减值损失" w:id="315"/>
      <w:bookmarkEnd w:id="315"/>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873,633.79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1,988,303.60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5,983,787.05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6,667,731.86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6,857,420.84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8,656,035.46</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公允价值变动收益" w:id="316"/>
      <w:bookmarkEnd w:id="316"/>
      <w:r>
        <w:rPr>
          <w:b w:val="0"/>
          <w:bCs w:val="0"/>
        </w:rPr>
      </w:r>
      <w:r>
        <w:rPr>
          <w:rFonts w:ascii="Times New Roman" w:hAnsi="Times New Roman" w:cs="Times New Roman" w:eastAsia="Times New Roman" w:hint="default"/>
        </w:rPr>
        <w:t>41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年度业绩承诺补偿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-20,117,601.26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20,117,601.26</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年度业绩承诺补偿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7,723,488.68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-2,553,350.00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2,961,354.78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-3,013,804.78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-9,432,757.80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14,550,446.48</w:t>
            </w:r>
          </w:p>
        </w:tc>
      </w:tr>
    </w:tbl>
    <w:p>
      <w:pPr>
        <w:pStyle w:val="BodyText"/>
        <w:spacing w:line="240" w:lineRule="auto" w:before="51"/>
        <w:ind w:left="154" w:right="0"/>
        <w:jc w:val="left"/>
      </w:pPr>
      <w:r>
        <w:rPr/>
        <w:t>其他说明：</w:t>
      </w:r>
    </w:p>
    <w:p>
      <w:pPr>
        <w:pStyle w:val="BodyText"/>
        <w:spacing w:line="300" w:lineRule="auto" w:before="116"/>
        <w:ind w:left="154" w:right="0" w:firstLine="420"/>
        <w:jc w:val="left"/>
      </w:pPr>
      <w:r>
        <w:rPr>
          <w:spacing w:val="-1"/>
        </w:rPr>
        <w:t>公司将年末应收的业绩承诺补偿款</w:t>
      </w:r>
      <w:r>
        <w:rPr>
          <w:rFonts w:ascii="Times New Roman" w:hAnsi="Times New Roman" w:cs="Times New Roman" w:eastAsia="Times New Roman" w:hint="default"/>
          <w:spacing w:val="-1"/>
        </w:rPr>
        <w:t>7,723,488.68</w:t>
      </w:r>
      <w:r>
        <w:rPr>
          <w:spacing w:val="-1"/>
        </w:rPr>
        <w:t>元确认为公允价值变动收益，该补偿款已于期后收回，详见本财务报告</w:t>
      </w:r>
      <w:r>
        <w:rPr/>
        <w:t> 附注十三之说明。</w:t>
      </w:r>
    </w:p>
    <w:p>
      <w:pPr>
        <w:pStyle w:val="BodyText"/>
        <w:spacing w:line="240" w:lineRule="auto" w:before="32"/>
        <w:ind w:left="574" w:right="0"/>
        <w:jc w:val="left"/>
      </w:pPr>
      <w:r>
        <w:rPr/>
        <w:t>本期已收到</w:t>
      </w:r>
      <w:r>
        <w:rPr>
          <w:rFonts w:ascii="Times New Roman" w:hAnsi="Times New Roman" w:cs="Times New Roman" w:eastAsia="Times New Roman" w:hint="default"/>
        </w:rPr>
        <w:t>2014</w:t>
      </w:r>
      <w:r>
        <w:rPr/>
        <w:t>年度业绩承诺补偿款</w:t>
      </w:r>
      <w:r>
        <w:rPr>
          <w:rFonts w:ascii="Times New Roman" w:hAnsi="Times New Roman" w:cs="Times New Roman" w:eastAsia="Times New Roman" w:hint="default"/>
        </w:rPr>
        <w:t>20,117,601.26</w:t>
      </w:r>
      <w:r>
        <w:rPr/>
        <w:t>元，并自公允价值变动收益转至投资收益。</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42、投资收益" w:id="317"/>
      <w:bookmarkEnd w:id="317"/>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本期收到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年度业绩承诺补偿自公允价 值变动收益转入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20,117,601.26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年度业绩承诺补偿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处置长期股权投资产生的投资收益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24,894,525.31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珠江电影频道项目投资收益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1,773,584.80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-2,000,595.96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-446,353.15</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处置衍生金融工具取得的投资收益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29,591.97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1,644,904.90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59,178.08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6,935,365.87</w:t>
            </w:r>
          </w:p>
        </w:tc>
      </w:tr>
      <w:tr>
        <w:trPr>
          <w:trHeight w:val="40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70,623,885.46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10,133,917.62</w:t>
            </w:r>
          </w:p>
        </w:tc>
      </w:tr>
    </w:tbl>
    <w:p>
      <w:pPr>
        <w:pStyle w:val="BodyText"/>
        <w:spacing w:line="240" w:lineRule="auto" w:before="51"/>
        <w:ind w:left="154" w:right="0"/>
        <w:jc w:val="left"/>
      </w:pPr>
      <w:r>
        <w:rPr/>
        <w:t>其他说明：</w:t>
      </w:r>
    </w:p>
    <w:p>
      <w:pPr>
        <w:pStyle w:val="BodyText"/>
        <w:spacing w:line="240" w:lineRule="auto" w:before="115"/>
        <w:ind w:left="574" w:right="0"/>
        <w:jc w:val="left"/>
      </w:pPr>
      <w:r>
        <w:rPr/>
        <w:t>注：系处置子公司纯真年代在合并财务报表层面取得的收益。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3、营业外收入" w:id="318"/>
      <w:bookmarkEnd w:id="318"/>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3,913.30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3,913.30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3,913.30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27,939,538.74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20,635,394.14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27,939,538.74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23,557.19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27,967,009.23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20,661,896.01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27,967,009.23</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递延收益转</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2,971,989.69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1,760,419.14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年度文 化服务出口 配套补助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文化产业发 展专项补助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6,534,000.00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贷款贴息补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中央外经贸 发展专项进 </w:t>
            </w:r>
            <w:r>
              <w:rPr>
                <w:rFonts w:ascii="宋体" w:hAnsi="宋体" w:cs="宋体" w:eastAsia="宋体" w:hint="default"/>
                <w:spacing w:val="-12"/>
                <w:sz w:val="18"/>
                <w:szCs w:val="18"/>
              </w:rPr>
              <w:t>口贴息、服务</w:t>
            </w:r>
            <w:r>
              <w:rPr>
                <w:rFonts w:ascii="宋体" w:hAnsi="宋体" w:cs="宋体" w:eastAsia="宋体" w:hint="default"/>
                <w:sz w:val="18"/>
                <w:szCs w:val="18"/>
              </w:rPr>
              <w:t> 外包和技术 出口补助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收购荷兰公 司股权补助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加快文化产 业发展补贴 收入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国家动漫品 牌建设和保 护扶持资金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235,849.05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亩均税收突 出企业财政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服务业龙头 企业贡献奖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新昌县自营 出口十强企 业奖励资金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岗位补贴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培训补助资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失业动态和 块状经济监 测经费补助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创新创业启 动资金及引</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才奖励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动漫产业专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发展外向型 经济财政奖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年嘎纳 电视节及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 届杭州动漫 节展位费补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129,375.00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儿童动漫剧 演出补贴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著名商标奖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年法国 戛纳展展位 费补贴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杭州动漫企 业参展展位 费补贴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人才安家补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动漫产业专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技术创新项 目补助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赴美国和哥 斯达黎加参 加经贸活动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企业安全生 产标准化创 建奖励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境外展览费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27,939,538.7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20,635,394.1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营业外支出" w:id="319"/>
      <w:bookmarkEnd w:id="319"/>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13,543.55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13,543.55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13,543.55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13,543.55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379,419.02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407,144.73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14,287.87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714,738.39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14,287.87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967,250.44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1,133,168.59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587,831.42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所得税费用" w:id="320"/>
      <w:bookmarkEnd w:id="320"/>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21"/>
      <w:bookmarkEnd w:id="32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37,483,795.11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29,809,130.32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-1,297,893.56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6,289,686.06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36,185,901.55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36,098,816.38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22"/>
      <w:bookmarkEnd w:id="32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163,339,083.11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40,834,770.78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-312,851.98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-48,154.15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1,825,472.32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-7,179,862.91</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1,066,527.49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36,185,901.55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6、其他综合收益" w:id="323"/>
      <w:bookmarkEnd w:id="323"/>
      <w:r>
        <w:rPr>
          <w:b w:val="0"/>
          <w:bCs w:val="0"/>
        </w:rPr>
      </w:r>
      <w:r>
        <w:rPr>
          <w:rFonts w:ascii="Times New Roman" w:hAnsi="Times New Roman" w:cs="Times New Roman" w:eastAsia="Times New Roman" w:hint="default"/>
        </w:rPr>
        <w:t>46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详见附注合并资产负债表项目注释之其他综合收益说明</w:t>
      </w:r>
      <w:r>
        <w:rPr>
          <w:spacing w:val="-90"/>
        </w:rPr>
        <w:t>。</w:t>
      </w:r>
      <w:r>
        <w:rPr/>
        <w:t>。</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7、现金流量表项目" w:id="324"/>
      <w:bookmarkEnd w:id="324"/>
      <w:r>
        <w:rPr>
          <w:b w:val="0"/>
          <w:bCs w:val="0"/>
        </w:rPr>
      </w:r>
      <w:r>
        <w:rPr>
          <w:rFonts w:ascii="Times New Roman" w:hAnsi="Times New Roman" w:cs="Times New Roman" w:eastAsia="Times New Roman" w:hint="default"/>
        </w:rPr>
        <w:t>47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25"/>
      <w:bookmarkEnd w:id="32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149,744.90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4,458,097.61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24,967,549.05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22,533,375.00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银行活期存款利息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4,203,776.13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1,964,620.79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98,318.76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22,067.29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29,419,388.84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28,978,160.69</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26"/>
      <w:bookmarkEnd w:id="32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35,318,628.74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29,950,533.23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1,378,429.82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10,032,142.84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37,257,058.56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40,145,476.07</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27"/>
      <w:bookmarkEnd w:id="32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收到业绩承诺补偿款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45,117,601.26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20,813,711.99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定期存款、银行理财到期收回</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购房款退回</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75,117,601.26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287,803,711.99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28"/>
      <w:bookmarkEnd w:id="32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银行定期存款、购买理财产品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51"/>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29"/>
      <w:bookmarkEnd w:id="32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收到美盛控股集团有限公司财务资助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bl>
    <w:p>
      <w:pPr>
        <w:pStyle w:val="BodyText"/>
        <w:spacing w:line="240" w:lineRule="auto" w:before="51"/>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30"/>
      <w:bookmarkEnd w:id="33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收购美盛游戏少数股东股权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少数股东收回投资款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793,370.64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18,268,370.64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26,393,000.00</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8、现金流量表补充资料" w:id="331"/>
      <w:bookmarkEnd w:id="331"/>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32"/>
      <w:bookmarkEnd w:id="33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127,153,181.56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98,110,653.46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6,857,420.84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8,656,035.46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11,675,117.96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9,658,442.62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47.829987pt;width:151.25pt;height:20.8pt;mso-position-horizontal-relative:page;mso-position-vertical-relative:page;z-index:-858256" coordorigin="4467,2957" coordsize="3025,416">
            <v:group style="position:absolute;left:4478;top:2968;width:2;height:393" coordorigin="4478,2968" coordsize="2,393">
              <v:shape style="position:absolute;left:4478;top:2968;width:2;height:393" coordorigin="4478,2968" coordsize="0,393" path="m4478,2968l4478,3360e" filled="false" stroked="true" strokeweight="1.140pt" strokecolor="#ffffff">
                <v:path arrowok="t"/>
              </v:shape>
            </v:group>
            <v:group style="position:absolute;left:4490;top:2968;width:3002;height:393" coordorigin="4490,2968" coordsize="3002,393">
              <v:shape style="position:absolute;left:4490;top:2968;width:3002;height:393" coordorigin="4490,2968" coordsize="3002,393" path="m4490,3360l7491,3360,7491,2968,4490,2968,4490,336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85"/>
        <w:gridCol w:w="198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2,141,101.05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1,732,221.63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527,282.12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126,041.89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9,630.25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11,285.47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9,432,757.80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-14,550,446.48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-232,170.67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183,333.34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-70,623,885.46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-10,133,917.62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597,854.36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-1,101,376.76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-1,895,747.92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7,391,062.82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-42,747,396.14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-120,650,792.76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-1,394,683.08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-35,159,936.99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10,146,936.47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33,231,586.89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51,647,399.14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-22,495,807.03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576,277,605.46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249,627,548.13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249,627,548.13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96,117,842.79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326,650,057.33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153,509,705.34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33"/>
      <w:bookmarkEnd w:id="33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天津酷米网络科技有限责任公司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本期收到的处置子公司的现金净额" w:id="334"/>
      <w:bookmarkEnd w:id="33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1,110,662.04</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1,110,662.04</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118,889,337.96</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35"/>
      <w:bookmarkEnd w:id="33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576,277,605.46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249,627,548.13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156,822.58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104,507.44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570,388,745.60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248,960,589.22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5,732,037.28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562,451.47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576,277,605.46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249,627,548.13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9、所有者权益变动表项目注释" w:id="336"/>
      <w:bookmarkEnd w:id="336"/>
      <w:r>
        <w:rPr>
          <w:b w:val="0"/>
          <w:bCs w:val="0"/>
        </w:rPr>
      </w:r>
      <w:r>
        <w:rPr>
          <w:rFonts w:ascii="Times New Roman" w:hAnsi="Times New Roman" w:cs="Times New Roman" w:eastAsia="Times New Roman" w:hint="default"/>
        </w:rPr>
        <w:t>49</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说明对上年期末余额进行调整的“其他”项目名称及调整金额等事项：</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外币货币性项目" w:id="337"/>
      <w:bookmarkEnd w:id="337"/>
      <w:r>
        <w:rPr>
          <w:b w:val="0"/>
          <w:bCs w:val="0"/>
        </w:rPr>
      </w:r>
      <w:r>
        <w:rPr>
          <w:rFonts w:ascii="Times New Roman" w:hAnsi="Times New Roman" w:cs="Times New Roman" w:eastAsia="Times New Roman" w:hint="default"/>
        </w:rPr>
        <w:t>50</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38"/>
      <w:bookmarkEnd w:id="33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1,185,282.41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7,696,749.86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3,217,732.55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22,830,455.99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37,816.49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31,681.90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4,369,759.15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28,375,468.02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8,727,613.95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107,487.00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762,641.76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531,477.81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445,261.48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15,917.82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73,819,244.80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2,279,062.50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16,170,404.25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39"/>
      <w:bookmarkEnd w:id="33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73" w:right="1118" w:hanging="420"/>
        <w:jc w:val="left"/>
      </w:pPr>
      <w:r>
        <w:rPr/>
        <w:t>√ 适用 □ 不适用 本公司全资子公司香港美盛公司以港币为记账本位币。本公司控股孙公司荷兰公司以荷兰为主要经营地，以欧元为记</w:t>
      </w:r>
    </w:p>
    <w:p>
      <w:pPr>
        <w:pStyle w:val="BodyText"/>
        <w:spacing w:line="224" w:lineRule="exact"/>
        <w:ind w:right="0"/>
        <w:jc w:val="left"/>
      </w:pPr>
      <w:r>
        <w:rPr/>
        <w:t>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line="487" w:lineRule="auto" w:before="0"/>
        <w:ind w:left="153" w:right="8584" w:firstLine="0"/>
        <w:jc w:val="left"/>
        <w:rPr>
          <w:rFonts w:ascii="宋体" w:hAnsi="宋体" w:cs="宋体" w:eastAsia="宋体" w:hint="default"/>
          <w:sz w:val="21"/>
          <w:szCs w:val="21"/>
        </w:rPr>
      </w:pPr>
      <w:bookmarkStart w:name="51、其他" w:id="340"/>
      <w:bookmarkEnd w:id="340"/>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41"/>
      <w:bookmarkEnd w:id="341"/>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处置子公司" w:id="342"/>
      <w:bookmarkEnd w:id="34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pgSz w:w="11910" w:h="16840"/>
          <w:pgMar w:header="747" w:footer="979" w:top="1060" w:bottom="1160" w:left="980" w:right="0"/>
        </w:sectPr>
      </w:pPr>
    </w:p>
    <w:p>
      <w:pPr>
        <w:pStyle w:val="BodyText"/>
        <w:spacing w:line="240" w:lineRule="auto" w:before="108"/>
        <w:ind w:right="-19"/>
        <w:jc w:val="left"/>
      </w:pPr>
      <w:r>
        <w:rPr/>
        <w:t>是否存在单次处置对子公司投资即丧失控制权的情形</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17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2" w:right="90" w:hanging="180"/>
              <w:jc w:val="left"/>
              <w:rPr>
                <w:rFonts w:ascii="宋体" w:hAnsi="宋体" w:cs="宋体" w:eastAsia="宋体" w:hint="default"/>
                <w:sz w:val="18"/>
                <w:szCs w:val="18"/>
              </w:rPr>
            </w:pPr>
            <w:r>
              <w:rPr>
                <w:rFonts w:ascii="宋体" w:hAnsi="宋体" w:cs="宋体" w:eastAsia="宋体" w:hint="default"/>
                <w:sz w:val="18"/>
                <w:szCs w:val="18"/>
              </w:rPr>
              <w:t>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纯真年 代</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就股权 转让事 宜已达 成协议 且经股 东大会 审议通 过。</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24,894,5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25.31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0" w:lineRule="auto" w:before="116"/>
        <w:ind w:left="154" w:right="1134"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月，经公司第二届董事会第二十二次会议决议和</w:t>
      </w:r>
      <w:r>
        <w:rPr>
          <w:rFonts w:ascii="Times New Roman" w:hAnsi="Times New Roman" w:cs="Times New Roman" w:eastAsia="Times New Roman" w:hint="default"/>
        </w:rPr>
        <w:t>2015</w:t>
      </w:r>
      <w:r>
        <w:rPr/>
        <w:t>年第一次临时股东大会审议，公司拟向公司控股股东美 盛控股转让公司持有纯真年代</w:t>
      </w:r>
      <w:r>
        <w:rPr>
          <w:rFonts w:ascii="Times New Roman" w:hAnsi="Times New Roman" w:cs="Times New Roman" w:eastAsia="Times New Roman" w:hint="default"/>
        </w:rPr>
        <w:t>70.00%</w:t>
      </w:r>
      <w:r>
        <w:rPr/>
        <w:t>的股权，转让价款</w:t>
      </w:r>
      <w:r>
        <w:rPr>
          <w:rFonts w:ascii="Times New Roman" w:hAnsi="Times New Roman" w:cs="Times New Roman" w:eastAsia="Times New Roman" w:hint="default"/>
        </w:rPr>
        <w:t>12,000</w:t>
      </w:r>
      <w:r>
        <w:rPr/>
        <w:t>万元，此次股权转让完成后公司不再持有纯真年代的股权。</w:t>
      </w:r>
    </w:p>
    <w:p>
      <w:pPr>
        <w:pStyle w:val="BodyText"/>
        <w:spacing w:line="304" w:lineRule="auto" w:before="13"/>
        <w:ind w:right="1130" w:firstLine="420"/>
        <w:jc w:val="both"/>
      </w:pPr>
      <w:r>
        <w:rPr/>
        <w:t>根据坤元资产评估有限公司出具的《关于美盛文化创意股份有限公司拟进行股权转让涉及的上海纯真年代影视投资有 </w:t>
      </w:r>
      <w:r>
        <w:rPr>
          <w:spacing w:val="-2"/>
        </w:rPr>
        <w:t>限公司股东全部权益价值评估项目资产评估报告》（坤元评报〔</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568</w:t>
      </w:r>
      <w:r>
        <w:rPr>
          <w:spacing w:val="-2"/>
        </w:rPr>
        <w:t>号），评估基准日为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日，评估方法为</w:t>
      </w:r>
      <w:r>
        <w:rPr>
          <w:spacing w:val="-55"/>
        </w:rPr>
        <w:t> </w:t>
      </w:r>
      <w:r>
        <w:rPr>
          <w:spacing w:val="-55"/>
        </w:rPr>
      </w:r>
      <w:r>
        <w:rPr>
          <w:spacing w:val="-2"/>
        </w:rPr>
        <w:t>资产基础法，纯真年代全部股东权益的评估价值为</w:t>
      </w:r>
      <w:r>
        <w:rPr>
          <w:spacing w:val="-6"/>
        </w:rPr>
        <w:t> </w:t>
      </w:r>
      <w:r>
        <w:rPr>
          <w:rFonts w:ascii="Times New Roman" w:hAnsi="Times New Roman" w:cs="Times New Roman" w:eastAsia="Times New Roman" w:hint="default"/>
          <w:spacing w:val="-1"/>
        </w:rPr>
        <w:t>13,248.45</w:t>
      </w:r>
      <w:r>
        <w:rPr>
          <w:spacing w:val="-1"/>
        </w:rPr>
        <w:t>万元。考虑到纯真年代原股东对未来两年仍有</w:t>
      </w:r>
      <w:r>
        <w:rPr>
          <w:rFonts w:ascii="Times New Roman" w:hAnsi="Times New Roman" w:cs="Times New Roman" w:eastAsia="Times New Roman" w:hint="default"/>
          <w:spacing w:val="-1"/>
        </w:rPr>
        <w:t>7,000.00</w:t>
      </w:r>
      <w:r>
        <w:rPr>
          <w:spacing w:val="-1"/>
        </w:rPr>
        <w:t>万元的业</w:t>
      </w:r>
      <w:r>
        <w:rPr>
          <w:spacing w:val="-88"/>
        </w:rPr>
        <w:t> </w:t>
      </w:r>
      <w:r>
        <w:rPr>
          <w:spacing w:val="-88"/>
        </w:rPr>
      </w:r>
      <w:r>
        <w:rPr>
          <w:spacing w:val="-2"/>
        </w:rPr>
        <w:t>绩承诺，故公司与美盛控股在评估价值的基础上，综合考虑业绩承诺的兑现风险、时间价值等因素，于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日就该</w:t>
      </w:r>
      <w:r>
        <w:rPr>
          <w:spacing w:val="-58"/>
        </w:rPr>
        <w:t> </w:t>
      </w:r>
      <w:r>
        <w:rPr>
          <w:spacing w:val="-1"/>
        </w:rPr>
        <w:t>股权转让事宜达成协议，转让价款为</w:t>
      </w:r>
      <w:r>
        <w:rPr>
          <w:rFonts w:ascii="Times New Roman" w:hAnsi="Times New Roman" w:cs="Times New Roman" w:eastAsia="Times New Roman" w:hint="default"/>
          <w:spacing w:val="-1"/>
        </w:rPr>
        <w:t>12,000</w:t>
      </w:r>
      <w:r>
        <w:rPr>
          <w:spacing w:val="-1"/>
        </w:rPr>
        <w:t>万元，该款项已于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日收到。此后，公司不再将纯真年代纳入合并范</w:t>
      </w:r>
      <w:r>
        <w:rPr>
          <w:spacing w:val="-69"/>
        </w:rPr>
        <w:t> </w:t>
      </w:r>
      <w:r>
        <w:rPr>
          <w:spacing w:val="-69"/>
        </w:rPr>
      </w:r>
      <w:r>
        <w:rPr/>
        <w:t>围。</w:t>
      </w:r>
    </w:p>
    <w:p>
      <w:pPr>
        <w:pStyle w:val="BodyText"/>
        <w:spacing w:line="240" w:lineRule="auto" w:before="68"/>
        <w:ind w:left="154"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其他原因的合并范围变动" w:id="343"/>
      <w:bookmarkEnd w:id="343"/>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6"/>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合并范围增加</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合并范围减少</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6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6" w:right="302" w:hanging="270"/>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-2,609,347.90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-18,531.20</w:t>
            </w:r>
            <w:r>
              <w:rPr>
                <w:rFonts w:ascii="Times New Roman"/>
                <w:sz w:val="18"/>
              </w:rPr>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3,291,172.73</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-186,220.47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7693" w:firstLine="0"/>
        <w:jc w:val="left"/>
        <w:rPr>
          <w:rFonts w:ascii="宋体" w:hAnsi="宋体" w:cs="宋体" w:eastAsia="宋体" w:hint="default"/>
          <w:sz w:val="21"/>
          <w:szCs w:val="21"/>
        </w:rPr>
      </w:pPr>
      <w:bookmarkStart w:name="3、其他" w:id="344"/>
      <w:bookmarkEnd w:id="3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45"/>
      <w:bookmarkEnd w:id="34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46"/>
      <w:bookmarkEnd w:id="34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47"/>
      <w:bookmarkEnd w:id="34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54"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2）重要的非全资子公司" w:id="348"/>
      <w:bookmarkEnd w:id="34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left="154" w:right="643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3）重要非全资子公司的主要财务信息" w:id="349"/>
      <w:bookmarkEnd w:id="34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使用企业集团资产和清偿企业集团债务的重大限制" w:id="350"/>
      <w:bookmarkEnd w:id="35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51"/>
      <w:bookmarkEnd w:id="35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合营安排或联营企业中的权益" w:id="352"/>
      <w:bookmarkEnd w:id="352"/>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53"/>
      <w:bookmarkEnd w:id="35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瑛麒动漫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漫画分发平台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51"/>
        <w:ind w:left="154" w:right="0"/>
        <w:jc w:val="left"/>
      </w:pPr>
      <w:r>
        <w:rPr/>
        <w:t>在合营企业或联营企业的持股比例不同于表决权比例的说明：</w:t>
      </w:r>
    </w:p>
    <w:p>
      <w:pPr>
        <w:pStyle w:val="BodyText"/>
        <w:spacing w:line="240" w:lineRule="auto" w:before="116"/>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重要联营企业的主要财务信息" w:id="354"/>
      <w:bookmarkEnd w:id="354"/>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35,041,898.01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489,736.41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35,531,634.42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86,619.54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86,619.54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35,445,014.88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12,760,205.36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30,804,835.74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43,565,041.10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1,569,180.93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-3,985,996.94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不重要的合营企业和联营企业的汇总财务信息" w:id="355"/>
      <w:bookmarkEnd w:id="355"/>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1,972,643.72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2,551,466.12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-565,637.06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-446,353.15</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-142,440.14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-708,077.20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-446,353.15</w:t>
            </w:r>
            <w:r>
              <w:rPr>
                <w:rFonts w:ascii="Times New Roman"/>
                <w:sz w:val="18"/>
              </w:rPr>
            </w: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56"/>
      <w:bookmarkEnd w:id="356"/>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9"/>
        <w:ind w:right="1133" w:firstLine="420"/>
        <w:jc w:val="both"/>
      </w:pPr>
      <w:r>
        <w:rPr/>
        <w:t>本公司在日常活动中面临各种与金融工具相关的风险，主要包括信用风险、流动风险及市场风险。管理层已审议并批 准管理这些风险的政策，概括如下。</w:t>
      </w:r>
    </w:p>
    <w:p>
      <w:pPr>
        <w:pStyle w:val="BodyText"/>
        <w:spacing w:line="300" w:lineRule="auto" w:before="19"/>
        <w:ind w:left="573" w:right="38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信用风险</w:t>
      </w:r>
      <w:r>
        <w:rPr>
          <w:w w:val="99"/>
        </w:rPr>
        <w:t> </w:t>
      </w:r>
      <w:r>
        <w:rPr/>
        <w:t>信用风险，是指金融工具的一方不能履行义务，造成另一方发生财务损失的风险。</w:t>
      </w:r>
    </w:p>
    <w:p>
      <w:pPr>
        <w:pStyle w:val="BodyText"/>
        <w:spacing w:line="240" w:lineRule="auto" w:before="31"/>
        <w:ind w:left="573" w:right="0"/>
        <w:jc w:val="left"/>
      </w:pPr>
      <w:r>
        <w:rPr/>
        <w:t>本公司的信用风险主要来自银行存款和应收款项。为控制上述相关风险，本公司分别采取了以下措施。</w:t>
      </w:r>
    </w:p>
    <w:p>
      <w:pPr>
        <w:pStyle w:val="BodyText"/>
        <w:spacing w:line="309" w:lineRule="auto" w:before="77"/>
        <w:ind w:left="513" w:right="45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应收款项</w:t>
      </w:r>
    </w:p>
    <w:p>
      <w:pPr>
        <w:pStyle w:val="BodyText"/>
        <w:spacing w:line="316" w:lineRule="auto" w:before="5"/>
        <w:ind w:right="1133" w:firstLine="420"/>
        <w:jc w:val="both"/>
      </w:pPr>
      <w:r>
        <w:rPr/>
        <w:t>本公司定期对采用信用方式交易的客户进行信用评估。根据信用评估结果，本公司选择与经认可的且信用良好的客户 进行交易，并对其应收款项余额进行监控，以确保本公司不会面临重大坏账风险。</w:t>
      </w:r>
    </w:p>
    <w:p>
      <w:pPr>
        <w:pStyle w:val="BodyText"/>
        <w:spacing w:line="300" w:lineRule="auto" w:before="19"/>
        <w:ind w:right="1129" w:firstLine="420"/>
        <w:jc w:val="both"/>
      </w:pPr>
      <w:r>
        <w:rPr>
          <w:spacing w:val="-3"/>
        </w:rPr>
        <w:t>由于本公司仅与经认可的且信用良好的第三方进行交易，所以无需担保物。信用风险集中按照客户进行管理。截至</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日，本公司具有特定信用风险集中，本公司应收账款的</w:t>
      </w:r>
      <w:r>
        <w:rPr>
          <w:rFonts w:ascii="Times New Roman" w:hAnsi="Times New Roman" w:cs="Times New Roman" w:eastAsia="Times New Roman" w:hint="default"/>
          <w:spacing w:val="-1"/>
        </w:rPr>
        <w:t>72.00%(2014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73.25%)</w:t>
      </w:r>
      <w:r>
        <w:rPr>
          <w:spacing w:val="-1"/>
        </w:rPr>
        <w:t>源于余额前五名客户。本</w:t>
      </w:r>
      <w:r>
        <w:rPr>
          <w:spacing w:val="-81"/>
        </w:rPr>
        <w:t> </w:t>
      </w:r>
      <w:r>
        <w:rPr>
          <w:spacing w:val="-81"/>
        </w:rPr>
      </w:r>
      <w:r>
        <w:rPr/>
        <w:t>公司对应收账款余额未持有任何担保物或其他信用增级。</w:t>
      </w:r>
    </w:p>
    <w:p>
      <w:pPr>
        <w:pStyle w:val="BodyText"/>
        <w:spacing w:line="300" w:lineRule="auto" w:before="31"/>
        <w:ind w:left="573" w:right="11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流动风险</w:t>
      </w:r>
      <w:r>
        <w:rPr>
          <w:w w:val="99"/>
        </w:rPr>
        <w:t> </w:t>
      </w:r>
      <w:r>
        <w:rPr/>
        <w:t>流动风险，是指本公司在履行以交付现金或其他金融资产的方式结算的义务时发生资金短缺的风险。流动风险可能源</w:t>
      </w:r>
    </w:p>
    <w:p>
      <w:pPr>
        <w:pStyle w:val="BodyText"/>
        <w:spacing w:line="316" w:lineRule="auto" w:before="31"/>
        <w:ind w:right="0"/>
        <w:jc w:val="left"/>
      </w:pPr>
      <w:r>
        <w:rPr>
          <w:spacing w:val="-2"/>
        </w:rPr>
        <w:t>于无法尽快以公允价值售出金融资产；或者源于对方无法偿还其合同债务；或者源于提前到期的债务；或者源于无法产生预</w:t>
      </w:r>
      <w:r>
        <w:rPr>
          <w:spacing w:val="-66"/>
        </w:rPr>
        <w:t> </w:t>
      </w:r>
      <w:r>
        <w:rPr>
          <w:spacing w:val="-66"/>
        </w:rPr>
      </w:r>
      <w:r>
        <w:rPr/>
        <w:t>期的现金流量。</w:t>
      </w:r>
    </w:p>
    <w:p>
      <w:pPr>
        <w:spacing w:line="300" w:lineRule="auto" w:before="7"/>
        <w:ind w:left="153" w:right="1131" w:firstLine="420"/>
        <w:jc w:val="both"/>
        <w:rPr>
          <w:rFonts w:ascii="宋体" w:hAnsi="宋体" w:cs="宋体" w:eastAsia="宋体" w:hint="default"/>
          <w:sz w:val="19"/>
          <w:szCs w:val="19"/>
        </w:rPr>
      </w:pPr>
      <w:r>
        <w:rPr>
          <w:rFonts w:ascii="宋体" w:hAnsi="宋体" w:cs="宋体" w:eastAsia="宋体" w:hint="default"/>
          <w:i/>
          <w:w w:val="95"/>
          <w:sz w:val="19"/>
          <w:szCs w:val="19"/>
        </w:rPr>
        <w:t>为控制该项风险，本公司综合运用股权融资、银行借款等多种融资手段，并采取长、短期融资方式适当结合，优化融</w:t>
      </w:r>
      <w:r>
        <w:rPr>
          <w:rFonts w:ascii="宋体" w:hAnsi="宋体" w:cs="宋体" w:eastAsia="宋体" w:hint="default"/>
          <w:i/>
          <w:w w:val="94"/>
          <w:sz w:val="19"/>
          <w:szCs w:val="19"/>
        </w:rPr>
        <w:t> </w:t>
      </w:r>
      <w:r>
        <w:rPr>
          <w:rFonts w:ascii="宋体" w:hAnsi="宋体" w:cs="宋体" w:eastAsia="宋体" w:hint="default"/>
          <w:i/>
          <w:spacing w:val="-2"/>
          <w:w w:val="95"/>
          <w:sz w:val="19"/>
          <w:szCs w:val="19"/>
        </w:rPr>
        <w:t>资结构的方法，保持融资持续性与灵活性之间的平衡。本公司已从多家商业银行取得银行授信额度以满足营运资金需求和资</w:t>
      </w:r>
      <w:r>
        <w:rPr>
          <w:rFonts w:ascii="宋体" w:hAnsi="宋体" w:cs="宋体" w:eastAsia="宋体" w:hint="default"/>
          <w:i/>
          <w:w w:val="94"/>
          <w:sz w:val="19"/>
          <w:szCs w:val="19"/>
        </w:rPr>
        <w:t> </w:t>
      </w:r>
      <w:r>
        <w:rPr>
          <w:rFonts w:ascii="宋体" w:hAnsi="宋体" w:cs="宋体" w:eastAsia="宋体" w:hint="default"/>
          <w:i/>
          <w:sz w:val="19"/>
          <w:szCs w:val="19"/>
        </w:rPr>
        <w:t>本开支。</w:t>
      </w:r>
      <w:r>
        <w:rPr>
          <w:rFonts w:ascii="宋体" w:hAnsi="宋体" w:cs="宋体" w:eastAsia="宋体" w:hint="default"/>
          <w:sz w:val="19"/>
          <w:szCs w:val="19"/>
        </w:rPr>
      </w:r>
    </w:p>
    <w:p>
      <w:pPr>
        <w:pStyle w:val="BodyText"/>
        <w:spacing w:line="240" w:lineRule="auto" w:before="27"/>
        <w:ind w:left="574" w:right="0"/>
        <w:jc w:val="left"/>
      </w:pPr>
      <w:r>
        <w:rPr/>
        <w:t>金融负债按剩余到期日分类</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53"/>
        <w:gridCol w:w="1686"/>
        <w:gridCol w:w="1796"/>
        <w:gridCol w:w="1686"/>
        <w:gridCol w:w="820"/>
        <w:gridCol w:w="1085"/>
      </w:tblGrid>
      <w:tr>
        <w:trPr>
          <w:trHeight w:val="347" w:hRule="exact"/>
        </w:trPr>
        <w:tc>
          <w:tcPr>
            <w:tcW w:w="2553" w:type="dxa"/>
            <w:vMerge w:val="restart"/>
            <w:tcBorders>
              <w:top w:val="single" w:sz="6" w:space="0" w:color="000000"/>
              <w:left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074"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2553"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659"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期损益的金融负债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52,450.00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52,450.00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52,450.00</w:t>
            </w:r>
          </w:p>
        </w:tc>
        <w:tc>
          <w:tcPr>
            <w:tcW w:w="820"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60,661,529.50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60,661,529.50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60,661,529.50</w:t>
            </w:r>
          </w:p>
        </w:tc>
        <w:tc>
          <w:tcPr>
            <w:tcW w:w="820"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553"/>
        <w:gridCol w:w="1686"/>
        <w:gridCol w:w="1796"/>
        <w:gridCol w:w="1686"/>
        <w:gridCol w:w="820"/>
        <w:gridCol w:w="1085"/>
      </w:tblGrid>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445,261.48</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445,261.48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445,261.48</w:t>
            </w:r>
          </w:p>
        </w:tc>
        <w:tc>
          <w:tcPr>
            <w:tcW w:w="820"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629,702.80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629,702.80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629,702.80</w:t>
            </w:r>
          </w:p>
        </w:tc>
        <w:tc>
          <w:tcPr>
            <w:tcW w:w="820"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89,816,256.70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91,143,000.93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91,143,000.93</w:t>
            </w:r>
          </w:p>
        </w:tc>
        <w:tc>
          <w:tcPr>
            <w:tcW w:w="820"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151,605,200.48</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152,931,944.71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152,931,944.71</w:t>
            </w:r>
          </w:p>
        </w:tc>
        <w:tc>
          <w:tcPr>
            <w:tcW w:w="820"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bl>
    <w:p>
      <w:pPr>
        <w:pStyle w:val="BodyText"/>
        <w:spacing w:line="240" w:lineRule="auto" w:before="1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103"/>
        <w:gridCol w:w="1686"/>
        <w:gridCol w:w="1706"/>
        <w:gridCol w:w="1661"/>
        <w:gridCol w:w="1582"/>
        <w:gridCol w:w="1044"/>
      </w:tblGrid>
      <w:tr>
        <w:trPr>
          <w:trHeight w:val="347" w:hRule="exact"/>
        </w:trPr>
        <w:tc>
          <w:tcPr>
            <w:tcW w:w="2103" w:type="dxa"/>
            <w:vMerge w:val="restart"/>
            <w:tcBorders>
              <w:top w:val="single" w:sz="6" w:space="0" w:color="000000"/>
              <w:left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680"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2103"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659"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计入当期损益的金融负债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3,013,804.78</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3,013,804.78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3,013,804.78</w:t>
            </w:r>
          </w:p>
        </w:tc>
        <w:tc>
          <w:tcPr>
            <w:tcW w:w="1582"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60,068,472.50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60,068,472.50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60,068,472.50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319,397.12</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319,397.12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319,397.12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33,838,572.21</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33,838,572.21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33,838,572.21</w:t>
            </w:r>
          </w:p>
        </w:tc>
        <w:tc>
          <w:tcPr>
            <w:tcW w:w="1582"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69,560,792.00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72,096,700.23</w:t>
            </w:r>
          </w:p>
        </w:tc>
        <w:tc>
          <w:tcPr>
            <w:tcW w:w="166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0" w:right="0"/>
              <w:jc w:val="left"/>
              <w:rPr>
                <w:rFonts w:ascii="Times New Roman" w:hAnsi="Times New Roman" w:cs="Times New Roman" w:eastAsia="Times New Roman" w:hint="default"/>
                <w:sz w:val="18"/>
                <w:szCs w:val="18"/>
              </w:rPr>
            </w:pPr>
            <w:r>
              <w:rPr>
                <w:rFonts w:ascii="Times New Roman"/>
                <w:sz w:val="18"/>
              </w:rPr>
              <w:t>72,096,700.23</w:t>
            </w:r>
          </w:p>
        </w:tc>
        <w:tc>
          <w:tcPr>
            <w:tcW w:w="104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16,175,399.21</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16,991,778.38</w:t>
            </w:r>
          </w:p>
        </w:tc>
        <w:tc>
          <w:tcPr>
            <w:tcW w:w="166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0" w:right="0"/>
              <w:jc w:val="left"/>
              <w:rPr>
                <w:rFonts w:ascii="Times New Roman" w:hAnsi="Times New Roman" w:cs="Times New Roman" w:eastAsia="Times New Roman" w:hint="default"/>
                <w:sz w:val="18"/>
                <w:szCs w:val="18"/>
              </w:rPr>
            </w:pPr>
            <w:r>
              <w:rPr>
                <w:rFonts w:ascii="Times New Roman"/>
                <w:sz w:val="18"/>
              </w:rPr>
              <w:t>16,991,778.38</w:t>
            </w:r>
          </w:p>
        </w:tc>
        <w:tc>
          <w:tcPr>
            <w:tcW w:w="104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182,976,437.82</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186,328,725.22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97,240,246.61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0" w:right="0"/>
              <w:jc w:val="left"/>
              <w:rPr>
                <w:rFonts w:ascii="Times New Roman" w:hAnsi="Times New Roman" w:cs="Times New Roman" w:eastAsia="Times New Roman" w:hint="default"/>
                <w:sz w:val="18"/>
                <w:szCs w:val="18"/>
              </w:rPr>
            </w:pPr>
            <w:r>
              <w:rPr>
                <w:rFonts w:ascii="Times New Roman"/>
                <w:sz w:val="18"/>
              </w:rPr>
              <w:t>89,088,478.61</w:t>
            </w:r>
          </w:p>
        </w:tc>
        <w:tc>
          <w:tcPr>
            <w:tcW w:w="1044" w:type="dxa"/>
            <w:tcBorders>
              <w:top w:val="single" w:sz="6" w:space="0" w:color="000000"/>
              <w:left w:val="single" w:sz="6" w:space="0" w:color="000000"/>
              <w:bottom w:val="single" w:sz="6" w:space="0" w:color="000000"/>
              <w:right w:val="nil" w:sz="6" w:space="0" w:color="auto"/>
            </w:tcBorders>
          </w:tcPr>
          <w:p>
            <w:pPr/>
          </w:p>
        </w:tc>
      </w:tr>
    </w:tbl>
    <w:p>
      <w:pPr>
        <w:pStyle w:val="BodyText"/>
        <w:spacing w:line="300" w:lineRule="auto" w:before="10"/>
        <w:ind w:left="573" w:right="11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32"/>
        <w:ind w:right="0"/>
        <w:jc w:val="left"/>
      </w:pPr>
      <w:r>
        <w:rPr/>
        <w:t>和外汇风险。</w:t>
      </w:r>
    </w:p>
    <w:p>
      <w:pPr>
        <w:pStyle w:val="BodyText"/>
        <w:spacing w:line="300" w:lineRule="auto" w:before="76"/>
        <w:ind w:left="573"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利率风险 利率风险，是指金融工具的公允价值或未来现金流量因市场利率变动而发生波动的风险。本公司面临的市场利率变动</w:t>
      </w:r>
    </w:p>
    <w:p>
      <w:pPr>
        <w:pStyle w:val="BodyText"/>
        <w:spacing w:line="316" w:lineRule="auto" w:before="31"/>
        <w:ind w:left="513" w:right="0" w:hanging="360"/>
        <w:jc w:val="left"/>
        <w:rPr>
          <w:rFonts w:ascii="Times New Roman" w:hAnsi="Times New Roman" w:cs="Times New Roman" w:eastAsia="Times New Roman" w:hint="default"/>
        </w:rPr>
      </w:pPr>
      <w:r>
        <w:rPr/>
        <w:t>的风险主要与本公司以浮动利率计息的借款有关。 </w:t>
      </w: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日，本公司以</w:t>
      </w:r>
      <w:r>
        <w:rPr>
          <w:rFonts w:ascii="Times New Roman" w:hAnsi="Times New Roman" w:cs="Times New Roman" w:eastAsia="Times New Roman" w:hint="default"/>
          <w:spacing w:val="-3"/>
        </w:rPr>
        <w:t>LIBOR</w:t>
      </w:r>
      <w:r>
        <w:rPr>
          <w:spacing w:val="-3"/>
        </w:rPr>
        <w:t>上浮一定百分比的利率计息的银行借款</w:t>
      </w:r>
      <w:r>
        <w:rPr>
          <w:rFonts w:ascii="Times New Roman" w:hAnsi="Times New Roman" w:cs="Times New Roman" w:eastAsia="Times New Roman" w:hint="default"/>
          <w:spacing w:val="-3"/>
        </w:rPr>
        <w:t>1,136.80</w:t>
      </w:r>
      <w:r>
        <w:rPr>
          <w:spacing w:val="-3"/>
        </w:rPr>
        <w:t>万美元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1,136.80</w:t>
      </w:r>
    </w:p>
    <w:p>
      <w:pPr>
        <w:pStyle w:val="BodyText"/>
        <w:spacing w:line="248" w:lineRule="exact"/>
        <w:ind w:right="0"/>
        <w:jc w:val="left"/>
      </w:pPr>
      <w:r>
        <w:rPr/>
        <w:t>万美元</w:t>
      </w:r>
      <w:r>
        <w:rPr>
          <w:rFonts w:ascii="Times New Roman" w:hAnsi="Times New Roman" w:cs="Times New Roman" w:eastAsia="Times New Roman" w:hint="default"/>
        </w:rPr>
        <w:t>)</w:t>
      </w:r>
      <w:r>
        <w:rPr/>
        <w:t>，在其他变量不变的假设下，假定利率上浮</w:t>
      </w:r>
      <w:r>
        <w:rPr>
          <w:rFonts w:ascii="Times New Roman" w:hAnsi="Times New Roman" w:cs="Times New Roman" w:eastAsia="Times New Roman" w:hint="default"/>
        </w:rPr>
        <w:t>50%</w:t>
      </w:r>
      <w:r>
        <w:rPr/>
        <w:t>，不会对本公司的利润总额和股东权益产生重大的影响。</w:t>
      </w:r>
    </w:p>
    <w:p>
      <w:pPr>
        <w:pStyle w:val="BodyText"/>
        <w:spacing w:line="300" w:lineRule="auto" w:before="63"/>
        <w:ind w:left="51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外汇风险 </w:t>
      </w:r>
      <w:r>
        <w:rPr>
          <w:spacing w:val="-2"/>
        </w:rPr>
        <w:t>外汇风险，是指金融工具的公允价值或未来现金流量因外汇汇率变动而发生波动的风险。本公司面临的汇率变动的风险</w:t>
      </w:r>
    </w:p>
    <w:p>
      <w:pPr>
        <w:pStyle w:val="BodyText"/>
        <w:spacing w:line="316" w:lineRule="auto" w:before="31"/>
        <w:ind w:right="0"/>
        <w:jc w:val="left"/>
      </w:pPr>
      <w:r>
        <w:rPr>
          <w:spacing w:val="-2"/>
        </w:rPr>
        <w:t>主要与本公司外币货币性资产和负债有关。对于外币资产和负债，如果出现短期的失衡情况，本公司会在必要时按市场汇率</w:t>
      </w:r>
      <w:r>
        <w:rPr>
          <w:spacing w:val="-66"/>
        </w:rPr>
        <w:t> </w:t>
      </w:r>
      <w:r>
        <w:rPr>
          <w:spacing w:val="-66"/>
        </w:rPr>
      </w:r>
      <w:r>
        <w:rPr/>
        <w:t>买卖外币，以确保将净风险敞口维持在可接受的水平。</w:t>
      </w:r>
    </w:p>
    <w:p>
      <w:pPr>
        <w:pStyle w:val="BodyText"/>
        <w:spacing w:line="240" w:lineRule="auto" w:before="19"/>
        <w:ind w:left="514" w:right="0"/>
        <w:jc w:val="left"/>
      </w:pPr>
      <w:r>
        <w:rPr/>
        <w:t>本公司期末外币货币性资产和负债情况见本财务报表附注合并财务报表项目注释其他之外币货币性项目说明。</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357"/>
      <w:bookmarkEnd w:id="35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58"/>
      <w:bookmarkEnd w:id="35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7,533,488.69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7,533,488.69</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7,533,488.69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7,533,488.69</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52,450.00</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52,450.00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续和非持续第二层次公允价值计量项目，采用的估值技术和重要参数的定性及定量信" w:id="359"/>
      <w:bookmarkEnd w:id="359"/>
      <w:r>
        <w:rPr>
          <w:b w:val="0"/>
          <w:bCs w:val="0"/>
        </w:rPr>
      </w:r>
      <w:r>
        <w:rPr>
          <w:rFonts w:ascii="Times New Roman" w:hAnsi="Times New Roman" w:cs="Times New Roman" w:eastAsia="Times New Roman" w:hint="default"/>
        </w:rPr>
        <w:t>2</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1152"/>
        <w:jc w:val="left"/>
      </w:pPr>
      <w:r>
        <w:rPr/>
        <w:t>持续和第二层次公允价值计量项目为本公司同中国工商银行签订的远期结售汇业务产生的衍生金融负债。 采用的估值技术方法：根据合同约定，本公司将在交割日以同银行约定的汇率及金额卖出美元，期末本公司按合同约</w:t>
      </w:r>
    </w:p>
    <w:p>
      <w:pPr>
        <w:pStyle w:val="BodyText"/>
        <w:spacing w:line="240" w:lineRule="auto" w:before="19"/>
        <w:ind w:left="154" w:right="0"/>
        <w:jc w:val="left"/>
      </w:pPr>
      <w:r>
        <w:rPr/>
        <w:t>定的执行汇率与资产负债表日预计的远期外汇汇率之间的差额折现确认以公允价值计量且其变动计入当期损益的金融负债</w:t>
      </w:r>
    </w:p>
    <w:p>
      <w:pPr>
        <w:pStyle w:val="BodyText"/>
        <w:spacing w:line="240" w:lineRule="auto" w:before="76"/>
        <w:ind w:left="154" w:right="0"/>
        <w:jc w:val="left"/>
      </w:pPr>
      <w:r>
        <w:rPr>
          <w:rFonts w:ascii="Times New Roman" w:hAnsi="Times New Roman" w:cs="Times New Roman" w:eastAsia="Times New Roman" w:hint="default"/>
        </w:rPr>
        <w:t>52,450.00</w:t>
      </w:r>
      <w:r>
        <w:rPr/>
        <w:t>元。</w:t>
      </w:r>
    </w:p>
    <w:p>
      <w:pPr>
        <w:pStyle w:val="BodyText"/>
        <w:spacing w:line="240" w:lineRule="auto" w:before="63"/>
        <w:ind w:left="574" w:right="0"/>
        <w:jc w:val="left"/>
      </w:pPr>
      <w:r>
        <w:rPr/>
        <w:t>重要参数为远期外汇汇率。</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持续和非持续第三层次公允价值计量项目，采用的估值技术和重要参数的定性及定量信" w:id="360"/>
      <w:bookmarkEnd w:id="360"/>
      <w:r>
        <w:rPr>
          <w:b w:val="0"/>
          <w:bCs w:val="0"/>
        </w:rPr>
      </w:r>
      <w:r>
        <w:rPr>
          <w:rFonts w:ascii="Times New Roman" w:hAnsi="Times New Roman" w:cs="Times New Roman" w:eastAsia="Times New Roman" w:hint="default"/>
        </w:rPr>
        <w:t>3</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18" w:firstLine="360"/>
        <w:jc w:val="left"/>
      </w:pPr>
      <w:r>
        <w:rPr>
          <w:spacing w:val="-2"/>
        </w:rPr>
        <w:t>公司根据纯真年代、星梦工坊</w:t>
      </w:r>
      <w:r>
        <w:rPr>
          <w:rFonts w:ascii="Times New Roman" w:hAnsi="Times New Roman" w:cs="Times New Roman" w:eastAsia="Times New Roman" w:hint="default"/>
          <w:spacing w:val="-2"/>
        </w:rPr>
        <w:t>2015</w:t>
      </w:r>
      <w:r>
        <w:rPr>
          <w:spacing w:val="-2"/>
        </w:rPr>
        <w:t>年实现的净利润与承诺业绩的差额确定第三层次公允价值，详见本财务报告附注十三</w:t>
      </w:r>
      <w:r>
        <w:rPr/>
        <w:t> 之说明。</w:t>
      </w:r>
    </w:p>
    <w:p>
      <w:pPr>
        <w:spacing w:line="240" w:lineRule="auto" w:before="10"/>
        <w:rPr>
          <w:rFonts w:ascii="宋体" w:hAnsi="宋体" w:cs="宋体" w:eastAsia="宋体" w:hint="default"/>
          <w:sz w:val="21"/>
          <w:szCs w:val="21"/>
        </w:rPr>
      </w:pPr>
    </w:p>
    <w:p>
      <w:pPr>
        <w:pStyle w:val="Heading2"/>
        <w:spacing w:line="240" w:lineRule="auto"/>
        <w:ind w:left="154" w:right="0"/>
        <w:jc w:val="left"/>
        <w:rPr>
          <w:b w:val="0"/>
          <w:bCs w:val="0"/>
        </w:rPr>
      </w:pPr>
      <w:bookmarkStart w:name="十二、关联方及关联交易" w:id="361"/>
      <w:bookmarkEnd w:id="361"/>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本企业的母公司情况" w:id="362"/>
      <w:bookmarkEnd w:id="36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0"/>
              <w:jc w:val="right"/>
              <w:rPr>
                <w:rFonts w:ascii="宋体" w:hAnsi="宋体" w:cs="宋体" w:eastAsia="宋体" w:hint="default"/>
                <w:sz w:val="18"/>
                <w:szCs w:val="18"/>
              </w:rPr>
            </w:pPr>
            <w:r>
              <w:rPr>
                <w:rFonts w:ascii="宋体" w:hAnsi="宋体" w:cs="宋体" w:eastAsia="宋体" w:hint="default"/>
                <w:sz w:val="18"/>
                <w:szCs w:val="18"/>
              </w:rPr>
              <w:t>浙江省绍兴市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42.78%</w:t>
            </w:r>
          </w:p>
        </w:tc>
      </w:tr>
    </w:tbl>
    <w:p>
      <w:pPr>
        <w:pStyle w:val="BodyText"/>
        <w:spacing w:line="338" w:lineRule="auto" w:before="51"/>
        <w:ind w:left="573" w:right="3853" w:hanging="420"/>
        <w:jc w:val="left"/>
      </w:pPr>
      <w:r>
        <w:rPr/>
        <w:t>本企业的母公司情况的说明 美盛控股主要从事实业投资、资产管理咨询、项目投资咨询、房地产开发等业务。 美盛控股的股权结构如下：</w:t>
      </w:r>
    </w:p>
    <w:tbl>
      <w:tblPr>
        <w:tblW w:w="0" w:type="auto"/>
        <w:jc w:val="left"/>
        <w:tblInd w:w="146" w:type="dxa"/>
        <w:tblLayout w:type="fixed"/>
        <w:tblCellMar>
          <w:top w:w="0" w:type="dxa"/>
          <w:left w:w="0" w:type="dxa"/>
          <w:bottom w:w="0" w:type="dxa"/>
          <w:right w:w="0" w:type="dxa"/>
        </w:tblCellMar>
        <w:tblLook w:val="01E0"/>
      </w:tblPr>
      <w:tblGrid>
        <w:gridCol w:w="2130"/>
        <w:gridCol w:w="2130"/>
        <w:gridCol w:w="2131"/>
        <w:gridCol w:w="2132"/>
      </w:tblGrid>
      <w:tr>
        <w:trPr>
          <w:trHeight w:val="347"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7" w:right="0"/>
              <w:jc w:val="left"/>
              <w:rPr>
                <w:rFonts w:ascii="宋体" w:hAnsi="宋体" w:cs="宋体" w:eastAsia="宋体" w:hint="default"/>
                <w:sz w:val="18"/>
                <w:szCs w:val="18"/>
              </w:rPr>
            </w:pPr>
            <w:r>
              <w:rPr>
                <w:rFonts w:ascii="宋体" w:hAnsi="宋体" w:cs="宋体" w:eastAsia="宋体" w:hint="default"/>
                <w:sz w:val="18"/>
                <w:szCs w:val="18"/>
              </w:rPr>
              <w:t>认缴出资额（万元）</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7" w:right="0"/>
              <w:jc w:val="left"/>
              <w:rPr>
                <w:rFonts w:ascii="宋体" w:hAnsi="宋体" w:cs="宋体" w:eastAsia="宋体" w:hint="default"/>
                <w:sz w:val="18"/>
                <w:szCs w:val="18"/>
              </w:rPr>
            </w:pPr>
            <w:r>
              <w:rPr>
                <w:rFonts w:ascii="宋体" w:hAnsi="宋体" w:cs="宋体" w:eastAsia="宋体" w:hint="default"/>
                <w:sz w:val="18"/>
                <w:szCs w:val="18"/>
              </w:rPr>
              <w:t>实缴出资额（万元）</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97"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7"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4,000.00</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4,000.00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80.00%</w:t>
            </w:r>
          </w:p>
        </w:tc>
      </w:tr>
      <w:tr>
        <w:trPr>
          <w:trHeight w:val="347"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石炜萍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1,000.00</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1,000.00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20.00%</w:t>
            </w:r>
          </w:p>
        </w:tc>
      </w:tr>
      <w:tr>
        <w:trPr>
          <w:trHeight w:val="348"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1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5,000.00</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5,000.00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40" w:lineRule="auto" w:before="2"/>
        <w:ind w:right="7153"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：石炜萍女士系赵小强先生之配偶。</w:t>
      </w:r>
      <w:r>
        <w:rPr>
          <w:w w:val="99"/>
        </w:rPr>
        <w:t> </w:t>
      </w:r>
      <w:r>
        <w:rPr/>
        <w:t>本企业最终控制方是赵小强先生。</w:t>
      </w:r>
    </w:p>
    <w:p>
      <w:pPr>
        <w:pStyle w:val="BodyText"/>
        <w:spacing w:line="240" w:lineRule="auto" w:before="40"/>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企业的子公司情况" w:id="363"/>
      <w:bookmarkEnd w:id="36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本企业子公司的情况详见附注在其他主体中的权益之说明。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64"/>
      <w:bookmarkEnd w:id="36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本企业重要的合营或联营企业详见附注在其他主体中的权益之说明。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JAKKS </w:t>
            </w:r>
            <w:r>
              <w:rPr>
                <w:rFonts w:ascii="Times New Roman"/>
                <w:spacing w:val="-3"/>
                <w:sz w:val="18"/>
              </w:rPr>
              <w:t>PACIFIC </w:t>
            </w:r>
            <w:r>
              <w:rPr>
                <w:rFonts w:ascii="Times New Roman"/>
                <w:sz w:val="18"/>
              </w:rPr>
              <w:t>TRADING </w:t>
            </w:r>
            <w:r>
              <w:rPr>
                <w:rFonts w:ascii="Times New Roman"/>
                <w:spacing w:val="-6"/>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8"/>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交易情况" w:id="365"/>
      <w:bookmarkEnd w:id="36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366"/>
      <w:bookmarkEnd w:id="36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3"/>
              <w:jc w:val="left"/>
              <w:rPr>
                <w:rFonts w:ascii="Times New Roman" w:hAnsi="Times New Roman" w:cs="Times New Roman" w:eastAsia="Times New Roman" w:hint="default"/>
                <w:sz w:val="18"/>
                <w:szCs w:val="18"/>
              </w:rPr>
            </w:pPr>
            <w:r>
              <w:rPr>
                <w:rFonts w:ascii="Times New Roman"/>
                <w:sz w:val="18"/>
              </w:rPr>
              <w:t>JAKKS </w:t>
            </w:r>
            <w:r>
              <w:rPr>
                <w:rFonts w:ascii="Times New Roman"/>
                <w:spacing w:val="-3"/>
                <w:sz w:val="18"/>
              </w:rPr>
              <w:t>PACIFIC</w:t>
            </w:r>
            <w:r>
              <w:rPr>
                <w:rFonts w:ascii="Times New Roman"/>
                <w:spacing w:val="-4"/>
                <w:sz w:val="18"/>
              </w:rPr>
              <w:t> </w:t>
            </w:r>
            <w:r>
              <w:rPr>
                <w:rFonts w:ascii="Times New Roman"/>
                <w:sz w:val="18"/>
              </w:rPr>
              <w:t>TRADING</w:t>
            </w:r>
            <w:r>
              <w:rPr>
                <w:rFonts w:ascii="Times New Roman"/>
                <w:w w:val="99"/>
                <w:sz w:val="18"/>
              </w:rPr>
              <w:t> </w:t>
            </w:r>
            <w:r>
              <w:rPr>
                <w:rFonts w:ascii="Times New Roman"/>
                <w:spacing w:val="-6"/>
                <w:sz w:val="18"/>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动漫衍生品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5" w:right="0"/>
              <w:jc w:val="left"/>
              <w:rPr>
                <w:rFonts w:ascii="Times New Roman" w:hAnsi="Times New Roman" w:cs="Times New Roman" w:eastAsia="Times New Roman" w:hint="default"/>
                <w:sz w:val="18"/>
                <w:szCs w:val="18"/>
              </w:rPr>
            </w:pPr>
            <w:r>
              <w:rPr>
                <w:rFonts w:ascii="Times New Roman"/>
                <w:sz w:val="18"/>
              </w:rPr>
              <w:t>432,472.89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担保情况" w:id="367"/>
      <w:bookmarkEnd w:id="367"/>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7" w:right="0"/>
              <w:jc w:val="left"/>
              <w:rPr>
                <w:rFonts w:ascii="Times New Roman" w:hAnsi="Times New Roman" w:cs="Times New Roman" w:eastAsia="Times New Roman" w:hint="default"/>
                <w:sz w:val="18"/>
                <w:szCs w:val="18"/>
              </w:rPr>
            </w:pPr>
            <w:r>
              <w:rPr>
                <w:rFonts w:ascii="Times New Roman"/>
                <w:sz w:val="18"/>
              </w:rPr>
              <w:t>75,325,760.00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关联担保情况说明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关联方资金拆借" w:id="368"/>
      <w:bookmarkEnd w:id="368"/>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关联方资产转让、债务重组情况" w:id="369"/>
      <w:bookmarkEnd w:id="369"/>
      <w:r>
        <w:rPr>
          <w:b w:val="0"/>
          <w:bCs w:val="0"/>
        </w:rPr>
      </w: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转让公司持有纯真年代</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 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4" w:right="0"/>
              <w:jc w:val="left"/>
              <w:rPr>
                <w:rFonts w:ascii="Times New Roman" w:hAnsi="Times New Roman" w:cs="Times New Roman" w:eastAsia="Times New Roman" w:hint="default"/>
                <w:sz w:val="18"/>
                <w:szCs w:val="18"/>
              </w:rPr>
            </w:pPr>
            <w:r>
              <w:rPr>
                <w:rFonts w:ascii="Times New Roman"/>
                <w:sz w:val="18"/>
              </w:rPr>
              <w:t>120,000,000.00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关键管理人员报酬" w:id="370"/>
      <w:bookmarkEnd w:id="370"/>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3,056,900.00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2,595,900.00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关联交易" w:id="371"/>
      <w:bookmarkEnd w:id="371"/>
      <w:r>
        <w:rPr>
          <w:b w:val="0"/>
          <w:bCs w:val="0"/>
        </w:rPr>
      </w:r>
      <w:r>
        <w:rPr/>
        <w:t>（</w:t>
      </w:r>
      <w:r>
        <w:rPr>
          <w:rFonts w:ascii="Times New Roman" w:hAnsi="Times New Roman" w:cs="Times New Roman" w:eastAsia="Times New Roman" w:hint="default"/>
        </w:rPr>
        <w:t>6</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41"/>
        <w:jc w:val="right"/>
      </w:pPr>
      <w:r>
        <w:rPr>
          <w:rFonts w:ascii="Times New Roman" w:hAnsi="Times New Roman" w:cs="Times New Roman" w:eastAsia="Times New Roman" w:hint="default"/>
        </w:rPr>
        <w:t>2015</w:t>
      </w:r>
      <w:r>
        <w:rPr/>
        <w:t>年度，公司控股子公司纯真年代取得控股母公司美盛控股无息借款以缓解营运资金压力。本年度累计共收到借款</w:t>
      </w:r>
    </w:p>
    <w:p>
      <w:pPr>
        <w:pStyle w:val="BodyText"/>
        <w:spacing w:line="240" w:lineRule="auto" w:before="63"/>
        <w:ind w:left="154" w:right="0"/>
        <w:jc w:val="left"/>
      </w:pPr>
      <w:r>
        <w:rPr>
          <w:rFonts w:ascii="Times New Roman" w:hAnsi="Times New Roman" w:cs="Times New Roman" w:eastAsia="Times New Roman" w:hint="default"/>
        </w:rPr>
        <w:t>800.00</w:t>
      </w:r>
      <w:r>
        <w:rPr/>
        <w:t>万元，截至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日，公司已出售纯真年代全部股权。</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5、关联方应收应付款项" w:id="372"/>
      <w:bookmarkEnd w:id="372"/>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项目" w:id="373"/>
      <w:bookmarkEnd w:id="373"/>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承诺及或有事项" w:id="374"/>
      <w:bookmarkEnd w:id="374"/>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75"/>
      <w:bookmarkEnd w:id="37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0" w:hanging="360"/>
        <w:jc w:val="left"/>
      </w:pPr>
      <w:r>
        <w:rPr/>
        <w:t>资产负债表日存在的重要承诺 </w:t>
      </w:r>
      <w:r>
        <w:rPr>
          <w:spacing w:val="-2"/>
        </w:rPr>
        <w:t>本公司承诺以募集资金投资建设</w:t>
      </w:r>
      <w:r>
        <w:rPr>
          <w:rFonts w:ascii="Times New Roman" w:hAnsi="Times New Roman" w:cs="Times New Roman" w:eastAsia="Times New Roman" w:hint="default"/>
          <w:spacing w:val="-2"/>
        </w:rPr>
        <w:t>“</w:t>
      </w:r>
      <w:r>
        <w:rPr>
          <w:spacing w:val="-2"/>
        </w:rPr>
        <w:t>动漫服饰扩产建设项目</w:t>
      </w:r>
      <w:r>
        <w:rPr>
          <w:rFonts w:ascii="Times New Roman" w:hAnsi="Times New Roman" w:cs="Times New Roman" w:eastAsia="Times New Roman" w:hint="default"/>
          <w:spacing w:val="-2"/>
        </w:rPr>
        <w:t>”</w:t>
      </w:r>
      <w:r>
        <w:rPr>
          <w:spacing w:val="-2"/>
        </w:rPr>
        <w:t>，项目投资总额为</w:t>
      </w:r>
      <w:r>
        <w:rPr>
          <w:rFonts w:ascii="Times New Roman" w:hAnsi="Times New Roman" w:cs="Times New Roman" w:eastAsia="Times New Roman" w:hint="default"/>
          <w:spacing w:val="-2"/>
        </w:rPr>
        <w:t>21,350.00</w:t>
      </w:r>
      <w:r>
        <w:rPr>
          <w:spacing w:val="-2"/>
        </w:rPr>
        <w:t>万元，截至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日，已累</w:t>
      </w:r>
    </w:p>
    <w:p>
      <w:pPr>
        <w:pStyle w:val="BodyText"/>
        <w:spacing w:line="215" w:lineRule="exact"/>
        <w:ind w:right="0"/>
        <w:jc w:val="left"/>
      </w:pPr>
      <w:r>
        <w:rPr/>
        <w:t>计投入</w:t>
      </w:r>
      <w:r>
        <w:rPr>
          <w:rFonts w:ascii="Times New Roman" w:hAnsi="Times New Roman" w:cs="Times New Roman" w:eastAsia="Times New Roman" w:hint="default"/>
        </w:rPr>
        <w:t>18,426.46</w:t>
      </w:r>
      <w:r>
        <w:rPr/>
        <w:t>万元。</w:t>
      </w:r>
    </w:p>
    <w:p>
      <w:pPr>
        <w:spacing w:after="0" w:line="215"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或有事项" w:id="376"/>
      <w:bookmarkEnd w:id="37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77"/>
      <w:bookmarkEnd w:id="37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截至资产负债表日，本公司不存在需要披露的重大或有事项。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378"/>
      <w:bookmarkEnd w:id="37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379"/>
      <w:bookmarkEnd w:id="379"/>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资产负债表日后事项说明" w:id="380"/>
      <w:bookmarkEnd w:id="380"/>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非公开发行股票</w:t>
      </w:r>
    </w:p>
    <w:p>
      <w:pPr>
        <w:pStyle w:val="BodyText"/>
        <w:spacing w:line="240" w:lineRule="auto" w:before="63"/>
        <w:ind w:left="513" w:right="0"/>
        <w:jc w:val="left"/>
      </w:pPr>
      <w:r>
        <w:rPr/>
        <w:t>经公司</w:t>
      </w:r>
      <w:r>
        <w:rPr>
          <w:rFonts w:ascii="Times New Roman" w:hAnsi="Times New Roman" w:cs="Times New Roman" w:eastAsia="Times New Roman" w:hint="default"/>
        </w:rPr>
        <w:t>2015</w:t>
      </w:r>
      <w:r>
        <w:rPr/>
        <w:t>年第一次临时股东大会审议，公司拟非公开发行股票数量不超过 </w:t>
      </w:r>
      <w:r>
        <w:rPr>
          <w:rFonts w:ascii="Times New Roman" w:hAnsi="Times New Roman" w:cs="Times New Roman" w:eastAsia="Times New Roman" w:hint="default"/>
        </w:rPr>
        <w:t>9,000 </w:t>
      </w:r>
      <w:r>
        <w:rPr>
          <w:rFonts w:ascii="Times New Roman" w:hAnsi="Times New Roman" w:cs="Times New Roman" w:eastAsia="Times New Roman" w:hint="default"/>
          <w:spacing w:val="41"/>
        </w:rPr>
        <w:t> </w:t>
      </w:r>
      <w:r>
        <w:rPr/>
        <w:t>万股（含本数），募集资金总额不</w:t>
      </w:r>
    </w:p>
    <w:p>
      <w:pPr>
        <w:pStyle w:val="BodyText"/>
        <w:spacing w:line="240" w:lineRule="auto" w:before="63"/>
        <w:ind w:right="0"/>
        <w:jc w:val="left"/>
      </w:pPr>
      <w:r>
        <w:rPr/>
        <w:t>超过人民币 </w:t>
      </w:r>
      <w:r>
        <w:rPr>
          <w:rFonts w:ascii="Times New Roman" w:hAnsi="Times New Roman" w:cs="Times New Roman" w:eastAsia="Times New Roman" w:hint="default"/>
        </w:rPr>
        <w:t>303,031.22</w:t>
      </w:r>
      <w:r>
        <w:rPr>
          <w:rFonts w:ascii="Times New Roman" w:hAnsi="Times New Roman" w:cs="Times New Roman" w:eastAsia="Times New Roman" w:hint="default"/>
          <w:spacing w:val="6"/>
        </w:rPr>
        <w:t> </w:t>
      </w:r>
      <w:r>
        <w:rPr/>
        <w:t>万元，扣除发行费用后的募集资金净额将投资于以下项目：</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384"/>
        <w:gridCol w:w="2553"/>
        <w:gridCol w:w="2131"/>
        <w:gridCol w:w="2132"/>
      </w:tblGrid>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17"/>
                <w:sz w:val="18"/>
                <w:szCs w:val="18"/>
              </w:rPr>
              <w:t> </w:t>
            </w:r>
            <w:r>
              <w:rPr>
                <w:rFonts w:ascii="宋体" w:hAnsi="宋体" w:cs="宋体" w:eastAsia="宋体" w:hint="default"/>
                <w:sz w:val="18"/>
                <w:szCs w:val="18"/>
              </w:rPr>
              <w:t>号</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7" w:right="0"/>
              <w:jc w:val="left"/>
              <w:rPr>
                <w:rFonts w:ascii="宋体" w:hAnsi="宋体" w:cs="宋体" w:eastAsia="宋体" w:hint="default"/>
                <w:sz w:val="18"/>
                <w:szCs w:val="18"/>
              </w:rPr>
            </w:pPr>
            <w:r>
              <w:rPr>
                <w:rFonts w:ascii="宋体" w:hAnsi="宋体" w:cs="宋体" w:eastAsia="宋体" w:hint="default"/>
                <w:sz w:val="18"/>
                <w:szCs w:val="18"/>
              </w:rPr>
              <w:t>项目投资总额</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拟投入募集资金总额</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37"/>
              <w:jc w:val="right"/>
              <w:rPr>
                <w:rFonts w:ascii="Times New Roman" w:hAnsi="Times New Roman" w:cs="Times New Roman" w:eastAsia="Times New Roman" w:hint="default"/>
                <w:sz w:val="18"/>
                <w:szCs w:val="18"/>
              </w:rPr>
            </w:pPr>
            <w:r>
              <w:rPr>
                <w:rFonts w:ascii="Times New Roman"/>
                <w:sz w:val="18"/>
              </w:rPr>
              <w:t>1</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文化生态圈项目</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210,000.00</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210,000.00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37"/>
              <w:jc w:val="right"/>
              <w:rPr>
                <w:rFonts w:ascii="Times New Roman" w:hAnsi="Times New Roman" w:cs="Times New Roman" w:eastAsia="Times New Roman" w:hint="default"/>
                <w:sz w:val="18"/>
                <w:szCs w:val="18"/>
              </w:rPr>
            </w:pPr>
            <w:r>
              <w:rPr>
                <w:rFonts w:ascii="Times New Roman"/>
                <w:sz w:val="18"/>
              </w:rPr>
              <w:t>2</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收购真趣网络</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93,031.22</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93,031.22</w:t>
            </w:r>
          </w:p>
        </w:tc>
      </w:tr>
      <w:tr>
        <w:trPr>
          <w:trHeight w:val="348" w:hRule="exact"/>
        </w:trPr>
        <w:tc>
          <w:tcPr>
            <w:tcW w:w="39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303,031.22</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303,031.22</w:t>
            </w:r>
          </w:p>
        </w:tc>
      </w:tr>
    </w:tbl>
    <w:p>
      <w:pPr>
        <w:pStyle w:val="BodyText"/>
        <w:spacing w:line="300" w:lineRule="auto" w:before="10"/>
        <w:ind w:left="514" w:right="2722" w:firstLine="29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日，本次非公开发行股票申请通过中国证券监督管理委员会发行审核委员会审核。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资产负债表日后利润分配情况</w:t>
      </w:r>
    </w:p>
    <w:p>
      <w:pPr>
        <w:pStyle w:val="BodyText"/>
        <w:spacing w:line="240" w:lineRule="auto" w:before="13"/>
        <w:ind w:left="514" w:right="0"/>
        <w:jc w:val="left"/>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日二届二十七次董事会决议，公司拟不派发现金红利，不送红股，不以公积金转增股本。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left"/>
        <w:rPr>
          <w:b w:val="0"/>
          <w:bCs w:val="0"/>
        </w:rPr>
      </w:pPr>
      <w:bookmarkStart w:name="十五、其他重要事项" w:id="381"/>
      <w:bookmarkEnd w:id="381"/>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82"/>
      <w:bookmarkEnd w:id="382"/>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83"/>
      <w:bookmarkEnd w:id="38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firstLine="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报告分部的确定依据与会计政策 </w:t>
      </w:r>
      <w:r>
        <w:rPr>
          <w:spacing w:val="-2"/>
        </w:rPr>
        <w:t>公司以内部组织结构、管理要求、内部报告制度等为依据确定经营分部。公司的经营分部是指同时满足下列条件的组成</w:t>
      </w:r>
    </w:p>
    <w:p>
      <w:pPr>
        <w:pStyle w:val="BodyText"/>
        <w:spacing w:line="240" w:lineRule="auto" w:before="31"/>
        <w:ind w:right="0"/>
        <w:jc w:val="left"/>
      </w:pPr>
      <w:r>
        <w:rPr/>
        <w:t>部分：</w:t>
      </w:r>
    </w:p>
    <w:p>
      <w:pPr>
        <w:pStyle w:val="BodyText"/>
        <w:spacing w:line="240" w:lineRule="auto" w:before="76"/>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该组成部分能够在日常活动中产生收入、发生费用；</w:t>
      </w:r>
    </w:p>
    <w:p>
      <w:pPr>
        <w:pStyle w:val="BodyText"/>
        <w:spacing w:line="240" w:lineRule="auto" w:before="63"/>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管理层能够定期评价该组成部分的经营成果，以决定向其配置资源、评价其业绩；</w:t>
      </w:r>
    </w:p>
    <w:p>
      <w:pPr>
        <w:pStyle w:val="BodyText"/>
        <w:spacing w:line="300" w:lineRule="auto" w:before="63"/>
        <w:ind w:left="574" w:right="1512" w:hanging="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能够通过分析取得该组成部分的财务状况、经营成果和现金流量等有关会计信息。</w:t>
      </w:r>
      <w:r>
        <w:rPr>
          <w:w w:val="99"/>
        </w:rPr>
        <w:t> </w:t>
      </w:r>
      <w:r>
        <w:rPr/>
        <w:t>本公司以产品分部为基础确定报告分部，与各分部共同使用的资产、负债按照规模比例在不同的分部之间分配。</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报告分部的财务信息" w:id="384"/>
      <w:bookmarkEnd w:id="38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8"/>
        <w:gridCol w:w="1184"/>
        <w:gridCol w:w="1196"/>
        <w:gridCol w:w="1197"/>
        <w:gridCol w:w="1195"/>
        <w:gridCol w:w="1197"/>
        <w:gridCol w:w="1196"/>
        <w:gridCol w:w="1195"/>
      </w:tblGrid>
      <w:tr>
        <w:trPr>
          <w:trHeight w:val="401" w:hRule="exact"/>
        </w:trPr>
        <w:tc>
          <w:tcPr>
            <w:tcW w:w="1208"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舞台剧</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233,864,943.91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120,219,600.61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43,681,312.10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6,129,214.80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1,708,757.30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405,603,828.72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148,449,094.09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91,256,184.90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8,093,897.35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3,217,404.65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1,757,740.00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252,774,320.99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860,670,485.27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442,432,543.61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68,645,216.17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12,131,807.77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-970,873.78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1,382,909,179.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137,881,303.73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70,878,666.08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3,407,587.67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1,075,825.30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-970,873.78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212,272,509.00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其他对投资者决策有影响的重要交易和事项" w:id="385"/>
      <w:bookmarkEnd w:id="385"/>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星梦工坊业绩承诺</w:t>
      </w:r>
    </w:p>
    <w:p>
      <w:pPr>
        <w:pStyle w:val="BodyText"/>
        <w:spacing w:line="300" w:lineRule="auto" w:before="63"/>
        <w:ind w:right="1130"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月，公司向星梦工坊增资</w:t>
      </w:r>
      <w:r>
        <w:rPr>
          <w:rFonts w:ascii="Times New Roman" w:hAnsi="Times New Roman" w:cs="Times New Roman" w:eastAsia="Times New Roman" w:hint="default"/>
          <w:spacing w:val="-1"/>
        </w:rPr>
        <w:t>1,530</w:t>
      </w:r>
      <w:r>
        <w:rPr>
          <w:spacing w:val="-1"/>
        </w:rPr>
        <w:t>万元，该次增资完成后公司持有星梦工坊</w:t>
      </w:r>
      <w:r>
        <w:rPr>
          <w:rFonts w:ascii="Times New Roman" w:hAnsi="Times New Roman" w:cs="Times New Roman" w:eastAsia="Times New Roman" w:hint="default"/>
          <w:spacing w:val="-1"/>
        </w:rPr>
        <w:t>51.06%</w:t>
      </w:r>
      <w:r>
        <w:rPr>
          <w:spacing w:val="-1"/>
        </w:rPr>
        <w:t>的股权。星梦工坊原股东针对该</w:t>
      </w:r>
      <w:r>
        <w:rPr/>
        <w:t> </w:t>
      </w:r>
      <w:r>
        <w:rPr>
          <w:spacing w:val="-2"/>
        </w:rPr>
        <w:t>笔投资向本公司承诺，星梦工坊经审计的</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2015</w:t>
      </w:r>
      <w:r>
        <w:rPr>
          <w:spacing w:val="-2"/>
        </w:rPr>
        <w:t>年度归属于母公司所有者的净利润若达不到承诺的业绩，不足部分在每</w:t>
      </w:r>
      <w:r>
        <w:rPr>
          <w:spacing w:val="-58"/>
        </w:rPr>
        <w:t> </w:t>
      </w:r>
      <w:r>
        <w:rPr>
          <w:spacing w:val="-58"/>
        </w:rPr>
      </w:r>
      <w:r>
        <w:rPr>
          <w:spacing w:val="-2"/>
        </w:rPr>
        <w:t>年度审计报告出具后</w:t>
      </w:r>
      <w:r>
        <w:rPr>
          <w:rFonts w:ascii="Times New Roman" w:hAnsi="Times New Roman" w:cs="Times New Roman" w:eastAsia="Times New Roman" w:hint="default"/>
          <w:spacing w:val="-2"/>
        </w:rPr>
        <w:t>10</w:t>
      </w:r>
      <w:r>
        <w:rPr>
          <w:spacing w:val="-2"/>
        </w:rPr>
        <w:t>日内，由星梦工坊股东黄勤、周雷、周中耘按照股权比例以现金向公司补足；星梦工坊经审计的</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5"/>
        </w:rPr>
        <w:t> </w:t>
      </w:r>
      <w:r>
        <w:rPr>
          <w:spacing w:val="-2"/>
        </w:rPr>
        <w:t>年度归属于母公司所有者的净利润若达不到承诺的业绩，不足部分在每年度审计报告出具后</w:t>
      </w:r>
      <w:r>
        <w:rPr>
          <w:rFonts w:ascii="Times New Roman" w:hAnsi="Times New Roman" w:cs="Times New Roman" w:eastAsia="Times New Roman" w:hint="default"/>
          <w:spacing w:val="-2"/>
        </w:rPr>
        <w:t>10</w:t>
      </w:r>
      <w:r>
        <w:rPr>
          <w:spacing w:val="-2"/>
        </w:rPr>
        <w:t>日内，由黄勤以现金向公司补</w:t>
      </w:r>
      <w:r>
        <w:rPr>
          <w:spacing w:val="-61"/>
        </w:rPr>
        <w:t> </w:t>
      </w:r>
      <w:r>
        <w:rPr>
          <w:spacing w:val="-61"/>
        </w:rPr>
      </w:r>
      <w:r>
        <w:rPr/>
        <w:t>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日，周雷将其持有星梦工坊公司</w:t>
      </w:r>
      <w:r>
        <w:rPr>
          <w:rFonts w:ascii="Times New Roman" w:hAnsi="Times New Roman" w:cs="Times New Roman" w:eastAsia="Times New Roman" w:hint="default"/>
        </w:rPr>
        <w:t>7.34%</w:t>
      </w:r>
      <w:r>
        <w:rPr/>
        <w:t>的股权转让给黄勤，黄勤承诺原周雷所作的业绩承诺由黄勤承担并</w:t>
      </w:r>
      <w:r>
        <w:rPr>
          <w:spacing w:val="-22"/>
        </w:rPr>
        <w:t> </w:t>
      </w:r>
      <w:r>
        <w:rPr>
          <w:spacing w:val="-22"/>
        </w:rPr>
      </w:r>
      <w:r>
        <w:rPr/>
        <w:t>履行。星梦工坊原股东所作的业绩承诺如下：</w:t>
      </w:r>
    </w:p>
    <w:p>
      <w:pPr>
        <w:pStyle w:val="BodyText"/>
        <w:spacing w:line="240" w:lineRule="auto" w:before="31"/>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27"/>
        <w:gridCol w:w="1844"/>
        <w:gridCol w:w="1702"/>
        <w:gridCol w:w="1701"/>
      </w:tblGrid>
      <w:tr>
        <w:trPr>
          <w:trHeight w:val="34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份</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7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300.00</w:t>
            </w:r>
          </w:p>
        </w:tc>
        <w:tc>
          <w:tcPr>
            <w:tcW w:w="17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400.00</w:t>
            </w:r>
          </w:p>
        </w:tc>
      </w:tr>
    </w:tbl>
    <w:p>
      <w:pPr>
        <w:pStyle w:val="BodyText"/>
        <w:spacing w:line="240" w:lineRule="auto" w:before="10"/>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纯真年代业绩承诺</w:t>
      </w:r>
    </w:p>
    <w:p>
      <w:pPr>
        <w:pStyle w:val="BodyText"/>
        <w:spacing w:line="300" w:lineRule="auto" w:before="63"/>
        <w:ind w:right="1129"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月，公司向纯真年代增资</w:t>
      </w:r>
      <w:r>
        <w:rPr>
          <w:rFonts w:ascii="Times New Roman" w:hAnsi="Times New Roman" w:cs="Times New Roman" w:eastAsia="Times New Roman" w:hint="default"/>
          <w:spacing w:val="-1"/>
        </w:rPr>
        <w:t>9,800</w:t>
      </w:r>
      <w:r>
        <w:rPr>
          <w:spacing w:val="-1"/>
        </w:rPr>
        <w:t>万元，该次增资完成后公司持有纯真年代</w:t>
      </w:r>
      <w:r>
        <w:rPr>
          <w:rFonts w:ascii="Times New Roman" w:hAnsi="Times New Roman" w:cs="Times New Roman" w:eastAsia="Times New Roman" w:hint="default"/>
          <w:spacing w:val="-1"/>
        </w:rPr>
        <w:t>70%</w:t>
      </w:r>
      <w:r>
        <w:rPr>
          <w:spacing w:val="-1"/>
        </w:rPr>
        <w:t>的股权。纯真年代原股东向本公司</w:t>
      </w:r>
      <w:r>
        <w:rPr/>
        <w:t> 承诺，纯真年代</w:t>
      </w:r>
      <w:r>
        <w:rPr>
          <w:rFonts w:ascii="Times New Roman" w:hAnsi="Times New Roman" w:cs="Times New Roman" w:eastAsia="Times New Roman" w:hint="default"/>
        </w:rPr>
        <w:t>2014-2017</w:t>
      </w:r>
      <w:r>
        <w:rPr/>
        <w:t>年度经审计的净利润若达不到承诺的业绩，不足部分在每年度审计报告出具后</w:t>
      </w:r>
      <w:r>
        <w:rPr>
          <w:rFonts w:ascii="Times New Roman" w:hAnsi="Times New Roman" w:cs="Times New Roman" w:eastAsia="Times New Roman" w:hint="default"/>
        </w:rPr>
        <w:t>10</w:t>
      </w:r>
      <w:r>
        <w:rPr/>
        <w:t>日内，由纯真年</w:t>
      </w:r>
      <w:r>
        <w:rPr>
          <w:spacing w:val="-53"/>
        </w:rPr>
        <w:t> </w:t>
      </w:r>
      <w:r>
        <w:rPr>
          <w:spacing w:val="-53"/>
        </w:rPr>
      </w:r>
      <w:r>
        <w:rPr/>
        <w:t>代原股东按照股权比例以现金向公司补足。纯真年代原股东所作的业绩承诺如下：</w:t>
      </w:r>
    </w:p>
    <w:p>
      <w:pPr>
        <w:pStyle w:val="BodyText"/>
        <w:spacing w:line="240" w:lineRule="auto" w:before="31"/>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75"/>
        <w:gridCol w:w="1529"/>
        <w:gridCol w:w="1274"/>
        <w:gridCol w:w="1276"/>
        <w:gridCol w:w="1418"/>
      </w:tblGrid>
      <w:tr>
        <w:trPr>
          <w:trHeight w:val="34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88"/>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份</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55"/>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1" w:right="0"/>
              <w:jc w:val="left"/>
              <w:rPr>
                <w:rFonts w:ascii="Times New Roman" w:hAnsi="Times New Roman" w:cs="Times New Roman" w:eastAsia="Times New Roman" w:hint="default"/>
                <w:sz w:val="18"/>
                <w:szCs w:val="18"/>
              </w:rPr>
            </w:pPr>
            <w:r>
              <w:rPr>
                <w:rFonts w:ascii="Times New Roman"/>
                <w:sz w:val="18"/>
              </w:rPr>
              <w:t>1,500.00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7" w:right="0"/>
              <w:jc w:val="left"/>
              <w:rPr>
                <w:rFonts w:ascii="Times New Roman" w:hAnsi="Times New Roman" w:cs="Times New Roman" w:eastAsia="Times New Roman" w:hint="default"/>
                <w:sz w:val="18"/>
                <w:szCs w:val="18"/>
              </w:rPr>
            </w:pPr>
            <w:r>
              <w:rPr>
                <w:rFonts w:ascii="Times New Roman"/>
                <w:sz w:val="18"/>
              </w:rPr>
              <w:t>2,500.00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8" w:right="0"/>
              <w:jc w:val="left"/>
              <w:rPr>
                <w:rFonts w:ascii="Times New Roman" w:hAnsi="Times New Roman" w:cs="Times New Roman" w:eastAsia="Times New Roman" w:hint="default"/>
                <w:sz w:val="18"/>
                <w:szCs w:val="18"/>
              </w:rPr>
            </w:pPr>
            <w:r>
              <w:rPr>
                <w:rFonts w:ascii="Times New Roman"/>
                <w:sz w:val="18"/>
              </w:rPr>
              <w:t>3,000.00</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771" w:right="0"/>
              <w:jc w:val="left"/>
              <w:rPr>
                <w:rFonts w:ascii="Times New Roman" w:hAnsi="Times New Roman" w:cs="Times New Roman" w:eastAsia="Times New Roman" w:hint="default"/>
                <w:sz w:val="18"/>
                <w:szCs w:val="18"/>
              </w:rPr>
            </w:pPr>
            <w:r>
              <w:rPr>
                <w:rFonts w:ascii="Times New Roman"/>
                <w:sz w:val="18"/>
              </w:rPr>
              <w:t>4,000.00</w:t>
            </w:r>
          </w:p>
        </w:tc>
      </w:tr>
    </w:tbl>
    <w:p>
      <w:pPr>
        <w:pStyle w:val="BodyText"/>
        <w:spacing w:line="240" w:lineRule="auto" w:before="10"/>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纯真年代、星梦工坊</w:t>
      </w:r>
      <w:r>
        <w:rPr>
          <w:rFonts w:ascii="Times New Roman" w:hAnsi="Times New Roman" w:cs="Times New Roman" w:eastAsia="Times New Roman" w:hint="default"/>
        </w:rPr>
        <w:t>2015</w:t>
      </w:r>
      <w:r>
        <w:rPr/>
        <w:t>年度实现业绩及应补偿情况如下：</w:t>
      </w:r>
    </w:p>
    <w:p>
      <w:pPr>
        <w:pStyle w:val="BodyText"/>
        <w:spacing w:line="240" w:lineRule="auto" w:before="63"/>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18"/>
        <w:gridCol w:w="2127"/>
        <w:gridCol w:w="1985"/>
        <w:gridCol w:w="1844"/>
      </w:tblGrid>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13"/>
              <w:jc w:val="righ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5" w:right="0"/>
              <w:jc w:val="left"/>
              <w:rPr>
                <w:rFonts w:ascii="宋体" w:hAnsi="宋体" w:cs="宋体" w:eastAsia="宋体" w:hint="default"/>
                <w:sz w:val="18"/>
                <w:szCs w:val="18"/>
              </w:rPr>
            </w:pPr>
            <w:r>
              <w:rPr>
                <w:rFonts w:ascii="宋体" w:hAnsi="宋体" w:cs="宋体" w:eastAsia="宋体" w:hint="default"/>
                <w:sz w:val="18"/>
                <w:szCs w:val="18"/>
              </w:rPr>
              <w:t>承诺业绩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实现业绩</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463" w:right="0"/>
              <w:jc w:val="left"/>
              <w:rPr>
                <w:rFonts w:ascii="宋体" w:hAnsi="宋体" w:cs="宋体" w:eastAsia="宋体" w:hint="default"/>
                <w:sz w:val="18"/>
                <w:szCs w:val="18"/>
              </w:rPr>
            </w:pPr>
            <w:r>
              <w:rPr>
                <w:rFonts w:ascii="宋体" w:hAnsi="宋体" w:cs="宋体" w:eastAsia="宋体" w:hint="default"/>
                <w:sz w:val="18"/>
                <w:szCs w:val="18"/>
              </w:rPr>
              <w:t>应补偿金额</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79"/>
              <w:jc w:val="right"/>
              <w:rPr>
                <w:rFonts w:ascii="宋体" w:hAnsi="宋体" w:cs="宋体" w:eastAsia="宋体" w:hint="default"/>
                <w:sz w:val="18"/>
                <w:szCs w:val="18"/>
              </w:rPr>
            </w:pPr>
            <w:r>
              <w:rPr>
                <w:rFonts w:ascii="宋体" w:hAnsi="宋体" w:cs="宋体" w:eastAsia="宋体" w:hint="default"/>
                <w:sz w:val="18"/>
                <w:szCs w:val="18"/>
              </w:rPr>
              <w:t>纯真年代</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-282.91</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2,782.91</w:t>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79"/>
              <w:jc w:val="right"/>
              <w:rPr>
                <w:rFonts w:ascii="宋体" w:hAnsi="宋体" w:cs="宋体" w:eastAsia="宋体" w:hint="default"/>
                <w:sz w:val="18"/>
                <w:szCs w:val="18"/>
              </w:rPr>
            </w:pPr>
            <w:r>
              <w:rPr>
                <w:rFonts w:ascii="宋体" w:hAnsi="宋体" w:cs="宋体" w:eastAsia="宋体" w:hint="default"/>
                <w:sz w:val="18"/>
                <w:szCs w:val="18"/>
              </w:rPr>
              <w:t>星梦工坊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-189.44</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489.44</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-472.35</w:t>
            </w:r>
          </w:p>
        </w:tc>
        <w:tc>
          <w:tcPr>
            <w:tcW w:w="1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3,272.35</w:t>
            </w:r>
          </w:p>
        </w:tc>
      </w:tr>
    </w:tbl>
    <w:p>
      <w:pPr>
        <w:pStyle w:val="BodyText"/>
        <w:spacing w:line="300" w:lineRule="auto" w:before="10"/>
        <w:ind w:right="1131" w:firstLine="360"/>
        <w:jc w:val="both"/>
      </w:pPr>
      <w:r>
        <w:rPr/>
        <w:t>业绩承诺补偿金额合计</w:t>
      </w:r>
      <w:r>
        <w:rPr>
          <w:rFonts w:ascii="Times New Roman" w:hAnsi="Times New Roman" w:cs="Times New Roman" w:eastAsia="Times New Roman" w:hint="default"/>
        </w:rPr>
        <w:t>3,272.35</w:t>
      </w:r>
      <w:r>
        <w:rPr/>
        <w:t>万元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月收到纯真年代股东朱质冰、朱质颖支付的业绩承诺补偿款</w:t>
      </w:r>
      <w:r>
        <w:rPr>
          <w:rFonts w:ascii="Times New Roman" w:hAnsi="Times New Roman" w:cs="Times New Roman" w:eastAsia="Times New Roman" w:hint="default"/>
        </w:rPr>
        <w:t>2,500 </w:t>
      </w:r>
      <w:r>
        <w:rPr>
          <w:spacing w:val="-1"/>
        </w:rPr>
        <w:t>万元，计入本期投资收益。对期末应收的业绩承诺补偿</w:t>
      </w:r>
      <w:r>
        <w:rPr>
          <w:rFonts w:ascii="Times New Roman" w:hAnsi="Times New Roman" w:cs="Times New Roman" w:eastAsia="Times New Roman" w:hint="default"/>
          <w:spacing w:val="-1"/>
        </w:rPr>
        <w:t>772.35</w:t>
      </w:r>
      <w:r>
        <w:rPr>
          <w:spacing w:val="-1"/>
        </w:rPr>
        <w:t>万元，公司计入以公允价值计量且其变动计入当期损益的金融</w:t>
      </w:r>
      <w:r>
        <w:rPr>
          <w:spacing w:val="-74"/>
        </w:rPr>
        <w:t> </w:t>
      </w:r>
      <w:r>
        <w:rPr>
          <w:spacing w:val="-74"/>
        </w:rPr>
      </w:r>
      <w:r>
        <w:rPr/>
        <w:t>资产</w:t>
      </w:r>
      <w:r>
        <w:rPr>
          <w:rFonts w:ascii="Times New Roman" w:hAnsi="Times New Roman" w:cs="Times New Roman" w:eastAsia="Times New Roman" w:hint="default"/>
        </w:rPr>
        <w:t>772.35</w:t>
      </w:r>
      <w:r>
        <w:rPr/>
        <w:t>万元，同时确认为公允价值变动收益。</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十六、母公司财务报表主要项目注释" w:id="386"/>
      <w:bookmarkEnd w:id="386"/>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 w:id="387"/>
      <w:bookmarkEnd w:id="38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388"/>
      <w:bookmarkEnd w:id="38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72,614,9</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50.44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4,643,73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67,971,21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55,246,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353.84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3,308,728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51,937,625.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72,614,9</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50.44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4,643,73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6.40%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67,971,21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55,246,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353.84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3,308,728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51,937,625.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57" w:lineRule="auto" w:before="117"/>
        <w:ind w:left="154" w:right="160"/>
        <w:jc w:val="left"/>
      </w:pPr>
      <w:r>
        <w:rPr/>
        <w:t>□ 适用 √ 不适用 组合中，按账龄分析法计提坏账准备的应收账款：</w:t>
      </w:r>
    </w:p>
    <w:p>
      <w:pPr>
        <w:pStyle w:val="BodyText"/>
        <w:spacing w:line="240" w:lineRule="auto" w:before="29"/>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68,462,223.45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3,423,111.18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2,683,080.87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268,308.09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751,123.29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375,561.65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33,529.52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666,952.38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533,561.90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9,658.55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9,658.55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72,614,950.44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4,643,730.89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57" w:lineRule="auto" w:before="29"/>
        <w:ind w:left="154" w:right="6792"/>
        <w:jc w:val="left"/>
      </w:pPr>
      <w:r>
        <w:rPr/>
        <w:t>□ 适用 √ 不适用 组合中，采用其他方法计提坏账准备的应收账款：</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2）本期计提、收回或转回的坏账准备情况" w:id="389"/>
      <w:bookmarkEnd w:id="38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4" w:right="-17"/>
        <w:jc w:val="left"/>
      </w:pPr>
      <w:r>
        <w:rPr/>
        <w:t>本期计提坏账准备金额</w:t>
      </w:r>
      <w:r>
        <w:rPr>
          <w:spacing w:val="-47"/>
        </w:rPr>
        <w:t> </w:t>
      </w:r>
      <w:r>
        <w:rPr>
          <w:rFonts w:ascii="Times New Roman" w:hAnsi="Times New Roman" w:cs="Times New Roman" w:eastAsia="Times New Roman" w:hint="default"/>
        </w:rPr>
        <w:t>1,335,002.80</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00" w:lineRule="auto" w:before="10"/>
        <w:ind w:right="1114" w:firstLine="360"/>
        <w:jc w:val="left"/>
      </w:pPr>
      <w:r>
        <w:rPr>
          <w:rFonts w:ascii="Times New Roman" w:hAnsi="Times New Roman" w:cs="Times New Roman" w:eastAsia="Times New Roman" w:hint="default"/>
        </w:rPr>
        <w:t>2015</w:t>
      </w:r>
      <w:r>
        <w:rPr/>
        <w:t>年期末余额前</w:t>
      </w:r>
      <w:r>
        <w:rPr>
          <w:rFonts w:ascii="Times New Roman" w:hAnsi="Times New Roman" w:cs="Times New Roman" w:eastAsia="Times New Roman" w:hint="default"/>
        </w:rPr>
        <w:t>5</w:t>
      </w:r>
      <w:r>
        <w:rPr/>
        <w:t>名的应收账款合计数为</w:t>
      </w:r>
      <w:r>
        <w:rPr>
          <w:rFonts w:ascii="Times New Roman" w:hAnsi="Times New Roman" w:cs="Times New Roman" w:eastAsia="Times New Roman" w:hint="default"/>
        </w:rPr>
        <w:t>64,151,989.72</w:t>
      </w:r>
      <w:r>
        <w:rPr/>
        <w:t>元，占应收账款期末余额合计数的比例为</w:t>
      </w:r>
      <w:r>
        <w:rPr>
          <w:spacing w:val="-51"/>
        </w:rPr>
        <w:t> </w:t>
      </w:r>
      <w:r>
        <w:rPr>
          <w:rFonts w:ascii="Times New Roman" w:hAnsi="Times New Roman" w:cs="Times New Roman" w:eastAsia="Times New Roman" w:hint="default"/>
        </w:rPr>
        <w:t>88.35%</w:t>
      </w:r>
      <w:r>
        <w:rPr/>
        <w:t>，相应计提的 坏账准备合计数为</w:t>
      </w:r>
      <w:r>
        <w:rPr>
          <w:rFonts w:ascii="Times New Roman" w:hAnsi="Times New Roman" w:cs="Times New Roman" w:eastAsia="Times New Roman" w:hint="default"/>
        </w:rPr>
        <w:t>3,316,419.83</w:t>
      </w:r>
      <w:r>
        <w:rPr/>
        <w:t>元。</w:t>
      </w:r>
    </w:p>
    <w:p>
      <w:pPr>
        <w:spacing w:after="0" w:line="30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转移应收账款且继续涉入形成的资产、负债金额" w:id="390"/>
      <w:bookmarkEnd w:id="390"/>
      <w:r>
        <w:rPr>
          <w:b w:val="0"/>
          <w:bCs w:val="0"/>
        </w:rPr>
      </w:r>
      <w:r>
        <w:rPr/>
        <w:t>（</w:t>
      </w:r>
      <w:r>
        <w:rPr>
          <w:rFonts w:ascii="Times New Roman" w:hAnsi="Times New Roman" w:cs="Times New Roman" w:eastAsia="Times New Roman" w:hint="default"/>
        </w:rPr>
        <w:t>3</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收款" w:id="391"/>
      <w:bookmarkEnd w:id="39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92"/>
      <w:bookmarkEnd w:id="39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2,460,29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726,646.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29.53%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1,733,643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191.77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2,033,500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8,762,691.5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2,460,29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726,646.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29.53%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191.77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2,033,500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8,762,691.5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57" w:lineRule="auto" w:before="117"/>
        <w:ind w:left="154" w:right="160"/>
        <w:jc w:val="left"/>
      </w:pPr>
      <w:r>
        <w:rPr/>
        <w:t>□ 适用 √ 不适用 组合中，按账龄分析法计提坏账准备的其他应收款：</w:t>
      </w:r>
    </w:p>
    <w:p>
      <w:pPr>
        <w:pStyle w:val="BodyText"/>
        <w:spacing w:line="240" w:lineRule="auto" w:before="28"/>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645,470.13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32,273.51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804,890.00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80,489.00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151,784.00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2,460,290.13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726,646.51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60" w:lineRule="auto" w:before="26"/>
        <w:ind w:left="154" w:right="6612"/>
        <w:jc w:val="left"/>
      </w:pPr>
      <w:r>
        <w:rPr/>
        <w:t>□ 适用 √ 不适用 组合中，采用其他方法计提坏账准备的其他应收款：</w:t>
      </w:r>
    </w:p>
    <w:p>
      <w:pPr>
        <w:pStyle w:val="BodyText"/>
        <w:spacing w:line="240" w:lineRule="auto" w:before="26"/>
        <w:ind w:left="154" w:right="0"/>
        <w:jc w:val="left"/>
      </w:pPr>
      <w:r>
        <w:rPr/>
        <w:t>□ 适用 √ 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393"/>
      <w:bookmarkEnd w:id="39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6"/>
        <w:jc w:val="left"/>
      </w:pPr>
      <w:r>
        <w:rPr/>
        <w:t>本期计提坏账准备金额</w:t>
      </w:r>
      <w:r>
        <w:rPr>
          <w:spacing w:val="-47"/>
        </w:rPr>
        <w:t> </w:t>
      </w:r>
      <w:r>
        <w:rPr>
          <w:rFonts w:ascii="Times New Roman" w:hAnsi="Times New Roman" w:cs="Times New Roman" w:eastAsia="Times New Roman" w:hint="default"/>
        </w:rPr>
        <w:t>1,302,494.15</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394"/>
      <w:bookmarkEnd w:id="39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pStyle w:val="BodyText"/>
        <w:spacing w:line="240" w:lineRule="auto" w:before="116"/>
        <w:ind w:left="60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本期实际核销其他应收款金额</w:t>
      </w:r>
      <w:r>
        <w:rPr>
          <w:rFonts w:ascii="Times New Roman" w:hAnsi="Times New Roman" w:cs="Times New Roman" w:eastAsia="Times New Roman" w:hint="default"/>
        </w:rPr>
        <w:t>2,609,347.90</w:t>
      </w:r>
      <w:r>
        <w:rPr/>
        <w:t>元。</w:t>
      </w:r>
    </w:p>
    <w:p>
      <w:pPr>
        <w:pStyle w:val="BodyText"/>
        <w:spacing w:line="240" w:lineRule="auto" w:before="63"/>
        <w:ind w:left="60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本期重要的其他应收款核销情况</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942"/>
        <w:gridCol w:w="1274"/>
        <w:gridCol w:w="1713"/>
        <w:gridCol w:w="1843"/>
        <w:gridCol w:w="993"/>
        <w:gridCol w:w="1274"/>
      </w:tblGrid>
      <w:tr>
        <w:trPr>
          <w:trHeight w:val="659"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9" w:right="126" w:firstLine="90"/>
              <w:jc w:val="left"/>
              <w:rPr>
                <w:rFonts w:ascii="宋体" w:hAnsi="宋体" w:cs="宋体" w:eastAsia="宋体" w:hint="default"/>
                <w:sz w:val="18"/>
                <w:szCs w:val="18"/>
              </w:rPr>
            </w:pPr>
            <w:r>
              <w:rPr>
                <w:rFonts w:ascii="宋体" w:hAnsi="宋体" w:cs="宋体" w:eastAsia="宋体" w:hint="default"/>
                <w:sz w:val="18"/>
                <w:szCs w:val="18"/>
              </w:rPr>
              <w:t>履行的 核销程序</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178" w:right="96"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659"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2,609,347.90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公司注销</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0" w:right="36" w:hanging="271"/>
              <w:jc w:val="left"/>
              <w:rPr>
                <w:rFonts w:ascii="宋体" w:hAnsi="宋体" w:cs="宋体" w:eastAsia="宋体" w:hint="default"/>
                <w:sz w:val="18"/>
                <w:szCs w:val="18"/>
              </w:rPr>
            </w:pPr>
            <w:r>
              <w:rPr>
                <w:rFonts w:ascii="宋体" w:hAnsi="宋体" w:cs="宋体" w:eastAsia="宋体" w:hint="default"/>
                <w:sz w:val="18"/>
                <w:szCs w:val="18"/>
              </w:rPr>
              <w:t>管理层批准 核销</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274" w:type="dxa"/>
            <w:tcBorders>
              <w:top w:val="single" w:sz="6" w:space="0" w:color="000000"/>
              <w:left w:val="single" w:sz="6" w:space="0" w:color="000000"/>
              <w:bottom w:val="single" w:sz="6" w:space="0" w:color="000000"/>
              <w:right w:val="single" w:sz="6" w:space="0" w:color="000000"/>
            </w:tcBorders>
          </w:tcPr>
          <w:p>
            <w:pP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2,609,347.90</w:t>
            </w:r>
          </w:p>
        </w:tc>
        <w:tc>
          <w:tcPr>
            <w:tcW w:w="1843"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4）其他应收款按款项性质分类情况" w:id="395"/>
      <w:bookmarkEnd w:id="39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1,312,620.00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3,496,170.83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943,600.00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872,200.00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204,070.13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6,347,820.94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2,460,290.13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10,796,191.77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396"/>
      <w:bookmarkEnd w:id="39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397,890.00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39,789.00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115,784.00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新昌县非税收入汇缴 核算专户</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219,750.00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新昌县财政局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俞亚莲</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2,239,120.00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661,523.00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397"/>
      <w:bookmarkEnd w:id="39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398"/>
      <w:bookmarkEnd w:id="39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399"/>
      <w:bookmarkEnd w:id="39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400"/>
      <w:bookmarkEnd w:id="40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170,995,173.20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4,729,502.88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166,265,670.32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230,739,873.20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230,739,873.20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103,565,041.10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103,565,041.10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274,560,214.30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4,729,502.88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269,830,711.42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230,739,873.20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230,739,873.20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401"/>
      <w:bookmarkEnd w:id="40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9,661,873.20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12,167,173.20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4,729,502.88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4,729,502.88</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纯真年代</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230,739,873.20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42,505,300.00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170,995,173.20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4,729,502.88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4,729,502.88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402"/>
      <w:bookmarkEnd w:id="40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瑛麒动漫</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-1,434,95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43,565,04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-1,434,95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103,565,0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-1,434,95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103,565,0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41.10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403"/>
      <w:bookmarkEnd w:id="40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营业收入和营业成本" w:id="404"/>
      <w:bookmarkEnd w:id="40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2"/>
        <w:gridCol w:w="1914"/>
        <w:gridCol w:w="1901"/>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303,826,637.64</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2" w:right="0"/>
              <w:jc w:val="left"/>
              <w:rPr>
                <w:rFonts w:ascii="Times New Roman" w:hAnsi="Times New Roman" w:cs="Times New Roman" w:eastAsia="Times New Roman" w:hint="default"/>
                <w:sz w:val="18"/>
                <w:szCs w:val="18"/>
              </w:rPr>
            </w:pPr>
            <w:r>
              <w:rPr>
                <w:rFonts w:ascii="Times New Roman"/>
                <w:sz w:val="18"/>
              </w:rPr>
              <w:t>211,773,374.49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381,265,665.74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253,378,393.30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3,372,967.28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1,388,973.44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4,502,266.24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1,447,741.81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307,199,604.92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213,162,347.93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385,767,931.98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254,826,135.11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405"/>
      <w:bookmarkEnd w:id="40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-1,434,958.90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20,218,379.55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年度业绩承诺补偿</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年度业绩承诺补偿</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20,117,601.26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珠江电影频道项目投资收益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1,773,584.80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处置衍生金融工具取得的投资收益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29,591.97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1,644,904.90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6,800,423.41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66,454,198.68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10,445,328.31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406"/>
      <w:bookmarkEnd w:id="406"/>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07"/>
      <w:bookmarkEnd w:id="40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2"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24,884,365.06</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包括长期股权投资处置损益及固定资产 处置损益</w:t>
            </w:r>
          </w:p>
        </w:tc>
      </w:tr>
      <w:tr>
        <w:trPr>
          <w:trHeight w:val="391"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27,939,538.74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1,832,762.88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35,714,435.43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主要包括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年度业绩承诺补偿及远期 结汇产生的收益。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-550,730.68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20,800,986.26</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14,762.48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69,004,622.69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08"/>
      <w:bookmarkEnd w:id="40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一节 备查文件目录" w:id="409"/>
      <w:bookmarkEnd w:id="409"/>
      <w:r>
        <w:rPr>
          <w:b w:val="0"/>
          <w:bCs w:val="0"/>
        </w:rPr>
      </w:r>
      <w:bookmarkStart w:name="_bookmark10" w:id="410"/>
      <w:bookmarkEnd w:id="410"/>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ind w:right="3373"/>
        <w:jc w:val="left"/>
      </w:pPr>
      <w:r>
        <w:rPr/>
        <w:t>一、载有公司法定代表人签名的</w:t>
      </w:r>
      <w:r>
        <w:rPr>
          <w:rFonts w:ascii="Times New Roman" w:hAnsi="Times New Roman" w:cs="Times New Roman" w:eastAsia="Times New Roman" w:hint="default"/>
        </w:rPr>
        <w:t>2015</w:t>
      </w:r>
      <w:r>
        <w:rPr/>
        <w:t>年度报告及摘要原件； 二、载有公司法定代表人、主管会计工作负责人、会计机构负责人签名并盖章的财务报告； 三、载有会计师事务所盖章、注册会计师签名并盖章的审计报告原件； 四、报告期内在中国证监会指定信息披露载体上公开披露过的所有公司文件正本及公告原稿； 五、以上备查文件备置地点：公司董事会办公室。</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130"/>
        <w:jc w:val="right"/>
      </w:pPr>
      <w:r>
        <w:rPr/>
        <w:t>美盛文化创意股份有限公司</w:t>
      </w:r>
    </w:p>
    <w:p>
      <w:pPr>
        <w:pStyle w:val="BodyText"/>
        <w:spacing w:line="240" w:lineRule="auto" w:before="76"/>
        <w:ind w:left="0" w:right="1130"/>
        <w:jc w:val="righ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736" type="#_x0000_t75" stroked="false">
          <v:imagedata r:id="rId1" o:title=""/>
        </v:shape>
      </w:pict>
    </w:r>
    <w:r>
      <w:rPr/>
      <w:pict>
        <v:shape style="position:absolute;margin-left:533.179993pt;margin-top:795.517944pt;width:6.5pt;height:11pt;mso-position-horizontal-relative:page;mso-position-vertical-relative:page;z-index:-858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688" type="#_x0000_t75" stroked="false">
          <v:imagedata r:id="rId1" o:title=""/>
        </v:shape>
      </w:pict>
    </w:r>
    <w:r>
      <w:rPr/>
      <w:pict>
        <v:shape style="position:absolute;margin-left:527.679993pt;margin-top:781.957947pt;width:13pt;height:11pt;mso-position-horizontal-relative:page;mso-position-vertical-relative:page;z-index:-858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640" type="#_x0000_t75" stroked="false">
          <v:imagedata r:id="rId1" o:title=""/>
        </v:shape>
      </w:pict>
    </w:r>
    <w:r>
      <w:rPr/>
      <w:pict>
        <v:shape style="position:absolute;margin-left:527.679993pt;margin-top:781.957947pt;width:13pt;height:11pt;mso-position-horizontal-relative:page;mso-position-vertical-relative:page;z-index:-858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592" type="#_x0000_t75" stroked="false">
          <v:imagedata r:id="rId1" o:title=""/>
        </v:shape>
      </w:pict>
    </w:r>
    <w:r>
      <w:rPr/>
      <w:pict>
        <v:shape style="position:absolute;margin-left:524.179993pt;margin-top:781.957947pt;width:15.5pt;height:11pt;mso-position-horizontal-relative:page;mso-position-vertical-relative:page;z-index:-858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544" type="#_x0000_t75" stroked="false">
          <v:imagedata r:id="rId1" o:title=""/>
        </v:shape>
      </w:pict>
    </w:r>
    <w:r>
      <w:rPr/>
      <w:pict>
        <v:shape style="position:absolute;margin-left:523.179993pt;margin-top:781.957947pt;width:17.5pt;height:11pt;mso-position-horizontal-relative:page;mso-position-vertical-relative:page;z-index:-858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496" type="#_x0000_t75" stroked="false">
          <v:imagedata r:id="rId1" o:title=""/>
        </v:shape>
      </w:pict>
    </w:r>
    <w:r>
      <w:rPr/>
      <w:pict>
        <v:shape style="position:absolute;margin-left:523.179993pt;margin-top:781.957947pt;width:17.5pt;height:11pt;mso-position-horizontal-relative:page;mso-position-vertical-relative:page;z-index:-858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58760" type="#_x0000_t202" filled="false" stroked="false">
          <v:textbox inset="0,0,0,0">
            <w:txbxContent>
              <w:p>
                <w:pPr>
                  <w:pStyle w:val="BodyText"/>
                  <w:spacing w:line="214" w:lineRule="exact"/>
                  <w:ind w:left="20" w:right="0"/>
                  <w:jc w:val="left"/>
                </w:pPr>
                <w:r>
                  <w:rPr/>
                  <w:t>美盛文化创意股份有限公司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rising.com.cn/" TargetMode="External"/><Relationship Id="rId10" Type="http://schemas.openxmlformats.org/officeDocument/2006/relationships/hyperlink" Target="mailto:office@chinarising.com.cn" TargetMode="External"/><Relationship Id="rId11" Type="http://schemas.openxmlformats.org/officeDocument/2006/relationships/hyperlink" Target="mailto:gr@chinarising.com.cn"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uwowo.com/" TargetMode="External"/><Relationship Id="rId16" Type="http://schemas.openxmlformats.org/officeDocument/2006/relationships/hyperlink" Target="http://www.kumi.cn/" TargetMode="External"/><Relationship Id="rId17" Type="http://schemas.openxmlformats.org/officeDocument/2006/relationships/footer" Target="footer3.xml"/><Relationship Id="rId18" Type="http://schemas.openxmlformats.org/officeDocument/2006/relationships/image" Target="media/image5.jpeg"/><Relationship Id="rId19" Type="http://schemas.openxmlformats.org/officeDocument/2006/relationships/hyperlink" Target="http://www.cninfo.com/" TargetMode="Externa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美盛文化创意股份有限公司</dc:creator>
  <dc:title>美盛文化创意股份有限公司2015年年度报告全文</dc:title>
  <dcterms:created xsi:type="dcterms:W3CDTF">2020-05-04T14:34:26Z</dcterms:created>
  <dcterms:modified xsi:type="dcterms:W3CDTF">2020-05-04T14:34:26Z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Creator">
    <vt:lpwstr>Microsoft® Office Word 2007</vt:lpwstr>
  </property>
  <property fmtid="{D5CDD505-2E9C-101B-9397-08002B2CF9AE}" pid="4" name="LastSaved">
    <vt:filetime>2020-05-04T00:00:00Z</vt:filetime>
  </property>
</Properties>
</file>