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845"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drawing>
          <wp:inline distT="0" distB="0" distL="0" distR="0">
            <wp:extent cx="1409571" cy="117157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571" cy="1171575"/>
                    </a:xfrm>
                    <a:prstGeom prst="rect">
                      <a:avLst/>
                    </a:prstGeom>
                  </pic:spPr>
                </pic:pic>
              </a:graphicData>
            </a:graphic>
          </wp:inline>
        </w:drawing>
      </w:r>
      <w:r>
        <w:rPr>
          <w:rFonts w:ascii="Times New Roman" w:hAnsi="Times New Roman" w:cs="Times New Roman" w:eastAsia="Times New Roman" w:hint="default"/>
          <w:position w:val="-36"/>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2786" w:right="3763" w:firstLine="0"/>
        <w:jc w:val="center"/>
        <w:rPr>
          <w:rFonts w:ascii="宋体" w:hAnsi="宋体" w:cs="宋体" w:eastAsia="宋体" w:hint="default"/>
          <w:sz w:val="36"/>
          <w:szCs w:val="36"/>
        </w:rPr>
      </w:pPr>
      <w:r>
        <w:rPr>
          <w:rFonts w:ascii="宋体" w:hAnsi="宋体" w:cs="宋体" w:eastAsia="宋体" w:hint="default"/>
          <w:b/>
          <w:bCs/>
          <w:sz w:val="36"/>
          <w:szCs w:val="36"/>
        </w:rPr>
        <w:t>美盛文化创意股份有限公司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784" w:right="376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28"/>
          <w:szCs w:val="28"/>
        </w:rPr>
      </w:pPr>
    </w:p>
    <w:p>
      <w:pPr>
        <w:spacing w:before="0"/>
        <w:ind w:left="2786" w:right="3762" w:firstLine="0"/>
        <w:jc w:val="center"/>
        <w:rPr>
          <w:rFonts w:ascii="Times New Roman" w:hAnsi="Times New Roman" w:cs="Times New Roman" w:eastAsia="Times New Roman" w:hint="default"/>
          <w:sz w:val="32"/>
          <w:szCs w:val="32"/>
        </w:rPr>
      </w:pPr>
      <w:r>
        <w:rPr>
          <w:rFonts w:ascii="Times New Roman" w:hAnsi="Times New Roman" w:cs="Times New Roman" w:eastAsia="Times New Roman" w:hint="default"/>
          <w:b/>
          <w:bCs/>
          <w:sz w:val="32"/>
          <w:szCs w:val="32"/>
        </w:rPr>
        <w:t>(</w:t>
      </w:r>
      <w:r>
        <w:rPr>
          <w:rFonts w:ascii="宋体" w:hAnsi="宋体" w:cs="宋体" w:eastAsia="宋体" w:hint="default"/>
          <w:b/>
          <w:bCs/>
          <w:sz w:val="32"/>
          <w:szCs w:val="32"/>
        </w:rPr>
        <w:t>更正后</w:t>
      </w:r>
      <w:r>
        <w:rPr>
          <w:rFonts w:ascii="Times New Roman" w:hAnsi="Times New Roman" w:cs="Times New Roman" w:eastAsia="Times New Roman" w:hint="default"/>
          <w:b/>
          <w:bCs/>
          <w:sz w:val="32"/>
          <w:szCs w:val="32"/>
        </w:rPr>
        <w:t>)</w:t>
      </w:r>
      <w:r>
        <w:rPr>
          <w:rFonts w:ascii="Times New Roman" w:hAnsi="Times New Roman" w:cs="Times New Roman" w:eastAsia="Times New Roman" w:hint="default"/>
          <w:sz w:val="32"/>
          <w:szCs w:val="32"/>
        </w:rPr>
      </w: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3"/>
        <w:rPr>
          <w:rFonts w:ascii="Times New Roman" w:hAnsi="Times New Roman" w:cs="Times New Roman" w:eastAsia="Times New Roman" w:hint="default"/>
          <w:b/>
          <w:bCs/>
          <w:sz w:val="43"/>
          <w:szCs w:val="43"/>
        </w:rPr>
      </w:pPr>
    </w:p>
    <w:p>
      <w:pPr>
        <w:spacing w:before="0"/>
        <w:ind w:left="2786" w:right="37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136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公司负责人赵小强、主管会计工作负责人赵小强及会计机构负责人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石军龙声明：保证年度报告中财务报告的真实、准确、完整。</w:t>
      </w:r>
      <w:r>
        <w:rPr>
          <w:rFonts w:ascii="宋体" w:hAnsi="宋体" w:cs="宋体" w:eastAsia="宋体" w:hint="default"/>
          <w:sz w:val="28"/>
          <w:szCs w:val="28"/>
        </w:rPr>
      </w:r>
    </w:p>
    <w:p>
      <w:pPr>
        <w:spacing w:line="472" w:lineRule="auto" w:before="147"/>
        <w:ind w:left="716" w:right="136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天健会计师事务所（特殊普通合伙）对本公司出具了带强调事项的保留意</w:t>
      </w:r>
      <w:r>
        <w:rPr>
          <w:rFonts w:ascii="宋体" w:hAnsi="宋体" w:cs="宋体" w:eastAsia="宋体" w:hint="default"/>
          <w:spacing w:val="3"/>
          <w:sz w:val="28"/>
          <w:szCs w:val="28"/>
        </w:rPr>
      </w:r>
    </w:p>
    <w:p>
      <w:pPr>
        <w:spacing w:line="410" w:lineRule="auto" w:before="0"/>
        <w:ind w:left="154" w:right="136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见的审计报告，本公司董事会、监事会对相关事项已有详细说明，请投资者注</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意阅读。</w:t>
      </w:r>
      <w:r>
        <w:rPr>
          <w:rFonts w:ascii="宋体" w:hAnsi="宋体" w:cs="宋体" w:eastAsia="宋体" w:hint="default"/>
          <w:sz w:val="28"/>
          <w:szCs w:val="28"/>
        </w:rPr>
      </w:r>
    </w:p>
    <w:p>
      <w:pPr>
        <w:spacing w:line="410" w:lineRule="auto" w:before="158"/>
        <w:ind w:left="154" w:right="1141" w:firstLine="562"/>
        <w:jc w:val="right"/>
        <w:rPr>
          <w:rFonts w:ascii="宋体" w:hAnsi="宋体" w:cs="宋体" w:eastAsia="宋体" w:hint="default"/>
          <w:sz w:val="28"/>
          <w:szCs w:val="28"/>
        </w:rPr>
      </w:pPr>
      <w:r>
        <w:rPr>
          <w:rFonts w:ascii="宋体" w:hAnsi="宋体" w:cs="宋体" w:eastAsia="宋体" w:hint="default"/>
          <w:b/>
          <w:bCs/>
          <w:spacing w:val="3"/>
          <w:w w:val="95"/>
          <w:sz w:val="28"/>
          <w:szCs w:val="28"/>
        </w:rPr>
        <w:t>天健会计师事务所（特殊普通合伙）对本公司财务报告内部控制出具了否</w:t>
      </w:r>
      <w:r>
        <w:rPr>
          <w:rFonts w:ascii="宋体" w:hAnsi="宋体" w:cs="宋体" w:eastAsia="宋体" w:hint="default"/>
          <w:b/>
          <w:bCs/>
          <w:w w:val="99"/>
          <w:sz w:val="28"/>
          <w:szCs w:val="28"/>
        </w:rPr>
        <w:t> </w:t>
      </w:r>
      <w:r>
        <w:rPr>
          <w:rFonts w:ascii="宋体" w:hAnsi="宋体" w:cs="宋体" w:eastAsia="宋体" w:hint="default"/>
          <w:b/>
          <w:bCs/>
          <w:w w:val="95"/>
          <w:sz w:val="28"/>
          <w:szCs w:val="28"/>
        </w:rPr>
        <w:t>定的鉴证报告，本公司董事会对相关事项已有详细说明，请投资者注意阅读。</w:t>
      </w:r>
      <w:r>
        <w:rPr>
          <w:rFonts w:ascii="宋体" w:hAnsi="宋体" w:cs="宋体" w:eastAsia="宋体" w:hint="default"/>
          <w:sz w:val="28"/>
          <w:szCs w:val="28"/>
        </w:rPr>
      </w:r>
    </w:p>
    <w:p>
      <w:pPr>
        <w:spacing w:line="408" w:lineRule="auto" w:before="157"/>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可能存在文化产业政策变化，文创产业发展不及预期，资源整合及内控管</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理不够完善，国际需求下降，市场需求变化，行业竞争加剧，出口退税政策变</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化，汇率波动等风险</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敬请广大投资者注意投资风险。</w:t>
      </w:r>
      <w:r>
        <w:rPr>
          <w:rFonts w:ascii="宋体" w:hAnsi="宋体" w:cs="宋体" w:eastAsia="宋体" w:hint="default"/>
          <w:sz w:val="28"/>
          <w:szCs w:val="28"/>
        </w:rPr>
      </w:r>
    </w:p>
    <w:p>
      <w:pPr>
        <w:spacing w:before="119"/>
        <w:ind w:left="716" w:right="136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786" w:right="376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4"/>
          <w:szCs w:val="44"/>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6</w:t>
            </w:r>
          </w:hyperlink>
        </w:p>
        <w:p>
          <w:pPr>
            <w:pStyle w:val="TOC1"/>
            <w:tabs>
              <w:tab w:pos="9783" w:val="right" w:leader="dot"/>
            </w:tabs>
            <w:spacing w:line="240" w:lineRule="auto" w:before="62"/>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t>10</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3">
            <w:r>
              <w:rPr/>
              <w:t>第四节 经营情况讨论与分析</w:t>
            </w:r>
            <w:r>
              <w:rPr>
                <w:rFonts w:ascii="Times New Roman" w:hAnsi="Times New Roman" w:cs="Times New Roman" w:eastAsia="Times New Roman" w:hint="default"/>
              </w:rPr>
              <w:tab/>
              <w:t>14</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28</w:t>
            </w:r>
          </w:hyperlink>
        </w:p>
        <w:p>
          <w:pPr>
            <w:pStyle w:val="TOC1"/>
            <w:tabs>
              <w:tab w:pos="9783" w:val="right" w:leader="dot"/>
            </w:tabs>
            <w:spacing w:line="240" w:lineRule="auto" w:before="62"/>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42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48</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49</w:t>
            </w:r>
          </w:hyperlink>
        </w:p>
        <w:p>
          <w:pPr>
            <w:pStyle w:val="TOC1"/>
            <w:tabs>
              <w:tab w:pos="9783" w:val="right" w:leader="dot"/>
            </w:tabs>
            <w:spacing w:line="240" w:lineRule="auto" w:before="62"/>
            <w:ind w:right="0"/>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t>54</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9">
            <w:r>
              <w:rPr/>
              <w:t>第十节 公司债券相关情况</w:t>
            </w:r>
            <w:r>
              <w:rPr>
                <w:rFonts w:ascii="Times New Roman" w:hAnsi="Times New Roman" w:cs="Times New Roman" w:eastAsia="Times New Roman" w:hint="default"/>
              </w:rPr>
              <w:tab/>
              <w:t>61</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0">
            <w:r>
              <w:rPr/>
              <w:t>第十一节 财务报告</w:t>
            </w:r>
            <w:r>
              <w:rPr>
                <w:rFonts w:ascii="Times New Roman" w:hAnsi="Times New Roman" w:cs="Times New Roman" w:eastAsia="Times New Roman" w:hint="default"/>
              </w:rPr>
              <w:tab/>
              <w:t>63</w:t>
            </w:r>
          </w:hyperlink>
        </w:p>
        <w:p>
          <w:pPr>
            <w:pStyle w:val="TOC1"/>
            <w:tabs>
              <w:tab w:pos="9783" w:val="right" w:leader="dot"/>
            </w:tabs>
            <w:spacing w:line="240" w:lineRule="auto" w:before="62"/>
            <w:ind w:right="0"/>
            <w:jc w:val="left"/>
            <w:rPr>
              <w:rFonts w:ascii="Times New Roman" w:hAnsi="Times New Roman" w:cs="Times New Roman" w:eastAsia="Times New Roman" w:hint="default"/>
            </w:rPr>
          </w:pPr>
          <w:hyperlink w:history="true" w:anchor="_bookmark11">
            <w:r>
              <w:rPr/>
              <w:t>第十二节 备查文件目录</w:t>
            </w:r>
            <w:r>
              <w:rPr>
                <w:rFonts w:ascii="Times New Roman" w:hAnsi="Times New Roman" w:cs="Times New Roman" w:eastAsia="Times New Roman" w:hint="default"/>
              </w:rPr>
              <w:tab/>
              <w:t>178</w:t>
            </w:r>
          </w:hyperlink>
        </w:p>
        <w:p>
          <w:pPr/>
          <w:r>
            <w:fldChar w:fldCharType="end"/>
          </w:r>
        </w:p>
      </w:sdtContent>
    </w:sdt>
    <w:p>
      <w:pPr>
        <w:spacing w:after="0"/>
        <w:sectPr>
          <w:pgSz w:w="11910" w:h="16840"/>
          <w:pgMar w:header="747" w:footer="979" w:top="1060" w:bottom="1160" w:left="980" w:right="0"/>
        </w:sectPr>
      </w:pPr>
    </w:p>
    <w:p>
      <w:pPr>
        <w:spacing w:before="946"/>
        <w:ind w:left="2786" w:right="376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美盛文化、本公司、公司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美盛控股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美盛控股集团有限公司，公司控股股东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美源饰品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嵊州市美源饰品有限公司，公司全资子公司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美盛动漫</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杭州美盛动漫有限公司，公司全资子公司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香港美盛</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香港美盛文化有限公司，公司全资子公司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美盛游戏</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杭州美盛游戏技术开发有限公司，公司全资子公司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星梦工坊</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杭州星梦工坊文化创意有限公司，公司控股子公司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天津酷米</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天津酷米网络科技有限责任公司，公司控股子公司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美盛电商</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杭州美盛电子商务有限公司，公司全资子公司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美盛爱彼</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杭州美盛爱彼文化发展有限公司，公司全资子公司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美盛二次元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杭州美盛二次元文化发展有限公司，公司全资子公司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荷兰公司</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64"/>
              <w:jc w:val="left"/>
              <w:rPr>
                <w:rFonts w:ascii="宋体" w:hAnsi="宋体" w:cs="宋体" w:eastAsia="宋体" w:hint="default"/>
                <w:sz w:val="18"/>
                <w:szCs w:val="18"/>
              </w:rPr>
            </w:pPr>
            <w:r>
              <w:rPr>
                <w:rFonts w:ascii="Times New Roman" w:hAnsi="Times New Roman" w:cs="Times New Roman" w:eastAsia="Times New Roman" w:hint="default"/>
                <w:sz w:val="18"/>
                <w:szCs w:val="18"/>
              </w:rPr>
              <w:t>Agenturen en Handelsmij Scheepers</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z w:val="18"/>
                <w:szCs w:val="18"/>
              </w:rPr>
              <w:t>B.V.</w:t>
            </w:r>
            <w:r>
              <w:rPr>
                <w:rFonts w:ascii="宋体" w:hAnsi="宋体" w:cs="宋体" w:eastAsia="宋体" w:hint="default"/>
                <w:sz w:val="18"/>
                <w:szCs w:val="18"/>
              </w:rPr>
              <w:t>，公司全资子公司香港美盛的 控股子公司</w:t>
            </w:r>
          </w:p>
        </w:tc>
      </w:tr>
      <w:tr>
        <w:trPr>
          <w:trHeight w:val="393"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JAKKS</w:t>
            </w:r>
            <w:r>
              <w:rPr>
                <w:rFonts w:ascii="Times New Roman"/>
                <w:spacing w:val="1"/>
                <w:sz w:val="18"/>
              </w:rPr>
              <w:t> </w:t>
            </w:r>
            <w:r>
              <w:rPr>
                <w:rFonts w:ascii="Times New Roman"/>
                <w:spacing w:val="-3"/>
                <w:sz w:val="18"/>
              </w:rPr>
              <w:t>PACIFIC</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109"/>
              <w:jc w:val="left"/>
              <w:rPr>
                <w:rFonts w:ascii="宋体" w:hAnsi="宋体" w:cs="宋体" w:eastAsia="宋体" w:hint="default"/>
                <w:sz w:val="18"/>
                <w:szCs w:val="18"/>
              </w:rPr>
            </w:pPr>
            <w:r>
              <w:rPr>
                <w:rFonts w:ascii="宋体" w:hAnsi="宋体" w:cs="宋体" w:eastAsia="宋体" w:hint="default"/>
                <w:sz w:val="18"/>
                <w:szCs w:val="18"/>
              </w:rPr>
              <w:t>杰克仕太平洋贸易有限公司，英文名称 </w:t>
            </w:r>
            <w:r>
              <w:rPr>
                <w:rFonts w:ascii="Times New Roman" w:hAnsi="Times New Roman" w:cs="Times New Roman" w:eastAsia="Times New Roman" w:hint="default"/>
                <w:sz w:val="18"/>
                <w:szCs w:val="18"/>
              </w:rPr>
              <w:t>JAKKS </w:t>
            </w:r>
            <w:r>
              <w:rPr>
                <w:rFonts w:ascii="Times New Roman" w:hAnsi="Times New Roman" w:cs="Times New Roman" w:eastAsia="Times New Roman" w:hint="default"/>
                <w:spacing w:val="-3"/>
                <w:sz w:val="18"/>
                <w:szCs w:val="18"/>
              </w:rPr>
              <w:t>PACIFIC</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TRADING</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，公司全资子公司香港美盛的参股公司</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瑛麒动漫</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上海瑛麒动漫科技有限公司，公司参股子公司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广州创幻</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广州创幻数码科技有限公司，公司参股子公司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微媒互动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北京微媒互动科技有限公司，公司参股子公司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创新工场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北京创新工场创业投资中心（有限合伙）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1001  </w:t>
            </w:r>
            <w:r>
              <w:rPr>
                <w:rFonts w:ascii="宋体" w:hAnsi="宋体" w:cs="宋体" w:eastAsia="宋体" w:hint="default"/>
                <w:sz w:val="18"/>
                <w:szCs w:val="18"/>
              </w:rPr>
              <w:t>夜</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杭州业盛实业有限公司，公司全资子公司美盛爱彼控股子公司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同道大叔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深圳市同道大叔文化传播有限公司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触手</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TV</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杭州开迅科技有限公司，公司参股子公司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白熊阅读</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上海豆萌科技有限公司，公司参股子公司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漫联贸易</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广州漫联贸易有限公司，公司全资子公司美盛二次元的控股子公司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真趣网络</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杭州真趣网络科技有限公司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万盛有限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新昌县万盛进出口有限公司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美盛文化创意股份有限公司董事会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美盛文化创意股份有限公司监事会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保荐人、华林证券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华林证券股份有限公司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会计师、天健</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2.779968pt;width:361.5pt;height:19.6pt;mso-position-horizontal-relative:page;mso-position-vertical-relative:page;z-index:-991336"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136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36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美盛文化</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002699</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美盛文化</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Meisheng Cultural &amp; Creative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Corp</w:t>
            </w:r>
            <w:r>
              <w:rPr>
                <w:rFonts w:ascii="宋体" w:hAnsi="宋体" w:cs="宋体" w:eastAsia="宋体" w:hint="default"/>
                <w:sz w:val="18"/>
                <w:szCs w:val="18"/>
              </w:rPr>
              <w:t>，</w:t>
            </w:r>
            <w:r>
              <w:rPr>
                <w:rFonts w:ascii="Times New Roman" w:hAnsi="Times New Roman" w:cs="Times New Roman" w:eastAsia="Times New Roman" w:hint="default"/>
                <w:sz w:val="18"/>
                <w:szCs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Meisheng</w:t>
            </w:r>
            <w:r>
              <w:rPr>
                <w:rFonts w:ascii="Times New Roman"/>
                <w:spacing w:val="-2"/>
                <w:sz w:val="18"/>
              </w:rPr>
              <w:t> </w:t>
            </w:r>
            <w:r>
              <w:rPr>
                <w:rFonts w:ascii="Times New Roman"/>
                <w:sz w:val="18"/>
              </w:rPr>
              <w:t>Cultural</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赵小强</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浙江省新昌省级高新技术园区内（南岩）</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312500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浙江省新昌省级高新技术园区内（南岩）</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312500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www.chinarising.com.cn</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Office@chianrising.com.cn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360"/>
        <w:jc w:val="left"/>
        <w:rPr>
          <w:b w:val="0"/>
          <w:bCs w:val="0"/>
        </w:rPr>
      </w:pPr>
      <w:r>
        <w:rPr/>
        <w:pict>
          <v:group style="position:absolute;margin-left:375.940002pt;margin-top:73.905640pt;width:157.9pt;height:20.8pt;mso-position-horizontal-relative:page;mso-position-vertical-relative:paragraph;z-index:-991312" coordorigin="7519,1478" coordsize="3158,416">
            <v:group style="position:absolute;left:7530;top:1490;width:2;height:393" coordorigin="7530,1490" coordsize="2,393">
              <v:shape style="position:absolute;left:7530;top:1490;width:2;height:393" coordorigin="7530,1490" coordsize="0,393" path="m7530,1490l7530,1882e" filled="false" stroked="true" strokeweight="1.140pt" strokecolor="#ffffff">
                <v:path arrowok="t"/>
              </v:shape>
            </v:group>
            <v:group style="position:absolute;left:7542;top:1490;width:3135;height:393" coordorigin="7542,1490" coordsize="3135,393">
              <v:shape style="position:absolute;left:7542;top:1490;width:3135;height:393" coordorigin="7542,1490" coordsize="3135,393" path="m7542,1882l10676,1882,10676,1490,7542,1490,7542,1882xe" filled="true" fillcolor="#ffffff" stroked="false">
                <v:path arrowok="t"/>
                <v:fill type="solid"/>
              </v:shape>
            </v:group>
            <w10:wrap type="none"/>
          </v:group>
        </w:pict>
      </w: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浙江省新昌省级高新技术园区内（南岩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0575-86226885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0575-86288588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office@chinarising.com.cn</w:t>
              </w:r>
            </w:hyperlink>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right="136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公司董事会秘书办公室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136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913300007384284925</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b/>
          <w:bCs/>
          <w:sz w:val="18"/>
          <w:szCs w:val="18"/>
        </w:rPr>
      </w:pPr>
    </w:p>
    <w:p>
      <w:pPr>
        <w:pStyle w:val="Heading2"/>
        <w:spacing w:line="240" w:lineRule="auto" w:before="26"/>
        <w:ind w:right="136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浙江省杭州市钱江路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号华润大厦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赵海荣、陈艳</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2"/>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兴业证券股份有限公司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深圳市福田区益田路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卓越时代广场大厦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贾晓斌、张华辉</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bl>
    <w:p>
      <w:pPr>
        <w:spacing w:line="240" w:lineRule="auto" w:before="2"/>
        <w:rPr>
          <w:rFonts w:ascii="宋体" w:hAnsi="宋体" w:cs="宋体" w:eastAsia="宋体" w:hint="default"/>
          <w:sz w:val="18"/>
          <w:szCs w:val="18"/>
        </w:rPr>
      </w:pPr>
    </w:p>
    <w:p>
      <w:pPr>
        <w:pStyle w:val="Heading2"/>
        <w:spacing w:line="240" w:lineRule="auto" w:before="26"/>
        <w:ind w:right="136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777,805,656.58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912,207,963.04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633,157,304.38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-229,516,119.48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190,785,271.54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-220.30%</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189,958,553.69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-270,607,032.92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76,293,507.99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-454.69%</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73,761,484.04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136,570,390.50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200,721,806.97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38,327,489.71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-0.25</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-219.05%</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-0.25</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-219.05%</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4,123,693,522.49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4,587,891,731.98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3,648,625,526.81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3,289,256,847.86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3,484,851,136.60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3,428,850,163.04</w:t>
            </w:r>
          </w:p>
        </w:tc>
      </w:tr>
    </w:tbl>
    <w:p>
      <w:pPr>
        <w:spacing w:line="240" w:lineRule="auto" w:before="2"/>
        <w:rPr>
          <w:rFonts w:ascii="宋体" w:hAnsi="宋体" w:cs="宋体" w:eastAsia="宋体" w:hint="default"/>
          <w:sz w:val="18"/>
          <w:szCs w:val="18"/>
        </w:rPr>
      </w:pPr>
    </w:p>
    <w:p>
      <w:pPr>
        <w:pStyle w:val="Heading2"/>
        <w:spacing w:line="240" w:lineRule="auto" w:before="26"/>
        <w:ind w:right="136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36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4"/>
        <w:spacing w:line="240" w:lineRule="auto"/>
        <w:ind w:right="136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26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36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148,239,002.91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206,887,960.74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265,633,685.23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157,045,007.70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49,018,229.30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1,865,969.77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62,268,425.51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-342,668,744.06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4,040,619.98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-5,944,676.67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49,197,785.17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-320,594,807.17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-57,451,496.89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-19,964,716.69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47,192,806.40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166,793,797.68</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136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10,907,887.70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49,341,927.63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107,228,608.92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9,758,069.63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13,274,540.73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10,927,859.58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33,564,979.51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73,189,013.20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4,535,128.26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w w:val="95"/>
                <w:sz w:val="18"/>
              </w:rPr>
              <w:t>-472,503.04</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6,664,201.28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8,192,259.05</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67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-71,438.33</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779,817.17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-42,366.09</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-2,475,317.84</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无需支付浮动投资款产生的收益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17,191,146.67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9,967,635.23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28,249,600.65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32,211,053.43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153,128.96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508,135.81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-375,486.69</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41,090,913.44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114,491,763.55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116,197,069.65</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4" w:right="1115"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1360"/>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before="105"/>
        <w:ind w:left="514" w:right="1360" w:firstLine="0"/>
        <w:jc w:val="left"/>
        <w:rPr>
          <w:rFonts w:ascii="宋体" w:hAnsi="宋体" w:cs="宋体" w:eastAsia="宋体" w:hint="default"/>
          <w:sz w:val="18"/>
          <w:szCs w:val="18"/>
        </w:rPr>
      </w:pPr>
      <w:r>
        <w:rPr>
          <w:rFonts w:ascii="宋体" w:hAnsi="宋体" w:cs="宋体" w:eastAsia="宋体" w:hint="default"/>
          <w:sz w:val="18"/>
          <w:szCs w:val="18"/>
        </w:rPr>
        <w:t>一、公司的主营业务</w:t>
      </w:r>
    </w:p>
    <w:p>
      <w:pPr>
        <w:spacing w:line="430" w:lineRule="atLeast" w:before="2"/>
        <w:ind w:left="514" w:right="0" w:firstLine="0"/>
        <w:jc w:val="left"/>
        <w:rPr>
          <w:rFonts w:ascii="宋体" w:hAnsi="宋体" w:cs="宋体" w:eastAsia="宋体" w:hint="default"/>
          <w:sz w:val="18"/>
          <w:szCs w:val="18"/>
        </w:rPr>
      </w:pPr>
      <w:r>
        <w:rPr>
          <w:rFonts w:ascii="宋体" w:hAnsi="宋体" w:cs="宋体" w:eastAsia="宋体" w:hint="default"/>
          <w:sz w:val="18"/>
          <w:szCs w:val="18"/>
        </w:rPr>
        <w:t>（一）公司的主营业务 </w:t>
      </w:r>
      <w:r>
        <w:rPr>
          <w:rFonts w:ascii="宋体" w:hAnsi="宋体" w:cs="宋体" w:eastAsia="宋体" w:hint="default"/>
          <w:spacing w:val="-2"/>
          <w:sz w:val="18"/>
          <w:szCs w:val="18"/>
        </w:rPr>
        <w:t>公司紧密围绕文化产业发展，致力于文化产业相关业务。自公司上市以来，在原有动漫衍生品的基础上，公司重点开拓</w:t>
      </w:r>
    </w:p>
    <w:p>
      <w:pPr>
        <w:spacing w:line="316" w:lineRule="auto" w:before="76"/>
        <w:ind w:left="154" w:right="1133" w:firstLine="0"/>
        <w:jc w:val="both"/>
        <w:rPr>
          <w:rFonts w:ascii="宋体" w:hAnsi="宋体" w:cs="宋体" w:eastAsia="宋体" w:hint="default"/>
          <w:sz w:val="18"/>
          <w:szCs w:val="18"/>
        </w:rPr>
      </w:pPr>
      <w:r>
        <w:rPr>
          <w:rFonts w:ascii="宋体" w:hAnsi="宋体" w:cs="宋体" w:eastAsia="宋体" w:hint="default"/>
          <w:spacing w:val="-2"/>
          <w:sz w:val="18"/>
          <w:szCs w:val="18"/>
        </w:rPr>
        <w:t>上下游业务，完善产业链，在文化产业链包括动漫、游戏、影视、衍生品等上下游进行战略布局，实现转型升级，初步完成</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了</w:t>
      </w:r>
      <w:r>
        <w:rPr>
          <w:rFonts w:ascii="Times New Roman" w:hAnsi="Times New Roman" w:cs="Times New Roman" w:eastAsia="Times New Roman" w:hint="default"/>
          <w:sz w:val="18"/>
          <w:szCs w:val="18"/>
        </w:rPr>
        <w:t>“</w:t>
      </w:r>
      <w:r>
        <w:rPr>
          <w:rFonts w:ascii="宋体" w:hAnsi="宋体" w:cs="宋体" w:eastAsia="宋体" w:hint="default"/>
          <w:sz w:val="18"/>
          <w:szCs w:val="18"/>
        </w:rPr>
        <w:t>自有</w:t>
      </w:r>
      <w:r>
        <w:rPr>
          <w:rFonts w:ascii="Times New Roman" w:hAnsi="Times New Roman" w:cs="Times New Roman" w:eastAsia="Times New Roman" w:hint="default"/>
          <w:sz w:val="18"/>
          <w:szCs w:val="18"/>
        </w:rPr>
        <w:t>IP+</w:t>
      </w:r>
      <w:r>
        <w:rPr>
          <w:rFonts w:ascii="宋体" w:hAnsi="宋体" w:cs="宋体" w:eastAsia="宋体" w:hint="default"/>
          <w:sz w:val="18"/>
          <w:szCs w:val="18"/>
        </w:rPr>
        <w:t>内容制作</w:t>
      </w:r>
      <w:r>
        <w:rPr>
          <w:rFonts w:ascii="Times New Roman" w:hAnsi="Times New Roman" w:cs="Times New Roman" w:eastAsia="Times New Roman" w:hint="default"/>
          <w:sz w:val="18"/>
          <w:szCs w:val="18"/>
        </w:rPr>
        <w:t>+</w:t>
      </w:r>
      <w:r>
        <w:rPr>
          <w:rFonts w:ascii="宋体" w:hAnsi="宋体" w:cs="宋体" w:eastAsia="宋体" w:hint="default"/>
          <w:sz w:val="18"/>
          <w:szCs w:val="18"/>
        </w:rPr>
        <w:t>内容发行和运营</w:t>
      </w:r>
      <w:r>
        <w:rPr>
          <w:rFonts w:ascii="Times New Roman" w:hAnsi="Times New Roman" w:cs="Times New Roman" w:eastAsia="Times New Roman" w:hint="default"/>
          <w:sz w:val="18"/>
          <w:szCs w:val="18"/>
        </w:rPr>
        <w:t>+</w:t>
      </w:r>
      <w:r>
        <w:rPr>
          <w:rFonts w:ascii="宋体" w:hAnsi="宋体" w:cs="宋体" w:eastAsia="宋体" w:hint="default"/>
          <w:sz w:val="18"/>
          <w:szCs w:val="18"/>
        </w:rPr>
        <w:t>新媒体运营</w:t>
      </w:r>
      <w:r>
        <w:rPr>
          <w:rFonts w:ascii="Times New Roman" w:hAnsi="Times New Roman" w:cs="Times New Roman" w:eastAsia="Times New Roman" w:hint="default"/>
          <w:sz w:val="18"/>
          <w:szCs w:val="18"/>
        </w:rPr>
        <w:t>+</w:t>
      </w:r>
      <w:r>
        <w:rPr>
          <w:rFonts w:ascii="宋体" w:hAnsi="宋体" w:cs="宋体" w:eastAsia="宋体" w:hint="default"/>
          <w:sz w:val="18"/>
          <w:szCs w:val="18"/>
        </w:rPr>
        <w:t>衍生品开发设计</w:t>
      </w:r>
      <w:r>
        <w:rPr>
          <w:rFonts w:ascii="Times New Roman" w:hAnsi="Times New Roman" w:cs="Times New Roman" w:eastAsia="Times New Roman" w:hint="default"/>
          <w:sz w:val="18"/>
          <w:szCs w:val="18"/>
        </w:rPr>
        <w:t>+</w:t>
      </w:r>
      <w:r>
        <w:rPr>
          <w:rFonts w:ascii="宋体" w:hAnsi="宋体" w:cs="宋体" w:eastAsia="宋体" w:hint="default"/>
          <w:sz w:val="18"/>
          <w:szCs w:val="18"/>
        </w:rPr>
        <w:t>线上线下零售渠道</w:t>
      </w:r>
      <w:r>
        <w:rPr>
          <w:rFonts w:ascii="Times New Roman" w:hAnsi="Times New Roman" w:cs="Times New Roman" w:eastAsia="Times New Roman" w:hint="default"/>
          <w:sz w:val="18"/>
          <w:szCs w:val="18"/>
        </w:rPr>
        <w:t>”</w:t>
      </w:r>
      <w:r>
        <w:rPr>
          <w:rFonts w:ascii="宋体" w:hAnsi="宋体" w:cs="宋体" w:eastAsia="宋体" w:hint="default"/>
          <w:sz w:val="18"/>
          <w:szCs w:val="18"/>
        </w:rPr>
        <w:t>的文化生态圈的构建。</w:t>
      </w:r>
    </w:p>
    <w:p>
      <w:pPr>
        <w:spacing w:before="119"/>
        <w:ind w:left="514" w:right="1360" w:firstLine="0"/>
        <w:jc w:val="left"/>
        <w:rPr>
          <w:rFonts w:ascii="宋体" w:hAnsi="宋体" w:cs="宋体" w:eastAsia="宋体" w:hint="default"/>
          <w:sz w:val="18"/>
          <w:szCs w:val="18"/>
        </w:rPr>
      </w:pPr>
      <w:r>
        <w:rPr>
          <w:rFonts w:ascii="宋体" w:hAnsi="宋体" w:cs="宋体" w:eastAsia="宋体" w:hint="default"/>
          <w:sz w:val="18"/>
          <w:szCs w:val="18"/>
        </w:rPr>
        <w:t>（二）公司的主要产品及其用途</w:t>
      </w:r>
    </w:p>
    <w:p>
      <w:pPr>
        <w:spacing w:line="430" w:lineRule="atLeast" w:before="15"/>
        <w:ind w:left="514" w:right="0" w:firstLine="0"/>
        <w:jc w:val="left"/>
        <w:rPr>
          <w:rFonts w:ascii="宋体" w:hAnsi="宋体" w:cs="宋体" w:eastAsia="宋体" w:hint="default"/>
          <w:sz w:val="18"/>
          <w:szCs w:val="18"/>
        </w:rPr>
      </w:pPr>
      <w:r>
        <w:rPr>
          <w:rFonts w:ascii="宋体" w:hAnsi="宋体" w:cs="宋体" w:eastAsia="宋体" w:hint="default"/>
          <w:sz w:val="18"/>
          <w:szCs w:val="18"/>
        </w:rPr>
        <w:t>公司产品主要包括</w:t>
      </w:r>
      <w:r>
        <w:rPr>
          <w:rFonts w:ascii="Times New Roman" w:hAnsi="Times New Roman" w:cs="Times New Roman" w:eastAsia="Times New Roman" w:hint="default"/>
          <w:sz w:val="18"/>
          <w:szCs w:val="18"/>
        </w:rPr>
        <w:t>IP</w:t>
      </w:r>
      <w:r>
        <w:rPr>
          <w:rFonts w:ascii="宋体" w:hAnsi="宋体" w:cs="宋体" w:eastAsia="宋体" w:hint="default"/>
          <w:sz w:val="18"/>
          <w:szCs w:val="18"/>
        </w:rPr>
        <w:t>衍生品、动漫、游戏、影视等文化类产品及经营轻游戏服务平台业务和等服务。 </w:t>
      </w:r>
      <w:r>
        <w:rPr>
          <w:rFonts w:ascii="宋体" w:hAnsi="宋体" w:cs="宋体" w:eastAsia="宋体" w:hint="default"/>
          <w:spacing w:val="-2"/>
          <w:sz w:val="18"/>
          <w:szCs w:val="18"/>
        </w:rPr>
        <w:t>公司及子公司的</w:t>
      </w:r>
      <w:r>
        <w:rPr>
          <w:rFonts w:ascii="Times New Roman" w:hAnsi="Times New Roman" w:cs="Times New Roman" w:eastAsia="Times New Roman" w:hint="default"/>
          <w:spacing w:val="-2"/>
          <w:sz w:val="18"/>
          <w:szCs w:val="18"/>
        </w:rPr>
        <w:t>IP</w:t>
      </w:r>
      <w:r>
        <w:rPr>
          <w:rFonts w:ascii="宋体" w:hAnsi="宋体" w:cs="宋体" w:eastAsia="宋体" w:hint="default"/>
          <w:spacing w:val="-2"/>
          <w:sz w:val="18"/>
          <w:szCs w:val="18"/>
        </w:rPr>
        <w:t>衍生产品，主要作为文化消费品使用。公司的动漫和影视作品主要通过电视台和网络渠道面向观众播</w:t>
      </w:r>
    </w:p>
    <w:p>
      <w:pPr>
        <w:spacing w:line="316" w:lineRule="auto" w:before="63"/>
        <w:ind w:left="154" w:right="1131" w:firstLine="0"/>
        <w:jc w:val="both"/>
        <w:rPr>
          <w:rFonts w:ascii="宋体" w:hAnsi="宋体" w:cs="宋体" w:eastAsia="宋体" w:hint="default"/>
          <w:sz w:val="18"/>
          <w:szCs w:val="18"/>
        </w:rPr>
      </w:pPr>
      <w:r>
        <w:rPr>
          <w:rFonts w:ascii="宋体" w:hAnsi="宋体" w:cs="宋体" w:eastAsia="宋体" w:hint="default"/>
          <w:spacing w:val="-2"/>
          <w:sz w:val="18"/>
          <w:szCs w:val="18"/>
        </w:rPr>
        <w:t>放；公司的游戏产品主要在国内大型游戏运营平台运营，满足玩家的娱乐消费需求。轻游戏服务平台业务要向游戏开发商和</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发行商提供游戏推广和变现过程中所必须的计费接入、数据统计及智能分析、智能更新、负载均衡及下载加速、数据结算等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技术支撑和服务，向移动游戏渠道商提供游戏产品资源整合服务，</w:t>
      </w:r>
    </w:p>
    <w:p>
      <w:pPr>
        <w:spacing w:line="432" w:lineRule="exact" w:before="4"/>
        <w:ind w:left="514" w:right="0" w:firstLine="0"/>
        <w:jc w:val="left"/>
        <w:rPr>
          <w:rFonts w:ascii="宋体" w:hAnsi="宋体" w:cs="宋体" w:eastAsia="宋体" w:hint="default"/>
          <w:sz w:val="18"/>
          <w:szCs w:val="18"/>
        </w:rPr>
      </w:pPr>
      <w:r>
        <w:rPr>
          <w:rFonts w:ascii="宋体" w:hAnsi="宋体" w:cs="宋体" w:eastAsia="宋体" w:hint="default"/>
          <w:sz w:val="18"/>
          <w:szCs w:val="18"/>
        </w:rPr>
        <w:t>（三）公司经营模式 </w:t>
      </w:r>
      <w:r>
        <w:rPr>
          <w:rFonts w:ascii="宋体" w:hAnsi="宋体" w:cs="宋体" w:eastAsia="宋体" w:hint="default"/>
          <w:spacing w:val="-2"/>
          <w:sz w:val="18"/>
          <w:szCs w:val="18"/>
        </w:rPr>
        <w:t>公司的业务发展，是基于文化创意行业产业链和泛娱乐经营模式进行的业务布局。一方面，基于自身优势的</w:t>
      </w:r>
      <w:r>
        <w:rPr>
          <w:rFonts w:ascii="Times New Roman" w:hAnsi="Times New Roman" w:cs="Times New Roman" w:eastAsia="Times New Roman" w:hint="default"/>
          <w:spacing w:val="-2"/>
          <w:sz w:val="18"/>
          <w:szCs w:val="18"/>
        </w:rPr>
        <w:t>IP</w:t>
      </w:r>
      <w:r>
        <w:rPr>
          <w:rFonts w:ascii="宋体" w:hAnsi="宋体" w:cs="宋体" w:eastAsia="宋体" w:hint="default"/>
          <w:spacing w:val="-2"/>
          <w:sz w:val="18"/>
          <w:szCs w:val="18"/>
        </w:rPr>
        <w:t>衍生品和</w:t>
      </w:r>
    </w:p>
    <w:p>
      <w:pPr>
        <w:spacing w:line="300" w:lineRule="auto" w:before="15"/>
        <w:ind w:left="154" w:right="1130" w:firstLine="0"/>
        <w:jc w:val="both"/>
        <w:rPr>
          <w:rFonts w:ascii="宋体" w:hAnsi="宋体" w:cs="宋体" w:eastAsia="宋体" w:hint="default"/>
          <w:sz w:val="18"/>
          <w:szCs w:val="18"/>
        </w:rPr>
      </w:pPr>
      <w:r>
        <w:rPr>
          <w:rFonts w:ascii="宋体" w:hAnsi="宋体" w:cs="宋体" w:eastAsia="宋体" w:hint="default"/>
          <w:spacing w:val="-3"/>
          <w:sz w:val="18"/>
          <w:szCs w:val="18"/>
        </w:rPr>
        <w:t>新媒体业务，向泛娱乐其他业务版块延伸；另一方面，基于完整的泛娱乐生态圈，向产业链源头</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IP</w:t>
      </w:r>
      <w:r>
        <w:rPr>
          <w:rFonts w:ascii="宋体" w:hAnsi="宋体" w:cs="宋体" w:eastAsia="宋体" w:hint="default"/>
          <w:spacing w:val="-3"/>
          <w:sz w:val="18"/>
          <w:szCs w:val="18"/>
        </w:rPr>
        <w:t>延伸。从而构建起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自</w:t>
      </w:r>
      <w:r>
        <w:rPr>
          <w:rFonts w:ascii="宋体" w:hAnsi="宋体" w:cs="宋体" w:eastAsia="宋体" w:hint="default"/>
          <w:spacing w:val="-66"/>
          <w:sz w:val="18"/>
          <w:szCs w:val="18"/>
        </w:rPr>
        <w:t> </w:t>
      </w:r>
      <w:r>
        <w:rPr>
          <w:rFonts w:ascii="宋体" w:hAnsi="宋体" w:cs="宋体" w:eastAsia="宋体" w:hint="default"/>
          <w:sz w:val="18"/>
          <w:szCs w:val="18"/>
        </w:rPr>
        <w:t>有</w:t>
      </w:r>
      <w:r>
        <w:rPr>
          <w:rFonts w:ascii="Times New Roman" w:hAnsi="Times New Roman" w:cs="Times New Roman" w:eastAsia="Times New Roman" w:hint="default"/>
          <w:sz w:val="18"/>
          <w:szCs w:val="18"/>
        </w:rPr>
        <w:t>IP+</w:t>
      </w:r>
      <w:r>
        <w:rPr>
          <w:rFonts w:ascii="宋体" w:hAnsi="宋体" w:cs="宋体" w:eastAsia="宋体" w:hint="default"/>
          <w:sz w:val="18"/>
          <w:szCs w:val="18"/>
        </w:rPr>
        <w:t>内容制作（动漫、游戏、电影、儿童剧）</w:t>
      </w:r>
      <w:r>
        <w:rPr>
          <w:rFonts w:ascii="Times New Roman" w:hAnsi="Times New Roman" w:cs="Times New Roman" w:eastAsia="Times New Roman" w:hint="default"/>
          <w:sz w:val="18"/>
          <w:szCs w:val="18"/>
        </w:rPr>
        <w:t>+</w:t>
      </w:r>
      <w:r>
        <w:rPr>
          <w:rFonts w:ascii="宋体" w:hAnsi="宋体" w:cs="宋体" w:eastAsia="宋体" w:hint="default"/>
          <w:sz w:val="18"/>
          <w:szCs w:val="18"/>
        </w:rPr>
        <w:t>内容发行和运营</w:t>
      </w:r>
      <w:r>
        <w:rPr>
          <w:rFonts w:ascii="Times New Roman" w:hAnsi="Times New Roman" w:cs="Times New Roman" w:eastAsia="Times New Roman" w:hint="default"/>
          <w:sz w:val="18"/>
          <w:szCs w:val="18"/>
        </w:rPr>
        <w:t>+</w:t>
      </w:r>
      <w:r>
        <w:rPr>
          <w:rFonts w:ascii="宋体" w:hAnsi="宋体" w:cs="宋体" w:eastAsia="宋体" w:hint="default"/>
          <w:sz w:val="18"/>
          <w:szCs w:val="18"/>
        </w:rPr>
        <w:t>新媒体运营</w:t>
      </w:r>
      <w:r>
        <w:rPr>
          <w:rFonts w:ascii="Times New Roman" w:hAnsi="Times New Roman" w:cs="Times New Roman" w:eastAsia="Times New Roman" w:hint="default"/>
          <w:sz w:val="18"/>
          <w:szCs w:val="18"/>
        </w:rPr>
        <w:t>+</w:t>
      </w:r>
      <w:r>
        <w:rPr>
          <w:rFonts w:ascii="宋体" w:hAnsi="宋体" w:cs="宋体" w:eastAsia="宋体" w:hint="default"/>
          <w:sz w:val="18"/>
          <w:szCs w:val="18"/>
        </w:rPr>
        <w:t>衍生品开发设计</w:t>
      </w:r>
      <w:r>
        <w:rPr>
          <w:rFonts w:ascii="Times New Roman" w:hAnsi="Times New Roman" w:cs="Times New Roman" w:eastAsia="Times New Roman" w:hint="default"/>
          <w:sz w:val="18"/>
          <w:szCs w:val="18"/>
        </w:rPr>
        <w:t>+</w:t>
      </w:r>
      <w:r>
        <w:rPr>
          <w:rFonts w:ascii="宋体" w:hAnsi="宋体" w:cs="宋体" w:eastAsia="宋体" w:hint="default"/>
          <w:sz w:val="18"/>
          <w:szCs w:val="18"/>
        </w:rPr>
        <w:t>线上线下零售渠道</w:t>
      </w:r>
      <w:r>
        <w:rPr>
          <w:rFonts w:ascii="Times New Roman" w:hAnsi="Times New Roman" w:cs="Times New Roman" w:eastAsia="Times New Roman" w:hint="default"/>
          <w:sz w:val="18"/>
          <w:szCs w:val="18"/>
        </w:rPr>
        <w:t>”</w:t>
      </w:r>
      <w:r>
        <w:rPr>
          <w:rFonts w:ascii="宋体" w:hAnsi="宋体" w:cs="宋体" w:eastAsia="宋体" w:hint="default"/>
          <w:sz w:val="18"/>
          <w:szCs w:val="18"/>
        </w:rPr>
        <w:t>的文化</w:t>
      </w:r>
      <w:r>
        <w:rPr>
          <w:rFonts w:ascii="宋体" w:hAnsi="宋体" w:cs="宋体" w:eastAsia="宋体" w:hint="default"/>
          <w:spacing w:val="-33"/>
          <w:sz w:val="18"/>
          <w:szCs w:val="18"/>
        </w:rPr>
        <w:t> </w:t>
      </w:r>
      <w:r>
        <w:rPr>
          <w:rFonts w:ascii="宋体" w:hAnsi="宋体" w:cs="宋体" w:eastAsia="宋体" w:hint="default"/>
          <w:sz w:val="18"/>
          <w:szCs w:val="18"/>
        </w:rPr>
        <w:t>生态圈。</w:t>
      </w:r>
    </w:p>
    <w:p>
      <w:pPr>
        <w:spacing w:line="432" w:lineRule="exact" w:before="16"/>
        <w:ind w:left="514" w:right="0" w:firstLine="0"/>
        <w:jc w:val="left"/>
        <w:rPr>
          <w:rFonts w:ascii="宋体" w:hAnsi="宋体" w:cs="宋体" w:eastAsia="宋体" w:hint="default"/>
          <w:sz w:val="18"/>
          <w:szCs w:val="18"/>
        </w:rPr>
      </w:pPr>
      <w:r>
        <w:rPr>
          <w:rFonts w:ascii="宋体" w:hAnsi="宋体" w:cs="宋体" w:eastAsia="宋体" w:hint="default"/>
          <w:sz w:val="18"/>
          <w:szCs w:val="18"/>
        </w:rPr>
        <w:t>（四）主要的业绩驱动因素 </w:t>
      </w:r>
      <w:r>
        <w:rPr>
          <w:rFonts w:ascii="宋体" w:hAnsi="宋体" w:cs="宋体" w:eastAsia="宋体" w:hint="default"/>
          <w:spacing w:val="-2"/>
          <w:sz w:val="18"/>
          <w:szCs w:val="18"/>
        </w:rPr>
        <w:t>泛娱乐化时代开启，衍生品经济乘东风。基于互联网与移动互联网的多领域共生，以</w:t>
      </w:r>
      <w:r>
        <w:rPr>
          <w:rFonts w:ascii="Times New Roman" w:hAnsi="Times New Roman" w:cs="Times New Roman" w:eastAsia="Times New Roman" w:hint="default"/>
          <w:spacing w:val="-2"/>
          <w:sz w:val="18"/>
          <w:szCs w:val="18"/>
        </w:rPr>
        <w:t>IP</w:t>
      </w:r>
      <w:r>
        <w:rPr>
          <w:rFonts w:ascii="宋体" w:hAnsi="宋体" w:cs="宋体" w:eastAsia="宋体" w:hint="default"/>
          <w:spacing w:val="-2"/>
          <w:sz w:val="18"/>
          <w:szCs w:val="18"/>
        </w:rPr>
        <w:t>为核心，进行跨领域、跨平台衍</w:t>
      </w:r>
    </w:p>
    <w:p>
      <w:pPr>
        <w:spacing w:line="307" w:lineRule="auto" w:before="15"/>
        <w:ind w:left="154" w:right="1131" w:firstLine="0"/>
        <w:jc w:val="both"/>
        <w:rPr>
          <w:rFonts w:ascii="宋体" w:hAnsi="宋体" w:cs="宋体" w:eastAsia="宋体" w:hint="default"/>
          <w:sz w:val="18"/>
          <w:szCs w:val="18"/>
        </w:rPr>
      </w:pPr>
      <w:r>
        <w:rPr>
          <w:rFonts w:ascii="宋体" w:hAnsi="宋体" w:cs="宋体" w:eastAsia="宋体" w:hint="default"/>
          <w:spacing w:val="-2"/>
          <w:sz w:val="18"/>
          <w:szCs w:val="18"/>
        </w:rPr>
        <w:t>生的粉丝经济，即泛娱乐化时代到来。目前，包括动漫、游戏、影视、网红、明星等泛娱乐领域多点开花，</w:t>
      </w:r>
      <w:r>
        <w:rPr>
          <w:rFonts w:ascii="Times New Roman" w:hAnsi="Times New Roman" w:cs="Times New Roman" w:eastAsia="Times New Roman" w:hint="default"/>
          <w:spacing w:val="-2"/>
          <w:sz w:val="18"/>
          <w:szCs w:val="18"/>
        </w:rPr>
        <w:t>IP</w:t>
      </w:r>
      <w:r>
        <w:rPr>
          <w:rFonts w:ascii="宋体" w:hAnsi="宋体" w:cs="宋体" w:eastAsia="宋体" w:hint="default"/>
          <w:spacing w:val="-2"/>
          <w:sz w:val="18"/>
          <w:szCs w:val="18"/>
        </w:rPr>
        <w:t>内容产业表现</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出井喷态势，未来也有望保持高速发展态势。以迪士尼为代表的美国市场，是由全产业链运作的大型娱乐集团主导，基于高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
          <w:sz w:val="18"/>
          <w:szCs w:val="18"/>
        </w:rPr>
        <w:t>质量</w:t>
      </w:r>
      <w:r>
        <w:rPr>
          <w:rFonts w:ascii="Times New Roman" w:hAnsi="Times New Roman" w:cs="Times New Roman" w:eastAsia="Times New Roman" w:hint="default"/>
          <w:spacing w:val="-1"/>
          <w:sz w:val="18"/>
          <w:szCs w:val="18"/>
        </w:rPr>
        <w:t>IP</w:t>
      </w:r>
      <w:r>
        <w:rPr>
          <w:rFonts w:ascii="宋体" w:hAnsi="宋体" w:cs="宋体" w:eastAsia="宋体" w:hint="default"/>
          <w:spacing w:val="-1"/>
          <w:sz w:val="18"/>
          <w:szCs w:val="18"/>
        </w:rPr>
        <w:t>的开发运作及成熟的衍生品授权体系。国内市场，</w:t>
      </w:r>
      <w:r>
        <w:rPr>
          <w:rFonts w:ascii="Times New Roman" w:hAnsi="Times New Roman" w:cs="Times New Roman" w:eastAsia="Times New Roman" w:hint="default"/>
          <w:spacing w:val="-1"/>
          <w:sz w:val="18"/>
          <w:szCs w:val="18"/>
        </w:rPr>
        <w:t>IP</w:t>
      </w:r>
      <w:r>
        <w:rPr>
          <w:rFonts w:ascii="宋体" w:hAnsi="宋体" w:cs="宋体" w:eastAsia="宋体" w:hint="default"/>
          <w:spacing w:val="-1"/>
          <w:sz w:val="18"/>
          <w:szCs w:val="18"/>
        </w:rPr>
        <w:t>内容市场火爆的同时，变现端渠道相对有限，衍生品、游戏、影</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视、动漫等作为</w:t>
      </w:r>
      <w:r>
        <w:rPr>
          <w:rFonts w:ascii="Times New Roman" w:hAnsi="Times New Roman" w:cs="Times New Roman" w:eastAsia="Times New Roman" w:hint="default"/>
          <w:sz w:val="18"/>
          <w:szCs w:val="18"/>
        </w:rPr>
        <w:t>IP</w:t>
      </w:r>
      <w:r>
        <w:rPr>
          <w:rFonts w:ascii="宋体" w:hAnsi="宋体" w:cs="宋体" w:eastAsia="宋体" w:hint="default"/>
          <w:sz w:val="18"/>
          <w:szCs w:val="18"/>
        </w:rPr>
        <w:t>变现中非常重要的环节，在我国具备较大提升空间。</w:t>
      </w:r>
    </w:p>
    <w:p>
      <w:pPr>
        <w:spacing w:before="127"/>
        <w:ind w:left="514" w:right="1360" w:firstLine="0"/>
        <w:jc w:val="left"/>
        <w:rPr>
          <w:rFonts w:ascii="宋体" w:hAnsi="宋体" w:cs="宋体" w:eastAsia="宋体" w:hint="default"/>
          <w:sz w:val="18"/>
          <w:szCs w:val="18"/>
        </w:rPr>
      </w:pPr>
      <w:r>
        <w:rPr>
          <w:rFonts w:ascii="宋体" w:hAnsi="宋体" w:cs="宋体" w:eastAsia="宋体" w:hint="default"/>
          <w:sz w:val="18"/>
          <w:szCs w:val="18"/>
        </w:rPr>
        <w:t>二、公司所属行业发展阶段、周期性特点及公司所处行业地位</w:t>
      </w:r>
    </w:p>
    <w:p>
      <w:pPr>
        <w:spacing w:line="240" w:lineRule="auto" w:before="0"/>
        <w:rPr>
          <w:rFonts w:ascii="宋体" w:hAnsi="宋体" w:cs="宋体" w:eastAsia="宋体" w:hint="default"/>
          <w:sz w:val="15"/>
          <w:szCs w:val="15"/>
        </w:rPr>
      </w:pPr>
    </w:p>
    <w:p>
      <w:pPr>
        <w:spacing w:line="314" w:lineRule="auto" w:before="0"/>
        <w:ind w:left="154" w:right="1129" w:firstLine="360"/>
        <w:jc w:val="both"/>
        <w:rPr>
          <w:rFonts w:ascii="宋体" w:hAnsi="宋体" w:cs="宋体" w:eastAsia="宋体" w:hint="default"/>
          <w:sz w:val="18"/>
          <w:szCs w:val="18"/>
        </w:rPr>
      </w:pPr>
      <w:r>
        <w:rPr>
          <w:rFonts w:ascii="宋体" w:hAnsi="宋体" w:cs="宋体" w:eastAsia="宋体" w:hint="default"/>
          <w:spacing w:val="-2"/>
          <w:sz w:val="18"/>
          <w:szCs w:val="18"/>
        </w:rPr>
        <w:t>近年来，国内外文化产业发展迅速，市场规模不断扩大，对经济增长和增加就业的贡献不断增强，已成为许多经济体的</w:t>
      </w:r>
      <w:r>
        <w:rPr>
          <w:rFonts w:ascii="宋体" w:hAnsi="宋体" w:cs="宋体" w:eastAsia="宋体" w:hint="default"/>
          <w:sz w:val="18"/>
          <w:szCs w:val="18"/>
        </w:rPr>
        <w:t> </w:t>
      </w:r>
      <w:r>
        <w:rPr>
          <w:rFonts w:ascii="宋体" w:hAnsi="宋体" w:cs="宋体" w:eastAsia="宋体" w:hint="default"/>
          <w:spacing w:val="-2"/>
          <w:sz w:val="18"/>
          <w:szCs w:val="18"/>
        </w:rPr>
        <w:t>支柱产业之一。随着居民消费结构升级，发达国家文化消费支出不断增加，这是发达国家发展进程中的共同规律。目前，世</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界主要经济体文化产业发展速度普遍高于经济发展速度，文化产业发展动力极为强劲。我国拥有巨大的、快速扩张的国内市</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场等优势，且政府正逐步将文化产业由政府主导转向市场主导，我国的文化产业发展拥有巨大的可挖掘潜力。目前公司正处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
          <w:sz w:val="18"/>
          <w:szCs w:val="18"/>
        </w:rPr>
        <w:t>于一个产业整合的阶段，向泛娱乐其他业务板块延伸，构建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自有</w:t>
      </w:r>
      <w:r>
        <w:rPr>
          <w:rFonts w:ascii="Times New Roman" w:hAnsi="Times New Roman" w:cs="Times New Roman" w:eastAsia="Times New Roman" w:hint="default"/>
          <w:spacing w:val="-1"/>
          <w:sz w:val="18"/>
          <w:szCs w:val="18"/>
        </w:rPr>
        <w:t>IP+</w:t>
      </w:r>
      <w:r>
        <w:rPr>
          <w:rFonts w:ascii="宋体" w:hAnsi="宋体" w:cs="宋体" w:eastAsia="宋体" w:hint="default"/>
          <w:spacing w:val="-1"/>
          <w:sz w:val="18"/>
          <w:szCs w:val="18"/>
        </w:rPr>
        <w:t>内容制作</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内容发行和运营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新媒体运营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衍生品开发设</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w:t>
      </w:r>
      <w:r>
        <w:rPr>
          <w:rFonts w:ascii="宋体" w:hAnsi="宋体" w:cs="宋体" w:eastAsia="宋体" w:hint="default"/>
          <w:sz w:val="18"/>
          <w:szCs w:val="18"/>
        </w:rPr>
        <w:t>线上线下零售渠道</w:t>
      </w:r>
      <w:r>
        <w:rPr>
          <w:rFonts w:ascii="Times New Roman" w:hAnsi="Times New Roman" w:cs="Times New Roman" w:eastAsia="Times New Roman" w:hint="default"/>
          <w:sz w:val="18"/>
          <w:szCs w:val="18"/>
        </w:rPr>
        <w:t>”</w:t>
      </w:r>
      <w:r>
        <w:rPr>
          <w:rFonts w:ascii="宋体" w:hAnsi="宋体" w:cs="宋体" w:eastAsia="宋体" w:hint="default"/>
          <w:sz w:val="18"/>
          <w:szCs w:val="18"/>
        </w:rPr>
        <w:t>的泛娱乐文化生态圈。</w:t>
      </w:r>
    </w:p>
    <w:p>
      <w:pPr>
        <w:spacing w:after="0" w:line="314"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36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765"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line="240" w:lineRule="auto" w:before="2"/>
        <w:rPr>
          <w:rFonts w:ascii="宋体" w:hAnsi="宋体" w:cs="宋体" w:eastAsia="宋体" w:hint="default"/>
          <w:b/>
          <w:bCs/>
          <w:sz w:val="19"/>
          <w:szCs w:val="19"/>
        </w:rPr>
      </w:pPr>
    </w:p>
    <w:p>
      <w:pPr>
        <w:pStyle w:val="Heading4"/>
        <w:spacing w:line="240" w:lineRule="auto" w:before="35"/>
        <w:ind w:right="136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36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439" w:lineRule="auto" w:before="105"/>
        <w:ind w:left="514" w:right="5352" w:firstLine="0"/>
        <w:jc w:val="left"/>
        <w:rPr>
          <w:rFonts w:ascii="宋体" w:hAnsi="宋体" w:cs="宋体" w:eastAsia="宋体" w:hint="default"/>
          <w:sz w:val="18"/>
          <w:szCs w:val="18"/>
        </w:rPr>
      </w:pPr>
      <w:r>
        <w:rPr>
          <w:rFonts w:ascii="宋体" w:hAnsi="宋体" w:cs="宋体" w:eastAsia="宋体" w:hint="default"/>
          <w:sz w:val="18"/>
          <w:szCs w:val="18"/>
        </w:rPr>
        <w:t>报告期内公司未发生核心管理团队或关键技术人员离职的情形。 一、原创内容的核心价值优势</w:t>
      </w:r>
    </w:p>
    <w:p>
      <w:pPr>
        <w:spacing w:line="307" w:lineRule="auto" w:before="47"/>
        <w:ind w:left="154" w:right="1028" w:firstLine="360"/>
        <w:jc w:val="left"/>
        <w:rPr>
          <w:rFonts w:ascii="宋体" w:hAnsi="宋体" w:cs="宋体" w:eastAsia="宋体" w:hint="default"/>
          <w:sz w:val="18"/>
          <w:szCs w:val="18"/>
        </w:rPr>
      </w:pPr>
      <w:r>
        <w:rPr>
          <w:rFonts w:ascii="宋体" w:hAnsi="宋体" w:cs="宋体" w:eastAsia="宋体" w:hint="default"/>
          <w:spacing w:val="-2"/>
          <w:sz w:val="18"/>
          <w:szCs w:val="18"/>
        </w:rPr>
        <w:t>原创内容作为产业发展和衍生的基础，正在文化传播领域和动漫产业链中占据越来越重要的地位。原创内容的具体表现</w:t>
      </w:r>
      <w:r>
        <w:rPr>
          <w:rFonts w:ascii="宋体" w:hAnsi="宋体" w:cs="宋体" w:eastAsia="宋体" w:hint="default"/>
          <w:sz w:val="18"/>
          <w:szCs w:val="18"/>
        </w:rPr>
        <w:t> 形式即是</w:t>
      </w:r>
      <w:r>
        <w:rPr>
          <w:rFonts w:ascii="Times New Roman" w:hAnsi="Times New Roman" w:cs="Times New Roman" w:eastAsia="Times New Roman" w:hint="default"/>
          <w:sz w:val="18"/>
          <w:szCs w:val="18"/>
        </w:rPr>
        <w:t>IP</w:t>
      </w:r>
      <w:r>
        <w:rPr>
          <w:rFonts w:ascii="宋体" w:hAnsi="宋体" w:cs="宋体" w:eastAsia="宋体" w:hint="default"/>
          <w:sz w:val="18"/>
          <w:szCs w:val="18"/>
        </w:rPr>
        <w:t>，其来源主要包括动漫、游戏、影视、文学等原创性资源，通常具有独特的指向性和较高的识别度，易于被喜爱 </w:t>
      </w:r>
      <w:r>
        <w:rPr>
          <w:rFonts w:ascii="宋体" w:hAnsi="宋体" w:cs="宋体" w:eastAsia="宋体" w:hint="default"/>
          <w:spacing w:val="-2"/>
          <w:sz w:val="18"/>
          <w:szCs w:val="18"/>
        </w:rPr>
        <w:t>的人群所接受。在国内</w:t>
      </w:r>
      <w:r>
        <w:rPr>
          <w:rFonts w:ascii="Times New Roman" w:hAnsi="Times New Roman" w:cs="Times New Roman" w:eastAsia="Times New Roman" w:hint="default"/>
          <w:spacing w:val="-2"/>
          <w:sz w:val="18"/>
          <w:szCs w:val="18"/>
        </w:rPr>
        <w:t>IP</w:t>
      </w:r>
      <w:r>
        <w:rPr>
          <w:rFonts w:ascii="宋体" w:hAnsi="宋体" w:cs="宋体" w:eastAsia="宋体" w:hint="default"/>
          <w:spacing w:val="-2"/>
          <w:sz w:val="18"/>
          <w:szCs w:val="18"/>
        </w:rPr>
        <w:t>市场如此火爆的背景下，公司更加专注于开发和培育优质原创</w:t>
      </w:r>
      <w:r>
        <w:rPr>
          <w:rFonts w:ascii="Times New Roman" w:hAnsi="Times New Roman" w:cs="Times New Roman" w:eastAsia="Times New Roman" w:hint="default"/>
          <w:spacing w:val="-2"/>
          <w:sz w:val="18"/>
          <w:szCs w:val="18"/>
        </w:rPr>
        <w:t>IP</w:t>
      </w:r>
      <w:r>
        <w:rPr>
          <w:rFonts w:ascii="宋体" w:hAnsi="宋体" w:cs="宋体" w:eastAsia="宋体" w:hint="default"/>
          <w:spacing w:val="-2"/>
          <w:sz w:val="18"/>
          <w:szCs w:val="18"/>
        </w:rPr>
        <w:t>，一方面提升公司原创</w:t>
      </w:r>
      <w:r>
        <w:rPr>
          <w:rFonts w:ascii="Times New Roman" w:hAnsi="Times New Roman" w:cs="Times New Roman" w:eastAsia="Times New Roman" w:hint="default"/>
          <w:spacing w:val="-2"/>
          <w:sz w:val="18"/>
          <w:szCs w:val="18"/>
        </w:rPr>
        <w:t>IP</w:t>
      </w:r>
      <w:r>
        <w:rPr>
          <w:rFonts w:ascii="宋体" w:hAnsi="宋体" w:cs="宋体" w:eastAsia="宋体" w:hint="default"/>
          <w:spacing w:val="-2"/>
          <w:sz w:val="18"/>
          <w:szCs w:val="18"/>
        </w:rPr>
        <w:t>的丰富度，</w:t>
      </w:r>
      <w:r>
        <w:rPr>
          <w:rFonts w:ascii="宋体" w:hAnsi="宋体" w:cs="宋体" w:eastAsia="宋体" w:hint="default"/>
          <w:sz w:val="18"/>
          <w:szCs w:val="18"/>
        </w:rPr>
        <w:t> 另一方面加强捕捉优质</w:t>
      </w:r>
      <w:r>
        <w:rPr>
          <w:rFonts w:ascii="Times New Roman" w:hAnsi="Times New Roman" w:cs="Times New Roman" w:eastAsia="Times New Roman" w:hint="default"/>
          <w:sz w:val="18"/>
          <w:szCs w:val="18"/>
        </w:rPr>
        <w:t>IP</w:t>
      </w:r>
      <w:r>
        <w:rPr>
          <w:rFonts w:ascii="宋体" w:hAnsi="宋体" w:cs="宋体" w:eastAsia="宋体" w:hint="default"/>
          <w:sz w:val="18"/>
          <w:szCs w:val="18"/>
        </w:rPr>
        <w:t>的能力。</w:t>
      </w:r>
    </w:p>
    <w:p>
      <w:pPr>
        <w:spacing w:before="127"/>
        <w:ind w:left="514" w:right="136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、不断丰富原创</w:t>
      </w:r>
      <w:r>
        <w:rPr>
          <w:rFonts w:ascii="Times New Roman" w:hAnsi="Times New Roman" w:cs="Times New Roman" w:eastAsia="Times New Roman" w:hint="default"/>
          <w:sz w:val="18"/>
          <w:szCs w:val="18"/>
        </w:rPr>
        <w:t>IP</w:t>
      </w:r>
    </w:p>
    <w:p>
      <w:pPr>
        <w:spacing w:line="240" w:lineRule="auto" w:before="10"/>
        <w:rPr>
          <w:rFonts w:ascii="Times New Roman" w:hAnsi="Times New Roman" w:cs="Times New Roman" w:eastAsia="Times New Roman" w:hint="default"/>
          <w:sz w:val="15"/>
          <w:szCs w:val="15"/>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公司目前拥有</w:t>
      </w:r>
      <w:r>
        <w:rPr>
          <w:rFonts w:ascii="Times New Roman" w:hAnsi="Times New Roman" w:cs="Times New Roman" w:eastAsia="Times New Roman" w:hint="default"/>
          <w:sz w:val="18"/>
          <w:szCs w:val="18"/>
        </w:rPr>
        <w:t>“</w:t>
      </w:r>
      <w:r>
        <w:rPr>
          <w:rFonts w:ascii="宋体" w:hAnsi="宋体" w:cs="宋体" w:eastAsia="宋体" w:hint="default"/>
          <w:sz w:val="18"/>
          <w:szCs w:val="18"/>
        </w:rPr>
        <w:t>同道大叔</w:t>
      </w:r>
      <w:r>
        <w:rPr>
          <w:rFonts w:ascii="Times New Roman" w:hAnsi="Times New Roman" w:cs="Times New Roman" w:eastAsia="Times New Roman" w:hint="default"/>
          <w:sz w:val="18"/>
          <w:szCs w:val="18"/>
        </w:rPr>
        <w:t>”</w:t>
      </w:r>
      <w:r>
        <w:rPr>
          <w:rFonts w:ascii="宋体" w:hAnsi="宋体" w:cs="宋体" w:eastAsia="宋体" w:hint="default"/>
          <w:sz w:val="18"/>
          <w:szCs w:val="18"/>
        </w:rPr>
        <w:t>等国内知名原创精品</w:t>
      </w:r>
      <w:r>
        <w:rPr>
          <w:rFonts w:ascii="Times New Roman" w:hAnsi="Times New Roman" w:cs="Times New Roman" w:eastAsia="Times New Roman" w:hint="default"/>
          <w:sz w:val="18"/>
          <w:szCs w:val="18"/>
        </w:rPr>
        <w:t>IP</w:t>
      </w:r>
      <w:r>
        <w:rPr>
          <w:rFonts w:ascii="宋体" w:hAnsi="宋体" w:cs="宋体" w:eastAsia="宋体" w:hint="default"/>
          <w:sz w:val="18"/>
          <w:szCs w:val="18"/>
        </w:rPr>
        <w:t>，《小小勇者村》、《纸牌三国》、《光之契约》、《挂出个大侠》、</w:t>
      </w:r>
    </w:p>
    <w:p>
      <w:pPr>
        <w:spacing w:line="304" w:lineRule="auto" w:before="63"/>
        <w:ind w:left="154" w:right="1129" w:firstLine="0"/>
        <w:jc w:val="both"/>
        <w:rPr>
          <w:rFonts w:ascii="宋体" w:hAnsi="宋体" w:cs="宋体" w:eastAsia="宋体" w:hint="default"/>
          <w:sz w:val="18"/>
          <w:szCs w:val="18"/>
        </w:rPr>
      </w:pPr>
      <w:r>
        <w:rPr>
          <w:rFonts w:ascii="宋体" w:hAnsi="宋体" w:cs="宋体" w:eastAsia="宋体" w:hint="default"/>
          <w:spacing w:val="-2"/>
          <w:sz w:val="18"/>
          <w:szCs w:val="18"/>
        </w:rPr>
        <w:t>《陆战风云》、《行星远征》等优秀网页游戏和手机游戏，《莫麟传奇》、《爵士兔》、《坦坦小动员》、《星学院》系列</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等优秀原创动漫作品。</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同道大叔</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携手亚朵酒店打造的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慢一点</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星座酒店在成都正式开业，晋升成都网红地标；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双</w:t>
      </w:r>
      <w:r>
        <w:rPr>
          <w:rFonts w:ascii="宋体" w:hAnsi="宋体" w:cs="宋体" w:eastAsia="宋体" w:hint="default"/>
          <w:spacing w:val="-36"/>
          <w:sz w:val="18"/>
          <w:szCs w:val="18"/>
        </w:rPr>
        <w:t> </w:t>
      </w:r>
      <w:r>
        <w:rPr>
          <w:rFonts w:ascii="宋体" w:hAnsi="宋体" w:cs="宋体" w:eastAsia="宋体" w:hint="default"/>
          <w:sz w:val="18"/>
          <w:szCs w:val="18"/>
        </w:rPr>
        <w:t>十一</w:t>
      </w:r>
      <w:r>
        <w:rPr>
          <w:rFonts w:ascii="Times New Roman" w:hAnsi="Times New Roman" w:cs="Times New Roman" w:eastAsia="Times New Roman" w:hint="default"/>
          <w:sz w:val="18"/>
          <w:szCs w:val="18"/>
        </w:rPr>
        <w:t>”</w:t>
      </w:r>
      <w:r>
        <w:rPr>
          <w:rFonts w:ascii="宋体" w:hAnsi="宋体" w:cs="宋体" w:eastAsia="宋体" w:hint="default"/>
          <w:sz w:val="18"/>
          <w:szCs w:val="18"/>
        </w:rPr>
        <w:t>期间，同道大叔与北美最大亚洲商品购物平台亚米（</w:t>
      </w:r>
      <w:r>
        <w:rPr>
          <w:rFonts w:ascii="Times New Roman" w:hAnsi="Times New Roman" w:cs="Times New Roman" w:eastAsia="Times New Roman" w:hint="default"/>
          <w:sz w:val="18"/>
          <w:szCs w:val="18"/>
        </w:rPr>
        <w:t>Yamibuy</w:t>
      </w:r>
      <w:r>
        <w:rPr>
          <w:rFonts w:ascii="宋体" w:hAnsi="宋体" w:cs="宋体" w:eastAsia="宋体" w:hint="default"/>
          <w:sz w:val="18"/>
          <w:szCs w:val="18"/>
        </w:rPr>
        <w:t>）达成合作，向北美市场投放</w:t>
      </w:r>
      <w:r>
        <w:rPr>
          <w:rFonts w:ascii="Times New Roman" w:hAnsi="Times New Roman" w:cs="Times New Roman" w:eastAsia="Times New Roman" w:hint="default"/>
          <w:sz w:val="18"/>
          <w:szCs w:val="18"/>
        </w:rPr>
        <w:t>20</w:t>
      </w:r>
      <w:r>
        <w:rPr>
          <w:rFonts w:ascii="宋体" w:hAnsi="宋体" w:cs="宋体" w:eastAsia="宋体" w:hint="default"/>
          <w:sz w:val="18"/>
          <w:szCs w:val="18"/>
        </w:rPr>
        <w:t>多万个星座快递盒，开</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启</w:t>
      </w:r>
      <w:r>
        <w:rPr>
          <w:rFonts w:ascii="Times New Roman" w:hAnsi="Times New Roman" w:cs="Times New Roman" w:eastAsia="Times New Roman" w:hint="default"/>
          <w:sz w:val="18"/>
          <w:szCs w:val="18"/>
        </w:rPr>
        <w:t>IP</w:t>
      </w:r>
      <w:r>
        <w:rPr>
          <w:rFonts w:ascii="宋体" w:hAnsi="宋体" w:cs="宋体" w:eastAsia="宋体" w:hint="default"/>
          <w:sz w:val="18"/>
          <w:szCs w:val="18"/>
        </w:rPr>
        <w:t>国际化进程。美盛爱彼原创漫画《神机学园》、《青冥箓》已于</w:t>
      </w:r>
      <w:r>
        <w:rPr>
          <w:rFonts w:ascii="Times New Roman" w:hAnsi="Times New Roman" w:cs="Times New Roman" w:eastAsia="Times New Roman" w:hint="default"/>
          <w:sz w:val="18"/>
          <w:szCs w:val="18"/>
        </w:rPr>
        <w:t>17</w:t>
      </w:r>
      <w:r>
        <w:rPr>
          <w:rFonts w:ascii="宋体" w:hAnsi="宋体" w:cs="宋体" w:eastAsia="宋体" w:hint="default"/>
          <w:sz w:val="18"/>
          <w:szCs w:val="18"/>
        </w:rPr>
        <w:t>年开启周更连载，人气火爆。</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月，美盛爱彼</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原创电竞题材漫画《竞魂》登陆腾讯动漫、大角虫、网易漫画、有妖气等多家漫画平台进行全网发布，与漫迷们见面。其中</w:t>
      </w:r>
      <w:r>
        <w:rPr>
          <w:rFonts w:ascii="宋体" w:hAnsi="宋体" w:cs="宋体" w:eastAsia="宋体" w:hint="default"/>
          <w:sz w:val="18"/>
          <w:szCs w:val="18"/>
        </w:rPr>
      </w:r>
    </w:p>
    <w:p>
      <w:pPr>
        <w:spacing w:line="302" w:lineRule="auto" w:before="28"/>
        <w:ind w:left="154"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18"/>
          <w:szCs w:val="18"/>
        </w:rPr>
        <w:t>《星学院》、《妖神记》是公司重点打造的原创精品</w:t>
      </w:r>
      <w:r>
        <w:rPr>
          <w:rFonts w:ascii="Times New Roman" w:hAnsi="Times New Roman" w:cs="Times New Roman" w:eastAsia="Times New Roman" w:hint="default"/>
          <w:w w:val="95"/>
          <w:sz w:val="18"/>
          <w:szCs w:val="18"/>
        </w:rPr>
        <w:t>IP</w:t>
      </w: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2015</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8</w:t>
      </w:r>
      <w:r>
        <w:rPr>
          <w:rFonts w:ascii="宋体" w:hAnsi="宋体" w:cs="宋体" w:eastAsia="宋体" w:hint="default"/>
          <w:w w:val="95"/>
          <w:sz w:val="18"/>
          <w:szCs w:val="18"/>
        </w:rPr>
        <w:t>月至</w:t>
      </w:r>
      <w:r>
        <w:rPr>
          <w:rFonts w:ascii="Times New Roman" w:hAnsi="Times New Roman" w:cs="Times New Roman" w:eastAsia="Times New Roman" w:hint="default"/>
          <w:w w:val="95"/>
          <w:sz w:val="18"/>
          <w:szCs w:val="18"/>
        </w:rPr>
        <w:t>9</w:t>
      </w:r>
      <w:r>
        <w:rPr>
          <w:rFonts w:ascii="宋体" w:hAnsi="宋体" w:cs="宋体" w:eastAsia="宋体" w:hint="default"/>
          <w:w w:val="95"/>
          <w:sz w:val="18"/>
          <w:szCs w:val="18"/>
        </w:rPr>
        <w:t>月，《星学院第一季魔法礼服》在北京卡酷少儿频道</w:t>
      </w:r>
      <w:r>
        <w:rPr>
          <w:rFonts w:ascii="宋体" w:hAnsi="宋体" w:cs="宋体" w:eastAsia="宋体" w:hint="default"/>
          <w:spacing w:val="75"/>
          <w:w w:val="95"/>
          <w:sz w:val="18"/>
          <w:szCs w:val="18"/>
        </w:rPr>
        <w:t> </w:t>
      </w:r>
      <w:r>
        <w:rPr>
          <w:rFonts w:ascii="宋体" w:hAnsi="宋体" w:cs="宋体" w:eastAsia="宋体" w:hint="default"/>
          <w:spacing w:val="75"/>
          <w:w w:val="95"/>
          <w:sz w:val="18"/>
          <w:szCs w:val="18"/>
        </w:rPr>
      </w:r>
      <w:r>
        <w:rPr>
          <w:rFonts w:ascii="宋体" w:hAnsi="宋体" w:cs="宋体" w:eastAsia="宋体" w:hint="default"/>
          <w:spacing w:val="-2"/>
          <w:sz w:val="18"/>
          <w:szCs w:val="18"/>
        </w:rPr>
        <w:t>播出，据央视索福瑞统计，在</w:t>
      </w:r>
      <w:r>
        <w:rPr>
          <w:rFonts w:ascii="Times New Roman" w:hAnsi="Times New Roman" w:cs="Times New Roman" w:eastAsia="Times New Roman" w:hint="default"/>
          <w:spacing w:val="-2"/>
          <w:sz w:val="18"/>
          <w:szCs w:val="18"/>
        </w:rPr>
        <w:t>8:00</w:t>
      </w:r>
      <w:r>
        <w:rPr>
          <w:rFonts w:ascii="宋体" w:hAnsi="宋体" w:cs="宋体" w:eastAsia="宋体" w:hint="default"/>
          <w:spacing w:val="-2"/>
          <w:sz w:val="18"/>
          <w:szCs w:val="18"/>
        </w:rPr>
        <w:t>至</w:t>
      </w:r>
      <w:r>
        <w:rPr>
          <w:rFonts w:ascii="Times New Roman" w:hAnsi="Times New Roman" w:cs="Times New Roman" w:eastAsia="Times New Roman" w:hint="default"/>
          <w:spacing w:val="-2"/>
          <w:sz w:val="18"/>
          <w:szCs w:val="18"/>
        </w:rPr>
        <w:t>17:30</w:t>
      </w:r>
      <w:r>
        <w:rPr>
          <w:rFonts w:ascii="宋体" w:hAnsi="宋体" w:cs="宋体" w:eastAsia="宋体" w:hint="default"/>
          <w:spacing w:val="-2"/>
          <w:sz w:val="18"/>
          <w:szCs w:val="18"/>
        </w:rPr>
        <w:t>档的动漫收视排行中，《星学院第一季魔法礼服》名列前茅，在</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月播放的</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天中，</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平均收视率为</w:t>
      </w:r>
      <w:r>
        <w:rPr>
          <w:rFonts w:ascii="Times New Roman" w:hAnsi="Times New Roman" w:cs="Times New Roman" w:eastAsia="Times New Roman" w:hint="default"/>
          <w:sz w:val="18"/>
          <w:szCs w:val="18"/>
        </w:rPr>
        <w:t>0.57%</w:t>
      </w:r>
      <w:r>
        <w:rPr>
          <w:rFonts w:ascii="宋体" w:hAnsi="宋体" w:cs="宋体" w:eastAsia="宋体" w:hint="default"/>
          <w:sz w:val="18"/>
          <w:szCs w:val="18"/>
        </w:rPr>
        <w:t>、平均排名</w:t>
      </w:r>
      <w:r>
        <w:rPr>
          <w:rFonts w:ascii="Times New Roman" w:hAnsi="Times New Roman" w:cs="Times New Roman" w:eastAsia="Times New Roman" w:hint="default"/>
          <w:sz w:val="18"/>
          <w:szCs w:val="18"/>
        </w:rPr>
        <w:t>3.06</w:t>
      </w:r>
      <w:r>
        <w:rPr>
          <w:rFonts w:ascii="宋体" w:hAnsi="宋体" w:cs="宋体" w:eastAsia="宋体" w:hint="default"/>
          <w:sz w:val="18"/>
          <w:szCs w:val="18"/>
        </w:rPr>
        <w:t>名，其中有</w:t>
      </w:r>
      <w:r>
        <w:rPr>
          <w:rFonts w:ascii="Times New Roman" w:hAnsi="Times New Roman" w:cs="Times New Roman" w:eastAsia="Times New Roman" w:hint="default"/>
          <w:sz w:val="18"/>
          <w:szCs w:val="18"/>
        </w:rPr>
        <w:t>4</w:t>
      </w:r>
      <w:r>
        <w:rPr>
          <w:rFonts w:ascii="宋体" w:hAnsi="宋体" w:cs="宋体" w:eastAsia="宋体" w:hint="default"/>
          <w:sz w:val="18"/>
          <w:szCs w:val="18"/>
        </w:rPr>
        <w:t>天收视率排名第一。在优酷、土豆网、爱奇艺、腾讯视频、搜狐视频、芒果 </w:t>
      </w:r>
      <w:r>
        <w:rPr>
          <w:rFonts w:ascii="Times New Roman" w:hAnsi="Times New Roman" w:cs="Times New Roman" w:eastAsia="Times New Roman" w:hint="default"/>
          <w:spacing w:val="-2"/>
          <w:sz w:val="18"/>
          <w:szCs w:val="18"/>
        </w:rPr>
        <w:t>TV</w:t>
      </w:r>
      <w:r>
        <w:rPr>
          <w:rFonts w:ascii="宋体" w:hAnsi="宋体" w:cs="宋体" w:eastAsia="宋体" w:hint="default"/>
          <w:spacing w:val="-2"/>
          <w:sz w:val="18"/>
          <w:szCs w:val="18"/>
        </w:rPr>
        <w:t>、酷米网、乐视视频、</w:t>
      </w:r>
      <w:r>
        <w:rPr>
          <w:rFonts w:ascii="Times New Roman" w:hAnsi="Times New Roman" w:cs="Times New Roman" w:eastAsia="Times New Roman" w:hint="default"/>
          <w:spacing w:val="-2"/>
          <w:sz w:val="18"/>
          <w:szCs w:val="18"/>
        </w:rPr>
        <w:t>PPTV</w:t>
      </w:r>
      <w:r>
        <w:rPr>
          <w:rFonts w:ascii="宋体" w:hAnsi="宋体" w:cs="宋体" w:eastAsia="宋体" w:hint="default"/>
          <w:spacing w:val="-2"/>
          <w:sz w:val="18"/>
          <w:szCs w:val="18"/>
        </w:rPr>
        <w:t>等各大视频网站总播放量约</w:t>
      </w:r>
      <w:r>
        <w:rPr>
          <w:rFonts w:ascii="Times New Roman" w:hAnsi="Times New Roman" w:cs="Times New Roman" w:eastAsia="Times New Roman" w:hint="default"/>
          <w:spacing w:val="-2"/>
          <w:sz w:val="18"/>
          <w:szCs w:val="18"/>
        </w:rPr>
        <w:t>6.5</w:t>
      </w:r>
      <w:r>
        <w:rPr>
          <w:rFonts w:ascii="宋体" w:hAnsi="宋体" w:cs="宋体" w:eastAsia="宋体" w:hint="default"/>
          <w:spacing w:val="-2"/>
          <w:sz w:val="18"/>
          <w:szCs w:val="18"/>
        </w:rPr>
        <w:t>亿次。《星学院》是国内首部原创美少女三维动画，被国家新</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闻出版广电总局推荐为优秀国产动画片，获精品动画二等奖。《星学院第二季月灵手环》和《星学院Ⅲ之潘朵拉秘境》相继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于</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年和</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年上线，反应热烈，收视率与播放量排名靠前。</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年，《星学院Ⅱ之月灵手环》入选中国版权保护中心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优</w:t>
      </w:r>
      <w:r>
        <w:rPr>
          <w:rFonts w:ascii="宋体" w:hAnsi="宋体" w:cs="宋体" w:eastAsia="宋体" w:hint="default"/>
          <w:spacing w:val="-76"/>
          <w:sz w:val="18"/>
          <w:szCs w:val="18"/>
        </w:rPr>
        <w:t> </w:t>
      </w:r>
      <w:r>
        <w:rPr>
          <w:rFonts w:ascii="宋体" w:hAnsi="宋体" w:cs="宋体" w:eastAsia="宋体" w:hint="default"/>
          <w:sz w:val="18"/>
          <w:szCs w:val="18"/>
        </w:rPr>
        <w:t>秀原创动漫作品版权开发奖励计划</w:t>
      </w:r>
      <w:r>
        <w:rPr>
          <w:rFonts w:ascii="Times New Roman" w:hAnsi="Times New Roman" w:cs="Times New Roman" w:eastAsia="Times New Roman" w:hint="default"/>
          <w:sz w:val="18"/>
          <w:szCs w:val="18"/>
        </w:rPr>
        <w:t>”</w:t>
      </w:r>
      <w:r>
        <w:rPr>
          <w:rFonts w:ascii="宋体" w:hAnsi="宋体" w:cs="宋体" w:eastAsia="宋体" w:hint="default"/>
          <w:sz w:val="18"/>
          <w:szCs w:val="18"/>
        </w:rPr>
        <w:t>，并摘得该计划</w:t>
      </w:r>
      <w:r>
        <w:rPr>
          <w:rFonts w:ascii="Times New Roman" w:hAnsi="Times New Roman" w:cs="Times New Roman" w:eastAsia="Times New Roman" w:hint="default"/>
          <w:sz w:val="18"/>
          <w:szCs w:val="18"/>
        </w:rPr>
        <w:t>“</w:t>
      </w:r>
      <w:r>
        <w:rPr>
          <w:rFonts w:ascii="宋体" w:hAnsi="宋体" w:cs="宋体" w:eastAsia="宋体" w:hint="default"/>
          <w:sz w:val="18"/>
          <w:szCs w:val="18"/>
        </w:rPr>
        <w:t>内容开发类</w:t>
      </w:r>
      <w:r>
        <w:rPr>
          <w:rFonts w:ascii="Times New Roman" w:hAnsi="Times New Roman" w:cs="Times New Roman" w:eastAsia="Times New Roman" w:hint="default"/>
          <w:sz w:val="18"/>
          <w:szCs w:val="18"/>
        </w:rPr>
        <w:t>”</w:t>
      </w:r>
      <w:r>
        <w:rPr>
          <w:rFonts w:ascii="宋体" w:hAnsi="宋体" w:cs="宋体" w:eastAsia="宋体" w:hint="default"/>
          <w:sz w:val="18"/>
          <w:szCs w:val="18"/>
        </w:rPr>
        <w:t>铜奖；《星学院Ⅲ之潘朵拉秘境》入选</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原动力</w:t>
      </w:r>
      <w:r>
        <w:rPr>
          <w:rFonts w:ascii="Times New Roman" w:hAnsi="Times New Roman" w:cs="Times New Roman" w:eastAsia="Times New Roman" w:hint="default"/>
          <w:sz w:val="18"/>
          <w:szCs w:val="18"/>
        </w:rPr>
        <w:t>”</w:t>
      </w:r>
      <w:r>
        <w:rPr>
          <w:rFonts w:ascii="宋体" w:hAnsi="宋体" w:cs="宋体" w:eastAsia="宋体" w:hint="default"/>
          <w:sz w:val="18"/>
          <w:szCs w:val="18"/>
        </w:rPr>
        <w:t>中</w:t>
      </w:r>
      <w:r>
        <w:rPr>
          <w:rFonts w:ascii="宋体" w:hAnsi="宋体" w:cs="宋体" w:eastAsia="宋体" w:hint="default"/>
          <w:spacing w:val="-39"/>
          <w:sz w:val="18"/>
          <w:szCs w:val="18"/>
        </w:rPr>
        <w:t> </w:t>
      </w:r>
      <w:r>
        <w:rPr>
          <w:rFonts w:ascii="宋体" w:hAnsi="宋体" w:cs="宋体" w:eastAsia="宋体" w:hint="default"/>
          <w:spacing w:val="-2"/>
          <w:sz w:val="18"/>
          <w:szCs w:val="18"/>
        </w:rPr>
        <w:t>国原创动漫出版扶持计划</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网络动画类项目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；主角</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菲洛</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动漫形象更是被评为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影</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响</w:t>
      </w:r>
      <w:r>
        <w:rPr>
          <w:rFonts w:ascii="Times New Roman" w:hAnsi="Times New Roman" w:cs="Times New Roman" w:eastAsia="Times New Roman" w:hint="default"/>
          <w:spacing w:val="-2"/>
          <w:sz w:val="18"/>
          <w:szCs w:val="18"/>
        </w:rPr>
        <w:t>2018</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十大浙产动漫形象</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。截止</w:t>
      </w:r>
      <w:r>
        <w:rPr>
          <w:rFonts w:ascii="Times New Roman" w:hAnsi="Times New Roman" w:cs="Times New Roman" w:eastAsia="Times New Roman" w:hint="default"/>
          <w:spacing w:val="-2"/>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月，《星学院》系列全网累计播放量逾</w:t>
      </w:r>
      <w:r>
        <w:rPr>
          <w:rFonts w:ascii="Times New Roman" w:hAnsi="Times New Roman" w:cs="Times New Roman" w:eastAsia="Times New Roman" w:hint="default"/>
          <w:sz w:val="18"/>
          <w:szCs w:val="18"/>
        </w:rPr>
        <w:t>14</w:t>
      </w:r>
      <w:r>
        <w:rPr>
          <w:rFonts w:ascii="宋体" w:hAnsi="宋体" w:cs="宋体" w:eastAsia="宋体" w:hint="default"/>
          <w:sz w:val="18"/>
          <w:szCs w:val="18"/>
        </w:rPr>
        <w:t>亿。目前《星学院》第四季正在紧张制作之中。公司将围绕动漫作品、手机游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戏、儿童剧和衍生品四个方面打造</w:t>
      </w:r>
      <w:r>
        <w:rPr>
          <w:rFonts w:ascii="Times New Roman" w:hAnsi="Times New Roman" w:cs="Times New Roman" w:eastAsia="Times New Roman" w:hint="default"/>
          <w:sz w:val="18"/>
          <w:szCs w:val="18"/>
        </w:rPr>
        <w:t>“</w:t>
      </w:r>
      <w:r>
        <w:rPr>
          <w:rFonts w:ascii="宋体" w:hAnsi="宋体" w:cs="宋体" w:eastAsia="宋体" w:hint="default"/>
          <w:sz w:val="18"/>
          <w:szCs w:val="18"/>
        </w:rPr>
        <w:t>星学院生态</w:t>
      </w:r>
      <w:r>
        <w:rPr>
          <w:rFonts w:ascii="Times New Roman" w:hAnsi="Times New Roman" w:cs="Times New Roman" w:eastAsia="Times New Roman" w:hint="default"/>
          <w:sz w:val="18"/>
          <w:szCs w:val="18"/>
        </w:rPr>
        <w:t>”</w:t>
      </w:r>
      <w:r>
        <w:rPr>
          <w:rFonts w:ascii="宋体" w:hAnsi="宋体" w:cs="宋体" w:eastAsia="宋体" w:hint="default"/>
          <w:sz w:val="18"/>
          <w:szCs w:val="18"/>
        </w:rPr>
        <w:t>，将成为公司原创内容环节未来几年发展的核心战略之一。《妖神记》是一 部由公司打造的</w:t>
      </w:r>
      <w:r>
        <w:rPr>
          <w:rFonts w:ascii="Times New Roman" w:hAnsi="Times New Roman" w:cs="Times New Roman" w:eastAsia="Times New Roman" w:hint="default"/>
          <w:sz w:val="18"/>
          <w:szCs w:val="18"/>
        </w:rPr>
        <w:t>3D</w:t>
      </w:r>
      <w:r>
        <w:rPr>
          <w:rFonts w:ascii="宋体" w:hAnsi="宋体" w:cs="宋体" w:eastAsia="宋体" w:hint="default"/>
          <w:sz w:val="18"/>
          <w:szCs w:val="18"/>
        </w:rPr>
        <w:t>动画网剧，于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月正式上线。上线一个月，居全网</w:t>
      </w:r>
      <w:r>
        <w:rPr>
          <w:rFonts w:ascii="Times New Roman" w:hAnsi="Times New Roman" w:cs="Times New Roman" w:eastAsia="Times New Roman" w:hint="default"/>
          <w:sz w:val="18"/>
          <w:szCs w:val="18"/>
        </w:rPr>
        <w:t>5</w:t>
      </w:r>
      <w:r>
        <w:rPr>
          <w:rFonts w:ascii="宋体" w:hAnsi="宋体" w:cs="宋体" w:eastAsia="宋体" w:hint="default"/>
          <w:sz w:val="18"/>
          <w:szCs w:val="18"/>
        </w:rPr>
        <w:t>月新增作品播放量排行榜第二，并屡次进入</w:t>
      </w:r>
      <w:r>
        <w:rPr>
          <w:rFonts w:ascii="Times New Roman" w:hAnsi="Times New Roman" w:cs="Times New Roman" w:eastAsia="Times New Roman" w:hint="default"/>
          <w:sz w:val="18"/>
          <w:szCs w:val="18"/>
        </w:rPr>
        <w:t>b</w:t>
      </w:r>
      <w:r>
        <w:rPr>
          <w:rFonts w:ascii="宋体" w:hAnsi="宋体" w:cs="宋体" w:eastAsia="宋体" w:hint="default"/>
          <w:sz w:val="18"/>
          <w:szCs w:val="18"/>
        </w:rPr>
        <w:t>站 国产动画热门榜单前三、百度动漫风云榜前三，多次摘得</w:t>
      </w:r>
      <w:r>
        <w:rPr>
          <w:rFonts w:ascii="Times New Roman" w:hAnsi="Times New Roman" w:cs="Times New Roman" w:eastAsia="Times New Roman" w:hint="default"/>
          <w:sz w:val="18"/>
          <w:szCs w:val="18"/>
        </w:rPr>
        <w:t>“</w:t>
      </w:r>
      <w:r>
        <w:rPr>
          <w:rFonts w:ascii="宋体" w:hAnsi="宋体" w:cs="宋体" w:eastAsia="宋体" w:hint="default"/>
          <w:sz w:val="18"/>
          <w:szCs w:val="18"/>
        </w:rPr>
        <w:t>爱奇艺动漫风云榜</w:t>
      </w:r>
      <w:r>
        <w:rPr>
          <w:rFonts w:ascii="Times New Roman" w:hAnsi="Times New Roman" w:cs="Times New Roman" w:eastAsia="Times New Roman" w:hint="default"/>
          <w:sz w:val="18"/>
          <w:szCs w:val="18"/>
        </w:rPr>
        <w:t>”</w:t>
      </w:r>
      <w:r>
        <w:rPr>
          <w:rFonts w:ascii="宋体" w:hAnsi="宋体" w:cs="宋体" w:eastAsia="宋体" w:hint="default"/>
          <w:sz w:val="18"/>
          <w:szCs w:val="18"/>
        </w:rPr>
        <w:t>桂冠。</w:t>
      </w:r>
      <w:r>
        <w:rPr>
          <w:rFonts w:ascii="Times New Roman" w:hAnsi="Times New Roman" w:cs="Times New Roman" w:eastAsia="Times New Roman" w:hint="default"/>
          <w:sz w:val="18"/>
          <w:szCs w:val="18"/>
        </w:rPr>
        <w:t>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日，《妖神记》第二季火热来 </w:t>
      </w:r>
      <w:r>
        <w:rPr>
          <w:rFonts w:ascii="宋体" w:hAnsi="宋体" w:cs="宋体" w:eastAsia="宋体" w:hint="default"/>
          <w:spacing w:val="-4"/>
          <w:sz w:val="18"/>
          <w:szCs w:val="18"/>
        </w:rPr>
        <w:t>袭，登陆</w:t>
      </w:r>
      <w:r>
        <w:rPr>
          <w:rFonts w:ascii="Times New Roman" w:hAnsi="Times New Roman" w:cs="Times New Roman" w:eastAsia="Times New Roman" w:hint="default"/>
          <w:spacing w:val="-4"/>
          <w:sz w:val="18"/>
          <w:szCs w:val="18"/>
        </w:rPr>
        <w:t>B</w:t>
      </w:r>
      <w:r>
        <w:rPr>
          <w:rFonts w:ascii="宋体" w:hAnsi="宋体" w:cs="宋体" w:eastAsia="宋体" w:hint="default"/>
          <w:spacing w:val="-4"/>
          <w:sz w:val="18"/>
          <w:szCs w:val="18"/>
        </w:rPr>
        <w:t>站、芒果</w:t>
      </w:r>
      <w:r>
        <w:rPr>
          <w:rFonts w:ascii="Times New Roman" w:hAnsi="Times New Roman" w:cs="Times New Roman" w:eastAsia="Times New Roman" w:hint="default"/>
          <w:spacing w:val="-4"/>
          <w:sz w:val="18"/>
          <w:szCs w:val="18"/>
        </w:rPr>
        <w:t>TV</w:t>
      </w:r>
      <w:r>
        <w:rPr>
          <w:rFonts w:ascii="宋体" w:hAnsi="宋体" w:cs="宋体" w:eastAsia="宋体" w:hint="default"/>
          <w:spacing w:val="-4"/>
          <w:sz w:val="18"/>
          <w:szCs w:val="18"/>
        </w:rPr>
        <w:t>、搜狐视频等网络平台同步播出，观众反应热烈；播出期间屡次登上骨朵数据国漫日播榜榜首，周榜、</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月榜</w:t>
      </w:r>
      <w:r>
        <w:rPr>
          <w:rFonts w:ascii="Times New Roman" w:hAnsi="Times New Roman" w:cs="Times New Roman" w:eastAsia="Times New Roman" w:hint="default"/>
          <w:sz w:val="18"/>
          <w:szCs w:val="18"/>
        </w:rPr>
        <w:t>top3</w:t>
      </w:r>
      <w:r>
        <w:rPr>
          <w:rFonts w:ascii="宋体" w:hAnsi="宋体" w:cs="宋体" w:eastAsia="宋体" w:hint="default"/>
          <w:sz w:val="18"/>
          <w:szCs w:val="18"/>
        </w:rPr>
        <w:t>，引发新的国漫热。《妖神记》动画网剧上榜</w:t>
      </w:r>
      <w:r>
        <w:rPr>
          <w:rFonts w:ascii="Times New Roman" w:hAnsi="Times New Roman" w:cs="Times New Roman" w:eastAsia="Times New Roman" w:hint="default"/>
          <w:sz w:val="18"/>
          <w:szCs w:val="18"/>
        </w:rPr>
        <w:t>“2018</w:t>
      </w:r>
      <w:r>
        <w:rPr>
          <w:rFonts w:ascii="宋体" w:hAnsi="宋体" w:cs="宋体" w:eastAsia="宋体" w:hint="default"/>
          <w:sz w:val="18"/>
          <w:szCs w:val="18"/>
        </w:rPr>
        <w:t>猫片</w:t>
      </w:r>
      <w:r>
        <w:rPr>
          <w:rFonts w:ascii="Times New Roman" w:hAnsi="Times New Roman" w:cs="Times New Roman" w:eastAsia="Times New Roman" w:hint="default"/>
          <w:sz w:val="18"/>
          <w:szCs w:val="18"/>
        </w:rPr>
        <w:t>·</w:t>
      </w:r>
      <w:r>
        <w:rPr>
          <w:rFonts w:ascii="宋体" w:hAnsi="宋体" w:cs="宋体" w:eastAsia="宋体" w:hint="default"/>
          <w:sz w:val="18"/>
          <w:szCs w:val="18"/>
        </w:rPr>
        <w:t>胡润原创动漫</w:t>
      </w:r>
      <w:r>
        <w:rPr>
          <w:rFonts w:ascii="Times New Roman" w:hAnsi="Times New Roman" w:cs="Times New Roman" w:eastAsia="Times New Roman" w:hint="default"/>
          <w:sz w:val="18"/>
          <w:szCs w:val="18"/>
        </w:rPr>
        <w:t>IP</w:t>
      </w:r>
      <w:r>
        <w:rPr>
          <w:rFonts w:ascii="宋体" w:hAnsi="宋体" w:cs="宋体" w:eastAsia="宋体" w:hint="default"/>
          <w:sz w:val="18"/>
          <w:szCs w:val="18"/>
        </w:rPr>
        <w:t>价值榜</w:t>
      </w:r>
      <w:r>
        <w:rPr>
          <w:rFonts w:ascii="Times New Roman" w:hAnsi="Times New Roman" w:cs="Times New Roman" w:eastAsia="Times New Roman" w:hint="default"/>
          <w:sz w:val="18"/>
          <w:szCs w:val="18"/>
        </w:rPr>
        <w:t>”top30</w:t>
      </w:r>
      <w:r>
        <w:rPr>
          <w:rFonts w:ascii="宋体" w:hAnsi="宋体" w:cs="宋体" w:eastAsia="宋体" w:hint="default"/>
          <w:sz w:val="18"/>
          <w:szCs w:val="18"/>
        </w:rPr>
        <w:t>、三文娱</w:t>
      </w:r>
      <w:r>
        <w:rPr>
          <w:rFonts w:ascii="Times New Roman" w:hAnsi="Times New Roman" w:cs="Times New Roman" w:eastAsia="Times New Roman" w:hint="default"/>
          <w:sz w:val="18"/>
          <w:szCs w:val="18"/>
        </w:rPr>
        <w:t>“</w:t>
      </w:r>
      <w:r>
        <w:rPr>
          <w:rFonts w:ascii="宋体" w:hAnsi="宋体" w:cs="宋体" w:eastAsia="宋体" w:hint="default"/>
          <w:sz w:val="18"/>
          <w:szCs w:val="18"/>
        </w:rPr>
        <w:t>中国动漫行业</w:t>
      </w:r>
      <w:r>
        <w:rPr>
          <w:rFonts w:ascii="Times New Roman" w:hAnsi="Times New Roman" w:cs="Times New Roman" w:eastAsia="Times New Roman" w:hint="default"/>
          <w:sz w:val="18"/>
          <w:szCs w:val="18"/>
        </w:rPr>
        <w:t>2018</w:t>
      </w:r>
    </w:p>
    <w:p>
      <w:pPr>
        <w:spacing w:after="0" w:line="302"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spacing w:line="300" w:lineRule="auto" w:before="44"/>
        <w:ind w:left="154" w:right="1129" w:firstLine="0"/>
        <w:jc w:val="both"/>
        <w:rPr>
          <w:rFonts w:ascii="宋体" w:hAnsi="宋体" w:cs="宋体" w:eastAsia="宋体" w:hint="default"/>
          <w:sz w:val="18"/>
          <w:szCs w:val="18"/>
        </w:rPr>
      </w:pPr>
      <w:r>
        <w:rPr>
          <w:rFonts w:ascii="宋体" w:hAnsi="宋体" w:cs="宋体" w:eastAsia="宋体" w:hint="default"/>
          <w:sz w:val="18"/>
          <w:szCs w:val="18"/>
        </w:rPr>
        <w:t>年度榜单动画</w:t>
      </w:r>
      <w:r>
        <w:rPr>
          <w:rFonts w:ascii="Times New Roman" w:hAnsi="Times New Roman" w:cs="Times New Roman" w:eastAsia="Times New Roman" w:hint="default"/>
          <w:sz w:val="18"/>
          <w:szCs w:val="18"/>
        </w:rPr>
        <w:t>30</w:t>
      </w:r>
      <w:r>
        <w:rPr>
          <w:rFonts w:ascii="宋体" w:hAnsi="宋体" w:cs="宋体" w:eastAsia="宋体" w:hint="default"/>
          <w:sz w:val="18"/>
          <w:szCs w:val="18"/>
        </w:rPr>
        <w:t>强</w:t>
      </w:r>
      <w:r>
        <w:rPr>
          <w:rFonts w:ascii="Times New Roman" w:hAnsi="Times New Roman" w:cs="Times New Roman" w:eastAsia="Times New Roman" w:hint="default"/>
          <w:sz w:val="18"/>
          <w:szCs w:val="18"/>
        </w:rPr>
        <w:t>”</w:t>
      </w:r>
      <w:r>
        <w:rPr>
          <w:rFonts w:ascii="宋体" w:hAnsi="宋体" w:cs="宋体" w:eastAsia="宋体" w:hint="default"/>
          <w:sz w:val="18"/>
          <w:szCs w:val="18"/>
        </w:rPr>
        <w:t>在同名小说和漫画内容的基础上，公司通过动画作品对《妖神记》</w:t>
      </w:r>
      <w:r>
        <w:rPr>
          <w:rFonts w:ascii="Times New Roman" w:hAnsi="Times New Roman" w:cs="Times New Roman" w:eastAsia="Times New Roman" w:hint="default"/>
          <w:sz w:val="18"/>
          <w:szCs w:val="18"/>
        </w:rPr>
        <w:t>IP</w:t>
      </w:r>
      <w:r>
        <w:rPr>
          <w:rFonts w:ascii="宋体" w:hAnsi="宋体" w:cs="宋体" w:eastAsia="宋体" w:hint="default"/>
          <w:sz w:val="18"/>
          <w:szCs w:val="18"/>
        </w:rPr>
        <w:t>进行品牌提炼，并以开发研发相关</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游戏、售卖周边产品等方式实现泛娱乐化经营。</w:t>
      </w:r>
    </w:p>
    <w:p>
      <w:pPr>
        <w:spacing w:line="432" w:lineRule="exact" w:before="16"/>
        <w:ind w:left="514" w:right="1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、与顶级</w:t>
      </w:r>
      <w:r>
        <w:rPr>
          <w:rFonts w:ascii="Times New Roman" w:hAnsi="Times New Roman" w:cs="Times New Roman" w:eastAsia="Times New Roman" w:hint="default"/>
          <w:sz w:val="18"/>
          <w:szCs w:val="18"/>
        </w:rPr>
        <w:t>IP</w:t>
      </w:r>
      <w:r>
        <w:rPr>
          <w:rFonts w:ascii="宋体" w:hAnsi="宋体" w:cs="宋体" w:eastAsia="宋体" w:hint="default"/>
          <w:sz w:val="18"/>
          <w:szCs w:val="18"/>
        </w:rPr>
        <w:t>进行深层次的合作开发 公司深化与迪士尼、漫威、任天堂等公司的合作，共同开发</w:t>
      </w:r>
      <w:r>
        <w:rPr>
          <w:rFonts w:ascii="Times New Roman" w:hAnsi="Times New Roman" w:cs="Times New Roman" w:eastAsia="Times New Roman" w:hint="default"/>
          <w:sz w:val="18"/>
          <w:szCs w:val="18"/>
        </w:rPr>
        <w:t>“</w:t>
      </w:r>
      <w:r>
        <w:rPr>
          <w:rFonts w:ascii="宋体" w:hAnsi="宋体" w:cs="宋体" w:eastAsia="宋体" w:hint="default"/>
          <w:sz w:val="18"/>
          <w:szCs w:val="18"/>
        </w:rPr>
        <w:t>星球大战</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冰雪奇缘</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魔兽</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超级马里奥</w:t>
      </w:r>
      <w:r>
        <w:rPr>
          <w:rFonts w:ascii="Times New Roman" w:hAnsi="Times New Roman" w:cs="Times New Roman" w:eastAsia="Times New Roman" w:hint="default"/>
          <w:sz w:val="18"/>
          <w:szCs w:val="18"/>
        </w:rPr>
        <w:t>”</w:t>
      </w:r>
      <w:r>
        <w:rPr>
          <w:rFonts w:ascii="宋体" w:hAnsi="宋体" w:cs="宋体" w:eastAsia="宋体" w:hint="default"/>
          <w:sz w:val="18"/>
          <w:szCs w:val="18"/>
        </w:rPr>
        <w:t>、漫威英</w:t>
      </w:r>
    </w:p>
    <w:p>
      <w:pPr>
        <w:spacing w:line="300" w:lineRule="auto" w:before="15"/>
        <w:ind w:left="154" w:right="1130" w:firstLine="0"/>
        <w:jc w:val="both"/>
        <w:rPr>
          <w:rFonts w:ascii="宋体" w:hAnsi="宋体" w:cs="宋体" w:eastAsia="宋体" w:hint="default"/>
          <w:sz w:val="18"/>
          <w:szCs w:val="18"/>
        </w:rPr>
      </w:pPr>
      <w:r>
        <w:rPr>
          <w:rFonts w:ascii="宋体" w:hAnsi="宋体" w:cs="宋体" w:eastAsia="宋体" w:hint="default"/>
          <w:spacing w:val="-2"/>
          <w:sz w:val="18"/>
          <w:szCs w:val="18"/>
        </w:rPr>
        <w:t>雄系列等</w:t>
      </w:r>
      <w:r>
        <w:rPr>
          <w:rFonts w:ascii="Times New Roman" w:hAnsi="Times New Roman" w:cs="Times New Roman" w:eastAsia="Times New Roman" w:hint="default"/>
          <w:spacing w:val="-2"/>
          <w:sz w:val="18"/>
          <w:szCs w:val="18"/>
        </w:rPr>
        <w:t>IP</w:t>
      </w:r>
      <w:r>
        <w:rPr>
          <w:rFonts w:ascii="宋体" w:hAnsi="宋体" w:cs="宋体" w:eastAsia="宋体" w:hint="default"/>
          <w:spacing w:val="-2"/>
          <w:sz w:val="18"/>
          <w:szCs w:val="18"/>
        </w:rPr>
        <w:t>衍生品。</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22</w:t>
      </w:r>
      <w:r>
        <w:rPr>
          <w:rFonts w:ascii="宋体" w:hAnsi="宋体" w:cs="宋体" w:eastAsia="宋体" w:hint="default"/>
          <w:spacing w:val="-2"/>
          <w:sz w:val="18"/>
          <w:szCs w:val="18"/>
        </w:rPr>
        <w:t>日，《超人总动员</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》强势回归，其系列产品由</w:t>
      </w:r>
      <w:r>
        <w:rPr>
          <w:rFonts w:ascii="Times New Roman" w:hAnsi="Times New Roman" w:cs="Times New Roman" w:eastAsia="Times New Roman" w:hint="default"/>
          <w:spacing w:val="-2"/>
          <w:sz w:val="18"/>
          <w:szCs w:val="18"/>
        </w:rPr>
        <w:t>JAKKS</w:t>
      </w:r>
      <w:r>
        <w:rPr>
          <w:rFonts w:ascii="宋体" w:hAnsi="宋体" w:cs="宋体" w:eastAsia="宋体" w:hint="default"/>
          <w:spacing w:val="-2"/>
          <w:sz w:val="18"/>
          <w:szCs w:val="18"/>
        </w:rPr>
        <w:t>授权开发并同期上市。公司与</w:t>
      </w:r>
      <w:r>
        <w:rPr>
          <w:rFonts w:ascii="Times New Roman" w:hAnsi="Times New Roman" w:cs="Times New Roman" w:eastAsia="Times New Roman" w:hint="default"/>
          <w:spacing w:val="-2"/>
          <w:sz w:val="18"/>
          <w:szCs w:val="18"/>
        </w:rPr>
        <w:t>JAKKS</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6"/>
          <w:sz w:val="18"/>
          <w:szCs w:val="18"/>
        </w:rPr>
      </w:r>
      <w:r>
        <w:rPr>
          <w:rFonts w:ascii="宋体" w:hAnsi="宋体" w:cs="宋体" w:eastAsia="宋体" w:hint="default"/>
          <w:sz w:val="18"/>
          <w:szCs w:val="18"/>
        </w:rPr>
        <w:t>合作销售《超人总动员</w:t>
      </w:r>
      <w:r>
        <w:rPr>
          <w:rFonts w:ascii="Times New Roman" w:hAnsi="Times New Roman" w:cs="Times New Roman" w:eastAsia="Times New Roman" w:hint="default"/>
          <w:sz w:val="18"/>
          <w:szCs w:val="18"/>
        </w:rPr>
        <w:t>2</w:t>
      </w:r>
      <w:r>
        <w:rPr>
          <w:rFonts w:ascii="宋体" w:hAnsi="宋体" w:cs="宋体" w:eastAsia="宋体" w:hint="default"/>
          <w:sz w:val="18"/>
          <w:szCs w:val="18"/>
        </w:rPr>
        <w:t>》弹力女超人摩托车、发声小杰、快艇套装、迷你公仔套装等产品，再现完美经典。美盛二次元与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阅文集团达成正式合作，获得顶级国产漫画</w:t>
      </w:r>
      <w:r>
        <w:rPr>
          <w:rFonts w:ascii="Times New Roman" w:hAnsi="Times New Roman" w:cs="Times New Roman" w:eastAsia="Times New Roman" w:hint="default"/>
          <w:sz w:val="18"/>
          <w:szCs w:val="18"/>
        </w:rPr>
        <w:t>IP</w:t>
      </w:r>
      <w:r>
        <w:rPr>
          <w:rFonts w:ascii="宋体" w:hAnsi="宋体" w:cs="宋体" w:eastAsia="宋体" w:hint="default"/>
          <w:sz w:val="18"/>
          <w:szCs w:val="18"/>
        </w:rPr>
        <w:t>《全职高手》的正版</w:t>
      </w:r>
      <w:r>
        <w:rPr>
          <w:rFonts w:ascii="Times New Roman" w:hAnsi="Times New Roman" w:cs="Times New Roman" w:eastAsia="Times New Roman" w:hint="default"/>
          <w:sz w:val="18"/>
          <w:szCs w:val="18"/>
        </w:rPr>
        <w:t>cos</w:t>
      </w:r>
      <w:r>
        <w:rPr>
          <w:rFonts w:ascii="宋体" w:hAnsi="宋体" w:cs="宋体" w:eastAsia="宋体" w:hint="default"/>
          <w:sz w:val="18"/>
          <w:szCs w:val="18"/>
        </w:rPr>
        <w:t>周边授权。这是继《银魂》、《初音》、《月歌》等</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日本漫画</w:t>
      </w:r>
      <w:r>
        <w:rPr>
          <w:rFonts w:ascii="Times New Roman" w:hAnsi="Times New Roman" w:cs="Times New Roman" w:eastAsia="Times New Roman" w:hint="default"/>
          <w:sz w:val="18"/>
          <w:szCs w:val="18"/>
        </w:rPr>
        <w:t>IP</w:t>
      </w:r>
      <w:r>
        <w:rPr>
          <w:rFonts w:ascii="宋体" w:hAnsi="宋体" w:cs="宋体" w:eastAsia="宋体" w:hint="default"/>
          <w:sz w:val="18"/>
          <w:szCs w:val="18"/>
        </w:rPr>
        <w:t>之后，公司首次和国产漫画</w:t>
      </w:r>
      <w:r>
        <w:rPr>
          <w:rFonts w:ascii="Times New Roman" w:hAnsi="Times New Roman" w:cs="Times New Roman" w:eastAsia="Times New Roman" w:hint="default"/>
          <w:sz w:val="18"/>
          <w:szCs w:val="18"/>
        </w:rPr>
        <w:t>IP</w:t>
      </w:r>
      <w:r>
        <w:rPr>
          <w:rFonts w:ascii="宋体" w:hAnsi="宋体" w:cs="宋体" w:eastAsia="宋体" w:hint="default"/>
          <w:sz w:val="18"/>
          <w:szCs w:val="18"/>
        </w:rPr>
        <w:t>进行版权合作，深度开发国产</w:t>
      </w:r>
      <w:r>
        <w:rPr>
          <w:rFonts w:ascii="Times New Roman" w:hAnsi="Times New Roman" w:cs="Times New Roman" w:eastAsia="Times New Roman" w:hint="default"/>
          <w:sz w:val="18"/>
          <w:szCs w:val="18"/>
        </w:rPr>
        <w:t>IP</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月，美盛二次元与《帝王攻略》动画、</w:t>
      </w:r>
    </w:p>
    <w:p>
      <w:pPr>
        <w:spacing w:line="415" w:lineRule="auto" w:before="13"/>
        <w:ind w:left="514" w:right="3122" w:hanging="360"/>
        <w:jc w:val="left"/>
        <w:rPr>
          <w:rFonts w:ascii="宋体" w:hAnsi="宋体" w:cs="宋体" w:eastAsia="宋体" w:hint="default"/>
          <w:sz w:val="18"/>
          <w:szCs w:val="18"/>
        </w:rPr>
      </w:pPr>
      <w:r>
        <w:rPr>
          <w:rFonts w:ascii="宋体" w:hAnsi="宋体" w:cs="宋体" w:eastAsia="宋体" w:hint="default"/>
          <w:sz w:val="18"/>
          <w:szCs w:val="18"/>
        </w:rPr>
        <w:t>《斗罗大陆》动画、《神契幻奇谭》动画、《末日曙光》动画</w:t>
      </w:r>
      <w:r>
        <w:rPr>
          <w:rFonts w:ascii="Times New Roman" w:hAnsi="Times New Roman" w:cs="Times New Roman" w:eastAsia="Times New Roman" w:hint="default"/>
          <w:sz w:val="18"/>
          <w:szCs w:val="18"/>
        </w:rPr>
        <w:t>4</w:t>
      </w:r>
      <w:r>
        <w:rPr>
          <w:rFonts w:ascii="宋体" w:hAnsi="宋体" w:cs="宋体" w:eastAsia="宋体" w:hint="default"/>
          <w:sz w:val="18"/>
          <w:szCs w:val="18"/>
        </w:rPr>
        <w:t>大</w:t>
      </w:r>
      <w:r>
        <w:rPr>
          <w:rFonts w:ascii="Times New Roman" w:hAnsi="Times New Roman" w:cs="Times New Roman" w:eastAsia="Times New Roman" w:hint="default"/>
          <w:sz w:val="18"/>
          <w:szCs w:val="18"/>
        </w:rPr>
        <w:t>IP</w:t>
      </w:r>
      <w:r>
        <w:rPr>
          <w:rFonts w:ascii="宋体" w:hAnsi="宋体" w:cs="宋体" w:eastAsia="宋体" w:hint="default"/>
          <w:sz w:val="18"/>
          <w:szCs w:val="18"/>
        </w:rPr>
        <w:t>达成正版动画衍生服饰合作。 二、丰富的平台部署优势</w:t>
      </w:r>
    </w:p>
    <w:p>
      <w:pPr>
        <w:spacing w:line="415" w:lineRule="auto" w:before="65"/>
        <w:ind w:left="514" w:right="10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、完整的衍生品分发平台优势 平台是内容的展示场所，是粉丝群体的聚集家园，是衍生产品转化收益的通道。公司目前已经部署了丰富的平台资源，</w:t>
      </w:r>
    </w:p>
    <w:p>
      <w:pPr>
        <w:spacing w:line="194" w:lineRule="exact"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为公司各条产业链打造了立体化的出口：公司设立了垂直电子商务平台悠窝窝（</w:t>
      </w:r>
      <w:hyperlink r:id="rId13">
        <w:r>
          <w:rPr>
            <w:rFonts w:ascii="Times New Roman" w:hAnsi="Times New Roman" w:cs="Times New Roman" w:eastAsia="Times New Roman" w:hint="default"/>
            <w:sz w:val="18"/>
            <w:szCs w:val="18"/>
          </w:rPr>
          <w:t>http://www.uwowo.com</w:t>
        </w:r>
      </w:hyperlink>
      <w:r>
        <w:rPr>
          <w:rFonts w:ascii="宋体" w:hAnsi="宋体" w:cs="宋体" w:eastAsia="宋体" w:hint="default"/>
          <w:sz w:val="18"/>
          <w:szCs w:val="18"/>
        </w:rPr>
        <w:t>），收购漫联贸易打</w:t>
      </w:r>
    </w:p>
    <w:p>
      <w:pPr>
        <w:spacing w:line="307" w:lineRule="auto" w:before="63"/>
        <w:ind w:left="154" w:right="1040" w:firstLine="0"/>
        <w:jc w:val="both"/>
        <w:rPr>
          <w:rFonts w:ascii="宋体" w:hAnsi="宋体" w:cs="宋体" w:eastAsia="宋体" w:hint="default"/>
          <w:sz w:val="18"/>
          <w:szCs w:val="18"/>
        </w:rPr>
      </w:pPr>
      <w:r>
        <w:rPr>
          <w:rFonts w:ascii="宋体" w:hAnsi="宋体" w:cs="宋体" w:eastAsia="宋体" w:hint="default"/>
          <w:sz w:val="18"/>
          <w:szCs w:val="18"/>
        </w:rPr>
        <w:t>造全方位覆盖的动漫服饰和</w:t>
      </w:r>
      <w:r>
        <w:rPr>
          <w:rFonts w:ascii="Times New Roman" w:hAnsi="Times New Roman" w:cs="Times New Roman" w:eastAsia="Times New Roman" w:hint="default"/>
          <w:sz w:val="18"/>
          <w:szCs w:val="18"/>
        </w:rPr>
        <w:t>Cosplay</w:t>
      </w:r>
      <w:r>
        <w:rPr>
          <w:rFonts w:ascii="宋体" w:hAnsi="宋体" w:cs="宋体" w:eastAsia="宋体" w:hint="default"/>
          <w:sz w:val="18"/>
          <w:szCs w:val="18"/>
        </w:rPr>
        <w:t>服饰等</w:t>
      </w:r>
      <w:r>
        <w:rPr>
          <w:rFonts w:ascii="Times New Roman" w:hAnsi="Times New Roman" w:cs="Times New Roman" w:eastAsia="Times New Roman" w:hint="default"/>
          <w:sz w:val="18"/>
          <w:szCs w:val="18"/>
        </w:rPr>
        <w:t>IP</w:t>
      </w:r>
      <w:r>
        <w:rPr>
          <w:rFonts w:ascii="宋体" w:hAnsi="宋体" w:cs="宋体" w:eastAsia="宋体" w:hint="default"/>
          <w:sz w:val="18"/>
          <w:szCs w:val="18"/>
        </w:rPr>
        <w:t>衍生品销售通道；公司通过收购酷米网（</w:t>
      </w:r>
      <w:hyperlink r:id="rId14">
        <w:r>
          <w:rPr>
            <w:rFonts w:ascii="Times New Roman" w:hAnsi="Times New Roman" w:cs="Times New Roman" w:eastAsia="Times New Roman" w:hint="default"/>
            <w:sz w:val="18"/>
            <w:szCs w:val="18"/>
          </w:rPr>
          <w:t>http://www.kumi.cn</w:t>
        </w:r>
      </w:hyperlink>
      <w:r>
        <w:rPr>
          <w:rFonts w:ascii="宋体" w:hAnsi="宋体" w:cs="宋体" w:eastAsia="宋体" w:hint="default"/>
          <w:sz w:val="18"/>
          <w:szCs w:val="18"/>
        </w:rPr>
        <w:t>），搭建了以儿童</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2"/>
          <w:sz w:val="18"/>
          <w:szCs w:val="18"/>
        </w:rPr>
        <w:t>及家长为主要对象的动漫视听节目播出平台和互联网动漫娱乐服务平台；公司通过美盛游戏打造了美盛游戏平台和游戏港口</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等游戏类门户网站，为自身优秀游戏作品提供了稳定的运营平台；公司通过星梦工坊完善了演艺平台的建立，为公司自身核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心</w:t>
      </w:r>
      <w:r>
        <w:rPr>
          <w:rFonts w:ascii="Times New Roman" w:hAnsi="Times New Roman" w:cs="Times New Roman" w:eastAsia="Times New Roman" w:hint="default"/>
          <w:sz w:val="18"/>
          <w:szCs w:val="18"/>
        </w:rPr>
        <w:t>IP</w:t>
      </w:r>
      <w:r>
        <w:rPr>
          <w:rFonts w:ascii="宋体" w:hAnsi="宋体" w:cs="宋体" w:eastAsia="宋体" w:hint="default"/>
          <w:sz w:val="18"/>
          <w:szCs w:val="18"/>
        </w:rPr>
        <w:t>提供了舞台剧等新的展示平台；公司通过投资瑛麒动漫，建立漫画分发平台；公司通过收购荷兰渠道商</w:t>
      </w:r>
      <w:r>
        <w:rPr>
          <w:rFonts w:ascii="Times New Roman" w:hAnsi="Times New Roman" w:cs="Times New Roman" w:eastAsia="Times New Roman" w:hint="default"/>
          <w:sz w:val="18"/>
          <w:szCs w:val="18"/>
        </w:rPr>
        <w:t>ScheepersB.V.</w:t>
      </w:r>
      <w:r>
        <w:rPr>
          <w:rFonts w:ascii="宋体" w:hAnsi="宋体" w:cs="宋体" w:eastAsia="宋体" w:hint="default"/>
          <w:sz w:val="18"/>
          <w:szCs w:val="18"/>
        </w:rPr>
        <w:t>， 拥有了境外线上线下销售平台；公司通过与合作伙伴</w:t>
      </w:r>
      <w:r>
        <w:rPr>
          <w:rFonts w:ascii="Times New Roman" w:hAnsi="Times New Roman" w:cs="Times New Roman" w:eastAsia="Times New Roman" w:hint="default"/>
          <w:sz w:val="18"/>
          <w:szCs w:val="18"/>
        </w:rPr>
        <w:t>Jakks</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z w:val="18"/>
          <w:szCs w:val="18"/>
        </w:rPr>
        <w:t>Pacific</w:t>
      </w:r>
      <w:r>
        <w:rPr>
          <w:rFonts w:ascii="宋体" w:hAnsi="宋体" w:cs="宋体" w:eastAsia="宋体" w:hint="default"/>
          <w:sz w:val="18"/>
          <w:szCs w:val="18"/>
        </w:rPr>
        <w:t>共同设立的杰克仕美盛营销平台将为国内的消费者带来国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外最新潮的玩具、动漫服饰流行体验，有利于国内市场的快速发展，将为公司来带新的利润增长点；公司通过投资</w:t>
      </w:r>
      <w:r>
        <w:rPr>
          <w:rFonts w:ascii="Times New Roman" w:hAnsi="Times New Roman" w:cs="Times New Roman" w:eastAsia="Times New Roman" w:hint="default"/>
          <w:sz w:val="18"/>
          <w:szCs w:val="18"/>
        </w:rPr>
        <w:t>1001</w:t>
      </w:r>
      <w:r>
        <w:rPr>
          <w:rFonts w:ascii="宋体" w:hAnsi="宋体" w:cs="宋体" w:eastAsia="宋体" w:hint="default"/>
          <w:sz w:val="18"/>
          <w:szCs w:val="18"/>
        </w:rPr>
        <w:t>夜</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对原有的线上</w:t>
      </w:r>
      <w:r>
        <w:rPr>
          <w:rFonts w:ascii="Times New Roman" w:hAnsi="Times New Roman" w:cs="Times New Roman" w:eastAsia="Times New Roman" w:hint="default"/>
          <w:sz w:val="18"/>
          <w:szCs w:val="18"/>
        </w:rPr>
        <w:t>+</w:t>
      </w:r>
      <w:r>
        <w:rPr>
          <w:rFonts w:ascii="宋体" w:hAnsi="宋体" w:cs="宋体" w:eastAsia="宋体" w:hint="default"/>
          <w:sz w:val="18"/>
          <w:szCs w:val="18"/>
        </w:rPr>
        <w:t>线下衍生品运营平台进行完善和补充，</w:t>
      </w:r>
      <w:r>
        <w:rPr>
          <w:rFonts w:ascii="Times New Roman" w:hAnsi="Times New Roman" w:cs="Times New Roman" w:eastAsia="Times New Roman" w:hint="default"/>
          <w:sz w:val="18"/>
          <w:szCs w:val="18"/>
        </w:rPr>
        <w:t>1001</w:t>
      </w:r>
      <w:r>
        <w:rPr>
          <w:rFonts w:ascii="宋体" w:hAnsi="宋体" w:cs="宋体" w:eastAsia="宋体" w:hint="default"/>
          <w:sz w:val="18"/>
          <w:szCs w:val="18"/>
        </w:rPr>
        <w:t>夜在全国覆盖</w:t>
      </w:r>
      <w:r>
        <w:rPr>
          <w:rFonts w:ascii="Times New Roman" w:hAnsi="Times New Roman" w:cs="Times New Roman" w:eastAsia="Times New Roman" w:hint="default"/>
          <w:sz w:val="18"/>
          <w:szCs w:val="18"/>
        </w:rPr>
        <w:t>800</w:t>
      </w:r>
      <w:r>
        <w:rPr>
          <w:rFonts w:ascii="宋体" w:hAnsi="宋体" w:cs="宋体" w:eastAsia="宋体" w:hint="default"/>
          <w:sz w:val="18"/>
          <w:szCs w:val="18"/>
        </w:rPr>
        <w:t>余家线下门店，持续提高公司产业链变现能力。</w:t>
      </w:r>
    </w:p>
    <w:p>
      <w:pPr>
        <w:spacing w:before="127"/>
        <w:ind w:left="51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、新媒体平台优势</w:t>
      </w:r>
    </w:p>
    <w:p>
      <w:pPr>
        <w:spacing w:line="240" w:lineRule="auto" w:before="13"/>
        <w:rPr>
          <w:rFonts w:ascii="宋体" w:hAnsi="宋体" w:cs="宋体" w:eastAsia="宋体" w:hint="default"/>
          <w:sz w:val="13"/>
          <w:szCs w:val="13"/>
        </w:rPr>
      </w:pPr>
    </w:p>
    <w:p>
      <w:pPr>
        <w:spacing w:line="307" w:lineRule="auto" w:before="0"/>
        <w:ind w:left="154" w:right="1039" w:firstLine="360"/>
        <w:jc w:val="left"/>
        <w:rPr>
          <w:rFonts w:ascii="宋体" w:hAnsi="宋体" w:cs="宋体" w:eastAsia="宋体" w:hint="default"/>
          <w:sz w:val="18"/>
          <w:szCs w:val="18"/>
        </w:rPr>
      </w:pPr>
      <w:r>
        <w:rPr>
          <w:rFonts w:ascii="宋体" w:hAnsi="宋体" w:cs="宋体" w:eastAsia="宋体" w:hint="default"/>
          <w:spacing w:val="-2"/>
          <w:sz w:val="18"/>
          <w:szCs w:val="18"/>
        </w:rPr>
        <w:t>另一方面，公司牢牢把握近几年新媒体引起的传媒产业革命新浪潮，致力于打造新媒体平台。与传统媒体相比而言，新</w:t>
      </w:r>
      <w:r>
        <w:rPr>
          <w:rFonts w:ascii="宋体" w:hAnsi="宋体" w:cs="宋体" w:eastAsia="宋体" w:hint="default"/>
          <w:sz w:val="18"/>
          <w:szCs w:val="18"/>
        </w:rPr>
        <w:t> </w:t>
      </w:r>
      <w:r>
        <w:rPr>
          <w:rFonts w:ascii="宋体" w:hAnsi="宋体" w:cs="宋体" w:eastAsia="宋体" w:hint="default"/>
          <w:spacing w:val="-2"/>
          <w:sz w:val="18"/>
          <w:szCs w:val="18"/>
        </w:rPr>
        <w:t>媒体具有个性化突出、受众选择性增多、表现形式多样、信息发布实时等新特点，具有交互性、全息化、数字化、网络化等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优势。公司精准切入</w:t>
      </w:r>
      <w:r>
        <w:rPr>
          <w:rFonts w:ascii="Times New Roman" w:hAnsi="Times New Roman" w:cs="Times New Roman" w:eastAsia="Times New Roman" w:hint="default"/>
          <w:spacing w:val="-2"/>
          <w:sz w:val="18"/>
          <w:szCs w:val="18"/>
        </w:rPr>
        <w:t>AR</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VR</w:t>
      </w:r>
      <w:r>
        <w:rPr>
          <w:rFonts w:ascii="宋体" w:hAnsi="宋体" w:cs="宋体" w:eastAsia="宋体" w:hint="default"/>
          <w:spacing w:val="-2"/>
          <w:sz w:val="18"/>
          <w:szCs w:val="18"/>
        </w:rPr>
        <w:t>领域，与国内领先的</w:t>
      </w:r>
      <w:r>
        <w:rPr>
          <w:rFonts w:ascii="Times New Roman" w:hAnsi="Times New Roman" w:cs="Times New Roman" w:eastAsia="Times New Roman" w:hint="default"/>
          <w:spacing w:val="-2"/>
          <w:sz w:val="18"/>
          <w:szCs w:val="18"/>
        </w:rPr>
        <w:t>AR</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VR</w:t>
      </w:r>
      <w:r>
        <w:rPr>
          <w:rFonts w:ascii="宋体" w:hAnsi="宋体" w:cs="宋体" w:eastAsia="宋体" w:hint="default"/>
          <w:spacing w:val="-2"/>
          <w:sz w:val="18"/>
          <w:szCs w:val="18"/>
        </w:rPr>
        <w:t>内容创造和发行商创幻科技和</w:t>
      </w:r>
      <w:r>
        <w:rPr>
          <w:rFonts w:ascii="Times New Roman" w:hAnsi="Times New Roman" w:cs="Times New Roman" w:eastAsia="Times New Roman" w:hint="default"/>
          <w:spacing w:val="-2"/>
          <w:sz w:val="18"/>
          <w:szCs w:val="18"/>
        </w:rPr>
        <w:t>VR</w:t>
      </w:r>
      <w:r>
        <w:rPr>
          <w:rFonts w:ascii="宋体" w:hAnsi="宋体" w:cs="宋体" w:eastAsia="宋体" w:hint="default"/>
          <w:spacing w:val="-2"/>
          <w:sz w:val="18"/>
          <w:szCs w:val="18"/>
        </w:rPr>
        <w:t>线下体验互动平台超级队长展开</w:t>
      </w:r>
      <w:r>
        <w:rPr>
          <w:rFonts w:ascii="宋体" w:hAnsi="宋体" w:cs="宋体" w:eastAsia="宋体" w:hint="default"/>
          <w:spacing w:val="-54"/>
          <w:sz w:val="18"/>
          <w:szCs w:val="18"/>
        </w:rPr>
        <w:t> </w:t>
      </w:r>
      <w:r>
        <w:rPr>
          <w:rFonts w:ascii="宋体" w:hAnsi="宋体" w:cs="宋体" w:eastAsia="宋体" w:hint="default"/>
          <w:sz w:val="18"/>
          <w:szCs w:val="18"/>
        </w:rPr>
        <w:t>合作，进行虚拟现实领域的前瞻性产业布局。公司又从当前火热的直播平台这一新兴产业领域入手，投资触手</w:t>
      </w:r>
      <w:r>
        <w:rPr>
          <w:rFonts w:ascii="Times New Roman" w:hAnsi="Times New Roman" w:cs="Times New Roman" w:eastAsia="Times New Roman" w:hint="default"/>
          <w:sz w:val="18"/>
          <w:szCs w:val="18"/>
        </w:rPr>
        <w:t>TV</w:t>
      </w:r>
      <w:r>
        <w:rPr>
          <w:rFonts w:ascii="宋体" w:hAnsi="宋体" w:cs="宋体" w:eastAsia="宋体" w:hint="default"/>
          <w:sz w:val="18"/>
          <w:szCs w:val="18"/>
        </w:rPr>
        <w:t>，目前触</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2"/>
          <w:sz w:val="18"/>
          <w:szCs w:val="18"/>
        </w:rPr>
        <w:t>手</w:t>
      </w:r>
      <w:r>
        <w:rPr>
          <w:rFonts w:ascii="Times New Roman" w:hAnsi="Times New Roman" w:cs="Times New Roman" w:eastAsia="Times New Roman" w:hint="default"/>
          <w:spacing w:val="-2"/>
          <w:sz w:val="18"/>
          <w:szCs w:val="18"/>
        </w:rPr>
        <w:t>TV</w:t>
      </w:r>
      <w:r>
        <w:rPr>
          <w:rFonts w:ascii="宋体" w:hAnsi="宋体" w:cs="宋体" w:eastAsia="宋体" w:hint="default"/>
          <w:spacing w:val="-2"/>
          <w:sz w:val="18"/>
          <w:szCs w:val="18"/>
        </w:rPr>
        <w:t>已成为国内最大的手游直播平台；公司投资白熊阅读</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布局二次元文学创作与阅读平台，并且通过签约优秀的漫画作家、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文学作家，进一步提高对优秀</w:t>
      </w:r>
      <w:r>
        <w:rPr>
          <w:rFonts w:ascii="Times New Roman" w:hAnsi="Times New Roman" w:cs="Times New Roman" w:eastAsia="Times New Roman" w:hint="default"/>
          <w:spacing w:val="2"/>
          <w:sz w:val="18"/>
          <w:szCs w:val="18"/>
        </w:rPr>
        <w:t>IP</w:t>
      </w:r>
      <w:r>
        <w:rPr>
          <w:rFonts w:ascii="宋体" w:hAnsi="宋体" w:cs="宋体" w:eastAsia="宋体" w:hint="default"/>
          <w:spacing w:val="2"/>
          <w:sz w:val="18"/>
          <w:szCs w:val="18"/>
        </w:rPr>
        <w:t>的捕捉能力及前瞻性布局。近年公司在新媒体领域业务发展尤其迅速，公司投资</w:t>
      </w:r>
      <w:r>
        <w:rPr>
          <w:rFonts w:ascii="Times New Roman" w:hAnsi="Times New Roman" w:cs="Times New Roman" w:eastAsia="Times New Roman" w:hint="default"/>
          <w:spacing w:val="2"/>
          <w:sz w:val="18"/>
          <w:szCs w:val="18"/>
        </w:rPr>
        <w:t>WeMedia</w:t>
      </w:r>
      <w:r>
        <w:rPr>
          <w:rFonts w:ascii="Times New Roman" w:hAnsi="Times New Roman" w:cs="Times New Roman" w:eastAsia="Times New Roman" w:hint="default"/>
          <w:sz w:val="18"/>
          <w:szCs w:val="18"/>
        </w:rPr>
        <w:t> </w:t>
      </w:r>
      <w:r>
        <w:rPr>
          <w:rFonts w:ascii="宋体" w:hAnsi="宋体" w:cs="宋体" w:eastAsia="宋体" w:hint="default"/>
          <w:sz w:val="18"/>
          <w:szCs w:val="18"/>
        </w:rPr>
        <w:t>新媒体集团发起成立的</w:t>
      </w:r>
      <w:r>
        <w:rPr>
          <w:rFonts w:ascii="Times New Roman" w:hAnsi="Times New Roman" w:cs="Times New Roman" w:eastAsia="Times New Roman" w:hint="default"/>
          <w:sz w:val="18"/>
          <w:szCs w:val="18"/>
        </w:rPr>
        <w:t>WeMedia</w:t>
      </w:r>
      <w:r>
        <w:rPr>
          <w:rFonts w:ascii="宋体" w:hAnsi="宋体" w:cs="宋体" w:eastAsia="宋体" w:hint="default"/>
          <w:sz w:val="18"/>
          <w:szCs w:val="18"/>
        </w:rPr>
        <w:t>自媒体联盟，已签约各行业精英自媒体近</w:t>
      </w:r>
      <w:r>
        <w:rPr>
          <w:rFonts w:ascii="Times New Roman" w:hAnsi="Times New Roman" w:cs="Times New Roman" w:eastAsia="Times New Roman" w:hint="default"/>
          <w:sz w:val="18"/>
          <w:szCs w:val="18"/>
        </w:rPr>
        <w:t>500</w:t>
      </w:r>
      <w:r>
        <w:rPr>
          <w:rFonts w:ascii="宋体" w:hAnsi="宋体" w:cs="宋体" w:eastAsia="宋体" w:hint="default"/>
          <w:sz w:val="18"/>
          <w:szCs w:val="18"/>
        </w:rPr>
        <w:t>人，覆盖逾</w:t>
      </w:r>
      <w:r>
        <w:rPr>
          <w:rFonts w:ascii="Times New Roman" w:hAnsi="Times New Roman" w:cs="Times New Roman" w:eastAsia="Times New Roman" w:hint="default"/>
          <w:sz w:val="18"/>
          <w:szCs w:val="18"/>
        </w:rPr>
        <w:t>5000</w:t>
      </w:r>
      <w:r>
        <w:rPr>
          <w:rFonts w:ascii="宋体" w:hAnsi="宋体" w:cs="宋体" w:eastAsia="宋体" w:hint="default"/>
          <w:sz w:val="18"/>
          <w:szCs w:val="18"/>
        </w:rPr>
        <w:t>万用户，是当前中国最大的自</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媒体联盟；公司投资同道大叔，以同道大叔个人</w:t>
      </w:r>
      <w:r>
        <w:rPr>
          <w:rFonts w:ascii="Times New Roman" w:hAnsi="Times New Roman" w:cs="Times New Roman" w:eastAsia="Times New Roman" w:hint="default"/>
          <w:spacing w:val="-2"/>
          <w:sz w:val="18"/>
          <w:szCs w:val="18"/>
        </w:rPr>
        <w:t>IP</w:t>
      </w:r>
      <w:r>
        <w:rPr>
          <w:rFonts w:ascii="宋体" w:hAnsi="宋体" w:cs="宋体" w:eastAsia="宋体" w:hint="default"/>
          <w:spacing w:val="-2"/>
          <w:sz w:val="18"/>
          <w:szCs w:val="18"/>
        </w:rPr>
        <w:t>为载体</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以媒体运营、</w:t>
      </w:r>
      <w:r>
        <w:rPr>
          <w:rFonts w:ascii="Times New Roman" w:hAnsi="Times New Roman" w:cs="Times New Roman" w:eastAsia="Times New Roman" w:hint="default"/>
          <w:spacing w:val="-2"/>
          <w:sz w:val="18"/>
          <w:szCs w:val="18"/>
        </w:rPr>
        <w:t>IP</w:t>
      </w:r>
      <w:r>
        <w:rPr>
          <w:rFonts w:ascii="宋体" w:hAnsi="宋体" w:cs="宋体" w:eastAsia="宋体" w:hint="default"/>
          <w:spacing w:val="-2"/>
          <w:sz w:val="18"/>
          <w:szCs w:val="18"/>
        </w:rPr>
        <w:t>内容开发与运营等形式构建泛娱乐消费平台。丰富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的平台资源充分发挥了公司全产业链布局的综合优势，实现了产业上下游资源的整合，也为消费者提供了多元化的泛娱乐体</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验。</w:t>
      </w:r>
    </w:p>
    <w:p>
      <w:pPr>
        <w:spacing w:line="432" w:lineRule="exact" w:before="10"/>
        <w:ind w:left="514" w:right="1126" w:firstLine="0"/>
        <w:jc w:val="left"/>
        <w:rPr>
          <w:rFonts w:ascii="宋体" w:hAnsi="宋体" w:cs="宋体" w:eastAsia="宋体" w:hint="default"/>
          <w:sz w:val="18"/>
          <w:szCs w:val="18"/>
        </w:rPr>
      </w:pPr>
      <w:r>
        <w:rPr>
          <w:rFonts w:ascii="宋体" w:hAnsi="宋体" w:cs="宋体" w:eastAsia="宋体" w:hint="default"/>
          <w:sz w:val="18"/>
          <w:szCs w:val="18"/>
        </w:rPr>
        <w:t>三、泛文化生态圈优势 </w:t>
      </w:r>
      <w:r>
        <w:rPr>
          <w:rFonts w:ascii="宋体" w:hAnsi="宋体" w:cs="宋体" w:eastAsia="宋体" w:hint="default"/>
          <w:spacing w:val="-1"/>
          <w:sz w:val="18"/>
          <w:szCs w:val="18"/>
        </w:rPr>
        <w:t>自公司上市以来，紧密围绕文化产业发展，重点开发</w:t>
      </w:r>
      <w:r>
        <w:rPr>
          <w:rFonts w:ascii="Times New Roman" w:hAnsi="Times New Roman" w:cs="Times New Roman" w:eastAsia="Times New Roman" w:hint="default"/>
          <w:spacing w:val="-1"/>
          <w:sz w:val="18"/>
          <w:szCs w:val="18"/>
        </w:rPr>
        <w:t>IP</w:t>
      </w:r>
      <w:r>
        <w:rPr>
          <w:rFonts w:ascii="宋体" w:hAnsi="宋体" w:cs="宋体" w:eastAsia="宋体" w:hint="default"/>
          <w:spacing w:val="-1"/>
          <w:sz w:val="18"/>
          <w:szCs w:val="18"/>
        </w:rPr>
        <w:t>衍生品产业相关业务。近年来，公司在不断加强和巩固国内</w:t>
      </w:r>
      <w:r>
        <w:rPr>
          <w:rFonts w:ascii="Times New Roman" w:hAnsi="Times New Roman" w:cs="Times New Roman" w:eastAsia="Times New Roman" w:hint="default"/>
          <w:spacing w:val="-1"/>
          <w:sz w:val="18"/>
          <w:szCs w:val="18"/>
        </w:rPr>
        <w:t>IP</w:t>
      </w:r>
      <w:r>
        <w:rPr>
          <w:rFonts w:ascii="宋体" w:hAnsi="宋体" w:cs="宋体" w:eastAsia="宋体" w:hint="default"/>
          <w:spacing w:val="-1"/>
          <w:sz w:val="18"/>
          <w:szCs w:val="18"/>
        </w:rPr>
        <w:t>衍</w:t>
      </w:r>
    </w:p>
    <w:p>
      <w:pPr>
        <w:spacing w:line="309" w:lineRule="auto" w:before="15"/>
        <w:ind w:left="154" w:right="1130" w:firstLine="0"/>
        <w:jc w:val="both"/>
        <w:rPr>
          <w:rFonts w:ascii="宋体" w:hAnsi="宋体" w:cs="宋体" w:eastAsia="宋体" w:hint="default"/>
          <w:sz w:val="18"/>
          <w:szCs w:val="18"/>
        </w:rPr>
      </w:pPr>
      <w:r>
        <w:rPr>
          <w:rFonts w:ascii="宋体" w:hAnsi="宋体" w:cs="宋体" w:eastAsia="宋体" w:hint="default"/>
          <w:spacing w:val="-2"/>
          <w:sz w:val="18"/>
          <w:szCs w:val="18"/>
        </w:rPr>
        <w:t>生品龙头企业地位的基础上，重点开拓上下游业务，完善产业链，在文化产业链包括动漫、游戏、影视、衍生品等上下游进</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
          <w:sz w:val="18"/>
          <w:szCs w:val="18"/>
        </w:rPr>
        <w:t>行战略布局，实现转型升级，完成了</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自有</w:t>
      </w:r>
      <w:r>
        <w:rPr>
          <w:rFonts w:ascii="Times New Roman" w:hAnsi="Times New Roman" w:cs="Times New Roman" w:eastAsia="Times New Roman" w:hint="default"/>
          <w:spacing w:val="-1"/>
          <w:sz w:val="18"/>
          <w:szCs w:val="18"/>
        </w:rPr>
        <w:t>IP+</w:t>
      </w:r>
      <w:r>
        <w:rPr>
          <w:rFonts w:ascii="宋体" w:hAnsi="宋体" w:cs="宋体" w:eastAsia="宋体" w:hint="default"/>
          <w:spacing w:val="-1"/>
          <w:sz w:val="18"/>
          <w:szCs w:val="18"/>
        </w:rPr>
        <w:t>内容制作</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内容发行和运营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新媒体运营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衍生品开发设计</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线上线下零售渠道</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的文化生态圈的构建。文化生态圈相关产业的联动发展又使得公司在</w:t>
      </w:r>
      <w:r>
        <w:rPr>
          <w:rFonts w:ascii="Times New Roman" w:hAnsi="Times New Roman" w:cs="Times New Roman" w:eastAsia="Times New Roman" w:hint="default"/>
          <w:sz w:val="18"/>
          <w:szCs w:val="18"/>
        </w:rPr>
        <w:t>IP</w:t>
      </w:r>
      <w:r>
        <w:rPr>
          <w:rFonts w:ascii="宋体" w:hAnsi="宋体" w:cs="宋体" w:eastAsia="宋体" w:hint="default"/>
          <w:sz w:val="18"/>
          <w:szCs w:val="18"/>
        </w:rPr>
        <w:t>衍生品领域的优势更为突出。</w:t>
      </w:r>
    </w:p>
    <w:p>
      <w:pPr>
        <w:spacing w:line="300" w:lineRule="auto" w:before="125"/>
        <w:ind w:left="154" w:right="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基于公司丰富的平台优势、泛文化生态圈优势，结合公司原创优质</w:t>
      </w:r>
      <w:r>
        <w:rPr>
          <w:rFonts w:ascii="Times New Roman" w:hAnsi="Times New Roman" w:cs="Times New Roman" w:eastAsia="Times New Roman" w:hint="default"/>
          <w:sz w:val="18"/>
          <w:szCs w:val="18"/>
        </w:rPr>
        <w:t>IP</w:t>
      </w:r>
      <w:r>
        <w:rPr>
          <w:rFonts w:ascii="宋体" w:hAnsi="宋体" w:cs="宋体" w:eastAsia="宋体" w:hint="default"/>
          <w:sz w:val="18"/>
          <w:szCs w:val="18"/>
        </w:rPr>
        <w:t>开发成功的典型案例：同道文化以同道大叔个人</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1"/>
          <w:sz w:val="18"/>
          <w:szCs w:val="18"/>
        </w:rPr>
        <w:t>为载体</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以媒体运营、</w:t>
      </w:r>
      <w:r>
        <w:rPr>
          <w:rFonts w:ascii="Times New Roman" w:hAnsi="Times New Roman" w:cs="Times New Roman" w:eastAsia="Times New Roman" w:hint="default"/>
          <w:spacing w:val="-1"/>
          <w:sz w:val="18"/>
          <w:szCs w:val="18"/>
        </w:rPr>
        <w:t>IP</w:t>
      </w:r>
      <w:r>
        <w:rPr>
          <w:rFonts w:ascii="宋体" w:hAnsi="宋体" w:cs="宋体" w:eastAsia="宋体" w:hint="default"/>
          <w:spacing w:val="-1"/>
          <w:sz w:val="18"/>
          <w:szCs w:val="18"/>
        </w:rPr>
        <w:t>内容开发与运营等形式构建泛娱乐消费场景。目前已有包括网剧《星座啪啪啪》和《超星星学园》、</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Times New Roman" w:hAnsi="Times New Roman" w:cs="Times New Roman" w:eastAsia="Times New Roman" w:hint="default"/>
          <w:sz w:val="18"/>
          <w:szCs w:val="18"/>
        </w:rPr>
        <w:t>12</w:t>
      </w:r>
      <w:r>
        <w:rPr>
          <w:rFonts w:ascii="宋体" w:hAnsi="宋体" w:cs="宋体" w:eastAsia="宋体" w:hint="default"/>
          <w:sz w:val="18"/>
          <w:szCs w:val="18"/>
        </w:rPr>
        <w:t>星座咖啡厅、同道文化衍生品等周边。依托于公司的泛娱乐平台优势</w:t>
      </w:r>
      <w:r>
        <w:rPr>
          <w:rFonts w:ascii="Times New Roman" w:hAnsi="Times New Roman" w:cs="Times New Roman" w:eastAsia="Times New Roman" w:hint="default"/>
          <w:sz w:val="18"/>
          <w:szCs w:val="18"/>
        </w:rPr>
        <w:t>,</w:t>
      </w:r>
      <w:r>
        <w:rPr>
          <w:rFonts w:ascii="宋体" w:hAnsi="宋体" w:cs="宋体" w:eastAsia="宋体" w:hint="default"/>
          <w:sz w:val="18"/>
          <w:szCs w:val="18"/>
        </w:rPr>
        <w:t>同道星座文化将持续进行全方位推广，涉及包括星</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座、动漫、趣味、娱乐、创意等各个领域。相比于传统媒体</w:t>
      </w:r>
      <w:r>
        <w:rPr>
          <w:rFonts w:ascii="Times New Roman" w:hAnsi="Times New Roman" w:cs="Times New Roman" w:eastAsia="Times New Roman" w:hint="default"/>
          <w:sz w:val="18"/>
          <w:szCs w:val="18"/>
        </w:rPr>
        <w:t>,</w:t>
      </w:r>
      <w:r>
        <w:rPr>
          <w:rFonts w:ascii="宋体" w:hAnsi="宋体" w:cs="宋体" w:eastAsia="宋体" w:hint="default"/>
          <w:sz w:val="18"/>
          <w:szCs w:val="18"/>
        </w:rPr>
        <w:t>新媒体平台主观情感色彩更浓烈</w:t>
      </w:r>
      <w:r>
        <w:rPr>
          <w:rFonts w:ascii="Times New Roman" w:hAnsi="Times New Roman" w:cs="Times New Roman" w:eastAsia="Times New Roman" w:hint="default"/>
          <w:sz w:val="18"/>
          <w:szCs w:val="18"/>
        </w:rPr>
        <w:t>,</w:t>
      </w:r>
      <w:r>
        <w:rPr>
          <w:rFonts w:ascii="宋体" w:hAnsi="宋体" w:cs="宋体" w:eastAsia="宋体" w:hint="default"/>
          <w:sz w:val="18"/>
          <w:szCs w:val="18"/>
        </w:rPr>
        <w:t>与公司的衍生品受众群特征更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为契合</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更适合作为公司的</w:t>
      </w:r>
      <w:r>
        <w:rPr>
          <w:rFonts w:ascii="Times New Roman" w:hAnsi="Times New Roman" w:cs="Times New Roman" w:eastAsia="Times New Roman" w:hint="default"/>
          <w:spacing w:val="-2"/>
          <w:sz w:val="18"/>
          <w:szCs w:val="18"/>
        </w:rPr>
        <w:t>IP</w:t>
      </w:r>
      <w:r>
        <w:rPr>
          <w:rFonts w:ascii="宋体" w:hAnsi="宋体" w:cs="宋体" w:eastAsia="宋体" w:hint="default"/>
          <w:spacing w:val="-2"/>
          <w:sz w:val="18"/>
          <w:szCs w:val="18"/>
        </w:rPr>
        <w:t>衍生品宣发渠道。同道文化作为全网领先的顶级</w:t>
      </w:r>
      <w:r>
        <w:rPr>
          <w:rFonts w:ascii="Times New Roman" w:hAnsi="Times New Roman" w:cs="Times New Roman" w:eastAsia="Times New Roman" w:hint="default"/>
          <w:spacing w:val="-2"/>
          <w:sz w:val="18"/>
          <w:szCs w:val="18"/>
        </w:rPr>
        <w:t>IP</w:t>
      </w:r>
      <w:r>
        <w:rPr>
          <w:rFonts w:ascii="宋体" w:hAnsi="宋体" w:cs="宋体" w:eastAsia="宋体" w:hint="default"/>
          <w:spacing w:val="-2"/>
          <w:sz w:val="18"/>
          <w:szCs w:val="18"/>
        </w:rPr>
        <w:t>，选择与公司强强合作，彰显出公司构建的</w:t>
      </w:r>
      <w:r>
        <w:rPr>
          <w:rFonts w:ascii="Times New Roman" w:hAnsi="Times New Roman" w:cs="Times New Roman" w:eastAsia="Times New Roman" w:hint="default"/>
          <w:spacing w:val="-2"/>
          <w:sz w:val="18"/>
          <w:szCs w:val="18"/>
        </w:rPr>
        <w:t>IP</w:t>
      </w:r>
      <w:r>
        <w:rPr>
          <w:rFonts w:ascii="Times New Roman" w:hAnsi="Times New Roman" w:cs="Times New Roman" w:eastAsia="Times New Roman" w:hint="default"/>
          <w:sz w:val="18"/>
          <w:szCs w:val="18"/>
        </w:rPr>
      </w:r>
    </w:p>
    <w:p>
      <w:pPr>
        <w:spacing w:after="0" w:line="30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spacing w:line="304" w:lineRule="auto" w:before="44"/>
        <w:ind w:left="154" w:right="1036" w:firstLine="0"/>
        <w:jc w:val="left"/>
        <w:rPr>
          <w:rFonts w:ascii="宋体" w:hAnsi="宋体" w:cs="宋体" w:eastAsia="宋体" w:hint="default"/>
          <w:sz w:val="18"/>
          <w:szCs w:val="18"/>
        </w:rPr>
      </w:pPr>
      <w:r>
        <w:rPr>
          <w:rFonts w:ascii="宋体" w:hAnsi="宋体" w:cs="宋体" w:eastAsia="宋体" w:hint="default"/>
          <w:spacing w:val="-3"/>
          <w:sz w:val="18"/>
          <w:szCs w:val="18"/>
        </w:rPr>
        <w:t>文化生态圈体系的核心价值，公司有望凭借其在</w:t>
      </w:r>
      <w:r>
        <w:rPr>
          <w:rFonts w:ascii="Times New Roman" w:hAnsi="Times New Roman" w:cs="Times New Roman" w:eastAsia="Times New Roman" w:hint="default"/>
          <w:spacing w:val="-3"/>
          <w:sz w:val="18"/>
          <w:szCs w:val="18"/>
        </w:rPr>
        <w:t>IP</w:t>
      </w:r>
      <w:r>
        <w:rPr>
          <w:rFonts w:ascii="宋体" w:hAnsi="宋体" w:cs="宋体" w:eastAsia="宋体" w:hint="default"/>
          <w:spacing w:val="-3"/>
          <w:sz w:val="18"/>
          <w:szCs w:val="18"/>
        </w:rPr>
        <w:t>领域的竞争优势，加速同道的品牌化转变及变现。同道大叔与公司的合作，</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是国内第一个顶级</w:t>
      </w:r>
      <w:r>
        <w:rPr>
          <w:rFonts w:ascii="Times New Roman" w:hAnsi="Times New Roman" w:cs="Times New Roman" w:eastAsia="Times New Roman" w:hint="default"/>
          <w:sz w:val="18"/>
          <w:szCs w:val="18"/>
        </w:rPr>
        <w:t>IP</w:t>
      </w:r>
      <w:r>
        <w:rPr>
          <w:rFonts w:ascii="宋体" w:hAnsi="宋体" w:cs="宋体" w:eastAsia="宋体" w:hint="default"/>
          <w:sz w:val="18"/>
          <w:szCs w:val="18"/>
        </w:rPr>
        <w:t>商业化、品牌化的探索，价值巨大，同时也标志着公司</w:t>
      </w:r>
      <w:r>
        <w:rPr>
          <w:rFonts w:ascii="Times New Roman" w:hAnsi="Times New Roman" w:cs="Times New Roman" w:eastAsia="Times New Roman" w:hint="default"/>
          <w:sz w:val="18"/>
          <w:szCs w:val="18"/>
        </w:rPr>
        <w:t>IP</w:t>
      </w:r>
      <w:r>
        <w:rPr>
          <w:rFonts w:ascii="宋体" w:hAnsi="宋体" w:cs="宋体" w:eastAsia="宋体" w:hint="default"/>
          <w:sz w:val="18"/>
          <w:szCs w:val="18"/>
        </w:rPr>
        <w:t>长效价值变现战略的正式启动。基于公司泛娱 </w:t>
      </w:r>
      <w:r>
        <w:rPr>
          <w:rFonts w:ascii="宋体" w:hAnsi="宋体" w:cs="宋体" w:eastAsia="宋体" w:hint="default"/>
          <w:spacing w:val="-2"/>
          <w:sz w:val="18"/>
          <w:szCs w:val="18"/>
        </w:rPr>
        <w:t>乐平台优势，进一步对星座文化进行推广。《星座啪啪啪》是公司参与出品的一部青春网络剧，于</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年播出，凭借新颖的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星座题材、搞笑的人设、脑洞大开的剧情反转赢得了观众的口碑，成为</w:t>
      </w:r>
      <w:r>
        <w:rPr>
          <w:rFonts w:ascii="Times New Roman" w:hAnsi="Times New Roman" w:cs="Times New Roman" w:eastAsia="Times New Roman" w:hint="default"/>
          <w:sz w:val="18"/>
          <w:szCs w:val="18"/>
        </w:rPr>
        <w:t>2016</w:t>
      </w:r>
      <w:r>
        <w:rPr>
          <w:rFonts w:ascii="宋体" w:hAnsi="宋体" w:cs="宋体" w:eastAsia="宋体" w:hint="default"/>
          <w:sz w:val="18"/>
          <w:szCs w:val="18"/>
        </w:rPr>
        <w:t>年暑假档网剧的</w:t>
      </w:r>
      <w:r>
        <w:rPr>
          <w:rFonts w:ascii="Times New Roman" w:hAnsi="Times New Roman" w:cs="Times New Roman" w:eastAsia="Times New Roman" w:hint="default"/>
          <w:sz w:val="18"/>
          <w:szCs w:val="18"/>
        </w:rPr>
        <w:t>“</w:t>
      </w:r>
      <w:r>
        <w:rPr>
          <w:rFonts w:ascii="宋体" w:hAnsi="宋体" w:cs="宋体" w:eastAsia="宋体" w:hint="default"/>
          <w:sz w:val="18"/>
          <w:szCs w:val="18"/>
        </w:rPr>
        <w:t>黑马</w:t>
      </w:r>
      <w:r>
        <w:rPr>
          <w:rFonts w:ascii="Times New Roman" w:hAnsi="Times New Roman" w:cs="Times New Roman" w:eastAsia="Times New Roman" w:hint="default"/>
          <w:sz w:val="18"/>
          <w:szCs w:val="18"/>
        </w:rPr>
        <w:t>”</w:t>
      </w:r>
      <w:r>
        <w:rPr>
          <w:rFonts w:ascii="宋体" w:hAnsi="宋体" w:cs="宋体" w:eastAsia="宋体" w:hint="default"/>
          <w:sz w:val="18"/>
          <w:szCs w:val="18"/>
        </w:rPr>
        <w:t>。上线第二天全网点击量 排名第三，播放量达到</w:t>
      </w:r>
      <w:r>
        <w:rPr>
          <w:rFonts w:ascii="Times New Roman" w:hAnsi="Times New Roman" w:cs="Times New Roman" w:eastAsia="Times New Roman" w:hint="default"/>
          <w:sz w:val="18"/>
          <w:szCs w:val="18"/>
        </w:rPr>
        <w:t>1.2</w:t>
      </w:r>
      <w:r>
        <w:rPr>
          <w:rFonts w:ascii="宋体" w:hAnsi="宋体" w:cs="宋体" w:eastAsia="宋体" w:hint="default"/>
          <w:sz w:val="18"/>
          <w:szCs w:val="18"/>
        </w:rPr>
        <w:t>亿次，乐视视频评分</w:t>
      </w:r>
      <w:r>
        <w:rPr>
          <w:rFonts w:ascii="Times New Roman" w:hAnsi="Times New Roman" w:cs="Times New Roman" w:eastAsia="Times New Roman" w:hint="default"/>
          <w:sz w:val="18"/>
          <w:szCs w:val="18"/>
        </w:rPr>
        <w:t>9.8</w:t>
      </w:r>
      <w:r>
        <w:rPr>
          <w:rFonts w:ascii="宋体" w:hAnsi="宋体" w:cs="宋体" w:eastAsia="宋体" w:hint="default"/>
          <w:sz w:val="18"/>
          <w:szCs w:val="18"/>
        </w:rPr>
        <w:t>分。另外公司参与出品同道大叔监制的青春校园超能力网络剧《超星星学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园》也于</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29</w:t>
      </w:r>
      <w:r>
        <w:rPr>
          <w:rFonts w:ascii="宋体" w:hAnsi="宋体" w:cs="宋体" w:eastAsia="宋体" w:hint="default"/>
          <w:spacing w:val="-2"/>
          <w:sz w:val="18"/>
          <w:szCs w:val="18"/>
        </w:rPr>
        <w:t>日在腾讯视频独家上线，其热度一度飙升，上线首日微博实时热门话题排行第一，上线仅</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天播放量破</w:t>
      </w:r>
      <w:r>
        <w:rPr>
          <w:rFonts w:ascii="宋体" w:hAnsi="宋体" w:cs="宋体" w:eastAsia="宋体" w:hint="default"/>
          <w:spacing w:val="-58"/>
          <w:sz w:val="18"/>
          <w:szCs w:val="18"/>
        </w:rPr>
        <w:t> </w:t>
      </w:r>
      <w:r>
        <w:rPr>
          <w:rFonts w:ascii="宋体" w:hAnsi="宋体" w:cs="宋体" w:eastAsia="宋体" w:hint="default"/>
          <w:sz w:val="18"/>
          <w:szCs w:val="18"/>
        </w:rPr>
        <w:t>亿</w:t>
      </w:r>
      <w:r>
        <w:rPr>
          <w:rFonts w:ascii="宋体" w:hAnsi="宋体" w:cs="宋体" w:eastAsia="宋体" w:hint="default"/>
          <w:spacing w:val="12"/>
          <w:sz w:val="18"/>
          <w:szCs w:val="18"/>
        </w:rPr>
        <w:t> </w:t>
      </w:r>
      <w:r>
        <w:rPr>
          <w:rFonts w:ascii="宋体" w:hAnsi="宋体" w:cs="宋体" w:eastAsia="宋体" w:hint="default"/>
          <w:spacing w:val="-2"/>
          <w:sz w:val="18"/>
          <w:szCs w:val="18"/>
        </w:rPr>
        <w:t>，同时还入驻炫舞时代游戏，吸引了一大批观剧粉丝和游戏玩家。公司还参与出品青春音乐网剧《薛定谔的猫》等作品。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今年</w:t>
      </w:r>
      <w:r>
        <w:rPr>
          <w:rFonts w:ascii="Times New Roman" w:hAnsi="Times New Roman" w:cs="Times New Roman" w:eastAsia="Times New Roman" w:hint="default"/>
          <w:sz w:val="18"/>
          <w:szCs w:val="18"/>
        </w:rPr>
        <w:t>4</w:t>
      </w:r>
      <w:r>
        <w:rPr>
          <w:rFonts w:ascii="宋体" w:hAnsi="宋体" w:cs="宋体" w:eastAsia="宋体" w:hint="default"/>
          <w:sz w:val="18"/>
          <w:szCs w:val="18"/>
        </w:rPr>
        <w:t>月，由美盛文化、新昌舞唐影业有限公司、北京星座女神文化传媒有限公司出品，同道大叔监制的网剧星座啪啪啪系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列第二季《防水逆联盟》在爱奇艺独家上线，并入围第八届北京国际电影节第二届网影盛典</w:t>
      </w:r>
      <w:r>
        <w:rPr>
          <w:rFonts w:ascii="Times New Roman" w:hAnsi="Times New Roman" w:cs="Times New Roman" w:eastAsia="Times New Roman" w:hint="default"/>
          <w:sz w:val="18"/>
          <w:szCs w:val="18"/>
        </w:rPr>
        <w:t>“</w:t>
      </w:r>
      <w:r>
        <w:rPr>
          <w:rFonts w:ascii="宋体" w:hAnsi="宋体" w:cs="宋体" w:eastAsia="宋体" w:hint="default"/>
          <w:sz w:val="18"/>
          <w:szCs w:val="18"/>
        </w:rPr>
        <w:t>年度十佳网络剧</w:t>
      </w:r>
      <w:r>
        <w:rPr>
          <w:rFonts w:ascii="Times New Roman" w:hAnsi="Times New Roman" w:cs="Times New Roman" w:eastAsia="Times New Roman" w:hint="default"/>
          <w:sz w:val="18"/>
          <w:szCs w:val="18"/>
        </w:rPr>
        <w:t>”</w:t>
      </w:r>
      <w:r>
        <w:rPr>
          <w:rFonts w:ascii="宋体" w:hAnsi="宋体" w:cs="宋体" w:eastAsia="宋体" w:hint="default"/>
          <w:sz w:val="18"/>
          <w:szCs w:val="18"/>
        </w:rPr>
        <w:t>，导演李晨恺 入围</w:t>
      </w:r>
      <w:r>
        <w:rPr>
          <w:rFonts w:ascii="Times New Roman" w:hAnsi="Times New Roman" w:cs="Times New Roman" w:eastAsia="Times New Roman" w:hint="default"/>
          <w:sz w:val="18"/>
          <w:szCs w:val="18"/>
        </w:rPr>
        <w:t>“</w:t>
      </w:r>
      <w:r>
        <w:rPr>
          <w:rFonts w:ascii="宋体" w:hAnsi="宋体" w:cs="宋体" w:eastAsia="宋体" w:hint="default"/>
          <w:sz w:val="18"/>
          <w:szCs w:val="18"/>
        </w:rPr>
        <w:t>年度十佳网络剧导演</w:t>
      </w:r>
      <w:r>
        <w:rPr>
          <w:rFonts w:ascii="Times New Roman" w:hAnsi="Times New Roman" w:cs="Times New Roman" w:eastAsia="Times New Roman" w:hint="default"/>
          <w:sz w:val="18"/>
          <w:szCs w:val="18"/>
        </w:rPr>
        <w:t>”</w:t>
      </w:r>
      <w:r>
        <w:rPr>
          <w:rFonts w:ascii="宋体" w:hAnsi="宋体" w:cs="宋体" w:eastAsia="宋体" w:hint="default"/>
          <w:sz w:val="18"/>
          <w:szCs w:val="18"/>
        </w:rPr>
        <w:t>。优秀原创</w:t>
      </w:r>
      <w:r>
        <w:rPr>
          <w:rFonts w:ascii="Times New Roman" w:hAnsi="Times New Roman" w:cs="Times New Roman" w:eastAsia="Times New Roman" w:hint="default"/>
          <w:sz w:val="18"/>
          <w:szCs w:val="18"/>
        </w:rPr>
        <w:t>IP</w:t>
      </w:r>
      <w:r>
        <w:rPr>
          <w:rFonts w:ascii="宋体" w:hAnsi="宋体" w:cs="宋体" w:eastAsia="宋体" w:hint="default"/>
          <w:sz w:val="18"/>
          <w:szCs w:val="18"/>
        </w:rPr>
        <w:t>形象的推出将建立对最终消费者的情感代入，增强消费者对</w:t>
      </w:r>
      <w:r>
        <w:rPr>
          <w:rFonts w:ascii="Times New Roman" w:hAnsi="Times New Roman" w:cs="Times New Roman" w:eastAsia="Times New Roman" w:hint="default"/>
          <w:sz w:val="18"/>
          <w:szCs w:val="18"/>
        </w:rPr>
        <w:t>IP</w:t>
      </w:r>
      <w:r>
        <w:rPr>
          <w:rFonts w:ascii="宋体" w:hAnsi="宋体" w:cs="宋体" w:eastAsia="宋体" w:hint="default"/>
          <w:sz w:val="18"/>
          <w:szCs w:val="18"/>
        </w:rPr>
        <w:t>的认同度及粘性，同 </w:t>
      </w:r>
      <w:r>
        <w:rPr>
          <w:rFonts w:ascii="宋体" w:hAnsi="宋体" w:cs="宋体" w:eastAsia="宋体" w:hint="default"/>
          <w:spacing w:val="-2"/>
          <w:sz w:val="18"/>
          <w:szCs w:val="18"/>
        </w:rPr>
        <w:t>时也有助于提升广大消费者对美盛品牌的认知，对公司蕴含价值和文化的认同，不断为公司带来市场人气和用户沉淀，也将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为文化生态圈下游产业输送创作源泉。丰富的原创内容已形成公司的核心优势。</w:t>
      </w:r>
    </w:p>
    <w:p>
      <w:pPr>
        <w:spacing w:line="300" w:lineRule="auto" w:before="148"/>
        <w:ind w:left="154" w:right="0" w:firstLine="360"/>
        <w:jc w:val="left"/>
        <w:rPr>
          <w:rFonts w:ascii="宋体" w:hAnsi="宋体" w:cs="宋体" w:eastAsia="宋体" w:hint="default"/>
          <w:sz w:val="18"/>
          <w:szCs w:val="18"/>
        </w:rPr>
      </w:pPr>
      <w:r>
        <w:rPr>
          <w:rFonts w:ascii="宋体" w:hAnsi="宋体" w:cs="宋体" w:eastAsia="宋体" w:hint="default"/>
          <w:spacing w:val="-2"/>
          <w:sz w:val="18"/>
          <w:szCs w:val="18"/>
        </w:rPr>
        <w:t>未来公司将对各类渠道进行持续整合，更好的与整个泛娱乐生态圈对接。一体化经营有助于公司实现</w:t>
      </w:r>
      <w:r>
        <w:rPr>
          <w:rFonts w:ascii="Times New Roman" w:hAnsi="Times New Roman" w:cs="Times New Roman" w:eastAsia="Times New Roman" w:hint="default"/>
          <w:spacing w:val="-2"/>
          <w:sz w:val="18"/>
          <w:szCs w:val="18"/>
        </w:rPr>
        <w:t>IP</w:t>
      </w:r>
      <w:r>
        <w:rPr>
          <w:rFonts w:ascii="宋体" w:hAnsi="宋体" w:cs="宋体" w:eastAsia="宋体" w:hint="default"/>
          <w:spacing w:val="-2"/>
          <w:sz w:val="18"/>
          <w:szCs w:val="18"/>
        </w:rPr>
        <w:t>资源的全产业链</w:t>
      </w:r>
      <w:r>
        <w:rPr>
          <w:rFonts w:ascii="宋体" w:hAnsi="宋体" w:cs="宋体" w:eastAsia="宋体" w:hint="default"/>
          <w:sz w:val="18"/>
          <w:szCs w:val="18"/>
        </w:rPr>
        <w:t> 开发和运营，实现不同文化产品的交叉销售，从而提高用户黏性和付费水平，实现公司文化生态圈的闭环。</w:t>
      </w:r>
    </w:p>
    <w:p>
      <w:pPr>
        <w:spacing w:line="432" w:lineRule="exact" w:before="16"/>
        <w:ind w:left="514" w:right="1118" w:firstLine="0"/>
        <w:jc w:val="left"/>
        <w:rPr>
          <w:rFonts w:ascii="宋体" w:hAnsi="宋体" w:cs="宋体" w:eastAsia="宋体" w:hint="default"/>
          <w:sz w:val="18"/>
          <w:szCs w:val="18"/>
        </w:rPr>
      </w:pPr>
      <w:r>
        <w:rPr>
          <w:rFonts w:ascii="宋体" w:hAnsi="宋体" w:cs="宋体" w:eastAsia="宋体" w:hint="default"/>
          <w:sz w:val="18"/>
          <w:szCs w:val="18"/>
        </w:rPr>
        <w:t>四、人才优势 </w:t>
      </w:r>
      <w:r>
        <w:rPr>
          <w:rFonts w:ascii="宋体" w:hAnsi="宋体" w:cs="宋体" w:eastAsia="宋体" w:hint="default"/>
          <w:spacing w:val="-2"/>
          <w:sz w:val="18"/>
          <w:szCs w:val="18"/>
        </w:rPr>
        <w:t>公司始终坚持以人为本，多年来持续加强人力资源建设，注重人才引进和人才培养，目前已聚集了对公司文化和发展战</w:t>
      </w:r>
    </w:p>
    <w:p>
      <w:pPr>
        <w:spacing w:line="316" w:lineRule="auto" w:before="15"/>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略高度认同的优秀管理人才及由国内一流的动漫、游戏、影视、儿童剧、衍生品等文化产业各领域的高级专业人才组成的具</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有高度凝聚力的人才队伍。公司的人才优势为全产业链布局的协同效应的发挥提供了有力的保障。</w:t>
      </w:r>
    </w:p>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1360"/>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360"/>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spacing w:line="316" w:lineRule="auto"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一、报告期内公司主要财务数据变动的原因： </w:t>
      </w:r>
      <w:r>
        <w:rPr>
          <w:rFonts w:ascii="宋体" w:hAnsi="宋体" w:cs="宋体" w:eastAsia="宋体" w:hint="default"/>
          <w:spacing w:val="-1"/>
          <w:sz w:val="18"/>
          <w:szCs w:val="18"/>
        </w:rPr>
        <w:t>公司报告期营业收入为</w:t>
      </w:r>
      <w:r>
        <w:rPr>
          <w:rFonts w:ascii="Times New Roman" w:hAnsi="Times New Roman" w:cs="Times New Roman" w:eastAsia="Times New Roman" w:hint="default"/>
          <w:spacing w:val="-1"/>
          <w:sz w:val="18"/>
          <w:szCs w:val="18"/>
        </w:rPr>
        <w:t>77,780.57</w:t>
      </w:r>
      <w:r>
        <w:rPr>
          <w:rFonts w:ascii="宋体" w:hAnsi="宋体" w:cs="宋体" w:eastAsia="宋体" w:hint="default"/>
          <w:spacing w:val="-1"/>
          <w:sz w:val="18"/>
          <w:szCs w:val="18"/>
        </w:rPr>
        <w:t>万元，比去年减少</w:t>
      </w:r>
      <w:r>
        <w:rPr>
          <w:rFonts w:ascii="Times New Roman" w:hAnsi="Times New Roman" w:cs="Times New Roman" w:eastAsia="Times New Roman" w:hint="default"/>
          <w:spacing w:val="-1"/>
          <w:sz w:val="18"/>
          <w:szCs w:val="18"/>
        </w:rPr>
        <w:t>14.73%</w:t>
      </w:r>
      <w:r>
        <w:rPr>
          <w:rFonts w:ascii="宋体" w:hAnsi="宋体" w:cs="宋体" w:eastAsia="宋体" w:hint="default"/>
          <w:spacing w:val="-1"/>
          <w:sz w:val="18"/>
          <w:szCs w:val="18"/>
        </w:rPr>
        <w:t>，营业成本比去年减少</w:t>
      </w:r>
      <w:r>
        <w:rPr>
          <w:rFonts w:ascii="Times New Roman" w:hAnsi="Times New Roman" w:cs="Times New Roman" w:eastAsia="Times New Roman" w:hint="default"/>
          <w:spacing w:val="-1"/>
          <w:sz w:val="18"/>
          <w:szCs w:val="18"/>
        </w:rPr>
        <w:t>2.04%</w:t>
      </w:r>
      <w:r>
        <w:rPr>
          <w:rFonts w:ascii="宋体" w:hAnsi="宋体" w:cs="宋体" w:eastAsia="宋体" w:hint="default"/>
          <w:spacing w:val="-1"/>
          <w:sz w:val="18"/>
          <w:szCs w:val="18"/>
        </w:rPr>
        <w:t>，主要是游戏动漫收入减少；销</w:t>
      </w:r>
    </w:p>
    <w:p>
      <w:pPr>
        <w:spacing w:line="300" w:lineRule="auto" w:before="0"/>
        <w:ind w:left="514" w:right="0" w:hanging="360"/>
        <w:jc w:val="left"/>
        <w:rPr>
          <w:rFonts w:ascii="宋体" w:hAnsi="宋体" w:cs="宋体" w:eastAsia="宋体" w:hint="default"/>
          <w:sz w:val="18"/>
          <w:szCs w:val="18"/>
        </w:rPr>
      </w:pPr>
      <w:r>
        <w:rPr>
          <w:rFonts w:ascii="宋体" w:hAnsi="宋体" w:cs="宋体" w:eastAsia="宋体" w:hint="default"/>
          <w:sz w:val="18"/>
          <w:szCs w:val="18"/>
        </w:rPr>
        <w:t>售费用为</w:t>
      </w:r>
      <w:r>
        <w:rPr>
          <w:rFonts w:ascii="Times New Roman" w:hAnsi="Times New Roman" w:cs="Times New Roman" w:eastAsia="Times New Roman" w:hint="default"/>
          <w:sz w:val="18"/>
          <w:szCs w:val="18"/>
        </w:rPr>
        <w:t>2,433.95</w:t>
      </w:r>
      <w:r>
        <w:rPr>
          <w:rFonts w:ascii="宋体" w:hAnsi="宋体" w:cs="宋体" w:eastAsia="宋体" w:hint="default"/>
          <w:sz w:val="18"/>
          <w:szCs w:val="18"/>
        </w:rPr>
        <w:t>万元，比去年减少</w:t>
      </w:r>
      <w:r>
        <w:rPr>
          <w:rFonts w:ascii="Times New Roman" w:hAnsi="Times New Roman" w:cs="Times New Roman" w:eastAsia="Times New Roman" w:hint="default"/>
          <w:sz w:val="18"/>
          <w:szCs w:val="18"/>
        </w:rPr>
        <w:t>39.93%</w:t>
      </w:r>
      <w:r>
        <w:rPr>
          <w:rFonts w:ascii="宋体" w:hAnsi="宋体" w:cs="宋体" w:eastAsia="宋体" w:hint="default"/>
          <w:sz w:val="18"/>
          <w:szCs w:val="18"/>
        </w:rPr>
        <w:t>，主要是职工薪酬和推广费减少； </w:t>
      </w:r>
      <w:r>
        <w:rPr>
          <w:rFonts w:ascii="宋体" w:hAnsi="宋体" w:cs="宋体" w:eastAsia="宋体" w:hint="default"/>
          <w:spacing w:val="-1"/>
          <w:sz w:val="18"/>
          <w:szCs w:val="18"/>
        </w:rPr>
        <w:t>管理费用、研发费用和财务费用与去年基本持平；资产减值损失为</w:t>
      </w:r>
      <w:r>
        <w:rPr>
          <w:rFonts w:ascii="Times New Roman" w:hAnsi="Times New Roman" w:cs="Times New Roman" w:eastAsia="Times New Roman" w:hint="default"/>
          <w:spacing w:val="-1"/>
          <w:sz w:val="18"/>
          <w:szCs w:val="18"/>
        </w:rPr>
        <w:t>30,988.14</w:t>
      </w:r>
      <w:r>
        <w:rPr>
          <w:rFonts w:ascii="宋体" w:hAnsi="宋体" w:cs="宋体" w:eastAsia="宋体" w:hint="default"/>
          <w:spacing w:val="-1"/>
          <w:sz w:val="18"/>
          <w:szCs w:val="18"/>
        </w:rPr>
        <w:t>万元，比去年增加</w:t>
      </w:r>
      <w:r>
        <w:rPr>
          <w:rFonts w:ascii="Times New Roman" w:hAnsi="Times New Roman" w:cs="Times New Roman" w:eastAsia="Times New Roman" w:hint="default"/>
          <w:spacing w:val="-1"/>
          <w:sz w:val="18"/>
          <w:szCs w:val="18"/>
        </w:rPr>
        <w:t>580.44%</w:t>
      </w:r>
      <w:r>
        <w:rPr>
          <w:rFonts w:ascii="宋体" w:hAnsi="宋体" w:cs="宋体" w:eastAsia="宋体" w:hint="default"/>
          <w:spacing w:val="-1"/>
          <w:sz w:val="18"/>
          <w:szCs w:val="18"/>
        </w:rPr>
        <w:t>，主要是商誉减</w:t>
      </w:r>
    </w:p>
    <w:p>
      <w:pPr>
        <w:spacing w:line="300" w:lineRule="auto" w:before="13"/>
        <w:ind w:left="154" w:right="1130" w:firstLine="0"/>
        <w:jc w:val="both"/>
        <w:rPr>
          <w:rFonts w:ascii="宋体" w:hAnsi="宋体" w:cs="宋体" w:eastAsia="宋体" w:hint="default"/>
          <w:sz w:val="18"/>
          <w:szCs w:val="18"/>
        </w:rPr>
      </w:pPr>
      <w:r>
        <w:rPr>
          <w:rFonts w:ascii="宋体" w:hAnsi="宋体" w:cs="宋体" w:eastAsia="宋体" w:hint="default"/>
          <w:sz w:val="18"/>
          <w:szCs w:val="18"/>
        </w:rPr>
        <w:t>值损失增加；投资收益为</w:t>
      </w:r>
      <w:r>
        <w:rPr>
          <w:rFonts w:ascii="Times New Roman" w:hAnsi="Times New Roman" w:cs="Times New Roman" w:eastAsia="Times New Roman" w:hint="default"/>
          <w:sz w:val="18"/>
          <w:szCs w:val="18"/>
        </w:rPr>
        <w:t>78.74</w:t>
      </w:r>
      <w:r>
        <w:rPr>
          <w:rFonts w:ascii="宋体" w:hAnsi="宋体" w:cs="宋体" w:eastAsia="宋体" w:hint="default"/>
          <w:sz w:val="18"/>
          <w:szCs w:val="18"/>
        </w:rPr>
        <w:t>万元，比去年减少</w:t>
      </w:r>
      <w:r>
        <w:rPr>
          <w:rFonts w:ascii="Times New Roman" w:hAnsi="Times New Roman" w:cs="Times New Roman" w:eastAsia="Times New Roman" w:hint="default"/>
          <w:sz w:val="18"/>
          <w:szCs w:val="18"/>
        </w:rPr>
        <w:t>98.76%</w:t>
      </w:r>
      <w:r>
        <w:rPr>
          <w:rFonts w:ascii="宋体" w:hAnsi="宋体" w:cs="宋体" w:eastAsia="宋体" w:hint="default"/>
          <w:sz w:val="18"/>
          <w:szCs w:val="18"/>
        </w:rPr>
        <w:t>，主要是理财收益和股权转让收益减少；其他收益为</w:t>
      </w:r>
      <w:r>
        <w:rPr>
          <w:rFonts w:ascii="Times New Roman" w:hAnsi="Times New Roman" w:cs="Times New Roman" w:eastAsia="Times New Roman" w:hint="default"/>
          <w:sz w:val="18"/>
          <w:szCs w:val="18"/>
        </w:rPr>
        <w:t>978.57</w:t>
      </w:r>
      <w:r>
        <w:rPr>
          <w:rFonts w:ascii="宋体" w:hAnsi="宋体" w:cs="宋体" w:eastAsia="宋体" w:hint="default"/>
          <w:sz w:val="18"/>
          <w:szCs w:val="18"/>
        </w:rPr>
        <w:t>万元，</w:t>
      </w:r>
      <w:r>
        <w:rPr>
          <w:rFonts w:ascii="宋体" w:hAnsi="宋体" w:cs="宋体" w:eastAsia="宋体" w:hint="default"/>
          <w:spacing w:val="-16"/>
          <w:sz w:val="18"/>
          <w:szCs w:val="18"/>
        </w:rPr>
        <w:t> </w:t>
      </w:r>
      <w:r>
        <w:rPr>
          <w:rFonts w:ascii="宋体" w:hAnsi="宋体" w:cs="宋体" w:eastAsia="宋体" w:hint="default"/>
          <w:sz w:val="18"/>
          <w:szCs w:val="18"/>
        </w:rPr>
        <w:t>比去年减少</w:t>
      </w:r>
      <w:r>
        <w:rPr>
          <w:rFonts w:ascii="Times New Roman" w:hAnsi="Times New Roman" w:cs="Times New Roman" w:eastAsia="Times New Roman" w:hint="default"/>
          <w:sz w:val="18"/>
          <w:szCs w:val="18"/>
        </w:rPr>
        <w:t>26.28%</w:t>
      </w:r>
      <w:r>
        <w:rPr>
          <w:rFonts w:ascii="宋体" w:hAnsi="宋体" w:cs="宋体" w:eastAsia="宋体" w:hint="default"/>
          <w:sz w:val="18"/>
          <w:szCs w:val="18"/>
        </w:rPr>
        <w:t>，主要是政府补助收入减少；归属于母公司所有者的净利润为</w:t>
      </w:r>
      <w:r>
        <w:rPr>
          <w:rFonts w:ascii="Times New Roman" w:hAnsi="Times New Roman" w:cs="Times New Roman" w:eastAsia="Times New Roman" w:hint="default"/>
          <w:sz w:val="18"/>
          <w:szCs w:val="18"/>
        </w:rPr>
        <w:t>-22,951.61</w:t>
      </w:r>
      <w:r>
        <w:rPr>
          <w:rFonts w:ascii="宋体" w:hAnsi="宋体" w:cs="宋体" w:eastAsia="宋体" w:hint="default"/>
          <w:sz w:val="18"/>
          <w:szCs w:val="18"/>
        </w:rPr>
        <w:t>万元，比去年减少</w:t>
      </w:r>
      <w:r>
        <w:rPr>
          <w:rFonts w:ascii="Times New Roman" w:hAnsi="Times New Roman" w:cs="Times New Roman" w:eastAsia="Times New Roman" w:hint="default"/>
          <w:sz w:val="18"/>
          <w:szCs w:val="18"/>
        </w:rPr>
        <w:t>220.3%</w:t>
      </w:r>
      <w:r>
        <w:rPr>
          <w:rFonts w:ascii="宋体" w:hAnsi="宋体" w:cs="宋体" w:eastAsia="宋体" w:hint="default"/>
          <w:sz w:val="18"/>
          <w:szCs w:val="18"/>
        </w:rPr>
        <w:t>，主要</w:t>
      </w:r>
      <w:r>
        <w:rPr>
          <w:rFonts w:ascii="宋体" w:hAnsi="宋体" w:cs="宋体" w:eastAsia="宋体" w:hint="default"/>
          <w:spacing w:val="-86"/>
          <w:sz w:val="18"/>
          <w:szCs w:val="18"/>
        </w:rPr>
        <w:t> </w:t>
      </w:r>
      <w:r>
        <w:rPr>
          <w:rFonts w:ascii="宋体" w:hAnsi="宋体" w:cs="宋体" w:eastAsia="宋体" w:hint="default"/>
          <w:sz w:val="18"/>
          <w:szCs w:val="18"/>
        </w:rPr>
        <w:t>是资产减值损失增加和收入减少。</w:t>
      </w:r>
    </w:p>
    <w:p>
      <w:pPr>
        <w:spacing w:line="300" w:lineRule="auto" w:before="31"/>
        <w:ind w:left="154" w:right="1135" w:firstLine="360"/>
        <w:jc w:val="both"/>
        <w:rPr>
          <w:rFonts w:ascii="宋体" w:hAnsi="宋体" w:cs="宋体" w:eastAsia="宋体" w:hint="default"/>
          <w:sz w:val="18"/>
          <w:szCs w:val="18"/>
        </w:rPr>
      </w:pPr>
      <w:r>
        <w:rPr>
          <w:rFonts w:ascii="宋体" w:hAnsi="宋体" w:cs="宋体" w:eastAsia="宋体" w:hint="default"/>
          <w:sz w:val="18"/>
          <w:szCs w:val="18"/>
        </w:rPr>
        <w:t>报告期内经营活动产生的现金流量净额为</w:t>
      </w:r>
      <w:r>
        <w:rPr>
          <w:rFonts w:ascii="Times New Roman" w:hAnsi="Times New Roman" w:cs="Times New Roman" w:eastAsia="Times New Roman" w:hint="default"/>
          <w:sz w:val="18"/>
          <w:szCs w:val="18"/>
        </w:rPr>
        <w:t>13,657.04</w:t>
      </w:r>
      <w:r>
        <w:rPr>
          <w:rFonts w:ascii="宋体" w:hAnsi="宋体" w:cs="宋体" w:eastAsia="宋体" w:hint="default"/>
          <w:sz w:val="18"/>
          <w:szCs w:val="18"/>
        </w:rPr>
        <w:t>万元，比去年减少</w:t>
      </w:r>
      <w:r>
        <w:rPr>
          <w:rFonts w:ascii="Times New Roman" w:hAnsi="Times New Roman" w:cs="Times New Roman" w:eastAsia="Times New Roman" w:hint="default"/>
          <w:sz w:val="18"/>
          <w:szCs w:val="18"/>
        </w:rPr>
        <w:t>31.96%</w:t>
      </w:r>
      <w:r>
        <w:rPr>
          <w:rFonts w:ascii="宋体" w:hAnsi="宋体" w:cs="宋体" w:eastAsia="宋体" w:hint="default"/>
          <w:sz w:val="18"/>
          <w:szCs w:val="18"/>
        </w:rPr>
        <w:t>，主要是销售商品收到的现金减少；投资 活动产生的现金流量净额为</w:t>
      </w:r>
      <w:r>
        <w:rPr>
          <w:rFonts w:ascii="Times New Roman" w:hAnsi="Times New Roman" w:cs="Times New Roman" w:eastAsia="Times New Roman" w:hint="default"/>
          <w:sz w:val="18"/>
          <w:szCs w:val="18"/>
        </w:rPr>
        <w:t>-6,018.89</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比去年增加</w:t>
      </w:r>
      <w:r>
        <w:rPr>
          <w:rFonts w:ascii="Times New Roman" w:hAnsi="Times New Roman" w:cs="Times New Roman" w:eastAsia="Times New Roman" w:hint="default"/>
          <w:sz w:val="18"/>
          <w:szCs w:val="18"/>
        </w:rPr>
        <w:t>92.69%</w:t>
      </w:r>
      <w:r>
        <w:rPr>
          <w:rFonts w:ascii="宋体" w:hAnsi="宋体" w:cs="宋体" w:eastAsia="宋体" w:hint="default"/>
          <w:sz w:val="18"/>
          <w:szCs w:val="18"/>
        </w:rPr>
        <w:t>，主要是取得子公司支付的现金减少；筹资活动产生的现金流</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2"/>
          <w:sz w:val="18"/>
          <w:szCs w:val="18"/>
        </w:rPr>
        <w:t>量净额为</w:t>
      </w:r>
      <w:r>
        <w:rPr>
          <w:rFonts w:ascii="Times New Roman" w:hAnsi="Times New Roman" w:cs="Times New Roman" w:eastAsia="Times New Roman" w:hint="default"/>
          <w:spacing w:val="2"/>
          <w:sz w:val="18"/>
          <w:szCs w:val="18"/>
        </w:rPr>
        <w:t>-4,402.09</w:t>
      </w:r>
      <w:r>
        <w:rPr>
          <w:rFonts w:ascii="宋体" w:hAnsi="宋体" w:cs="宋体" w:eastAsia="宋体" w:hint="default"/>
          <w:spacing w:val="2"/>
          <w:sz w:val="18"/>
          <w:szCs w:val="18"/>
        </w:rPr>
        <w:t>万元，比去年减少</w:t>
      </w:r>
      <w:r>
        <w:rPr>
          <w:rFonts w:ascii="Times New Roman" w:hAnsi="Times New Roman" w:cs="Times New Roman" w:eastAsia="Times New Roman" w:hint="default"/>
          <w:spacing w:val="2"/>
          <w:sz w:val="18"/>
          <w:szCs w:val="18"/>
        </w:rPr>
        <w:t>110.37%</w:t>
      </w:r>
      <w:r>
        <w:rPr>
          <w:rFonts w:ascii="宋体" w:hAnsi="宋体" w:cs="宋体" w:eastAsia="宋体" w:hint="default"/>
          <w:spacing w:val="2"/>
          <w:sz w:val="18"/>
          <w:szCs w:val="18"/>
        </w:rPr>
        <w:t>，主要是偿还债务支付的现金增加。现金及现金等价物净增加额比去年增加</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Times New Roman" w:hAnsi="Times New Roman" w:cs="Times New Roman" w:eastAsia="Times New Roman" w:hint="default"/>
          <w:sz w:val="18"/>
          <w:szCs w:val="18"/>
        </w:rPr>
        <w:t>117.07%</w:t>
      </w:r>
      <w:r>
        <w:rPr>
          <w:rFonts w:ascii="宋体" w:hAnsi="宋体" w:cs="宋体" w:eastAsia="宋体" w:hint="default"/>
          <w:sz w:val="18"/>
          <w:szCs w:val="18"/>
        </w:rPr>
        <w:t>，主要是投资活动产生的现金流量净额增加。</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2"/>
        <w:spacing w:line="240" w:lineRule="auto"/>
        <w:ind w:right="1360"/>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136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8"/>
        <w:gridCol w:w="1591"/>
        <w:gridCol w:w="1598"/>
        <w:gridCol w:w="1586"/>
        <w:gridCol w:w="1599"/>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8"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777,805,656.58</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912,207,963.04</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-14.73%</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文化产业</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766,382,964.15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98.53%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903,505,119.42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99.05%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-15.18%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11,422,692.43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8,702,843.62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0.95%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31.25%</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衍生品</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325,769,899.29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41.88%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355,342,821.80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38.96%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传统衍生品</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46,638,851.93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101,632,656.25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2"/>
                <w:sz w:val="18"/>
              </w:rPr>
              <w:t>11.14%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-54.11%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动漫、游戏等</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8,558,171.74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147,163,650.00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16.13%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-94.18%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服务平台收入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385,416,041.19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49.55%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299,365,991.37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32.82%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11,422,692.43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8,702,843.62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31.25%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732,773,316.02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851,394,980.22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93.33%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45,032,340.56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60,812,982.82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48" w:lineRule="auto"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215" w:space="57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766,382,964.15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514,904,973.30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衍生品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325,769,899.29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222,149,877.64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传统衍生品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46,638,851.93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39,277,259.68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-54.23%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动漫、游戏等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8,558,171.74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15,783,637.75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-160.81%</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服务平台收入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385,416,041.19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237,694,198.23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36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文化产业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6,136,888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9,129,765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-32.78%</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5,898,778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9,377,264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-37.09%</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651,981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890,091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-26.75%</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36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36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57" w:lineRule="auto"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75" w:space="804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文化行业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514,904,973.30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530,248,584.19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9" w:right="0"/>
              <w:jc w:val="left"/>
              <w:rPr>
                <w:rFonts w:ascii="Times New Roman" w:hAnsi="Times New Roman" w:cs="Times New Roman" w:eastAsia="Times New Roman" w:hint="default"/>
                <w:sz w:val="18"/>
                <w:szCs w:val="18"/>
              </w:rPr>
            </w:pPr>
            <w:r>
              <w:rPr>
                <w:rFonts w:ascii="Times New Roman"/>
                <w:sz w:val="18"/>
              </w:rPr>
              <w:t>-2.89%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9,591,958.54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5,180,973.06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0.97%</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300" w:lineRule="auto" w:before="101"/>
        <w:ind w:left="154" w:right="1129" w:firstLine="42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日，子公司香港美盛与徐迪旻、株式会社爱华签订投资项目和解协议，协议约定香港美盛以</w:t>
      </w:r>
      <w:r>
        <w:rPr>
          <w:rFonts w:ascii="Times New Roman" w:hAnsi="Times New Roman" w:cs="Times New Roman" w:eastAsia="Times New Roman" w:hint="default"/>
          <w:sz w:val="18"/>
          <w:szCs w:val="18"/>
        </w:rPr>
        <w:t>1</w:t>
      </w:r>
      <w:r>
        <w:rPr>
          <w:rFonts w:ascii="宋体" w:hAnsi="宋体" w:cs="宋体" w:eastAsia="宋体" w:hint="default"/>
          <w:sz w:val="18"/>
          <w:szCs w:val="18"/>
        </w:rPr>
        <w:t>日元的价格 向徐迪旻转让日本爱华</w:t>
      </w:r>
      <w:r>
        <w:rPr>
          <w:rFonts w:ascii="Times New Roman" w:hAnsi="Times New Roman" w:cs="Times New Roman" w:eastAsia="Times New Roman" w:hint="default"/>
          <w:sz w:val="18"/>
          <w:szCs w:val="18"/>
        </w:rPr>
        <w:t>51%</w:t>
      </w:r>
      <w:r>
        <w:rPr>
          <w:rFonts w:ascii="宋体" w:hAnsi="宋体" w:cs="宋体" w:eastAsia="宋体" w:hint="default"/>
          <w:sz w:val="18"/>
          <w:szCs w:val="18"/>
        </w:rPr>
        <w:t>的股权。</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月，公司与徐迪旻及株式会社爱华已办理相应的财产交接手续，故公司自</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月起不再将日本爱华纳入合并范围。</w:t>
      </w:r>
    </w:p>
    <w:p>
      <w:pPr>
        <w:spacing w:line="300" w:lineRule="auto" w:before="13"/>
        <w:ind w:left="154" w:right="1132" w:firstLine="42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月，公司与优加互娱公司签订股权转让协议，约定公司将子公司鱼骨头公司</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的股权作价</w:t>
      </w:r>
      <w:r>
        <w:rPr>
          <w:rFonts w:ascii="Times New Roman" w:hAnsi="Times New Roman" w:cs="Times New Roman" w:eastAsia="Times New Roman" w:hint="default"/>
          <w:sz w:val="18"/>
          <w:szCs w:val="18"/>
        </w:rPr>
        <w:t>40,000</w:t>
      </w:r>
      <w:r>
        <w:rPr>
          <w:rFonts w:ascii="宋体" w:hAnsi="宋体" w:cs="宋体" w:eastAsia="宋体" w:hint="default"/>
          <w:sz w:val="18"/>
          <w:szCs w:val="18"/>
        </w:rPr>
        <w:t>元转让给 对方。本次交易完成后，公司失去对鱼骨头公司的控制，自</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月开始不再将鱼骨头公司纳入公司合并范围。</w:t>
      </w:r>
    </w:p>
    <w:p>
      <w:pPr>
        <w:spacing w:line="300" w:lineRule="auto" w:before="13"/>
        <w:ind w:left="154" w:right="1129" w:firstLine="42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月，公司与</w:t>
      </w:r>
      <w:r>
        <w:rPr>
          <w:rFonts w:ascii="Times New Roman" w:hAnsi="Times New Roman" w:cs="Times New Roman" w:eastAsia="Times New Roman" w:hint="default"/>
          <w:spacing w:val="2"/>
          <w:sz w:val="18"/>
          <w:szCs w:val="18"/>
        </w:rPr>
        <w:t>Costume </w:t>
      </w:r>
      <w:r>
        <w:rPr>
          <w:rFonts w:ascii="Times New Roman" w:hAnsi="Times New Roman" w:cs="Times New Roman" w:eastAsia="Times New Roman" w:hint="default"/>
          <w:sz w:val="18"/>
          <w:szCs w:val="18"/>
        </w:rPr>
        <w:t>Craze</w:t>
      </w:r>
      <w:r>
        <w:rPr>
          <w:rFonts w:ascii="宋体" w:hAnsi="宋体" w:cs="宋体" w:eastAsia="宋体" w:hint="default"/>
          <w:sz w:val="18"/>
          <w:szCs w:val="18"/>
        </w:rPr>
        <w:t>公司原股东</w:t>
      </w:r>
      <w:r>
        <w:rPr>
          <w:rFonts w:ascii="Times New Roman" w:hAnsi="Times New Roman" w:cs="Times New Roman" w:eastAsia="Times New Roman" w:hint="default"/>
          <w:sz w:val="18"/>
          <w:szCs w:val="18"/>
        </w:rPr>
        <w:t>Makakama Holding </w:t>
      </w:r>
      <w:r>
        <w:rPr>
          <w:rFonts w:ascii="Times New Roman" w:hAnsi="Times New Roman" w:cs="Times New Roman" w:eastAsia="Times New Roman" w:hint="default"/>
          <w:spacing w:val="2"/>
          <w:sz w:val="18"/>
          <w:szCs w:val="18"/>
        </w:rPr>
        <w:t>co.</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M </w:t>
      </w:r>
      <w:r>
        <w:rPr>
          <w:rFonts w:ascii="Times New Roman" w:hAnsi="Times New Roman" w:cs="Times New Roman" w:eastAsia="Times New Roman" w:hint="default"/>
          <w:sz w:val="18"/>
          <w:szCs w:val="18"/>
        </w:rPr>
        <w:t>Squad Family Limited</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Partnership</w:t>
      </w:r>
      <w:r>
        <w:rPr>
          <w:rFonts w:ascii="宋体" w:hAnsi="宋体" w:cs="宋体" w:eastAsia="宋体" w:hint="default"/>
          <w:sz w:val="18"/>
          <w:szCs w:val="18"/>
        </w:rPr>
        <w:t>、</w:t>
      </w:r>
      <w:r>
        <w:rPr>
          <w:rFonts w:ascii="Times New Roman" w:hAnsi="Times New Roman" w:cs="Times New Roman" w:eastAsia="Times New Roman" w:hint="default"/>
          <w:sz w:val="18"/>
          <w:szCs w:val="18"/>
        </w:rPr>
        <w:t>Kathryn E.Maloney Erfert</w:t>
      </w:r>
      <w:r>
        <w:rPr>
          <w:rFonts w:ascii="宋体" w:hAnsi="宋体" w:cs="宋体" w:eastAsia="宋体" w:hint="default"/>
          <w:sz w:val="18"/>
          <w:szCs w:val="18"/>
        </w:rPr>
        <w:t>、</w:t>
      </w:r>
      <w:r>
        <w:rPr>
          <w:rFonts w:ascii="Times New Roman" w:hAnsi="Times New Roman" w:cs="Times New Roman" w:eastAsia="Times New Roman" w:hint="default"/>
          <w:sz w:val="18"/>
          <w:szCs w:val="18"/>
        </w:rPr>
        <w:t>Matthew W.Maloney,Kathleen S.Maloney</w:t>
      </w:r>
      <w:r>
        <w:rPr>
          <w:rFonts w:ascii="宋体" w:hAnsi="宋体" w:cs="宋体" w:eastAsia="宋体" w:hint="default"/>
          <w:sz w:val="18"/>
          <w:szCs w:val="18"/>
        </w:rPr>
        <w:t>（以下简称原股东）签订调解协议，约定</w:t>
      </w:r>
      <w:r>
        <w:rPr>
          <w:rFonts w:ascii="Times New Roman" w:hAnsi="Times New Roman" w:cs="Times New Roman" w:eastAsia="Times New Roman" w:hint="default"/>
          <w:sz w:val="18"/>
          <w:szCs w:val="18"/>
        </w:rPr>
        <w:t>Costume</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Craze</w:t>
      </w:r>
      <w:r>
        <w:rPr>
          <w:rFonts w:ascii="宋体" w:hAnsi="宋体" w:cs="宋体" w:eastAsia="宋体" w:hint="default"/>
          <w:sz w:val="18"/>
          <w:szCs w:val="18"/>
        </w:rPr>
        <w:t>和原股东 共向公司归还原借给</w:t>
      </w:r>
      <w:r>
        <w:rPr>
          <w:rFonts w:ascii="Times New Roman" w:hAnsi="Times New Roman" w:cs="Times New Roman" w:eastAsia="Times New Roman" w:hint="default"/>
          <w:sz w:val="18"/>
          <w:szCs w:val="18"/>
        </w:rPr>
        <w:t>Costume</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Craze</w:t>
      </w:r>
      <w:r>
        <w:rPr>
          <w:rFonts w:ascii="宋体" w:hAnsi="宋体" w:cs="宋体" w:eastAsia="宋体" w:hint="default"/>
          <w:sz w:val="18"/>
          <w:szCs w:val="18"/>
        </w:rPr>
        <w:t>作经营用款项</w:t>
      </w:r>
      <w:r>
        <w:rPr>
          <w:rFonts w:ascii="Times New Roman" w:hAnsi="Times New Roman" w:cs="Times New Roman" w:eastAsia="Times New Roman" w:hint="default"/>
          <w:sz w:val="18"/>
          <w:szCs w:val="18"/>
        </w:rPr>
        <w:t>30</w:t>
      </w:r>
      <w:r>
        <w:rPr>
          <w:rFonts w:ascii="宋体" w:hAnsi="宋体" w:cs="宋体" w:eastAsia="宋体" w:hint="default"/>
          <w:sz w:val="18"/>
          <w:szCs w:val="18"/>
        </w:rPr>
        <w:t>万美元，公司无偿放弃持有的</w:t>
      </w:r>
      <w:r>
        <w:rPr>
          <w:rFonts w:ascii="Times New Roman" w:hAnsi="Times New Roman" w:cs="Times New Roman" w:eastAsia="Times New Roman" w:hint="default"/>
          <w:sz w:val="18"/>
          <w:szCs w:val="18"/>
        </w:rPr>
        <w:t>Costume</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Craze</w:t>
      </w:r>
      <w:r>
        <w:rPr>
          <w:rFonts w:ascii="宋体" w:hAnsi="宋体" w:cs="宋体" w:eastAsia="宋体" w:hint="default"/>
          <w:sz w:val="18"/>
          <w:szCs w:val="18"/>
        </w:rPr>
        <w:t>全部股权。因公司于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 </w:t>
      </w:r>
      <w:r>
        <w:rPr>
          <w:rFonts w:ascii="宋体" w:hAnsi="宋体" w:cs="宋体" w:eastAsia="宋体" w:hint="default"/>
          <w:sz w:val="18"/>
          <w:szCs w:val="18"/>
        </w:rPr>
        <w:t>月开始便无法收到</w:t>
      </w:r>
      <w:r>
        <w:rPr>
          <w:rFonts w:ascii="Times New Roman" w:hAnsi="Times New Roman" w:cs="Times New Roman" w:eastAsia="Times New Roman" w:hint="default"/>
          <w:sz w:val="18"/>
          <w:szCs w:val="18"/>
        </w:rPr>
        <w:t>Costume Craze</w:t>
      </w:r>
      <w:r>
        <w:rPr>
          <w:rFonts w:ascii="宋体" w:hAnsi="宋体" w:cs="宋体" w:eastAsia="宋体" w:hint="default"/>
          <w:sz w:val="18"/>
          <w:szCs w:val="18"/>
        </w:rPr>
        <w:t>的财务报表，且无法继续参与</w:t>
      </w:r>
      <w:r>
        <w:rPr>
          <w:rFonts w:ascii="Times New Roman" w:hAnsi="Times New Roman" w:cs="Times New Roman" w:eastAsia="Times New Roman" w:hint="default"/>
          <w:sz w:val="18"/>
          <w:szCs w:val="18"/>
        </w:rPr>
        <w:t>Costume Craze</w:t>
      </w:r>
      <w:r>
        <w:rPr>
          <w:rFonts w:ascii="宋体" w:hAnsi="宋体" w:cs="宋体" w:eastAsia="宋体" w:hint="default"/>
          <w:sz w:val="18"/>
          <w:szCs w:val="18"/>
        </w:rPr>
        <w:t>的日常经营活动，实际已失去对</w:t>
      </w:r>
      <w:r>
        <w:rPr>
          <w:rFonts w:ascii="Times New Roman" w:hAnsi="Times New Roman" w:cs="Times New Roman" w:eastAsia="Times New Roman" w:hint="default"/>
          <w:sz w:val="18"/>
          <w:szCs w:val="18"/>
        </w:rPr>
        <w:t>Costume</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Craze</w:t>
      </w:r>
      <w:r>
        <w:rPr>
          <w:rFonts w:ascii="Times New Roman" w:hAnsi="Times New Roman" w:cs="Times New Roman" w:eastAsia="Times New Roman" w:hint="default"/>
          <w:sz w:val="18"/>
          <w:szCs w:val="18"/>
        </w:rPr>
        <w:t> </w:t>
      </w:r>
      <w:r>
        <w:rPr>
          <w:rFonts w:ascii="宋体" w:hAnsi="宋体" w:cs="宋体" w:eastAsia="宋体" w:hint="default"/>
          <w:sz w:val="18"/>
          <w:szCs w:val="18"/>
        </w:rPr>
        <w:t>的控制，故公司自</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月开始不再将</w:t>
      </w:r>
      <w:r>
        <w:rPr>
          <w:rFonts w:ascii="Times New Roman" w:hAnsi="Times New Roman" w:cs="Times New Roman" w:eastAsia="Times New Roman" w:hint="default"/>
          <w:sz w:val="18"/>
          <w:szCs w:val="18"/>
        </w:rPr>
        <w:t>Costume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Craze</w:t>
      </w:r>
      <w:r>
        <w:rPr>
          <w:rFonts w:ascii="宋体" w:hAnsi="宋体" w:cs="宋体" w:eastAsia="宋体" w:hint="default"/>
          <w:sz w:val="18"/>
          <w:szCs w:val="18"/>
        </w:rPr>
        <w:t>纳入合并范围。</w:t>
      </w:r>
    </w:p>
    <w:p>
      <w:pPr>
        <w:spacing w:line="240" w:lineRule="auto" w:before="1"/>
        <w:rPr>
          <w:rFonts w:ascii="宋体" w:hAnsi="宋体" w:cs="宋体" w:eastAsia="宋体" w:hint="default"/>
          <w:sz w:val="22"/>
          <w:szCs w:val="22"/>
        </w:rPr>
      </w:pPr>
    </w:p>
    <w:p>
      <w:pPr>
        <w:pStyle w:val="Heading4"/>
        <w:spacing w:line="240" w:lineRule="auto"/>
        <w:ind w:right="136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136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297,936,696.78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38.30%</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30.05%</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233,729,637.35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20,972,721.12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15,961,325.19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14,244,952.88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13,028,060.24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297,936,696.78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38.30%</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81,666,545.52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15.76%</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25,242,826.68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16,208,782.00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15,217,086.85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14,724,951.98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10,272,898.01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81,666,545.52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15.76%</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36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24,339,483.55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40,515,198.13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75" w:right="0"/>
              <w:jc w:val="left"/>
              <w:rPr>
                <w:rFonts w:ascii="Times New Roman" w:hAnsi="Times New Roman" w:cs="Times New Roman" w:eastAsia="Times New Roman" w:hint="default"/>
                <w:sz w:val="18"/>
                <w:szCs w:val="18"/>
              </w:rPr>
            </w:pPr>
            <w:r>
              <w:rPr>
                <w:rFonts w:ascii="Times New Roman"/>
                <w:sz w:val="18"/>
              </w:rPr>
              <w:t>88,011,575.63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88,464,860.65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19,091,653.60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19,186,007.14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4" w:right="0"/>
              <w:jc w:val="left"/>
              <w:rPr>
                <w:rFonts w:ascii="Times New Roman" w:hAnsi="Times New Roman" w:cs="Times New Roman" w:eastAsia="Times New Roman" w:hint="default"/>
                <w:sz w:val="18"/>
                <w:szCs w:val="18"/>
              </w:rPr>
            </w:pPr>
            <w:r>
              <w:rPr>
                <w:rFonts w:ascii="Times New Roman"/>
                <w:sz w:val="18"/>
              </w:rPr>
              <w:t>29,588,301.00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29,839,993.45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-0.84%</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line="319" w:lineRule="auto"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公司投入研发资金进行</w:t>
      </w:r>
      <w:r>
        <w:rPr>
          <w:rFonts w:ascii="Times New Roman" w:hAnsi="Times New Roman" w:cs="Times New Roman" w:eastAsia="Times New Roman" w:hint="default"/>
          <w:spacing w:val="-2"/>
          <w:sz w:val="18"/>
          <w:szCs w:val="18"/>
        </w:rPr>
        <w:t>IP</w:t>
      </w:r>
      <w:r>
        <w:rPr>
          <w:rFonts w:ascii="宋体" w:hAnsi="宋体" w:cs="宋体" w:eastAsia="宋体" w:hint="default"/>
          <w:spacing w:val="-2"/>
          <w:sz w:val="18"/>
          <w:szCs w:val="18"/>
        </w:rPr>
        <w:t>文化生态圈建设，包括研发人员工资支付、原创动画片、影视、动漫的创作。有利于增强公司获取</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优质</w:t>
      </w:r>
      <w:r>
        <w:rPr>
          <w:rFonts w:ascii="Times New Roman" w:hAnsi="Times New Roman" w:cs="Times New Roman" w:eastAsia="Times New Roman" w:hint="default"/>
          <w:sz w:val="18"/>
          <w:szCs w:val="18"/>
        </w:rPr>
        <w:t>IP</w:t>
      </w:r>
      <w:r>
        <w:rPr>
          <w:rFonts w:ascii="宋体" w:hAnsi="宋体" w:cs="宋体" w:eastAsia="宋体" w:hint="default"/>
          <w:sz w:val="18"/>
          <w:szCs w:val="18"/>
        </w:rPr>
        <w:t>的能力，亦有利于公司持续变现能力。</w:t>
      </w:r>
    </w:p>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1360"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29,588,301.00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29,839,993.45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0" w:lineRule="auto" w:before="116"/>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36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895,437,263.56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995,647,936.62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758,866,873.06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794,926,129.65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136,570,390.50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200,721,806.97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-31.96%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8,677,598,940.73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11,983,399,186.61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-27.59%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8,737,787,871.02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12,806,776,471.07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-31.77%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-60,188,930.29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-823,377,284.46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-92.69%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839,165,600.00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578,400,000.00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45.08%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883,186,451.96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154,031,434.54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473.38%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-44,020,851.96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424,368,565.46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-110.37%</w:t>
            </w:r>
            <w:r>
              <w:rPr>
                <w:rFonts w:ascii="Times New Roman"/>
                <w:spacing w:val="-1"/>
                <w:sz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34,862,731.42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-204,195,666.25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117.07%</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340" w:lineRule="auto" w:before="116"/>
        <w:ind w:left="154" w:right="4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报告期内公司经营活动产生的现金净流量与本年度净利润存在重大差异的原因说明</w:t>
      </w:r>
    </w:p>
    <w:p>
      <w:pPr>
        <w:spacing w:before="41"/>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36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spacing w:before="44"/>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254"/>
        <w:gridCol w:w="2242"/>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bl>
    <w:p>
      <w:pPr>
        <w:spacing w:line="240" w:lineRule="auto" w:before="2"/>
        <w:rPr>
          <w:rFonts w:ascii="宋体" w:hAnsi="宋体" w:cs="宋体" w:eastAsia="宋体" w:hint="default"/>
          <w:sz w:val="18"/>
          <w:szCs w:val="18"/>
        </w:rPr>
      </w:pPr>
    </w:p>
    <w:p>
      <w:pPr>
        <w:pStyle w:val="Heading2"/>
        <w:spacing w:line="240" w:lineRule="auto" w:before="26"/>
        <w:ind w:right="136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63"/>
        <w:gridCol w:w="1196"/>
        <w:gridCol w:w="1063"/>
        <w:gridCol w:w="798"/>
        <w:gridCol w:w="2918"/>
      </w:tblGrid>
      <w:tr>
        <w:trPr>
          <w:trHeight w:val="379"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355,846,621.8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8.63%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321,383,890.44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7.01%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1.62%</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233,516,343.7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5.66%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241,982,425.20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5.27%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0.39%</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124,466,183.5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3.02%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149,172,968.08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3.25%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-0.23%</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91,857,137.26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95,086,613.62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141,830,524.5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3.44%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214,076,471.59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4.67%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-1.23%</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267,129,867.5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6.48%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261,740,364.17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5.71%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0.77%</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5"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12,033,584.50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488,905,600.0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11.86%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450,000,000.00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9.81%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2.05%</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-0.92%</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spacing w:before="44"/>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20"/>
        <w:gridCol w:w="1213"/>
        <w:gridCol w:w="1213"/>
        <w:gridCol w:w="1213"/>
        <w:gridCol w:w="1207"/>
        <w:gridCol w:w="1219"/>
        <w:gridCol w:w="1213"/>
        <w:gridCol w:w="1061"/>
      </w:tblGrid>
      <w:tr>
        <w:trPr>
          <w:trHeight w:val="161" w:hRule="exact"/>
        </w:trPr>
        <w:tc>
          <w:tcPr>
            <w:tcW w:w="1220"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2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1" w:right="5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061"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1" w:right="6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3"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12" w:right="53"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9"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24"/>
              <w:jc w:val="right"/>
              <w:rPr>
                <w:rFonts w:ascii="宋体" w:hAnsi="宋体" w:cs="宋体" w:eastAsia="宋体" w:hint="default"/>
                <w:sz w:val="18"/>
                <w:szCs w:val="18"/>
              </w:rPr>
            </w:pPr>
            <w:r>
              <w:rPr>
                <w:rFonts w:ascii="宋体" w:hAnsi="宋体" w:cs="宋体" w:eastAsia="宋体" w:hint="default"/>
                <w:sz w:val="18"/>
                <w:szCs w:val="18"/>
              </w:rPr>
              <w:t>项目</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213"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0"/>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0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220"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220"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465"/>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340"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674"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w:t>
            </w:r>
          </w:p>
        </w:tc>
        <w:tc>
          <w:tcPr>
            <w:tcW w:w="12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206,838,764.25</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206,838,764.25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8"/>
        <w:gridCol w:w="1225"/>
        <w:gridCol w:w="1213"/>
        <w:gridCol w:w="1212"/>
        <w:gridCol w:w="1213"/>
        <w:gridCol w:w="1214"/>
        <w:gridCol w:w="1213"/>
        <w:gridCol w:w="1073"/>
      </w:tblGrid>
      <w:tr>
        <w:trPr>
          <w:trHeight w:val="1298"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93"/>
              <w:jc w:val="left"/>
              <w:rPr>
                <w:rFonts w:ascii="宋体" w:hAnsi="宋体" w:cs="宋体" w:eastAsia="宋体" w:hint="default"/>
                <w:sz w:val="18"/>
                <w:szCs w:val="18"/>
              </w:rPr>
            </w:pPr>
            <w:r>
              <w:rPr>
                <w:rFonts w:ascii="宋体" w:hAnsi="宋体" w:cs="宋体" w:eastAsia="宋体" w:hint="default"/>
                <w:sz w:val="18"/>
                <w:szCs w:val="18"/>
              </w:rPr>
              <w:t>计入当期损益 的金融资产</w:t>
            </w:r>
          </w:p>
          <w:p>
            <w:pPr>
              <w:pStyle w:val="TableParagraph"/>
              <w:spacing w:line="319" w:lineRule="auto" w:before="19"/>
              <w:ind w:left="22" w:right="93"/>
              <w:jc w:val="left"/>
              <w:rPr>
                <w:rFonts w:ascii="宋体" w:hAnsi="宋体" w:cs="宋体" w:eastAsia="宋体" w:hint="default"/>
                <w:sz w:val="18"/>
                <w:szCs w:val="18"/>
              </w:rPr>
            </w:pPr>
            <w:r>
              <w:rPr>
                <w:rFonts w:ascii="宋体" w:hAnsi="宋体" w:cs="宋体" w:eastAsia="宋体" w:hint="default"/>
                <w:sz w:val="18"/>
                <w:szCs w:val="18"/>
              </w:rPr>
              <w:t>（不含衍生金 融资产）</w:t>
            </w:r>
          </w:p>
        </w:tc>
        <w:tc>
          <w:tcPr>
            <w:tcW w:w="1225" w:type="dxa"/>
            <w:tcBorders>
              <w:top w:val="single" w:sz="4" w:space="0" w:color="000000"/>
              <w:left w:val="single" w:sz="13" w:space="0" w:color="D2D2D2"/>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 融资产</w:t>
            </w:r>
          </w:p>
        </w:tc>
        <w:tc>
          <w:tcPr>
            <w:tcW w:w="1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4,149,285.41</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1,355,148.91</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5,504,434.32</w:t>
            </w:r>
          </w:p>
        </w:tc>
      </w:tr>
      <w:tr>
        <w:trPr>
          <w:trHeight w:val="402"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210,988,049.66</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1,355,148.91</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206,838,764.25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5,504,434.32</w:t>
            </w:r>
          </w:p>
        </w:tc>
      </w:tr>
      <w:tr>
        <w:trPr>
          <w:trHeight w:val="402"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210,988,049.66</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1,355,148.91</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206,838,764.25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5,504,434.32</w:t>
            </w:r>
          </w:p>
        </w:tc>
      </w:tr>
      <w:tr>
        <w:trPr>
          <w:trHeight w:val="402"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line="544" w:lineRule="auto" w:before="117"/>
        <w:ind w:left="154" w:right="7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w:t>
      </w:r>
      <w:bookmarkStart w:name="3、截至报告期末的资产权利受限情况" w:id="44"/>
      <w:bookmarkEnd w:id="44"/>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99"/>
          <w:sz w:val="21"/>
          <w:szCs w:val="21"/>
        </w:rPr>
        <w:t> </w:t>
      </w:r>
      <w:r>
        <w:rPr>
          <w:rFonts w:ascii="宋体" w:hAnsi="宋体" w:cs="宋体" w:eastAsia="宋体" w:hint="default"/>
          <w:sz w:val="18"/>
          <w:szCs w:val="18"/>
        </w:rPr>
        <w:t>报告期内无资产权利受限情况。</w:t>
      </w:r>
    </w:p>
    <w:p>
      <w:pPr>
        <w:pStyle w:val="Heading2"/>
        <w:spacing w:line="240" w:lineRule="auto" w:before="100"/>
        <w:ind w:right="1360"/>
        <w:jc w:val="left"/>
        <w:rPr>
          <w:b w:val="0"/>
          <w:bCs w:val="0"/>
        </w:rPr>
      </w:pPr>
      <w:bookmarkStart w:name="五、投资状况分析" w:id="45"/>
      <w:bookmarkEnd w:id="45"/>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6" w:right="0"/>
              <w:jc w:val="left"/>
              <w:rPr>
                <w:rFonts w:ascii="Times New Roman" w:hAnsi="Times New Roman" w:cs="Times New Roman" w:eastAsia="Times New Roman" w:hint="default"/>
                <w:sz w:val="18"/>
                <w:szCs w:val="18"/>
              </w:rPr>
            </w:pPr>
            <w:r>
              <w:rPr>
                <w:rFonts w:ascii="Times New Roman"/>
                <w:sz w:val="18"/>
              </w:rPr>
              <w:t>110,204,378.50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7" w:right="0"/>
              <w:jc w:val="left"/>
              <w:rPr>
                <w:rFonts w:ascii="Times New Roman" w:hAnsi="Times New Roman" w:cs="Times New Roman" w:eastAsia="Times New Roman" w:hint="default"/>
                <w:sz w:val="18"/>
                <w:szCs w:val="18"/>
              </w:rPr>
            </w:pPr>
            <w:r>
              <w:rPr>
                <w:rFonts w:ascii="Times New Roman"/>
                <w:sz w:val="18"/>
              </w:rPr>
              <w:t>1,048,713,219.10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-89.50%</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36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36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3"/>
          <w:szCs w:val="23"/>
        </w:rPr>
      </w:pPr>
    </w:p>
    <w:p>
      <w:pPr>
        <w:spacing w:before="44"/>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88"/>
        <w:gridCol w:w="895"/>
        <w:gridCol w:w="1088"/>
        <w:gridCol w:w="1180"/>
        <w:gridCol w:w="1194"/>
        <w:gridCol w:w="955"/>
        <w:gridCol w:w="957"/>
        <w:gridCol w:w="956"/>
        <w:gridCol w:w="955"/>
      </w:tblGrid>
      <w:tr>
        <w:trPr>
          <w:trHeight w:val="1026"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7"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61" w:right="83"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4" w:right="45"/>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411" w:right="50"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02" w:right="20"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384" w:right="21" w:hanging="361"/>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201,183,56</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1.64</w:t>
            </w:r>
          </w:p>
        </w:tc>
        <w:tc>
          <w:tcPr>
            <w:tcW w:w="1088"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201,183,561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9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8" w:right="0"/>
              <w:jc w:val="lef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88"/>
        <w:gridCol w:w="895"/>
        <w:gridCol w:w="1088"/>
        <w:gridCol w:w="1180"/>
        <w:gridCol w:w="1194"/>
        <w:gridCol w:w="955"/>
        <w:gridCol w:w="957"/>
        <w:gridCol w:w="956"/>
        <w:gridCol w:w="955"/>
      </w:tblGrid>
      <w:tr>
        <w:trPr>
          <w:trHeight w:val="71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5,655,202.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-5,655,202.61</w:t>
            </w:r>
          </w:p>
        </w:tc>
        <w:tc>
          <w:tcPr>
            <w:tcW w:w="1180"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8" w:right="0"/>
              <w:jc w:val="lef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4,149,285.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1,355,148.91</w:t>
            </w:r>
          </w:p>
        </w:tc>
        <w:tc>
          <w:tcPr>
            <w:tcW w:w="1180"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5,504,434.3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210,988,04</w:t>
            </w:r>
          </w:p>
          <w:p>
            <w:pPr>
              <w:pStyle w:val="TableParagraph"/>
              <w:spacing w:line="240" w:lineRule="auto" w:before="106"/>
              <w:ind w:left="547" w:right="0"/>
              <w:jc w:val="left"/>
              <w:rPr>
                <w:rFonts w:ascii="Times New Roman" w:hAnsi="Times New Roman" w:cs="Times New Roman" w:eastAsia="Times New Roman" w:hint="default"/>
                <w:sz w:val="18"/>
                <w:szCs w:val="18"/>
              </w:rPr>
            </w:pPr>
            <w:r>
              <w:rPr>
                <w:rFonts w:ascii="Times New Roman"/>
                <w:sz w:val="18"/>
              </w:rPr>
              <w:t>9.66</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-4,300,053.70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201,183,561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5,504,434.3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1360"/>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spacing w:before="44"/>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首次公开 发行股票 募集</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42,628.13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40,311.24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存放于公 司募集资 金专户</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非公开发 行股票募 集资金</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207,673.6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1,659.06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存放于公 司募集资 金专户</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250,301.73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40,311.24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1,662.66</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146"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（一）首次公开发行股票募集资金：</w:t>
            </w:r>
            <w:r>
              <w:rPr>
                <w:rFonts w:ascii="宋体" w:hAnsi="宋体" w:cs="宋体" w:eastAsia="宋体" w:hint="default"/>
                <w:spacing w:val="-20"/>
                <w:sz w:val="18"/>
                <w:szCs w:val="18"/>
              </w:rPr>
              <w:t> </w:t>
            </w:r>
            <w:r>
              <w:rPr>
                <w:rFonts w:ascii="宋体" w:hAnsi="宋体" w:cs="宋体" w:eastAsia="宋体" w:hint="default"/>
                <w:sz w:val="18"/>
                <w:szCs w:val="18"/>
              </w:rPr>
              <w:t>本公司以前年度已使用募集资金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40,311.24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万元，以前年度收到的银行存款利息扣除 银行手续费等的净额为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1,926.70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年度实际使用募集资金零元，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年度收到的银行存款利息扣除银行手续费 等的净额为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24.09</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万元；累计已使用募集资金</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40,311.24 </w:t>
            </w:r>
            <w:r>
              <w:rPr>
                <w:rFonts w:ascii="宋体" w:hAnsi="宋体" w:cs="宋体" w:eastAsia="宋体" w:hint="default"/>
                <w:spacing w:val="-4"/>
                <w:sz w:val="18"/>
                <w:szCs w:val="18"/>
              </w:rPr>
              <w:t>万元，累计收到的银行存款利息扣除银行手续费等的净额为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1,950.79</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万元。本公司于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日召开了第三届董事会第二十五次会议和第三届监事会第十六次会议，分别审议通过了</w:t>
            </w:r>
          </w:p>
          <w:p>
            <w:pPr>
              <w:pStyle w:val="TableParagraph"/>
              <w:spacing w:line="316" w:lineRule="auto" w:before="63"/>
              <w:ind w:left="22" w:right="36"/>
              <w:jc w:val="both"/>
              <w:rPr>
                <w:rFonts w:ascii="宋体" w:hAnsi="宋体" w:cs="宋体" w:eastAsia="宋体" w:hint="default"/>
                <w:sz w:val="18"/>
                <w:szCs w:val="18"/>
              </w:rPr>
            </w:pPr>
            <w:r>
              <w:rPr>
                <w:rFonts w:ascii="宋体" w:hAnsi="宋体" w:cs="宋体" w:eastAsia="宋体" w:hint="default"/>
                <w:spacing w:val="-2"/>
                <w:sz w:val="18"/>
                <w:szCs w:val="18"/>
              </w:rPr>
              <w:t>《关于首次公开发行股票募投项目结项并将结余募集资金永久性补充流动资金的公告》，拟将首次公开发行股票募投项目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结项并将结余募集资金永久性补充流动资金。</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年，公司共计补充流动资金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4,264.08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00" w:lineRule="auto"/>
              <w:ind w:left="22" w:right="21"/>
              <w:jc w:val="both"/>
              <w:rPr>
                <w:rFonts w:ascii="宋体" w:hAnsi="宋体" w:cs="宋体" w:eastAsia="宋体" w:hint="default"/>
                <w:sz w:val="18"/>
                <w:szCs w:val="18"/>
              </w:rPr>
            </w:pPr>
            <w:r>
              <w:rPr>
                <w:rFonts w:ascii="宋体" w:hAnsi="宋体" w:cs="宋体" w:eastAsia="宋体" w:hint="default"/>
                <w:sz w:val="18"/>
                <w:szCs w:val="18"/>
              </w:rPr>
              <w:t>募集资金余额为人民币</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13"/>
                <w:sz w:val="18"/>
                <w:szCs w:val="18"/>
              </w:rPr>
              <w:t> </w:t>
            </w:r>
            <w:r>
              <w:rPr>
                <w:rFonts w:ascii="宋体" w:hAnsi="宋体" w:cs="宋体" w:eastAsia="宋体" w:hint="default"/>
                <w:spacing w:val="-7"/>
                <w:sz w:val="18"/>
                <w:szCs w:val="18"/>
              </w:rPr>
              <w:t>万元（包括累计收到的银行存款利息扣除银行手续费等的净额）。（二）非公开发行股票募集资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w:t>
            </w:r>
            <w:r>
              <w:rPr>
                <w:rFonts w:ascii="宋体" w:hAnsi="宋体" w:cs="宋体" w:eastAsia="宋体" w:hint="default"/>
                <w:spacing w:val="-54"/>
                <w:sz w:val="18"/>
                <w:szCs w:val="18"/>
              </w:rPr>
              <w:t> </w:t>
            </w:r>
            <w:r>
              <w:rPr>
                <w:rFonts w:ascii="宋体" w:hAnsi="宋体" w:cs="宋体" w:eastAsia="宋体" w:hint="default"/>
                <w:sz w:val="18"/>
                <w:szCs w:val="18"/>
              </w:rPr>
              <w:t>本公司以前年度已使用募集资金零元，以前年度收到的银行存款利息扣除银行手续费等的净额为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7,112.57</w:t>
            </w:r>
            <w:r>
              <w:rPr>
                <w:rFonts w:ascii="Times New Roman" w:hAnsi="Times New Roman" w:cs="Times New Roman" w:eastAsia="Times New Roman" w:hint="default"/>
                <w:spacing w:val="-14"/>
                <w:sz w:val="18"/>
                <w:szCs w:val="18"/>
              </w:rPr>
              <w:t>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年度实际使用募集资金零元，</w:t>
            </w:r>
            <w:r>
              <w:rPr>
                <w:rFonts w:ascii="Times New Roman" w:hAnsi="Times New Roman" w:cs="Times New Roman" w:eastAsia="Times New Roman" w:hint="default"/>
                <w:spacing w:val="-3"/>
                <w:sz w:val="18"/>
                <w:szCs w:val="18"/>
              </w:rPr>
              <w:t>2018 </w:t>
            </w:r>
            <w:r>
              <w:rPr>
                <w:rFonts w:ascii="宋体" w:hAnsi="宋体" w:cs="宋体" w:eastAsia="宋体" w:hint="default"/>
                <w:sz w:val="18"/>
                <w:szCs w:val="18"/>
              </w:rPr>
              <w:t>年度收到的银行存款利息扣除银行手续费等的净额为 </w:t>
            </w:r>
            <w:r>
              <w:rPr>
                <w:rFonts w:ascii="Times New Roman" w:hAnsi="Times New Roman" w:cs="Times New Roman" w:eastAsia="Times New Roman" w:hint="default"/>
                <w:sz w:val="18"/>
                <w:szCs w:val="18"/>
              </w:rPr>
              <w:t>4,149.32</w:t>
            </w:r>
            <w:r>
              <w:rPr>
                <w:rFonts w:ascii="Times New Roman" w:hAnsi="Times New Roman" w:cs="Times New Roman" w:eastAsia="Times New Roman" w:hint="default"/>
                <w:spacing w:val="-28"/>
                <w:sz w:val="18"/>
                <w:szCs w:val="18"/>
              </w:rPr>
              <w:t> </w:t>
            </w:r>
            <w:r>
              <w:rPr>
                <w:rFonts w:ascii="宋体" w:hAnsi="宋体" w:cs="宋体" w:eastAsia="宋体" w:hint="default"/>
                <w:spacing w:val="-4"/>
                <w:sz w:val="18"/>
                <w:szCs w:val="18"/>
              </w:rPr>
              <w:t>万元；累计已使用募集资</w:t>
            </w:r>
            <w:r>
              <w:rPr>
                <w:rFonts w:ascii="宋体" w:hAnsi="宋体" w:cs="宋体" w:eastAsia="宋体" w:hint="default"/>
                <w:sz w:val="18"/>
                <w:szCs w:val="18"/>
              </w:rPr>
              <w:t> 金零元，累计收到的银行存款利息扣除银行手续费等的净额为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11,261.89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日，募集资金应有余</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218,685.09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年，公司违规使用募集资金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217,026.02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万元。受此影响，截至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司募集资金余额为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1,659.06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万元。其中闲置募集资金购买银行保本型理财产品余额为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549.00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万元，剩余募集资金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1,110.06</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万元存放于募集资金专户。</w:t>
            </w:r>
          </w:p>
        </w:tc>
      </w:tr>
    </w:tbl>
    <w:p>
      <w:pPr>
        <w:spacing w:after="0" w:line="24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360"/>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spacing w:before="0"/>
        <w:ind w:left="0" w:right="1139" w:firstLine="0"/>
        <w:jc w:val="right"/>
        <w:rPr>
          <w:rFonts w:ascii="宋体" w:hAnsi="宋体" w:cs="宋体" w:eastAsia="宋体" w:hint="default"/>
          <w:sz w:val="18"/>
          <w:szCs w:val="18"/>
        </w:rPr>
      </w:pPr>
      <w:r>
        <w:rPr/>
        <w:pict>
          <v:shape style="position:absolute;margin-left:56.459999pt;margin-top:-513.988281pt;width:479.2pt;height:614.050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动漫服饰扩产建设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21,350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18,912.12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86.31%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研发设计中心项目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7,499.12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99.99%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28,850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26,411.24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0"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收购上海纯真年代影 视投资有限公司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 </w:t>
                        </w:r>
                        <w:r>
                          <w:rPr>
                            <w:rFonts w:ascii="宋体" w:hAnsi="宋体" w:cs="宋体" w:eastAsia="宋体" w:hint="default"/>
                            <w:sz w:val="18"/>
                            <w:szCs w:val="18"/>
                          </w:rPr>
                          <w:t>股权</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3" w:val="left" w:leader="none"/>
                          </w:tabs>
                          <w:spacing w:line="240" w:lineRule="auto" w:before="51"/>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9"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4,100</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13,900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0"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42,750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40,311.24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629"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上海纯真年代影视投资有限公司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年度实现净利润</w:t>
                        </w:r>
                        <w:r>
                          <w:rPr>
                            <w:rFonts w:ascii="Times New Roman" w:hAnsi="Times New Roman" w:cs="Times New Roman" w:eastAsia="Times New Roman" w:hint="default"/>
                            <w:sz w:val="18"/>
                            <w:szCs w:val="18"/>
                          </w:rPr>
                          <w:t>-30.65 </w:t>
                        </w:r>
                        <w:r>
                          <w:rPr>
                            <w:rFonts w:ascii="宋体" w:hAnsi="宋体" w:cs="宋体" w:eastAsia="宋体" w:hint="default"/>
                            <w:spacing w:val="-3"/>
                            <w:sz w:val="18"/>
                            <w:szCs w:val="18"/>
                          </w:rPr>
                          <w:t>万元，未达到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年度承诺业绩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1500</w:t>
                        </w:r>
                      </w:p>
                      <w:p>
                        <w:pPr>
                          <w:pStyle w:val="TableParagraph"/>
                          <w:spacing w:line="240" w:lineRule="auto" w:before="61"/>
                          <w:ind w:left="16" w:right="0"/>
                          <w:jc w:val="left"/>
                          <w:rPr>
                            <w:rFonts w:ascii="宋体" w:hAnsi="宋体" w:cs="宋体" w:eastAsia="宋体" w:hint="default"/>
                            <w:sz w:val="18"/>
                            <w:szCs w:val="18"/>
                          </w:rPr>
                        </w:pPr>
                        <w:r>
                          <w:rPr>
                            <w:rFonts w:ascii="宋体" w:hAnsi="宋体" w:cs="宋体" w:eastAsia="宋体" w:hint="default"/>
                            <w:sz w:val="18"/>
                            <w:szCs w:val="18"/>
                          </w:rPr>
                          <w:t>万。未达部分于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日由原股东以现金补足。上海纯真年代影视投资有限公司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实现净利润</w:t>
                        </w:r>
                        <w:r>
                          <w:rPr>
                            <w:rFonts w:ascii="Times New Roman" w:hAnsi="Times New Roman" w:cs="Times New Roman" w:eastAsia="Times New Roman" w:hint="default"/>
                            <w:sz w:val="18"/>
                            <w:szCs w:val="18"/>
                          </w:rPr>
                          <w:t>-282.91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万元，未达到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年度承诺业绩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万。纯真年代公司原股东朱质冰、朱质</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颖已于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日以现金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万元向公司补偿，并于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日以现金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282.91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向公司进行补偿。</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月，经公司第二届董事会第二十二次会议决议和</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年第一次临时股</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东大会审议，公司向控股股东美盛控股集团有限公司转让纯真年代</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70.00%</w:t>
                        </w:r>
                        <w:r>
                          <w:rPr>
                            <w:rFonts w:ascii="宋体" w:hAnsi="宋体" w:cs="宋体" w:eastAsia="宋体" w:hint="default"/>
                            <w:spacing w:val="-3"/>
                            <w:sz w:val="18"/>
                            <w:szCs w:val="18"/>
                          </w:rPr>
                          <w:t>的股权，转让价款</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12,000</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万元，此次股权转让完成后公司不再持有纯真年代的股权。</w:t>
                        </w:r>
                      </w:p>
                    </w:tc>
                  </w:tr>
                  <w:tr>
                    <w:trPr>
                      <w:trHeight w:val="1016"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2D2D2"/>
                          <w:right w:val="single" w:sz="4" w:space="0" w:color="000000"/>
                        </w:tcBorders>
                      </w:tcPr>
                      <w:p>
                        <w:pPr/>
                      </w:p>
                    </w:tc>
                  </w:tr>
                  <w:tr>
                    <w:trPr>
                      <w:trHeight w:val="629"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报告期无。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72"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经公司第一届董事会第十次会议决议审议通过</w:t>
                        </w:r>
                        <w:r>
                          <w:rPr>
                            <w:rFonts w:ascii="宋体" w:hAnsi="宋体" w:cs="宋体" w:eastAsia="宋体" w:hint="default"/>
                            <w:spacing w:val="-88"/>
                            <w:sz w:val="18"/>
                            <w:szCs w:val="18"/>
                          </w:rPr>
                          <w:t>，</w:t>
                        </w:r>
                        <w:r>
                          <w:rPr>
                            <w:rFonts w:ascii="宋体" w:hAnsi="宋体" w:cs="宋体" w:eastAsia="宋体" w:hint="default"/>
                            <w:sz w:val="18"/>
                            <w:szCs w:val="18"/>
                          </w:rPr>
                          <w:t>公司使用超额募集资金归还银行借款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0" w:lineRule="auto" w:before="61"/>
                          <w:ind w:left="16" w:right="-2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日公司第二届董事会第十一次会议决议，公司使用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万元超募资金对外投资， 以取得上海纯真年代影视投资有限公司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的股权。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月，经公司第二届董事会第二十二 次会议决议和</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年第一次临时股东大会审议，公司向控股股东美盛控股集团有限公司转让纯真年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w:t>
                        </w:r>
                        <w:r>
                          <w:rPr>
                            <w:rFonts w:ascii="宋体" w:hAnsi="宋体" w:cs="宋体" w:eastAsia="宋体" w:hint="default"/>
                            <w:sz w:val="18"/>
                            <w:szCs w:val="18"/>
                          </w:rPr>
                          <w:t>的股权，转让价款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万元，此次股权转让完成后公司不再持有纯真年代的股权。</w:t>
                        </w:r>
                      </w:p>
                    </w:tc>
                  </w:tr>
                  <w:tr>
                    <w:trPr>
                      <w:trHeight w:val="703"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vMerge/>
                        <w:tcBorders>
                          <w:left w:val="single" w:sz="9" w:space="0" w:color="D2D2D2"/>
                          <w:right w:val="single" w:sz="4" w:space="0" w:color="000000"/>
                        </w:tcBorders>
                      </w:tcPr>
                      <w:p>
                        <w:pPr/>
                      </w:p>
                    </w:tc>
                  </w:tr>
                  <w:tr>
                    <w:trPr>
                      <w:trHeight w:val="675"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p>
      <w:pPr>
        <w:spacing w:before="0"/>
        <w:ind w:left="0" w:right="1142" w:firstLine="0"/>
        <w:jc w:val="right"/>
        <w:rPr>
          <w:rFonts w:ascii="宋体" w:hAnsi="宋体" w:cs="宋体" w:eastAsia="宋体" w:hint="default"/>
          <w:sz w:val="18"/>
          <w:szCs w:val="18"/>
        </w:rPr>
      </w:pPr>
      <w:r>
        <w:rPr/>
        <w:pict>
          <v:shape style="position:absolute;margin-left:56.459999pt;margin-top:-395.7883pt;width:479.2pt;height:542.6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96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研发设计中心项目：公司研发设计中心项目原实施地点是上海黄浦区，公司将此项目的实施地点变 更为浙江省杭州市滨江区。杭州市滨江区为国家级高新技术产业开发区，交通便利，文化创意产业 发达，有利于公司引进研发设计相关人才；同时，杭州市滨江区与公司地理位置较近，便于管理， 与上海相比整体运营和管理的综合成本优势更为突出。基于公司长远发展的考虑，杭州市滨江区更 合适作为本次公司研发设计中心项目的实施地点；上述募集资金投资项目实施地点变更已经公司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年第二次临时股东大会审议通过。</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650"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研发设计中心项目：公司原在上海黄浦区计划购买的研发设计中心办公楼面积约为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平方米，此</w:t>
                        </w:r>
                      </w:p>
                      <w:p>
                        <w:pPr>
                          <w:pStyle w:val="TableParagraph"/>
                          <w:spacing w:line="309"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次公司在杭州市滨江区购买总面积约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pacing w:val="-3"/>
                            <w:sz w:val="18"/>
                            <w:szCs w:val="18"/>
                          </w:rPr>
                          <w:t>平方米的办公场所，房屋含税总价款约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7,000 </w:t>
                        </w:r>
                        <w:r>
                          <w:rPr>
                            <w:rFonts w:ascii="宋体" w:hAnsi="宋体" w:cs="宋体" w:eastAsia="宋体" w:hint="default"/>
                            <w:spacing w:val="-9"/>
                            <w:sz w:val="18"/>
                            <w:szCs w:val="18"/>
                          </w:rPr>
                          <w:t>万元。办公</w:t>
                        </w:r>
                        <w:r>
                          <w:rPr>
                            <w:rFonts w:ascii="宋体" w:hAnsi="宋体" w:cs="宋体" w:eastAsia="宋体" w:hint="default"/>
                            <w:sz w:val="18"/>
                            <w:szCs w:val="18"/>
                          </w:rPr>
                          <w:t> 场所面积增加主要是公司近两年发展速度较快，原规划面积已不能满足公司战略发展需要。为保证 研发设计中心项目的实施资金需求，公司使用部分超募资金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万元补充用于此次募投项目的实</w:t>
                        </w:r>
                      </w:p>
                      <w:p>
                        <w:pPr>
                          <w:pStyle w:val="TableParagraph"/>
                          <w:spacing w:line="240" w:lineRule="auto" w:before="6"/>
                          <w:ind w:left="22" w:right="0"/>
                          <w:jc w:val="both"/>
                          <w:rPr>
                            <w:rFonts w:ascii="宋体" w:hAnsi="宋体" w:cs="宋体" w:eastAsia="宋体" w:hint="default"/>
                            <w:sz w:val="18"/>
                            <w:szCs w:val="18"/>
                          </w:rPr>
                        </w:pPr>
                        <w:r>
                          <w:rPr>
                            <w:rFonts w:ascii="宋体" w:hAnsi="宋体" w:cs="宋体" w:eastAsia="宋体" w:hint="default"/>
                            <w:sz w:val="18"/>
                            <w:szCs w:val="18"/>
                          </w:rPr>
                          <w:t>施；上述募集资金投资项目实施方式调整已经公司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年第二次临时股东大会审议通过。</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4"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日，本公司以自筹资金预先投入募投项目</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6,468.68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万元；经公司第一届董事会</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第十次会议审议通过，以募集资金置换上述先期投入，本公司已于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月完成置换。</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pacing w:val="-3"/>
                            <w:sz w:val="18"/>
                            <w:szCs w:val="18"/>
                          </w:rPr>
                          <w:t>日召开了第三届董事会第二十五次会议和第三届监事会第十六次会议，分别</w:t>
                        </w:r>
                        <w:r>
                          <w:rPr>
                            <w:rFonts w:ascii="宋体" w:hAnsi="宋体" w:cs="宋体" w:eastAsia="宋体" w:hint="default"/>
                            <w:sz w:val="18"/>
                            <w:szCs w:val="18"/>
                          </w:rPr>
                          <w:t> </w:t>
                        </w:r>
                        <w:r>
                          <w:rPr>
                            <w:rFonts w:ascii="宋体" w:hAnsi="宋体" w:cs="宋体" w:eastAsia="宋体" w:hint="default"/>
                            <w:spacing w:val="-3"/>
                            <w:sz w:val="18"/>
                            <w:szCs w:val="18"/>
                          </w:rPr>
                          <w:t>审议通过了《关于首次公开发行股票募投项目结项并将结余募集资金永久性补充流动资金的公告》</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1"/>
                            <w:sz w:val="18"/>
                            <w:szCs w:val="18"/>
                          </w:rPr>
                          <w:t>将首次公开发行股票募投项目募集资金结余永久性补充流动资金。</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pacing w:val="-2"/>
                            <w:sz w:val="18"/>
                            <w:szCs w:val="18"/>
                          </w:rPr>
                          <w:t>年，公司共计补充流动资金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4,264.08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日，公司募集资金余额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万元，存放于公司募集资金专户</w:t>
                        </w:r>
                      </w:p>
                    </w:tc>
                  </w:tr>
                  <w:tr>
                    <w:trPr>
                      <w:trHeight w:val="19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日，公司未经董事会审议将募集资金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3,700 </w:t>
                        </w:r>
                        <w:r>
                          <w:rPr>
                            <w:rFonts w:ascii="宋体" w:hAnsi="宋体" w:cs="宋体" w:eastAsia="宋体" w:hint="default"/>
                            <w:spacing w:val="-3"/>
                            <w:sz w:val="18"/>
                            <w:szCs w:val="18"/>
                          </w:rPr>
                          <w:t>万元从募集资金专户中划转出，用于临时</w:t>
                        </w:r>
                      </w:p>
                      <w:p>
                        <w:pPr>
                          <w:pStyle w:val="TableParagraph"/>
                          <w:spacing w:line="314" w:lineRule="auto" w:before="63"/>
                          <w:ind w:left="22" w:right="21"/>
                          <w:jc w:val="both"/>
                          <w:rPr>
                            <w:rFonts w:ascii="宋体" w:hAnsi="宋体" w:cs="宋体" w:eastAsia="宋体" w:hint="default"/>
                            <w:sz w:val="18"/>
                            <w:szCs w:val="18"/>
                          </w:rPr>
                        </w:pPr>
                        <w:r>
                          <w:rPr>
                            <w:rFonts w:ascii="宋体" w:hAnsi="宋体" w:cs="宋体" w:eastAsia="宋体" w:hint="default"/>
                            <w:sz w:val="18"/>
                            <w:szCs w:val="18"/>
                          </w:rPr>
                          <w:t>补充流动资金，并于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日归还至募集资金专户。</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日召开了第三届董事 会第二十五次会议和第三届监事会第十六次会议，分别审议通过了《关于首次公开发行股票募投项 </w:t>
                        </w:r>
                        <w:r>
                          <w:rPr>
                            <w:rFonts w:ascii="宋体" w:hAnsi="宋体" w:cs="宋体" w:eastAsia="宋体" w:hint="default"/>
                            <w:spacing w:val="-5"/>
                            <w:sz w:val="18"/>
                            <w:szCs w:val="18"/>
                          </w:rPr>
                          <w:t>目结项并将结余募集资金永久性补充流动资金的公告》，拟将首次公开发行股票募投项目结项并将结</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余募集资金永久性补充流动资金。上述事项违反了《深圳证券交易所中小企业板上市公司规范运作 </w:t>
                        </w:r>
                        <w:r>
                          <w:rPr>
                            <w:rFonts w:ascii="宋体" w:hAnsi="宋体" w:cs="宋体" w:eastAsia="宋体" w:hint="default"/>
                            <w:spacing w:val="-23"/>
                            <w:sz w:val="18"/>
                            <w:szCs w:val="18"/>
                          </w:rPr>
                          <w:t>指引》。</w:t>
                        </w:r>
                      </w:p>
                    </w:tc>
                  </w:tr>
                </w:tbl>
                <w:p>
                  <w:pPr/>
                </w:p>
              </w:txbxContent>
            </v:textbox>
            <w10:wrap type="none"/>
          </v:shape>
        </w:pict>
      </w:r>
      <w:r>
        <w:rPr>
          <w:rFonts w:ascii="宋体" w:hAnsi="宋体" w:cs="宋体" w:eastAsia="宋体" w:hint="default"/>
          <w:sz w:val="18"/>
          <w:szCs w:val="18"/>
        </w:rPr>
        <w:t>，</w:t>
      </w:r>
    </w:p>
    <w:p>
      <w:pPr>
        <w:spacing w:line="240" w:lineRule="auto" w:before="5"/>
        <w:rPr>
          <w:rFonts w:ascii="宋体" w:hAnsi="宋体" w:cs="宋体" w:eastAsia="宋体" w:hint="default"/>
          <w:sz w:val="26"/>
          <w:szCs w:val="26"/>
        </w:rPr>
      </w:pPr>
    </w:p>
    <w:p>
      <w:pPr>
        <w:spacing w:before="44"/>
        <w:ind w:left="0" w:right="114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Heading4"/>
        <w:spacing w:line="240" w:lineRule="auto" w:before="35"/>
        <w:ind w:right="1360"/>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spacing w:before="44"/>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45"/>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bl>
    <w:p>
      <w:pPr>
        <w:spacing w:after="0" w:line="319"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研发设计中 心项目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研发设计中 心项目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7,499.12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99.99%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7,499.12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146"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9"/>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1"/>
                <w:sz w:val="18"/>
                <w:szCs w:val="18"/>
              </w:rPr>
              <w:t>研发设计中心项目：公司研发设计中心项目原实施地点是上海黄浦区，公司将此项目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的实施地点变更为浙江省杭州市滨江区。杭州市滨江区为国家级高新技术产业开发 </w:t>
            </w:r>
            <w:r>
              <w:rPr>
                <w:rFonts w:ascii="宋体" w:hAnsi="宋体" w:cs="宋体" w:eastAsia="宋体" w:hint="default"/>
                <w:spacing w:val="-1"/>
                <w:sz w:val="18"/>
                <w:szCs w:val="18"/>
              </w:rPr>
              <w:t>区，交通便利，文化创意产业发达，有利于公司引进研发设计相关人才；同时，杭州</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市滨江区与公司地理位置较近，便于管理，与上海相比整体运营和管理的综合成本优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势更为突出。基于公司长远发展的考虑，杭州市滨江区更合适作为本次公司研发设计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中心项目的实施地点。公司原在上海黄浦区计划购买的研发设计中心办公楼面积约为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z w:val="18"/>
                <w:szCs w:val="18"/>
              </w:rPr>
              <w:t>500 </w:t>
            </w:r>
            <w:r>
              <w:rPr>
                <w:rFonts w:ascii="宋体" w:hAnsi="宋体" w:cs="宋体" w:eastAsia="宋体" w:hint="default"/>
                <w:sz w:val="18"/>
                <w:szCs w:val="18"/>
              </w:rPr>
              <w:t>平方米，此次公司在杭州市滨江区购买总面积约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平方米的办公场所，房屋</w:t>
            </w:r>
          </w:p>
          <w:p>
            <w:pPr>
              <w:pStyle w:val="TableParagraph"/>
              <w:spacing w:line="309" w:lineRule="auto"/>
              <w:ind w:left="23" w:right="21"/>
              <w:jc w:val="both"/>
              <w:rPr>
                <w:rFonts w:ascii="宋体" w:hAnsi="宋体" w:cs="宋体" w:eastAsia="宋体" w:hint="default"/>
                <w:sz w:val="18"/>
                <w:szCs w:val="18"/>
              </w:rPr>
            </w:pPr>
            <w:r>
              <w:rPr>
                <w:rFonts w:ascii="宋体" w:hAnsi="宋体" w:cs="宋体" w:eastAsia="宋体" w:hint="default"/>
                <w:sz w:val="18"/>
                <w:szCs w:val="18"/>
              </w:rPr>
              <w:t>含税总价款与装修费合约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万元。办公场所面积增加主要是公司近两年发展速度 </w:t>
            </w:r>
            <w:r>
              <w:rPr>
                <w:rFonts w:ascii="宋体" w:hAnsi="宋体" w:cs="宋体" w:eastAsia="宋体" w:hint="default"/>
                <w:spacing w:val="-1"/>
                <w:sz w:val="18"/>
                <w:szCs w:val="18"/>
              </w:rPr>
              <w:t>较快，原规划面积已不能满足公司战略发展需要。为保证研发设计中心项目的实施资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金需求，公司拟使用部分超募资金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万元补充用于此次募投项目的实施。此次变 </w:t>
            </w:r>
            <w:r>
              <w:rPr>
                <w:rFonts w:ascii="宋体" w:hAnsi="宋体" w:cs="宋体" w:eastAsia="宋体" w:hint="default"/>
                <w:spacing w:val="-1"/>
                <w:sz w:val="18"/>
                <w:szCs w:val="18"/>
              </w:rPr>
              <w:t>更后，研发设计中心项目实施地从上海黄浦区变更为杭州市滨江区，计划投资总额从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Times New Roman" w:hAnsi="Times New Roman" w:cs="Times New Roman" w:eastAsia="Times New Roman" w:hint="default"/>
                <w:sz w:val="18"/>
                <w:szCs w:val="18"/>
              </w:rPr>
              <w:t>2,200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万元变更为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万元。上述募集资金投资项目实施地点及投资总额变更已经公</w:t>
            </w:r>
          </w:p>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bl>
    <w:p>
      <w:pPr>
        <w:spacing w:line="240" w:lineRule="auto" w:before="2"/>
        <w:rPr>
          <w:rFonts w:ascii="宋体" w:hAnsi="宋体" w:cs="宋体" w:eastAsia="宋体" w:hint="default"/>
          <w:sz w:val="18"/>
          <w:szCs w:val="18"/>
        </w:rPr>
      </w:pPr>
    </w:p>
    <w:p>
      <w:pPr>
        <w:pStyle w:val="Heading2"/>
        <w:spacing w:line="240" w:lineRule="auto" w:before="26"/>
        <w:ind w:right="1360"/>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12"/>
        <w:rPr>
          <w:rFonts w:ascii="宋体" w:hAnsi="宋体" w:cs="宋体" w:eastAsia="宋体" w:hint="default"/>
          <w:sz w:val="20"/>
          <w:szCs w:val="20"/>
        </w:rPr>
      </w:pPr>
    </w:p>
    <w:p>
      <w:pPr>
        <w:pStyle w:val="Heading4"/>
        <w:spacing w:line="240" w:lineRule="auto"/>
        <w:ind w:right="1360"/>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360"/>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2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真趣网络</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主要游戏平 台、广告投 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1818.1818 </w:t>
            </w:r>
            <w:r>
              <w:rPr>
                <w:rFonts w:ascii="宋体" w:hAnsi="宋体" w:cs="宋体" w:eastAsia="宋体" w:hint="default"/>
                <w:sz w:val="18"/>
                <w:szCs w:val="18"/>
              </w:rPr>
              <w:t>万</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789,755,450.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736,067,960.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390,718,843.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126,323,920.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117,770,682.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美盛游戏</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0"/>
              <w:jc w:val="right"/>
              <w:rPr>
                <w:rFonts w:ascii="宋体" w:hAnsi="宋体" w:cs="宋体" w:eastAsia="宋体" w:hint="default"/>
                <w:sz w:val="18"/>
                <w:szCs w:val="18"/>
              </w:rPr>
            </w:pPr>
            <w:r>
              <w:rPr>
                <w:rFonts w:ascii="宋体" w:hAnsi="宋体" w:cs="宋体" w:eastAsia="宋体" w:hint="default"/>
                <w:sz w:val="18"/>
                <w:szCs w:val="18"/>
              </w:rPr>
              <w:t>主要从事动</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0"/>
              <w:jc w:val="right"/>
              <w:rPr>
                <w:rFonts w:ascii="宋体" w:hAnsi="宋体" w:cs="宋体" w:eastAsia="宋体" w:hint="default"/>
                <w:sz w:val="18"/>
                <w:szCs w:val="18"/>
              </w:rPr>
            </w:pPr>
            <w:r>
              <w:rPr>
                <w:rFonts w:ascii="Times New Roman" w:hAnsi="Times New Roman" w:cs="Times New Roman" w:eastAsia="Times New Roman" w:hint="default"/>
                <w:sz w:val="18"/>
                <w:szCs w:val="18"/>
              </w:rPr>
              <w:t>2000  </w:t>
            </w:r>
            <w:r>
              <w:rPr>
                <w:rFonts w:ascii="宋体" w:hAnsi="宋体" w:cs="宋体" w:eastAsia="宋体" w:hint="default"/>
                <w:sz w:val="18"/>
                <w:szCs w:val="18"/>
              </w:rPr>
              <w:t>万人</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center"/>
              <w:rPr>
                <w:rFonts w:ascii="Times New Roman" w:hAnsi="Times New Roman" w:cs="Times New Roman" w:eastAsia="Times New Roman" w:hint="default"/>
                <w:sz w:val="18"/>
                <w:szCs w:val="18"/>
              </w:rPr>
            </w:pPr>
            <w:r>
              <w:rPr>
                <w:rFonts w:ascii="Times New Roman"/>
                <w:sz w:val="18"/>
              </w:rPr>
              <w:t>171,995,823.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center"/>
              <w:rPr>
                <w:rFonts w:ascii="Times New Roman" w:hAnsi="Times New Roman" w:cs="Times New Roman" w:eastAsia="Times New Roman" w:hint="default"/>
                <w:sz w:val="18"/>
                <w:szCs w:val="18"/>
              </w:rPr>
            </w:pPr>
            <w:r>
              <w:rPr>
                <w:rFonts w:ascii="Times New Roman"/>
                <w:sz w:val="18"/>
              </w:rPr>
              <w:t>107,506,658.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3,052,301.05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center"/>
              <w:rPr>
                <w:rFonts w:ascii="Times New Roman" w:hAnsi="Times New Roman" w:cs="Times New Roman" w:eastAsia="Times New Roman" w:hint="default"/>
                <w:sz w:val="18"/>
                <w:szCs w:val="18"/>
              </w:rPr>
            </w:pPr>
            <w:r>
              <w:rPr>
                <w:rFonts w:ascii="Times New Roman"/>
                <w:sz w:val="18"/>
              </w:rPr>
              <w:t>-42,546,701.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center"/>
              <w:rPr>
                <w:rFonts w:ascii="Times New Roman" w:hAnsi="Times New Roman" w:cs="Times New Roman" w:eastAsia="Times New Roman" w:hint="default"/>
                <w:sz w:val="18"/>
                <w:szCs w:val="18"/>
              </w:rPr>
            </w:pPr>
            <w:r>
              <w:rPr>
                <w:rFonts w:ascii="Times New Roman"/>
                <w:sz w:val="18"/>
              </w:rPr>
              <w:t>-42,551,701.</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674"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漫、游戏设 计开发业务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民</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99</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83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83</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香港美盛</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从事与母公 司产品相关 的投资</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200"/>
              <w:jc w:val="left"/>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宋体" w:hAnsi="宋体" w:cs="宋体" w:eastAsia="宋体" w:hint="default"/>
                <w:sz w:val="18"/>
                <w:szCs w:val="18"/>
              </w:rPr>
              <w:t>万港 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201,933,223.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101,352,488.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-61,203,457.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-61,203,457.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44</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美盛二次元</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主要从事二 次元相关产 业</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200"/>
              <w:jc w:val="left"/>
              <w:rPr>
                <w:rFonts w:ascii="宋体" w:hAnsi="宋体" w:cs="宋体" w:eastAsia="宋体" w:hint="default"/>
                <w:sz w:val="18"/>
                <w:szCs w:val="18"/>
              </w:rPr>
            </w:pPr>
            <w:r>
              <w:rPr>
                <w:rFonts w:ascii="Times New Roman" w:hAnsi="Times New Roman" w:cs="Times New Roman" w:eastAsia="Times New Roman" w:hint="default"/>
                <w:sz w:val="18"/>
                <w:szCs w:val="18"/>
              </w:rPr>
              <w:t>5000 </w:t>
            </w:r>
            <w:r>
              <w:rPr>
                <w:rFonts w:ascii="宋体" w:hAnsi="宋体" w:cs="宋体" w:eastAsia="宋体" w:hint="default"/>
                <w:sz w:val="18"/>
                <w:szCs w:val="18"/>
              </w:rPr>
              <w:t>万人 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85,997,674.8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59,818,213.1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37,054,457.9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-16,145,056.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-16,145,189.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95</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美盛爱彼</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从事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开 发、投资业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303,104,573.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94,586,943.9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43,404,021.5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-38,436,018.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-39,702,435.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美盛动漫</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主要从事动 漫制作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 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79,685,768.5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8,892,280.23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7,042,308.91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-16,632,379.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-16,632,379.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48</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Costume</w:t>
            </w:r>
            <w:r>
              <w:rPr>
                <w:rFonts w:ascii="Times New Roman"/>
                <w:spacing w:val="-2"/>
                <w:sz w:val="18"/>
              </w:rPr>
              <w:t> </w:t>
            </w:r>
            <w:r>
              <w:rPr>
                <w:rFonts w:ascii="Times New Roman"/>
                <w:sz w:val="18"/>
              </w:rPr>
              <w:t>Craze</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协议转让</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Costume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Craze60%</w:t>
            </w:r>
            <w:r>
              <w:rPr>
                <w:rFonts w:ascii="宋体" w:hAnsi="宋体" w:cs="宋体" w:eastAsia="宋体" w:hint="default"/>
                <w:sz w:val="18"/>
                <w:szCs w:val="18"/>
              </w:rPr>
              <w:t>股权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产生处置收益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5,898,239.26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日本爱华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协议转让子公司日本爱华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产生处置收益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1,164,537.31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鱼骨头公司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转让子公司鱼骨头公司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产生处置收益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3,660,743.25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九、公司未来发展的展望" w:id="59"/>
      <w:bookmarkEnd w:id="59"/>
      <w:r>
        <w:rPr>
          <w:b w:val="0"/>
          <w:bCs w:val="0"/>
        </w:rPr>
      </w:r>
      <w:r>
        <w:rPr/>
        <w:t>九、公司未来发展的展望</w:t>
      </w:r>
      <w:r>
        <w:rPr>
          <w:b w:val="0"/>
          <w:bCs w:val="0"/>
        </w:rPr>
      </w:r>
    </w:p>
    <w:p>
      <w:pPr>
        <w:spacing w:line="430" w:lineRule="atLeast" w:before="153"/>
        <w:ind w:left="514" w:right="0" w:firstLine="0"/>
        <w:jc w:val="left"/>
        <w:rPr>
          <w:rFonts w:ascii="宋体" w:hAnsi="宋体" w:cs="宋体" w:eastAsia="宋体" w:hint="default"/>
          <w:sz w:val="18"/>
          <w:szCs w:val="18"/>
        </w:rPr>
      </w:pPr>
      <w:r>
        <w:rPr>
          <w:rFonts w:ascii="宋体" w:hAnsi="宋体" w:cs="宋体" w:eastAsia="宋体" w:hint="default"/>
          <w:sz w:val="18"/>
          <w:szCs w:val="18"/>
        </w:rPr>
        <w:t>一、行业格局和趋势 </w:t>
      </w:r>
      <w:r>
        <w:rPr>
          <w:rFonts w:ascii="宋体" w:hAnsi="宋体" w:cs="宋体" w:eastAsia="宋体" w:hint="default"/>
          <w:spacing w:val="-2"/>
          <w:sz w:val="18"/>
          <w:szCs w:val="18"/>
        </w:rPr>
        <w:t>改革开放以来，我国社会经济多年来持续稳定发展，人民生活水平显著提高，在物质生活条件大幅改善的同时，人民的</w:t>
      </w:r>
    </w:p>
    <w:p>
      <w:pPr>
        <w:spacing w:line="316" w:lineRule="auto" w:before="76"/>
        <w:ind w:left="154" w:right="1043" w:firstLine="0"/>
        <w:jc w:val="both"/>
        <w:rPr>
          <w:rFonts w:ascii="宋体" w:hAnsi="宋体" w:cs="宋体" w:eastAsia="宋体" w:hint="default"/>
          <w:sz w:val="18"/>
          <w:szCs w:val="18"/>
        </w:rPr>
      </w:pPr>
      <w:r>
        <w:rPr>
          <w:rFonts w:ascii="宋体" w:hAnsi="宋体" w:cs="宋体" w:eastAsia="宋体" w:hint="default"/>
          <w:spacing w:val="-2"/>
          <w:sz w:val="18"/>
          <w:szCs w:val="18"/>
        </w:rPr>
        <w:t>文化消费需求也日益旺盛。我国文化产业也呈现出消费快速增长和需求转型升级的态势。在国家政策综合扶持、市场需求旺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盛、内容技术创新、产业融合整合等综合因素的推动下，我国文化产业近年来发展迅速。文化产业在国民经济中的地位越来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越重要，在支撑我国经济结构调整和转型升级等方面发挥了积极作用，正在成为新的支柱产业。作为文化产业的重要组成部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分，公司业务涉及的动漫、游戏、影视、新媒体等产业近年来也取得了快速发展，市场规模迅速扩张，且未来发展空间巨大。</w:t>
      </w:r>
    </w:p>
    <w:p>
      <w:pPr>
        <w:spacing w:before="139"/>
        <w:ind w:left="51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、动漫产业</w:t>
      </w:r>
    </w:p>
    <w:p>
      <w:pPr>
        <w:spacing w:line="430" w:lineRule="atLeast" w:before="2"/>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）产业规模近年来持续增长 </w:t>
      </w:r>
      <w:r>
        <w:rPr>
          <w:rFonts w:ascii="宋体" w:hAnsi="宋体" w:cs="宋体" w:eastAsia="宋体" w:hint="default"/>
          <w:spacing w:val="-2"/>
          <w:sz w:val="18"/>
          <w:szCs w:val="18"/>
        </w:rPr>
        <w:t>我国动漫产业近年来继续保持快速增长的态势，据艾瑞咨询发布《</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年中国动漫行业研究报告》，我国动漫产业产值</w:t>
      </w:r>
    </w:p>
    <w:p>
      <w:pPr>
        <w:spacing w:line="300" w:lineRule="auto" w:before="63"/>
        <w:ind w:left="154" w:right="1129" w:firstLine="0"/>
        <w:jc w:val="both"/>
        <w:rPr>
          <w:rFonts w:ascii="宋体" w:hAnsi="宋体" w:cs="宋体" w:eastAsia="宋体" w:hint="default"/>
          <w:sz w:val="18"/>
          <w:szCs w:val="18"/>
        </w:rPr>
      </w:pPr>
      <w:r>
        <w:rPr>
          <w:rFonts w:ascii="宋体" w:hAnsi="宋体" w:cs="宋体" w:eastAsia="宋体" w:hint="default"/>
          <w:sz w:val="18"/>
          <w:szCs w:val="18"/>
        </w:rPr>
        <w:t>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年开始持续快速增长，从</w:t>
      </w: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r>
        <w:rPr>
          <w:rFonts w:ascii="Times New Roman" w:hAnsi="Times New Roman" w:cs="Times New Roman" w:eastAsia="Times New Roman" w:hint="default"/>
          <w:sz w:val="18"/>
          <w:szCs w:val="18"/>
        </w:rPr>
        <w:t>882</w:t>
      </w:r>
      <w:r>
        <w:rPr>
          <w:rFonts w:ascii="宋体" w:hAnsi="宋体" w:cs="宋体" w:eastAsia="宋体" w:hint="default"/>
          <w:sz w:val="18"/>
          <w:szCs w:val="18"/>
        </w:rPr>
        <w:t>亿元总产增长到</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年的</w:t>
      </w:r>
      <w:r>
        <w:rPr>
          <w:rFonts w:ascii="Times New Roman" w:hAnsi="Times New Roman" w:cs="Times New Roman" w:eastAsia="Times New Roman" w:hint="default"/>
          <w:sz w:val="18"/>
          <w:szCs w:val="18"/>
        </w:rPr>
        <w:t>1747</w:t>
      </w:r>
      <w:r>
        <w:rPr>
          <w:rFonts w:ascii="宋体" w:hAnsi="宋体" w:cs="宋体" w:eastAsia="宋体" w:hint="default"/>
          <w:sz w:val="18"/>
          <w:szCs w:val="18"/>
        </w:rPr>
        <w:t>亿元左右，实现总产值翻倍，</w:t>
      </w:r>
      <w:r>
        <w:rPr>
          <w:rFonts w:ascii="Times New Roman" w:hAnsi="Times New Roman" w:cs="Times New Roman" w:eastAsia="Times New Roman" w:hint="default"/>
          <w:sz w:val="18"/>
          <w:szCs w:val="18"/>
        </w:rPr>
        <w:t>2019</w:t>
      </w:r>
      <w:r>
        <w:rPr>
          <w:rFonts w:ascii="宋体" w:hAnsi="宋体" w:cs="宋体" w:eastAsia="宋体" w:hint="default"/>
          <w:sz w:val="18"/>
          <w:szCs w:val="18"/>
        </w:rPr>
        <w:t>年中国动漫产业有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望突破</w:t>
      </w:r>
      <w:r>
        <w:rPr>
          <w:rFonts w:ascii="Times New Roman" w:hAnsi="Times New Roman" w:cs="Times New Roman" w:eastAsia="Times New Roman" w:hint="default"/>
          <w:sz w:val="18"/>
          <w:szCs w:val="18"/>
        </w:rPr>
        <w:t>2,000</w:t>
      </w:r>
      <w:r>
        <w:rPr>
          <w:rFonts w:ascii="宋体" w:hAnsi="宋体" w:cs="宋体" w:eastAsia="宋体" w:hint="default"/>
          <w:sz w:val="18"/>
          <w:szCs w:val="18"/>
        </w:rPr>
        <w:t>亿元。动漫产值主要来自于动漫上游的内容市场和下游的衍生市场两大块。在全球比较成熟的日本及欧美动漫</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1"/>
          <w:sz w:val="18"/>
          <w:szCs w:val="18"/>
        </w:rPr>
        <w:t>市场中，衍生市场的产值大约相当于内容市场的</w:t>
      </w:r>
      <w:r>
        <w:rPr>
          <w:rFonts w:ascii="Times New Roman" w:hAnsi="Times New Roman" w:cs="Times New Roman" w:eastAsia="Times New Roman" w:hint="default"/>
          <w:spacing w:val="-1"/>
          <w:sz w:val="18"/>
          <w:szCs w:val="18"/>
        </w:rPr>
        <w:t>8-10</w:t>
      </w:r>
      <w:r>
        <w:rPr>
          <w:rFonts w:ascii="宋体" w:hAnsi="宋体" w:cs="宋体" w:eastAsia="宋体" w:hint="default"/>
          <w:spacing w:val="-1"/>
          <w:sz w:val="18"/>
          <w:szCs w:val="18"/>
        </w:rPr>
        <w:t>倍。随着我国近几年非低幼向动漫质量和产量的提升，我国在线动漫市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场的规模也在快速提升。</w:t>
      </w:r>
    </w:p>
    <w:p>
      <w:pPr>
        <w:spacing w:after="0" w:line="30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514" w:right="136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）产业结构和产业布局不断优化</w:t>
      </w:r>
    </w:p>
    <w:p>
      <w:pPr>
        <w:spacing w:line="240" w:lineRule="auto" w:before="13"/>
        <w:rPr>
          <w:rFonts w:ascii="宋体" w:hAnsi="宋体" w:cs="宋体" w:eastAsia="宋体" w:hint="default"/>
          <w:sz w:val="13"/>
          <w:szCs w:val="13"/>
        </w:rPr>
      </w:pPr>
    </w:p>
    <w:p>
      <w:pPr>
        <w:spacing w:line="319" w:lineRule="auto" w:before="0"/>
        <w:ind w:left="154" w:right="0" w:firstLine="360"/>
        <w:jc w:val="left"/>
        <w:rPr>
          <w:rFonts w:ascii="宋体" w:hAnsi="宋体" w:cs="宋体" w:eastAsia="宋体" w:hint="default"/>
          <w:sz w:val="18"/>
          <w:szCs w:val="18"/>
        </w:rPr>
      </w:pPr>
      <w:r>
        <w:rPr>
          <w:rFonts w:ascii="宋体" w:hAnsi="宋体" w:cs="宋体" w:eastAsia="宋体" w:hint="default"/>
          <w:spacing w:val="-2"/>
          <w:sz w:val="18"/>
          <w:szCs w:val="18"/>
        </w:rPr>
        <w:t>在规模不断扩张的同时，动漫产业的产业结构和产业布局也得到了不断优化，文化产业化和产业文化化共同促进了动漫</w:t>
      </w:r>
      <w:r>
        <w:rPr>
          <w:rFonts w:ascii="宋体" w:hAnsi="宋体" w:cs="宋体" w:eastAsia="宋体" w:hint="default"/>
          <w:sz w:val="18"/>
          <w:szCs w:val="18"/>
        </w:rPr>
        <w:t> </w:t>
      </w:r>
      <w:r>
        <w:rPr>
          <w:rFonts w:ascii="宋体" w:hAnsi="宋体" w:cs="宋体" w:eastAsia="宋体" w:hint="default"/>
          <w:spacing w:val="-2"/>
          <w:sz w:val="18"/>
          <w:szCs w:val="18"/>
        </w:rPr>
        <w:t>产业的发展。我国优秀动漫企业一方面抓住动漫文化需求快速增长的机会，保持了为世界级优秀动漫品牌提供动漫服饰等衍</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生产品配套的传统优势地位，取得相关业务的稳定增长；另一方面也立足我国国情，吸收学习西方动漫产业建设的先进经验，</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加强核心动漫</w:t>
      </w:r>
      <w:r>
        <w:rPr>
          <w:rFonts w:ascii="Times New Roman" w:hAnsi="Times New Roman" w:cs="Times New Roman" w:eastAsia="Times New Roman" w:hint="default"/>
          <w:sz w:val="18"/>
          <w:szCs w:val="18"/>
        </w:rPr>
        <w:t>IP</w:t>
      </w:r>
      <w:r>
        <w:rPr>
          <w:rFonts w:ascii="宋体" w:hAnsi="宋体" w:cs="宋体" w:eastAsia="宋体" w:hint="default"/>
          <w:sz w:val="18"/>
          <w:szCs w:val="18"/>
        </w:rPr>
        <w:t>开发并通过资源整合以及产业链延伸构建融合发展的生态体系。</w:t>
      </w:r>
    </w:p>
    <w:p>
      <w:pPr>
        <w:spacing w:before="117"/>
        <w:ind w:left="514" w:right="136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IP</w:t>
      </w:r>
      <w:r>
        <w:rPr>
          <w:rFonts w:ascii="宋体" w:hAnsi="宋体" w:cs="宋体" w:eastAsia="宋体" w:hint="default"/>
          <w:sz w:val="18"/>
          <w:szCs w:val="18"/>
        </w:rPr>
        <w:t>衍生品行业方兴未艾</w:t>
      </w:r>
    </w:p>
    <w:p>
      <w:pPr>
        <w:spacing w:line="240" w:lineRule="auto" w:before="13"/>
        <w:rPr>
          <w:rFonts w:ascii="宋体" w:hAnsi="宋体" w:cs="宋体" w:eastAsia="宋体" w:hint="default"/>
          <w:sz w:val="13"/>
          <w:szCs w:val="13"/>
        </w:rPr>
      </w:pPr>
    </w:p>
    <w:p>
      <w:pPr>
        <w:spacing w:line="304" w:lineRule="auto" w:before="0"/>
        <w:ind w:left="154" w:right="1040" w:firstLine="360"/>
        <w:jc w:val="left"/>
        <w:rPr>
          <w:rFonts w:ascii="宋体" w:hAnsi="宋体" w:cs="宋体" w:eastAsia="宋体" w:hint="default"/>
          <w:sz w:val="18"/>
          <w:szCs w:val="18"/>
        </w:rPr>
      </w:pPr>
      <w:r>
        <w:rPr>
          <w:rFonts w:ascii="宋体" w:hAnsi="宋体" w:cs="宋体" w:eastAsia="宋体" w:hint="default"/>
          <w:sz w:val="18"/>
          <w:szCs w:val="18"/>
        </w:rPr>
        <w:t>根据美国、日本、韩国等动漫产业发达国家的发展经验以及全球动漫市场的现状，</w:t>
      </w:r>
      <w:r>
        <w:rPr>
          <w:rFonts w:ascii="Times New Roman" w:hAnsi="Times New Roman" w:cs="Times New Roman" w:eastAsia="Times New Roman" w:hint="default"/>
          <w:sz w:val="18"/>
          <w:szCs w:val="18"/>
        </w:rPr>
        <w:t>IP</w:t>
      </w:r>
      <w:r>
        <w:rPr>
          <w:rFonts w:ascii="宋体" w:hAnsi="宋体" w:cs="宋体" w:eastAsia="宋体" w:hint="default"/>
          <w:sz w:val="18"/>
          <w:szCs w:val="18"/>
        </w:rPr>
        <w:t>服饰等衍生产品的市场规模远大于 </w:t>
      </w:r>
      <w:r>
        <w:rPr>
          <w:rFonts w:ascii="宋体" w:hAnsi="宋体" w:cs="宋体" w:eastAsia="宋体" w:hint="default"/>
          <w:spacing w:val="-2"/>
          <w:sz w:val="18"/>
          <w:szCs w:val="18"/>
        </w:rPr>
        <w:t>动漫创意设计及动漫制品等数字内容的市场规模。近年来，我国受到民众喜爱的动漫作品大量涌现，且围绕相关形象的衍生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品市场也在快速发展。但总体来看，我国优秀动漫</w:t>
      </w:r>
      <w:r>
        <w:rPr>
          <w:rFonts w:ascii="Times New Roman" w:hAnsi="Times New Roman" w:cs="Times New Roman" w:eastAsia="Times New Roman" w:hint="default"/>
          <w:sz w:val="18"/>
          <w:szCs w:val="18"/>
        </w:rPr>
        <w:t>IP</w:t>
      </w:r>
      <w:r>
        <w:rPr>
          <w:rFonts w:ascii="宋体" w:hAnsi="宋体" w:cs="宋体" w:eastAsia="宋体" w:hint="default"/>
          <w:sz w:val="18"/>
          <w:szCs w:val="18"/>
        </w:rPr>
        <w:t>数量及影响力仍有待提高，且整体的动漫产业链仍不完善，产业链各环 节的融合有待深化，围绕核心动漫形象的服饰、玩具等衍生品开发、销售及市场推广还有待加强。随着优质</w:t>
      </w:r>
      <w:r>
        <w:rPr>
          <w:rFonts w:ascii="Times New Roman" w:hAnsi="Times New Roman" w:cs="Times New Roman" w:eastAsia="Times New Roman" w:hint="default"/>
          <w:sz w:val="18"/>
          <w:szCs w:val="18"/>
        </w:rPr>
        <w:t>IP</w:t>
      </w:r>
      <w:r>
        <w:rPr>
          <w:rFonts w:ascii="宋体" w:hAnsi="宋体" w:cs="宋体" w:eastAsia="宋体" w:hint="default"/>
          <w:sz w:val="18"/>
          <w:szCs w:val="18"/>
        </w:rPr>
        <w:t>的开发和产业 </w:t>
      </w:r>
      <w:r>
        <w:rPr>
          <w:rFonts w:ascii="宋体" w:hAnsi="宋体" w:cs="宋体" w:eastAsia="宋体" w:hint="default"/>
          <w:spacing w:val="-3"/>
          <w:sz w:val="18"/>
          <w:szCs w:val="18"/>
        </w:rPr>
        <w:t>发展深化进程的加快，国内</w:t>
      </w:r>
      <w:r>
        <w:rPr>
          <w:rFonts w:ascii="Times New Roman" w:hAnsi="Times New Roman" w:cs="Times New Roman" w:eastAsia="Times New Roman" w:hint="default"/>
          <w:spacing w:val="-3"/>
          <w:sz w:val="18"/>
          <w:szCs w:val="18"/>
        </w:rPr>
        <w:t>IP</w:t>
      </w:r>
      <w:r>
        <w:rPr>
          <w:rFonts w:ascii="宋体" w:hAnsi="宋体" w:cs="宋体" w:eastAsia="宋体" w:hint="default"/>
          <w:spacing w:val="-3"/>
          <w:sz w:val="18"/>
          <w:szCs w:val="18"/>
        </w:rPr>
        <w:t>衍生品行业方兴未艾，未来发展空间巨大。随着动漫产业结构不断优化、技术和内容不断创新、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优秀企业和人才不断聚集以及与相关产业融合日趋加速，动漫产业在未来几年仍将保持较快增长。未来，随着我国动漫产业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从幼稚期向发展期过渡，预计市场规模将进一步扩大，产业集中度有望提升，拥有优质</w:t>
      </w:r>
      <w:r>
        <w:rPr>
          <w:rFonts w:ascii="Times New Roman" w:hAnsi="Times New Roman" w:cs="Times New Roman" w:eastAsia="Times New Roman" w:hint="default"/>
          <w:sz w:val="18"/>
          <w:szCs w:val="18"/>
        </w:rPr>
        <w:t>IP</w:t>
      </w:r>
      <w:r>
        <w:rPr>
          <w:rFonts w:ascii="宋体" w:hAnsi="宋体" w:cs="宋体" w:eastAsia="宋体" w:hint="default"/>
          <w:sz w:val="18"/>
          <w:szCs w:val="18"/>
        </w:rPr>
        <w:t>的企业、具有较强综合实力的上市 公司将获得更好的发展机遇。</w:t>
      </w:r>
    </w:p>
    <w:p>
      <w:pPr>
        <w:spacing w:line="432" w:lineRule="exact" w:before="12"/>
        <w:ind w:left="514" w:right="11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、游戏行业 </w:t>
      </w:r>
      <w:r>
        <w:rPr>
          <w:rFonts w:ascii="宋体" w:hAnsi="宋体" w:cs="宋体" w:eastAsia="宋体" w:hint="default"/>
          <w:spacing w:val="-2"/>
          <w:sz w:val="18"/>
          <w:szCs w:val="18"/>
        </w:rPr>
        <w:t>国内游戏市场规模呈现持续快速增长的态势。国内网络游戏行业产生于</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世纪末，经过数年的培育期，</w:t>
      </w:r>
      <w:r>
        <w:rPr>
          <w:rFonts w:ascii="Times New Roman" w:hAnsi="Times New Roman" w:cs="Times New Roman" w:eastAsia="Times New Roman" w:hint="default"/>
          <w:spacing w:val="-2"/>
          <w:sz w:val="18"/>
          <w:szCs w:val="18"/>
        </w:rPr>
        <w:t>2005</w:t>
      </w:r>
      <w:r>
        <w:rPr>
          <w:rFonts w:ascii="宋体" w:hAnsi="宋体" w:cs="宋体" w:eastAsia="宋体" w:hint="default"/>
          <w:spacing w:val="-2"/>
          <w:sz w:val="18"/>
          <w:szCs w:val="18"/>
        </w:rPr>
        <w:t>年前后进入</w:t>
      </w:r>
    </w:p>
    <w:p>
      <w:pPr>
        <w:spacing w:line="307" w:lineRule="auto" w:before="15"/>
        <w:ind w:left="154" w:right="1029" w:firstLine="0"/>
        <w:jc w:val="left"/>
        <w:rPr>
          <w:rFonts w:ascii="宋体" w:hAnsi="宋体" w:cs="宋体" w:eastAsia="宋体" w:hint="default"/>
          <w:sz w:val="18"/>
          <w:szCs w:val="18"/>
        </w:rPr>
      </w:pPr>
      <w:r>
        <w:rPr>
          <w:rFonts w:ascii="宋体" w:hAnsi="宋体" w:cs="宋体" w:eastAsia="宋体" w:hint="default"/>
          <w:spacing w:val="-3"/>
          <w:sz w:val="18"/>
          <w:szCs w:val="18"/>
        </w:rPr>
        <w:t>快速成长期，网游和手游市场规模快速增长。</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年中国游戏行业整体收入达</w:t>
      </w:r>
      <w:r>
        <w:rPr>
          <w:rFonts w:ascii="Times New Roman" w:hAnsi="Times New Roman" w:cs="Times New Roman" w:eastAsia="Times New Roman" w:hint="default"/>
          <w:spacing w:val="-3"/>
          <w:sz w:val="18"/>
          <w:szCs w:val="18"/>
        </w:rPr>
        <w:t>2144</w:t>
      </w:r>
      <w:r>
        <w:rPr>
          <w:rFonts w:ascii="宋体" w:hAnsi="宋体" w:cs="宋体" w:eastAsia="宋体" w:hint="default"/>
          <w:spacing w:val="-3"/>
          <w:sz w:val="18"/>
          <w:szCs w:val="18"/>
        </w:rPr>
        <w:t>亿，虽受版号暂停和行业监管增强等影响，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行业整体规模增速有所下降；未来游戏行业将聚焦精品发展，监管趋严、版号数量限制，将帮助行业供给改革，摒弃同质化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5"/>
          <w:sz w:val="18"/>
          <w:szCs w:val="18"/>
        </w:rPr>
        <w:t>的换皮、蹭</w:t>
      </w:r>
      <w:r>
        <w:rPr>
          <w:rFonts w:ascii="Times New Roman" w:hAnsi="Times New Roman" w:cs="Times New Roman" w:eastAsia="Times New Roman" w:hint="default"/>
          <w:spacing w:val="-5"/>
          <w:sz w:val="18"/>
          <w:szCs w:val="18"/>
        </w:rPr>
        <w:t>IP</w:t>
      </w:r>
      <w:r>
        <w:rPr>
          <w:rFonts w:ascii="宋体" w:hAnsi="宋体" w:cs="宋体" w:eastAsia="宋体" w:hint="default"/>
          <w:spacing w:val="-5"/>
          <w:sz w:val="18"/>
          <w:szCs w:val="18"/>
        </w:rPr>
        <w:t>流量等游戏，鼓励具备创意的优质精品游戏，从而实现优胜劣汰和市场集中化。长远来看，对中国游戏行业</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年及未来有着非常积极的推动意义。</w:t>
      </w:r>
    </w:p>
    <w:p>
      <w:pPr>
        <w:spacing w:line="432" w:lineRule="exact" w:before="11"/>
        <w:ind w:left="514" w:right="11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、媒体 </w:t>
      </w:r>
      <w:r>
        <w:rPr>
          <w:rFonts w:ascii="宋体" w:hAnsi="宋体" w:cs="宋体" w:eastAsia="宋体" w:hint="default"/>
          <w:spacing w:val="-2"/>
          <w:sz w:val="18"/>
          <w:szCs w:val="18"/>
        </w:rPr>
        <w:t>随着经济社会发展，新兴产业被市场寄予了深切的期望。消费的扩容和技术的升级成为支撑文化传媒产业持续健康发展</w:t>
      </w:r>
    </w:p>
    <w:p>
      <w:pPr>
        <w:spacing w:line="307" w:lineRule="auto" w:before="15"/>
        <w:ind w:left="154" w:right="1130" w:firstLine="0"/>
        <w:jc w:val="both"/>
        <w:rPr>
          <w:rFonts w:ascii="宋体" w:hAnsi="宋体" w:cs="宋体" w:eastAsia="宋体" w:hint="default"/>
          <w:sz w:val="18"/>
          <w:szCs w:val="18"/>
        </w:rPr>
      </w:pPr>
      <w:r>
        <w:rPr>
          <w:rFonts w:ascii="宋体" w:hAnsi="宋体" w:cs="宋体" w:eastAsia="宋体" w:hint="default"/>
          <w:spacing w:val="-2"/>
          <w:sz w:val="18"/>
          <w:szCs w:val="18"/>
        </w:rPr>
        <w:t>的底层动力，媒体行业持续进入中长期景气阶段。与此同时，媒介技术的进步使得新旧媒体之间的分化也持续加速，产业变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局进一步白热化。以报业、期刊、广播等为代表的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旧媒介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整体继续表现出快速下滑态势。另一方面，电影、互联网、移动</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1"/>
          <w:sz w:val="18"/>
          <w:szCs w:val="18"/>
        </w:rPr>
        <w:t>互联网、自媒体相关的新兴领域则展现出了旺盛的生命力，市场容量增幅普遍在</w:t>
      </w:r>
      <w:r>
        <w:rPr>
          <w:rFonts w:ascii="Times New Roman" w:hAnsi="Times New Roman" w:cs="Times New Roman" w:eastAsia="Times New Roman" w:hint="default"/>
          <w:spacing w:val="-1"/>
          <w:sz w:val="18"/>
          <w:szCs w:val="18"/>
        </w:rPr>
        <w:t>30%</w:t>
      </w:r>
      <w:r>
        <w:rPr>
          <w:rFonts w:ascii="宋体" w:hAnsi="宋体" w:cs="宋体" w:eastAsia="宋体" w:hint="default"/>
          <w:spacing w:val="-1"/>
          <w:sz w:val="18"/>
          <w:szCs w:val="18"/>
        </w:rPr>
        <w:t>以上。媒介技术的进化将加速新旧媒体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之间的分化，传统媒体面临较为严峻的挑战，而新媒体将保持繁荣发展的趋势。</w:t>
      </w:r>
    </w:p>
    <w:p>
      <w:pPr>
        <w:spacing w:line="300" w:lineRule="auto" w:before="146"/>
        <w:ind w:left="154" w:right="0" w:firstLine="360"/>
        <w:jc w:val="left"/>
        <w:rPr>
          <w:rFonts w:ascii="宋体" w:hAnsi="宋体" w:cs="宋体" w:eastAsia="宋体" w:hint="default"/>
          <w:sz w:val="18"/>
          <w:szCs w:val="18"/>
        </w:rPr>
      </w:pPr>
      <w:r>
        <w:rPr>
          <w:rFonts w:ascii="宋体" w:hAnsi="宋体" w:cs="宋体" w:eastAsia="宋体" w:hint="default"/>
          <w:spacing w:val="-2"/>
          <w:sz w:val="18"/>
          <w:szCs w:val="18"/>
        </w:rPr>
        <w:t>综上，动漫及</w:t>
      </w:r>
      <w:r>
        <w:rPr>
          <w:rFonts w:ascii="Times New Roman" w:hAnsi="Times New Roman" w:cs="Times New Roman" w:eastAsia="Times New Roman" w:hint="default"/>
          <w:spacing w:val="-2"/>
          <w:sz w:val="18"/>
          <w:szCs w:val="18"/>
        </w:rPr>
        <w:t>IP</w:t>
      </w:r>
      <w:r>
        <w:rPr>
          <w:rFonts w:ascii="宋体" w:hAnsi="宋体" w:cs="宋体" w:eastAsia="宋体" w:hint="default"/>
          <w:spacing w:val="-2"/>
          <w:sz w:val="18"/>
          <w:szCs w:val="18"/>
        </w:rPr>
        <w:t>衍生品产业、游戏产业等、影视产业和媒体产业均面临市场规模快速发展的重要战略机遇期，公司文化</w:t>
      </w:r>
      <w:r>
        <w:rPr>
          <w:rFonts w:ascii="宋体" w:hAnsi="宋体" w:cs="宋体" w:eastAsia="宋体" w:hint="default"/>
          <w:sz w:val="18"/>
          <w:szCs w:val="18"/>
        </w:rPr>
        <w:t> 生态圈各业务均拥有良好的市场前景。</w:t>
      </w:r>
    </w:p>
    <w:p>
      <w:pPr>
        <w:spacing w:line="432" w:lineRule="exact" w:before="16"/>
        <w:ind w:left="514" w:right="0" w:firstLine="0"/>
        <w:jc w:val="left"/>
        <w:rPr>
          <w:rFonts w:ascii="宋体" w:hAnsi="宋体" w:cs="宋体" w:eastAsia="宋体" w:hint="default"/>
          <w:sz w:val="18"/>
          <w:szCs w:val="18"/>
        </w:rPr>
      </w:pPr>
      <w:r>
        <w:rPr>
          <w:rFonts w:ascii="宋体" w:hAnsi="宋体" w:cs="宋体" w:eastAsia="宋体" w:hint="default"/>
          <w:sz w:val="18"/>
          <w:szCs w:val="18"/>
        </w:rPr>
        <w:t>二、公司发展战略 </w:t>
      </w:r>
      <w:r>
        <w:rPr>
          <w:rFonts w:ascii="宋体" w:hAnsi="宋体" w:cs="宋体" w:eastAsia="宋体" w:hint="default"/>
          <w:spacing w:val="-2"/>
          <w:sz w:val="18"/>
          <w:szCs w:val="18"/>
        </w:rPr>
        <w:t>公司在大文化的时代背景下，提出了向产业上下游延伸的发展战略。经过近年来资源整合，公司一体化全产业链格局初</w:t>
      </w:r>
    </w:p>
    <w:p>
      <w:pPr>
        <w:spacing w:line="309" w:lineRule="auto" w:before="15"/>
        <w:ind w:left="154" w:right="0" w:firstLine="0"/>
        <w:jc w:val="left"/>
        <w:rPr>
          <w:rFonts w:ascii="宋体" w:hAnsi="宋体" w:cs="宋体" w:eastAsia="宋体" w:hint="default"/>
          <w:sz w:val="18"/>
          <w:szCs w:val="18"/>
        </w:rPr>
      </w:pPr>
      <w:r>
        <w:rPr>
          <w:rFonts w:ascii="宋体" w:hAnsi="宋体" w:cs="宋体" w:eastAsia="宋体" w:hint="default"/>
          <w:spacing w:val="-4"/>
          <w:sz w:val="18"/>
          <w:szCs w:val="18"/>
        </w:rPr>
        <w:t>步形成，已布局动漫原创、游戏制作、网络平台、国内外终端销售、儿童剧演艺等多个环节。公司先后投资并购了多个标的，</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由点到面，多方布局，已初步搭建起</w:t>
      </w:r>
      <w:r>
        <w:rPr>
          <w:rFonts w:ascii="Times New Roman" w:hAnsi="Times New Roman" w:cs="Times New Roman" w:eastAsia="Times New Roman" w:hint="default"/>
          <w:sz w:val="18"/>
          <w:szCs w:val="18"/>
        </w:rPr>
        <w:t>“</w:t>
      </w:r>
      <w:r>
        <w:rPr>
          <w:rFonts w:ascii="宋体" w:hAnsi="宋体" w:cs="宋体" w:eastAsia="宋体" w:hint="default"/>
          <w:sz w:val="18"/>
          <w:szCs w:val="18"/>
        </w:rPr>
        <w:t>自有</w:t>
      </w:r>
      <w:r>
        <w:rPr>
          <w:rFonts w:ascii="Times New Roman" w:hAnsi="Times New Roman" w:cs="Times New Roman" w:eastAsia="Times New Roman" w:hint="default"/>
          <w:sz w:val="18"/>
          <w:szCs w:val="18"/>
        </w:rPr>
        <w:t>IP+</w:t>
      </w:r>
      <w:r>
        <w:rPr>
          <w:rFonts w:ascii="宋体" w:hAnsi="宋体" w:cs="宋体" w:eastAsia="宋体" w:hint="default"/>
          <w:sz w:val="18"/>
          <w:szCs w:val="18"/>
        </w:rPr>
        <w:t>内容制作（动漫、游戏、电影、儿童剧）</w:t>
      </w:r>
      <w:r>
        <w:rPr>
          <w:rFonts w:ascii="Times New Roman" w:hAnsi="Times New Roman" w:cs="Times New Roman" w:eastAsia="Times New Roman" w:hint="default"/>
          <w:sz w:val="18"/>
          <w:szCs w:val="18"/>
        </w:rPr>
        <w:t>+</w:t>
      </w:r>
      <w:r>
        <w:rPr>
          <w:rFonts w:ascii="宋体" w:hAnsi="宋体" w:cs="宋体" w:eastAsia="宋体" w:hint="default"/>
          <w:sz w:val="18"/>
          <w:szCs w:val="18"/>
        </w:rPr>
        <w:t>内容发行和运营</w:t>
      </w:r>
      <w:r>
        <w:rPr>
          <w:rFonts w:ascii="Times New Roman" w:hAnsi="Times New Roman" w:cs="Times New Roman" w:eastAsia="Times New Roman" w:hint="default"/>
          <w:sz w:val="18"/>
          <w:szCs w:val="18"/>
        </w:rPr>
        <w:t>+</w:t>
      </w:r>
      <w:r>
        <w:rPr>
          <w:rFonts w:ascii="宋体" w:hAnsi="宋体" w:cs="宋体" w:eastAsia="宋体" w:hint="default"/>
          <w:sz w:val="18"/>
          <w:szCs w:val="18"/>
        </w:rPr>
        <w:t>衍生品开发设计</w:t>
      </w:r>
      <w:r>
        <w:rPr>
          <w:rFonts w:ascii="Times New Roman" w:hAnsi="Times New Roman" w:cs="Times New Roman" w:eastAsia="Times New Roman" w:hint="default"/>
          <w:sz w:val="18"/>
          <w:szCs w:val="18"/>
        </w:rPr>
        <w:t>+ </w:t>
      </w:r>
      <w:r>
        <w:rPr>
          <w:rFonts w:ascii="宋体" w:hAnsi="宋体" w:cs="宋体" w:eastAsia="宋体" w:hint="default"/>
          <w:sz w:val="18"/>
          <w:szCs w:val="18"/>
        </w:rPr>
        <w:t>新媒体运营</w:t>
      </w:r>
      <w:r>
        <w:rPr>
          <w:rFonts w:ascii="Times New Roman" w:hAnsi="Times New Roman" w:cs="Times New Roman" w:eastAsia="Times New Roman" w:hint="default"/>
          <w:sz w:val="18"/>
          <w:szCs w:val="18"/>
        </w:rPr>
        <w:t>+</w:t>
      </w:r>
      <w:r>
        <w:rPr>
          <w:rFonts w:ascii="宋体" w:hAnsi="宋体" w:cs="宋体" w:eastAsia="宋体" w:hint="default"/>
          <w:sz w:val="18"/>
          <w:szCs w:val="18"/>
        </w:rPr>
        <w:t>线上线下零售渠道</w:t>
      </w:r>
      <w:r>
        <w:rPr>
          <w:rFonts w:ascii="Times New Roman" w:hAnsi="Times New Roman" w:cs="Times New Roman" w:eastAsia="Times New Roman" w:hint="default"/>
          <w:sz w:val="18"/>
          <w:szCs w:val="18"/>
        </w:rPr>
        <w:t>”</w:t>
      </w:r>
      <w:r>
        <w:rPr>
          <w:rFonts w:ascii="宋体" w:hAnsi="宋体" w:cs="宋体" w:eastAsia="宋体" w:hint="default"/>
          <w:sz w:val="18"/>
          <w:szCs w:val="18"/>
        </w:rPr>
        <w:t>的文化生态圈。</w:t>
      </w:r>
    </w:p>
    <w:p>
      <w:pPr>
        <w:spacing w:line="312" w:lineRule="auto" w:before="125"/>
        <w:ind w:left="154" w:right="1130" w:firstLine="360"/>
        <w:jc w:val="both"/>
        <w:rPr>
          <w:rFonts w:ascii="宋体" w:hAnsi="宋体" w:cs="宋体" w:eastAsia="宋体" w:hint="default"/>
          <w:sz w:val="18"/>
          <w:szCs w:val="18"/>
        </w:rPr>
      </w:pPr>
      <w:r>
        <w:rPr>
          <w:rFonts w:ascii="宋体" w:hAnsi="宋体" w:cs="宋体" w:eastAsia="宋体" w:hint="default"/>
          <w:spacing w:val="-2"/>
          <w:sz w:val="18"/>
          <w:szCs w:val="18"/>
        </w:rPr>
        <w:t>未来公司将在进一步完善布局的同时，加强推进整合工作，具体包括管理整合、资源整合及国内外市场整合，促进各环</w:t>
      </w:r>
      <w:r>
        <w:rPr>
          <w:rFonts w:ascii="宋体" w:hAnsi="宋体" w:cs="宋体" w:eastAsia="宋体" w:hint="default"/>
          <w:sz w:val="18"/>
          <w:szCs w:val="18"/>
        </w:rPr>
        <w:t> </w:t>
      </w:r>
      <w:r>
        <w:rPr>
          <w:rFonts w:ascii="宋体" w:hAnsi="宋体" w:cs="宋体" w:eastAsia="宋体" w:hint="default"/>
          <w:spacing w:val="-2"/>
          <w:sz w:val="18"/>
          <w:szCs w:val="18"/>
        </w:rPr>
        <w:t>节的协调发展和协同效应的发挥，以充分发挥产业链布局一体化优势。公司秉持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文化传承，创意美盛</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的企业宗旨，坚持以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人为本，为客户谋价值，为员工谋利益，为社会谋发展，注重挖掘文化内涵与引领潮流，坚持以创意领先，进一步优化产品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规划和改善产品结构，从品牌、产品、市场、质量和企业管理等方面不断提升公司的核心竞争力。</w:t>
      </w:r>
    </w:p>
    <w:p>
      <w:pPr>
        <w:spacing w:before="142"/>
        <w:ind w:left="514" w:right="1360" w:firstLine="0"/>
        <w:jc w:val="left"/>
        <w:rPr>
          <w:rFonts w:ascii="宋体" w:hAnsi="宋体" w:cs="宋体" w:eastAsia="宋体" w:hint="default"/>
          <w:sz w:val="18"/>
          <w:szCs w:val="18"/>
        </w:rPr>
      </w:pPr>
      <w:r>
        <w:rPr>
          <w:rFonts w:ascii="宋体" w:hAnsi="宋体" w:cs="宋体" w:eastAsia="宋体" w:hint="default"/>
          <w:sz w:val="18"/>
          <w:szCs w:val="18"/>
        </w:rPr>
        <w:t>三、公司发展计划</w:t>
      </w:r>
    </w:p>
    <w:p>
      <w:pPr>
        <w:spacing w:line="240" w:lineRule="auto" w:before="0"/>
        <w:rPr>
          <w:rFonts w:ascii="宋体" w:hAnsi="宋体" w:cs="宋体" w:eastAsia="宋体" w:hint="default"/>
          <w:sz w:val="15"/>
          <w:szCs w:val="15"/>
        </w:rPr>
      </w:pPr>
    </w:p>
    <w:p>
      <w:pPr>
        <w:spacing w:before="0"/>
        <w:ind w:left="51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、立足主业、增强衍生品设计开发能力</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514" w:right="1360" w:firstLine="0"/>
        <w:jc w:val="left"/>
        <w:rPr>
          <w:rFonts w:ascii="宋体" w:hAnsi="宋体" w:cs="宋体" w:eastAsia="宋体" w:hint="default"/>
          <w:sz w:val="18"/>
          <w:szCs w:val="18"/>
        </w:rPr>
      </w:pPr>
      <w:r>
        <w:rPr>
          <w:rFonts w:ascii="宋体" w:hAnsi="宋体" w:cs="宋体" w:eastAsia="宋体" w:hint="default"/>
          <w:sz w:val="18"/>
          <w:szCs w:val="18"/>
        </w:rPr>
        <w:t>公司立足</w:t>
      </w:r>
      <w:r>
        <w:rPr>
          <w:rFonts w:ascii="Times New Roman" w:hAnsi="Times New Roman" w:cs="Times New Roman" w:eastAsia="Times New Roman" w:hint="default"/>
          <w:sz w:val="18"/>
          <w:szCs w:val="18"/>
        </w:rPr>
        <w:t>IP</w:t>
      </w:r>
      <w:r>
        <w:rPr>
          <w:rFonts w:ascii="宋体" w:hAnsi="宋体" w:cs="宋体" w:eastAsia="宋体" w:hint="default"/>
          <w:sz w:val="18"/>
          <w:szCs w:val="18"/>
        </w:rPr>
        <w:t>衍生品的开发设计主业，拓展</w:t>
      </w:r>
      <w:r>
        <w:rPr>
          <w:rFonts w:ascii="Times New Roman" w:hAnsi="Times New Roman" w:cs="Times New Roman" w:eastAsia="Times New Roman" w:hint="default"/>
          <w:sz w:val="18"/>
          <w:szCs w:val="18"/>
        </w:rPr>
        <w:t>IP</w:t>
      </w:r>
      <w:r>
        <w:rPr>
          <w:rFonts w:ascii="宋体" w:hAnsi="宋体" w:cs="宋体" w:eastAsia="宋体" w:hint="default"/>
          <w:sz w:val="18"/>
          <w:szCs w:val="18"/>
        </w:rPr>
        <w:t>衍生品开发范围，从</w:t>
      </w:r>
      <w:r>
        <w:rPr>
          <w:rFonts w:ascii="Times New Roman" w:hAnsi="Times New Roman" w:cs="Times New Roman" w:eastAsia="Times New Roman" w:hint="default"/>
          <w:sz w:val="18"/>
          <w:szCs w:val="18"/>
        </w:rPr>
        <w:t>IP</w:t>
      </w:r>
      <w:r>
        <w:rPr>
          <w:rFonts w:ascii="宋体" w:hAnsi="宋体" w:cs="宋体" w:eastAsia="宋体" w:hint="default"/>
          <w:sz w:val="18"/>
          <w:szCs w:val="18"/>
        </w:rPr>
        <w:t>服饰发展到相关</w:t>
      </w:r>
    </w:p>
    <w:p>
      <w:pPr>
        <w:spacing w:line="430" w:lineRule="atLeast" w:before="2"/>
        <w:ind w:left="514" w:right="112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、增强对优质</w:t>
      </w:r>
      <w:r>
        <w:rPr>
          <w:rFonts w:ascii="Times New Roman" w:hAnsi="Times New Roman" w:cs="Times New Roman" w:eastAsia="Times New Roman" w:hint="default"/>
          <w:sz w:val="18"/>
          <w:szCs w:val="18"/>
        </w:rPr>
        <w:t>IP</w:t>
      </w:r>
      <w:r>
        <w:rPr>
          <w:rFonts w:ascii="宋体" w:hAnsi="宋体" w:cs="宋体" w:eastAsia="宋体" w:hint="default"/>
          <w:sz w:val="18"/>
          <w:szCs w:val="18"/>
        </w:rPr>
        <w:t>的发现和获取 </w:t>
      </w:r>
      <w:r>
        <w:rPr>
          <w:rFonts w:ascii="宋体" w:hAnsi="宋体" w:cs="宋体" w:eastAsia="宋体" w:hint="default"/>
          <w:spacing w:val="-1"/>
          <w:sz w:val="18"/>
          <w:szCs w:val="18"/>
        </w:rPr>
        <w:t>近年来，以</w:t>
      </w:r>
      <w:r>
        <w:rPr>
          <w:rFonts w:ascii="Times New Roman" w:hAnsi="Times New Roman" w:cs="Times New Roman" w:eastAsia="Times New Roman" w:hint="default"/>
          <w:spacing w:val="-1"/>
          <w:sz w:val="18"/>
          <w:szCs w:val="18"/>
        </w:rPr>
        <w:t>IP</w:t>
      </w:r>
      <w:r>
        <w:rPr>
          <w:rFonts w:ascii="宋体" w:hAnsi="宋体" w:cs="宋体" w:eastAsia="宋体" w:hint="default"/>
          <w:spacing w:val="-1"/>
          <w:sz w:val="18"/>
          <w:szCs w:val="18"/>
        </w:rPr>
        <w:t>为核心，横跨动漫、游戏、文学、影视、周边产品的泛娱乐产品逐渐增多，优质</w:t>
      </w:r>
      <w:r>
        <w:rPr>
          <w:rFonts w:ascii="Times New Roman" w:hAnsi="Times New Roman" w:cs="Times New Roman" w:eastAsia="Times New Roman" w:hint="default"/>
          <w:spacing w:val="-1"/>
          <w:sz w:val="18"/>
          <w:szCs w:val="18"/>
        </w:rPr>
        <w:t>IP</w:t>
      </w:r>
      <w:r>
        <w:rPr>
          <w:rFonts w:ascii="宋体" w:hAnsi="宋体" w:cs="宋体" w:eastAsia="宋体" w:hint="default"/>
          <w:spacing w:val="-1"/>
          <w:sz w:val="18"/>
          <w:szCs w:val="18"/>
        </w:rPr>
        <w:t>成为泛娱乐产业中维持</w:t>
      </w:r>
    </w:p>
    <w:p>
      <w:pPr>
        <w:spacing w:line="300" w:lineRule="auto" w:before="63"/>
        <w:ind w:left="154" w:right="1132" w:firstLine="0"/>
        <w:jc w:val="both"/>
        <w:rPr>
          <w:rFonts w:ascii="宋体" w:hAnsi="宋体" w:cs="宋体" w:eastAsia="宋体" w:hint="default"/>
          <w:sz w:val="18"/>
          <w:szCs w:val="18"/>
        </w:rPr>
      </w:pPr>
      <w:r>
        <w:rPr>
          <w:rFonts w:ascii="宋体" w:hAnsi="宋体" w:cs="宋体" w:eastAsia="宋体" w:hint="default"/>
          <w:spacing w:val="-1"/>
          <w:sz w:val="18"/>
          <w:szCs w:val="18"/>
        </w:rPr>
        <w:t>用户黏性的纽带，以</w:t>
      </w:r>
      <w:r>
        <w:rPr>
          <w:rFonts w:ascii="Times New Roman" w:hAnsi="Times New Roman" w:cs="Times New Roman" w:eastAsia="Times New Roman" w:hint="default"/>
          <w:spacing w:val="-1"/>
          <w:sz w:val="18"/>
          <w:szCs w:val="18"/>
        </w:rPr>
        <w:t>IP</w:t>
      </w:r>
      <w:r>
        <w:rPr>
          <w:rFonts w:ascii="宋体" w:hAnsi="宋体" w:cs="宋体" w:eastAsia="宋体" w:hint="default"/>
          <w:spacing w:val="-1"/>
          <w:sz w:val="18"/>
          <w:szCs w:val="18"/>
        </w:rPr>
        <w:t>为核心的泛娱乐布局成为中国文化产业的发展趋势。</w:t>
      </w:r>
      <w:r>
        <w:rPr>
          <w:rFonts w:ascii="Times New Roman" w:hAnsi="Times New Roman" w:cs="Times New Roman" w:eastAsia="Times New Roman" w:hint="default"/>
          <w:spacing w:val="-1"/>
          <w:sz w:val="18"/>
          <w:szCs w:val="18"/>
        </w:rPr>
        <w:t>IP</w:t>
      </w:r>
      <w:r>
        <w:rPr>
          <w:rFonts w:ascii="宋体" w:hAnsi="宋体" w:cs="宋体" w:eastAsia="宋体" w:hint="default"/>
          <w:spacing w:val="-1"/>
          <w:sz w:val="18"/>
          <w:szCs w:val="18"/>
        </w:rPr>
        <w:t>成为了文化产业的热词，影视、游戏、视频网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站等对热门</w:t>
      </w:r>
      <w:r>
        <w:rPr>
          <w:rFonts w:ascii="Times New Roman" w:hAnsi="Times New Roman" w:cs="Times New Roman" w:eastAsia="Times New Roman" w:hint="default"/>
          <w:spacing w:val="-1"/>
          <w:sz w:val="18"/>
          <w:szCs w:val="18"/>
        </w:rPr>
        <w:t>IP</w:t>
      </w:r>
      <w:r>
        <w:rPr>
          <w:rFonts w:ascii="宋体" w:hAnsi="宋体" w:cs="宋体" w:eastAsia="宋体" w:hint="default"/>
          <w:spacing w:val="-1"/>
          <w:sz w:val="18"/>
          <w:szCs w:val="18"/>
        </w:rPr>
        <w:t>的抢夺达到了白热化程度。为在这场</w:t>
      </w:r>
      <w:r>
        <w:rPr>
          <w:rFonts w:ascii="Times New Roman" w:hAnsi="Times New Roman" w:cs="Times New Roman" w:eastAsia="Times New Roman" w:hint="default"/>
          <w:spacing w:val="-1"/>
          <w:sz w:val="18"/>
          <w:szCs w:val="18"/>
        </w:rPr>
        <w:t>IP</w:t>
      </w:r>
      <w:r>
        <w:rPr>
          <w:rFonts w:ascii="宋体" w:hAnsi="宋体" w:cs="宋体" w:eastAsia="宋体" w:hint="default"/>
          <w:spacing w:val="-1"/>
          <w:sz w:val="18"/>
          <w:szCs w:val="18"/>
        </w:rPr>
        <w:t>抢夺站抢夺制高点，公司一方面将挖掘和组建一批优秀创造团队进行内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容上的原创，打造出具有美盛特色的优质原创</w:t>
      </w:r>
      <w:r>
        <w:rPr>
          <w:rFonts w:ascii="Times New Roman" w:hAnsi="Times New Roman" w:cs="Times New Roman" w:eastAsia="Times New Roman" w:hint="default"/>
          <w:spacing w:val="-1"/>
          <w:sz w:val="18"/>
          <w:szCs w:val="18"/>
        </w:rPr>
        <w:t>IP</w:t>
      </w:r>
      <w:r>
        <w:rPr>
          <w:rFonts w:ascii="宋体" w:hAnsi="宋体" w:cs="宋体" w:eastAsia="宋体" w:hint="default"/>
          <w:spacing w:val="-1"/>
          <w:sz w:val="18"/>
          <w:szCs w:val="18"/>
        </w:rPr>
        <w:t>，另一方面将深化与顶级</w:t>
      </w:r>
      <w:r>
        <w:rPr>
          <w:rFonts w:ascii="Times New Roman" w:hAnsi="Times New Roman" w:cs="Times New Roman" w:eastAsia="Times New Roman" w:hint="default"/>
          <w:spacing w:val="-1"/>
          <w:sz w:val="18"/>
          <w:szCs w:val="18"/>
        </w:rPr>
        <w:t>IP</w:t>
      </w:r>
      <w:r>
        <w:rPr>
          <w:rFonts w:ascii="宋体" w:hAnsi="宋体" w:cs="宋体" w:eastAsia="宋体" w:hint="default"/>
          <w:spacing w:val="-1"/>
          <w:sz w:val="18"/>
          <w:szCs w:val="18"/>
        </w:rPr>
        <w:t>合作，利用美盛成熟化运作的</w:t>
      </w:r>
      <w:r>
        <w:rPr>
          <w:rFonts w:ascii="Times New Roman" w:hAnsi="Times New Roman" w:cs="Times New Roman" w:eastAsia="Times New Roman" w:hint="default"/>
          <w:spacing w:val="-1"/>
          <w:sz w:val="18"/>
          <w:szCs w:val="18"/>
        </w:rPr>
        <w:t>IP</w:t>
      </w:r>
      <w:r>
        <w:rPr>
          <w:rFonts w:ascii="宋体" w:hAnsi="宋体" w:cs="宋体" w:eastAsia="宋体" w:hint="default"/>
          <w:spacing w:val="-1"/>
          <w:sz w:val="18"/>
          <w:szCs w:val="18"/>
        </w:rPr>
        <w:t>变现能力以及多</w:t>
      </w:r>
      <w:r>
        <w:rPr>
          <w:rFonts w:ascii="宋体" w:hAnsi="宋体" w:cs="宋体" w:eastAsia="宋体" w:hint="default"/>
          <w:spacing w:val="-61"/>
          <w:sz w:val="18"/>
          <w:szCs w:val="18"/>
        </w:rPr>
        <w:t> </w:t>
      </w:r>
      <w:r>
        <w:rPr>
          <w:rFonts w:ascii="宋体" w:hAnsi="宋体" w:cs="宋体" w:eastAsia="宋体" w:hint="default"/>
          <w:sz w:val="18"/>
          <w:szCs w:val="18"/>
        </w:rPr>
        <w:t>平台全产业链的优势，吸引更多顶级</w:t>
      </w:r>
      <w:r>
        <w:rPr>
          <w:rFonts w:ascii="Times New Roman" w:hAnsi="Times New Roman" w:cs="Times New Roman" w:eastAsia="Times New Roman" w:hint="default"/>
          <w:sz w:val="18"/>
          <w:szCs w:val="18"/>
        </w:rPr>
        <w:t>IP</w:t>
      </w:r>
      <w:r>
        <w:rPr>
          <w:rFonts w:ascii="宋体" w:hAnsi="宋体" w:cs="宋体" w:eastAsia="宋体" w:hint="default"/>
          <w:sz w:val="18"/>
          <w:szCs w:val="18"/>
        </w:rPr>
        <w:t>进行合作。</w:t>
      </w:r>
    </w:p>
    <w:p>
      <w:pPr>
        <w:spacing w:line="415" w:lineRule="auto" w:before="13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、完善平台部署增强变现能力 </w:t>
      </w:r>
      <w:r>
        <w:rPr>
          <w:rFonts w:ascii="宋体" w:hAnsi="宋体" w:cs="宋体" w:eastAsia="宋体" w:hint="default"/>
          <w:spacing w:val="-2"/>
          <w:sz w:val="18"/>
          <w:szCs w:val="18"/>
        </w:rPr>
        <w:t>公司将整合现有不同类型的平台资源，打破各自隔膜，让不同类型的平台联动起来，发挥整体效益。建立一个互通、资</w:t>
      </w:r>
    </w:p>
    <w:p>
      <w:pPr>
        <w:spacing w:line="194" w:lineRule="exact"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源共享极具竞争力的整体</w:t>
      </w:r>
      <w:r>
        <w:rPr>
          <w:rFonts w:ascii="Times New Roman" w:hAnsi="Times New Roman" w:cs="Times New Roman" w:eastAsia="Times New Roman" w:hint="default"/>
          <w:sz w:val="18"/>
          <w:szCs w:val="18"/>
        </w:rPr>
        <w:t>IP</w:t>
      </w:r>
      <w:r>
        <w:rPr>
          <w:rFonts w:ascii="宋体" w:hAnsi="宋体" w:cs="宋体" w:eastAsia="宋体" w:hint="default"/>
          <w:sz w:val="18"/>
          <w:szCs w:val="18"/>
        </w:rPr>
        <w:t>变现平台，多维度不同层次将公司自有优质</w:t>
      </w:r>
      <w:r>
        <w:rPr>
          <w:rFonts w:ascii="Times New Roman" w:hAnsi="Times New Roman" w:cs="Times New Roman" w:eastAsia="Times New Roman" w:hint="default"/>
          <w:sz w:val="18"/>
          <w:szCs w:val="18"/>
        </w:rPr>
        <w:t>IP</w:t>
      </w:r>
      <w:r>
        <w:rPr>
          <w:rFonts w:ascii="宋体" w:hAnsi="宋体" w:cs="宋体" w:eastAsia="宋体" w:hint="default"/>
          <w:sz w:val="18"/>
          <w:szCs w:val="18"/>
        </w:rPr>
        <w:t>以及合作方的优质</w:t>
      </w:r>
      <w:r>
        <w:rPr>
          <w:rFonts w:ascii="Times New Roman" w:hAnsi="Times New Roman" w:cs="Times New Roman" w:eastAsia="Times New Roman" w:hint="default"/>
          <w:sz w:val="18"/>
          <w:szCs w:val="18"/>
        </w:rPr>
        <w:t>IP</w:t>
      </w:r>
      <w:r>
        <w:rPr>
          <w:rFonts w:ascii="宋体" w:hAnsi="宋体" w:cs="宋体" w:eastAsia="宋体" w:hint="default"/>
          <w:sz w:val="18"/>
          <w:szCs w:val="18"/>
        </w:rPr>
        <w:t>传输给消费者。目前除正在积</w:t>
      </w:r>
    </w:p>
    <w:p>
      <w:pPr>
        <w:spacing w:line="316" w:lineRule="auto" w:before="63"/>
        <w:ind w:left="154" w:right="1032" w:firstLine="0"/>
        <w:jc w:val="left"/>
        <w:rPr>
          <w:rFonts w:ascii="宋体" w:hAnsi="宋体" w:cs="宋体" w:eastAsia="宋体" w:hint="default"/>
          <w:sz w:val="18"/>
          <w:szCs w:val="18"/>
        </w:rPr>
      </w:pPr>
      <w:r>
        <w:rPr>
          <w:rFonts w:ascii="宋体" w:hAnsi="宋体" w:cs="宋体" w:eastAsia="宋体" w:hint="default"/>
          <w:sz w:val="18"/>
          <w:szCs w:val="18"/>
        </w:rPr>
        <w:t>极部署海外衍生品销售渠道外，公司还致力于打造新媒体平台。新媒体具有个性化突出、受众选择性增多、表现形式多样、 </w:t>
      </w:r>
      <w:r>
        <w:rPr>
          <w:rFonts w:ascii="宋体" w:hAnsi="宋体" w:cs="宋体" w:eastAsia="宋体" w:hint="default"/>
          <w:spacing w:val="-2"/>
          <w:sz w:val="18"/>
          <w:szCs w:val="18"/>
        </w:rPr>
        <w:t>信息发布实时等新特点，具有交互性、全息化、数字化、网络化等优势，新媒体平台的出现将成为打破公司现有不同平台隔</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膜的钥匙。</w:t>
      </w:r>
    </w:p>
    <w:p>
      <w:pPr>
        <w:spacing w:line="432" w:lineRule="exact" w:before="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、加强整合，促进一体化优势发挥 </w:t>
      </w:r>
      <w:r>
        <w:rPr>
          <w:rFonts w:ascii="宋体" w:hAnsi="宋体" w:cs="宋体" w:eastAsia="宋体" w:hint="default"/>
          <w:spacing w:val="-2"/>
          <w:sz w:val="18"/>
          <w:szCs w:val="18"/>
        </w:rPr>
        <w:t>在初步实现了全产业链布局后，公司未来将着力加强整合工作。公司一方面将在内部管理方面全面提升以适应未来集团</w:t>
      </w:r>
    </w:p>
    <w:p>
      <w:pPr>
        <w:spacing w:line="316" w:lineRule="auto" w:before="15"/>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化运作的要求，另一方面加强对各控股子公司的规范化管理和一体化方向指导，提升对公司及各子公司资源的利用效率，为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充分发挥协同效应创造良好条件。</w:t>
      </w:r>
    </w:p>
    <w:p>
      <w:pPr>
        <w:spacing w:line="432" w:lineRule="exact" w:before="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、加速推进文化产业转型升级、打造综合性文化产业平台 </w:t>
      </w:r>
      <w:r>
        <w:rPr>
          <w:rFonts w:ascii="宋体" w:hAnsi="宋体" w:cs="宋体" w:eastAsia="宋体" w:hint="default"/>
          <w:spacing w:val="-2"/>
          <w:sz w:val="18"/>
          <w:szCs w:val="18"/>
        </w:rPr>
        <w:t>公司通过投资和并购初步形成了泛娱乐业务体系，公司未来将在现有产业链版图基础上，根据产业发展动态和公司业务</w:t>
      </w:r>
    </w:p>
    <w:p>
      <w:pPr>
        <w:spacing w:line="312" w:lineRule="auto" w:before="15"/>
        <w:ind w:left="154" w:right="1131" w:firstLine="0"/>
        <w:jc w:val="both"/>
        <w:rPr>
          <w:rFonts w:ascii="宋体" w:hAnsi="宋体" w:cs="宋体" w:eastAsia="宋体" w:hint="default"/>
          <w:sz w:val="18"/>
          <w:szCs w:val="18"/>
        </w:rPr>
      </w:pPr>
      <w:r>
        <w:rPr>
          <w:rFonts w:ascii="宋体" w:hAnsi="宋体" w:cs="宋体" w:eastAsia="宋体" w:hint="default"/>
          <w:spacing w:val="-2"/>
          <w:sz w:val="18"/>
          <w:szCs w:val="18"/>
        </w:rPr>
        <w:t>发展情况，继续实现转型升级和产业一体化战略，充分整合上下游资源，进一步完善产业布局，全面提升盈利模式和盈利水</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平。并且对各并购标的公司的业务进行整合，加强业务协同，减少重复投资，降低运营成本，将公司前期业务整合成有机整</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体，实现协同效应。增强公司文化生态圈中对</w:t>
      </w:r>
      <w:r>
        <w:rPr>
          <w:rFonts w:ascii="Times New Roman" w:hAnsi="Times New Roman" w:cs="Times New Roman" w:eastAsia="Times New Roman" w:hint="default"/>
          <w:spacing w:val="-2"/>
          <w:sz w:val="18"/>
          <w:szCs w:val="18"/>
        </w:rPr>
        <w:t>IP</w:t>
      </w:r>
      <w:r>
        <w:rPr>
          <w:rFonts w:ascii="宋体" w:hAnsi="宋体" w:cs="宋体" w:eastAsia="宋体" w:hint="default"/>
          <w:spacing w:val="-2"/>
          <w:sz w:val="18"/>
          <w:szCs w:val="18"/>
        </w:rPr>
        <w:t>资源的筛选、培育以及全产业链开发和运营能力，为公司未来的发展建立内</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容、用户和品牌基础。</w:t>
      </w:r>
    </w:p>
    <w:p>
      <w:pPr>
        <w:spacing w:line="432" w:lineRule="exact" w:before="7"/>
        <w:ind w:left="514" w:right="1032" w:firstLine="0"/>
        <w:jc w:val="left"/>
        <w:rPr>
          <w:rFonts w:ascii="宋体" w:hAnsi="宋体" w:cs="宋体" w:eastAsia="宋体" w:hint="default"/>
          <w:sz w:val="18"/>
          <w:szCs w:val="18"/>
        </w:rPr>
      </w:pPr>
      <w:r>
        <w:rPr>
          <w:rFonts w:ascii="宋体" w:hAnsi="宋体" w:cs="宋体" w:eastAsia="宋体" w:hint="default"/>
          <w:sz w:val="18"/>
          <w:szCs w:val="18"/>
        </w:rPr>
        <w:t>四、可能面对的风险 可能存在文化产业政策变化，文创产业发展不及预期，资源整合及内控管理不够完善，国际需求下降，市场需求变化，</w:t>
      </w:r>
    </w:p>
    <w:p>
      <w:pPr>
        <w:spacing w:before="15"/>
        <w:ind w:left="154" w:right="0" w:firstLine="0"/>
        <w:jc w:val="both"/>
        <w:rPr>
          <w:rFonts w:ascii="宋体" w:hAnsi="宋体" w:cs="宋体" w:eastAsia="宋体" w:hint="default"/>
          <w:sz w:val="18"/>
          <w:szCs w:val="18"/>
        </w:rPr>
      </w:pPr>
      <w:r>
        <w:rPr>
          <w:rFonts w:ascii="宋体" w:hAnsi="宋体" w:cs="宋体" w:eastAsia="宋体" w:hint="default"/>
          <w:sz w:val="18"/>
          <w:szCs w:val="18"/>
        </w:rPr>
        <w:t>行业竞争加剧，出口退税政策变化，汇率波动等风险。</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公司报告期内未发生接待调研、沟通、采访等活动。</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785" w:right="3763"/>
        <w:jc w:val="center"/>
        <w:rPr>
          <w:b w:val="0"/>
          <w:bCs w:val="0"/>
        </w:rPr>
      </w:pPr>
      <w:bookmarkStart w:name="第五节 重要事项" w:id="62"/>
      <w:bookmarkEnd w:id="62"/>
      <w:r>
        <w:rPr>
          <w:b w:val="0"/>
          <w:bCs w:val="0"/>
        </w:rPr>
      </w:r>
      <w:bookmarkStart w:name="_bookmark4" w:id="63"/>
      <w:bookmarkEnd w:id="63"/>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38" w:lineRule="auto" w:before="102"/>
        <w:ind w:left="154" w:right="2761" w:firstLine="0"/>
        <w:jc w:val="both"/>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年（包括本报告期）的普通股股利分配方案（预案）、资本公积金转增股本方案（预案）情况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公司近</w:t>
      </w:r>
      <w:r>
        <w:rPr>
          <w:rFonts w:ascii="Times New Roman" w:hAnsi="Times New Roman" w:cs="Times New Roman" w:eastAsia="Times New Roman" w:hint="default"/>
          <w:sz w:val="18"/>
          <w:szCs w:val="18"/>
        </w:rPr>
        <w:t>3</w:t>
      </w:r>
      <w:r>
        <w:rPr>
          <w:rFonts w:ascii="宋体" w:hAnsi="宋体" w:cs="宋体" w:eastAsia="宋体" w:hint="default"/>
          <w:sz w:val="18"/>
          <w:szCs w:val="18"/>
        </w:rPr>
        <w:t>年（包括本报告期）的普通股股利分配方案（预案）、资本公积金转增股本方案（预案）情况 </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年利润分配方案：不派发现金红利、不送红股、不以公积金转增股本。</w:t>
      </w:r>
    </w:p>
    <w:p>
      <w:pPr>
        <w:spacing w:line="230" w:lineRule="exact"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年度利润分配及资本公积金转增股本预案：截至</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日公司总股本</w:t>
      </w:r>
      <w:r>
        <w:rPr>
          <w:rFonts w:ascii="Times New Roman" w:hAnsi="Times New Roman" w:cs="Times New Roman" w:eastAsia="Times New Roman" w:hint="default"/>
          <w:sz w:val="18"/>
          <w:szCs w:val="18"/>
        </w:rPr>
        <w:t>505,318,181</w:t>
      </w:r>
      <w:r>
        <w:rPr>
          <w:rFonts w:ascii="宋体" w:hAnsi="宋体" w:cs="宋体" w:eastAsia="宋体" w:hint="default"/>
          <w:sz w:val="18"/>
          <w:szCs w:val="18"/>
        </w:rPr>
        <w:t>股为基数，向全体股东每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w:t>
      </w:r>
    </w:p>
    <w:p>
      <w:pPr>
        <w:spacing w:line="300" w:lineRule="auto" w:before="63"/>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送现金红利</w:t>
      </w:r>
      <w:r>
        <w:rPr>
          <w:rFonts w:ascii="Times New Roman" w:hAnsi="Times New Roman" w:cs="Times New Roman" w:eastAsia="Times New Roman" w:hint="default"/>
          <w:spacing w:val="-2"/>
          <w:sz w:val="18"/>
          <w:szCs w:val="18"/>
        </w:rPr>
        <w:t>2.50</w:t>
      </w:r>
      <w:r>
        <w:rPr>
          <w:rFonts w:ascii="宋体" w:hAnsi="宋体" w:cs="宋体" w:eastAsia="宋体" w:hint="default"/>
          <w:spacing w:val="-2"/>
          <w:sz w:val="18"/>
          <w:szCs w:val="18"/>
        </w:rPr>
        <w:t>元（含税），合计派发现金红利人民币</w:t>
      </w:r>
      <w:r>
        <w:rPr>
          <w:rFonts w:ascii="Times New Roman" w:hAnsi="Times New Roman" w:cs="Times New Roman" w:eastAsia="Times New Roman" w:hint="default"/>
          <w:spacing w:val="-2"/>
          <w:sz w:val="18"/>
          <w:szCs w:val="18"/>
        </w:rPr>
        <w:t>126329545.25</w:t>
      </w:r>
      <w:r>
        <w:rPr>
          <w:rFonts w:ascii="宋体" w:hAnsi="宋体" w:cs="宋体" w:eastAsia="宋体" w:hint="default"/>
          <w:spacing w:val="-2"/>
          <w:sz w:val="18"/>
          <w:szCs w:val="18"/>
        </w:rPr>
        <w:t>元；同时以资本公积金转增股本，每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股转增</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股，转增</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后公司总股本将增至</w:t>
      </w:r>
      <w:r>
        <w:rPr>
          <w:rFonts w:ascii="Times New Roman" w:hAnsi="Times New Roman" w:cs="Times New Roman" w:eastAsia="Times New Roman" w:hint="default"/>
          <w:sz w:val="18"/>
          <w:szCs w:val="18"/>
        </w:rPr>
        <w:t>909572725</w:t>
      </w:r>
      <w:r>
        <w:rPr>
          <w:rFonts w:ascii="宋体" w:hAnsi="宋体" w:cs="宋体" w:eastAsia="宋体" w:hint="default"/>
          <w:sz w:val="18"/>
          <w:szCs w:val="18"/>
        </w:rPr>
        <w:t>股。</w:t>
      </w:r>
    </w:p>
    <w:p>
      <w:pPr>
        <w:spacing w:line="240" w:lineRule="auto" w:before="7"/>
        <w:rPr>
          <w:rFonts w:ascii="宋体" w:hAnsi="宋体" w:cs="宋体" w:eastAsia="宋体" w:hint="default"/>
          <w:sz w:val="24"/>
          <w:szCs w:val="24"/>
        </w:rPr>
      </w:pPr>
    </w:p>
    <w:p>
      <w:pPr>
        <w:spacing w:before="44"/>
        <w:ind w:left="154" w:right="136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52" w:right="50"/>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2" w:right="52"/>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52" w:right="50"/>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12" w:right="143"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393"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-229,516,119.4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9" w:right="0"/>
              <w:jc w:val="left"/>
              <w:rPr>
                <w:rFonts w:ascii="Times New Roman" w:hAnsi="Times New Roman" w:cs="Times New Roman" w:eastAsia="Times New Roman" w:hint="default"/>
                <w:sz w:val="18"/>
                <w:szCs w:val="18"/>
              </w:rPr>
            </w:pPr>
            <w:r>
              <w:rPr>
                <w:rFonts w:ascii="Times New Roman"/>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1" w:hRule="exact"/>
        </w:trPr>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4"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190,785,271.54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126,329,545.25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189,958,553.69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126,329,545.25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66.50%</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0"/>
        <w:ind w:left="0" w:right="1139" w:firstLine="0"/>
        <w:jc w:val="right"/>
        <w:rPr>
          <w:rFonts w:ascii="宋体" w:hAnsi="宋体" w:cs="宋体" w:eastAsia="宋体" w:hint="default"/>
          <w:sz w:val="18"/>
          <w:szCs w:val="18"/>
        </w:rPr>
      </w:pPr>
      <w:r>
        <w:rPr/>
        <w:pict>
          <v:shape style="position:absolute;margin-left:56.459999pt;margin-top:-163.508255pt;width:479.2pt;height:179.1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7" w:right="46" w:hanging="99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2859"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根据《公司章程》和《公司未来三年（</w:t>
                        </w:r>
                        <w:r>
                          <w:rPr>
                            <w:rFonts w:ascii="Times New Roman" w:hAnsi="Times New Roman" w:cs="Times New Roman" w:eastAsia="Times New Roman" w:hint="default"/>
                            <w:sz w:val="18"/>
                            <w:szCs w:val="18"/>
                          </w:rPr>
                          <w:t>2017-2019 </w:t>
                        </w:r>
                        <w:r>
                          <w:rPr>
                            <w:rFonts w:ascii="宋体" w:hAnsi="宋体" w:cs="宋体" w:eastAsia="宋体" w:hint="default"/>
                            <w:sz w:val="18"/>
                            <w:szCs w:val="18"/>
                          </w:rPr>
                          <w:t>年）股东 回报规划》制定的公司利润分配政策，在公司现金流满足正 常经营和长期发展的前提下，每年以现金方式分配的利润应 不低于当年实现的可分配利润的</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。公司任意三个连续会 计年度内以现金方式累计分配的利润不少于该三年实现的年 均可分配利润的</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。公司的利润分配应重视对社会公众股 东的合理投资回报，以可持续发展和维护股东权益为宗旨， 应保持利润分配政策的连续性和稳定性，并符合法律、法规 的相关规定。考虑公司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年产业链生态化布局及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留存未分配利润主要用于：</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、市场开拓及投入、技术研发及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相关产业资源的整合，为公司进一步完善产业链，优化产业 结构，持续健康发展提供充足资金保障。</w:t>
                        </w:r>
                        <w:r>
                          <w:rPr>
                            <w:rFonts w:ascii="Times New Roman" w:hAnsi="Times New Roman" w:cs="Times New Roman" w:eastAsia="Times New Roman" w:hint="default"/>
                            <w:sz w:val="18"/>
                            <w:szCs w:val="18"/>
                          </w:rPr>
                          <w:t>2</w:t>
                        </w:r>
                        <w:r>
                          <w:rPr>
                            <w:rFonts w:ascii="宋体" w:hAnsi="宋体" w:cs="宋体" w:eastAsia="宋体" w:hint="default"/>
                            <w:sz w:val="18"/>
                            <w:szCs w:val="18"/>
                          </w:rPr>
                          <w:t>、推进公司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文 化生态圈项目的建设，提高公司持续获得和变现优质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的 能力，增强公司对用户流量的利用能力，并且为公司战略实 施提供必要的硬件保障，整合动漫上下游资源，实现全产业 链运营，最终形成集动漫制作、网络游戏、影视媒体、网络 </w:t>
                        </w:r>
                        <w:r>
                          <w:rPr>
                            <w:rFonts w:ascii="宋体" w:hAnsi="宋体" w:cs="宋体" w:eastAsia="宋体" w:hint="default"/>
                            <w:spacing w:val="-2"/>
                            <w:sz w:val="18"/>
                            <w:szCs w:val="18"/>
                          </w:rPr>
                          <w:t>文学、衍生品为一体的泛娱乐生态布局。</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、满足公司日常经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营活动的需要及降低公司的资产负债率，有效降低财务成本</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298"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70"/>
              <w:jc w:val="both"/>
              <w:rPr>
                <w:rFonts w:ascii="宋体" w:hAnsi="宋体" w:cs="宋体" w:eastAsia="宋体" w:hint="default"/>
                <w:sz w:val="18"/>
                <w:szCs w:val="18"/>
              </w:rPr>
            </w:pPr>
            <w:r>
              <w:rPr>
                <w:rFonts w:ascii="宋体" w:hAnsi="宋体" w:cs="宋体" w:eastAsia="宋体" w:hint="default"/>
                <w:sz w:val="18"/>
                <w:szCs w:val="18"/>
              </w:rPr>
              <w:t>态圈完善，对资金的需求较大，同时为维护广大股东权益， 公司拟定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年度不派发现金红利、不送红股、不以公积 金转增股本，未分配利润结转下一年度。</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9"/>
              <w:jc w:val="both"/>
              <w:rPr>
                <w:rFonts w:ascii="宋体" w:hAnsi="宋体" w:cs="宋体" w:eastAsia="宋体" w:hint="default"/>
                <w:sz w:val="18"/>
                <w:szCs w:val="18"/>
              </w:rPr>
            </w:pPr>
            <w:r>
              <w:rPr>
                <w:rFonts w:ascii="宋体" w:hAnsi="宋体" w:cs="宋体" w:eastAsia="宋体" w:hint="default"/>
                <w:sz w:val="18"/>
                <w:szCs w:val="18"/>
              </w:rPr>
              <w:t>提高抗风险能力。今后，公司将一如既往地重视以现金分红 形式对投资者进行回报，严格按照相关法律法规和《公司章 程》等规定，综合考虑与利润分配相关的各种因素，积极履 行公司的利润分配制度，与投资者共享公司发展的成果。</w:t>
            </w:r>
          </w:p>
        </w:tc>
      </w:tr>
    </w:tbl>
    <w:p>
      <w:pPr>
        <w:spacing w:line="240" w:lineRule="auto" w:before="2"/>
        <w:rPr>
          <w:rFonts w:ascii="宋体" w:hAnsi="宋体" w:cs="宋体" w:eastAsia="宋体" w:hint="default"/>
          <w:sz w:val="18"/>
          <w:szCs w:val="18"/>
        </w:rPr>
      </w:pPr>
    </w:p>
    <w:p>
      <w:pPr>
        <w:pStyle w:val="Heading2"/>
        <w:spacing w:line="240" w:lineRule="auto" w:before="26"/>
        <w:ind w:right="1360"/>
        <w:jc w:val="left"/>
        <w:rPr>
          <w:b w:val="0"/>
          <w:bCs w:val="0"/>
        </w:rPr>
      </w:pPr>
      <w:bookmarkStart w:name="二、本报告期利润分配及资本公积金转增股本预案情况" w:id="65"/>
      <w:bookmarkEnd w:id="65"/>
      <w:r>
        <w:rPr>
          <w:b w:val="0"/>
          <w:bCs w:val="0"/>
        </w:rPr>
      </w:r>
      <w:r>
        <w:rPr/>
        <w:t>二、本报告期利润分配及资本公积金转增股本预案情况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55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公司计划年度不派发现金红利，不送红股，不以公积金转增股本。</w:t>
      </w:r>
    </w:p>
    <w:p>
      <w:pPr>
        <w:spacing w:line="240" w:lineRule="auto" w:before="6"/>
        <w:rPr>
          <w:rFonts w:ascii="宋体" w:hAnsi="宋体" w:cs="宋体" w:eastAsia="宋体" w:hint="default"/>
          <w:sz w:val="19"/>
          <w:szCs w:val="19"/>
        </w:rPr>
      </w:pPr>
    </w:p>
    <w:p>
      <w:pPr>
        <w:pStyle w:val="Heading2"/>
        <w:spacing w:line="240" w:lineRule="auto"/>
        <w:ind w:right="1360"/>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59" w:lineRule="auto"/>
        <w:ind w:right="0"/>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262"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17" w:right="21"/>
              <w:jc w:val="left"/>
              <w:rPr>
                <w:rFonts w:ascii="宋体" w:hAnsi="宋体" w:cs="宋体" w:eastAsia="宋体" w:hint="default"/>
                <w:sz w:val="18"/>
                <w:szCs w:val="18"/>
              </w:rPr>
            </w:pPr>
            <w:r>
              <w:rPr>
                <w:rFonts w:ascii="宋体" w:hAnsi="宋体" w:cs="宋体" w:eastAsia="宋体" w:hint="default"/>
                <w:sz w:val="18"/>
                <w:szCs w:val="18"/>
              </w:rPr>
              <w:t>赵小强、石炜 萍</w:t>
            </w:r>
          </w:p>
        </w:tc>
        <w:tc>
          <w:tcPr>
            <w:tcW w:w="1126" w:type="dxa"/>
            <w:vMerge w:val="restart"/>
            <w:tcBorders>
              <w:top w:val="single" w:sz="4" w:space="0" w:color="000000"/>
              <w:left w:val="single" w:sz="4" w:space="0" w:color="000000"/>
              <w:right w:val="single" w:sz="4" w:space="0" w:color="000000"/>
            </w:tcBorders>
          </w:tcPr>
          <w:p>
            <w:pP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上述锁定期 </w:t>
            </w:r>
            <w:r>
              <w:rPr>
                <w:rFonts w:ascii="宋体" w:hAnsi="宋体" w:cs="宋体" w:eastAsia="宋体" w:hint="default"/>
                <w:spacing w:val="-2"/>
                <w:sz w:val="18"/>
                <w:szCs w:val="18"/>
              </w:rPr>
              <w:t>满后，若本人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仍担任公司 董事或监事 或高级管理 </w:t>
            </w:r>
            <w:r>
              <w:rPr>
                <w:rFonts w:ascii="宋体" w:hAnsi="宋体" w:cs="宋体" w:eastAsia="宋体" w:hint="default"/>
                <w:spacing w:val="-2"/>
                <w:sz w:val="18"/>
                <w:szCs w:val="18"/>
              </w:rPr>
              <w:t>人员，在任职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期间本人每 年转让股份 不超过直接 或间接所持 有公司股票 总数的百分 </w:t>
            </w:r>
            <w:r>
              <w:rPr>
                <w:rFonts w:ascii="宋体" w:hAnsi="宋体" w:cs="宋体" w:eastAsia="宋体" w:hint="default"/>
                <w:spacing w:val="-2"/>
                <w:sz w:val="18"/>
                <w:szCs w:val="18"/>
              </w:rPr>
              <w:t>之二十五。本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人离任后六 </w:t>
            </w:r>
            <w:r>
              <w:rPr>
                <w:rFonts w:ascii="宋体" w:hAnsi="宋体" w:cs="宋体" w:eastAsia="宋体" w:hint="default"/>
                <w:spacing w:val="-2"/>
                <w:sz w:val="18"/>
                <w:szCs w:val="18"/>
              </w:rPr>
              <w:t>个月内，不转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让直接或间 接所持有公 司的任何股 </w:t>
            </w:r>
            <w:r>
              <w:rPr>
                <w:rFonts w:ascii="宋体" w:hAnsi="宋体" w:cs="宋体" w:eastAsia="宋体" w:hint="default"/>
                <w:spacing w:val="-2"/>
                <w:sz w:val="18"/>
                <w:szCs w:val="18"/>
              </w:rPr>
              <w:t>份。本人在申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报离任六个 月后的十二 个月内通过</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董监高股份 承诺继续履 行</w:t>
            </w:r>
          </w:p>
        </w:tc>
      </w:tr>
      <w:tr>
        <w:trPr>
          <w:trHeight w:val="391"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262"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285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证券交易所 挂牌交易出 售公司股票 数量占其所 直接或间接 持有公司股 票总数的比 例不得超过 百分之五十。</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美盛文化非 公开发行股 票自</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w:t>
            </w:r>
          </w:p>
          <w:p>
            <w:pPr>
              <w:pStyle w:val="TableParagraph"/>
              <w:spacing w:line="314" w:lineRule="auto"/>
              <w:ind w:left="22" w:right="13"/>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 限售期为自 本次发行新 增股份上市 首日起三十 六个月，可上 市流通时间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83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09"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郭瑞（持股不</w:t>
            </w:r>
            <w:r>
              <w:rPr>
                <w:rFonts w:ascii="宋体" w:hAnsi="宋体" w:cs="宋体" w:eastAsia="宋体" w:hint="default"/>
                <w:sz w:val="18"/>
                <w:szCs w:val="18"/>
              </w:rPr>
              <w:t> 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，公司 董监高）</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美盛文化非 公开发行股 票自</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w:t>
            </w:r>
          </w:p>
          <w:p>
            <w:pPr>
              <w:pStyle w:val="TableParagraph"/>
              <w:spacing w:line="314" w:lineRule="auto"/>
              <w:ind w:left="22" w:right="13"/>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 限售期为自 本次发行新 增股份上市 首日起三十 六个月，可上 市流通时间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17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09"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郭瑞（持股不</w:t>
            </w:r>
            <w:r>
              <w:rPr>
                <w:rFonts w:ascii="宋体" w:hAnsi="宋体" w:cs="宋体" w:eastAsia="宋体" w:hint="default"/>
                <w:sz w:val="18"/>
                <w:szCs w:val="18"/>
              </w:rPr>
              <w:t> 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，公司 董监高）</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上述锁定期 </w:t>
            </w:r>
            <w:r>
              <w:rPr>
                <w:rFonts w:ascii="宋体" w:hAnsi="宋体" w:cs="宋体" w:eastAsia="宋体" w:hint="default"/>
                <w:spacing w:val="-2"/>
                <w:sz w:val="18"/>
                <w:szCs w:val="18"/>
              </w:rPr>
              <w:t>满后，若本人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仍担任公司 董事或监事 或高级管理 </w:t>
            </w:r>
            <w:r>
              <w:rPr>
                <w:rFonts w:ascii="宋体" w:hAnsi="宋体" w:cs="宋体" w:eastAsia="宋体" w:hint="default"/>
                <w:spacing w:val="-2"/>
                <w:sz w:val="18"/>
                <w:szCs w:val="18"/>
              </w:rPr>
              <w:t>人员，在任职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期间本人每 年转让股份 不超过直接 或间接所持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175"/>
              <w:jc w:val="both"/>
              <w:rPr>
                <w:rFonts w:ascii="宋体" w:hAnsi="宋体" w:cs="宋体" w:eastAsia="宋体" w:hint="default"/>
                <w:sz w:val="18"/>
                <w:szCs w:val="18"/>
              </w:rPr>
            </w:pPr>
            <w:r>
              <w:rPr>
                <w:rFonts w:ascii="宋体" w:hAnsi="宋体" w:cs="宋体" w:eastAsia="宋体" w:hint="default"/>
                <w:sz w:val="18"/>
                <w:szCs w:val="18"/>
              </w:rPr>
              <w:t>董监高股份 承诺继续履 行</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660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有公司股票 总数的百分 之二十五。本 人离任后六 个月内，不转 让直接或间 接所持有公 司的任何股 份。本人在申 报离任六个 月后的十二 个月内通过 证券交易所 挂牌交易出 售公司股票 数量占其所 直接或间接 持有公司股 票总数的比 例不得超过 百分之五十。</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3"/>
              <w:jc w:val="both"/>
              <w:rPr>
                <w:rFonts w:ascii="宋体" w:hAnsi="宋体" w:cs="宋体" w:eastAsia="宋体" w:hint="default"/>
                <w:sz w:val="18"/>
                <w:szCs w:val="18"/>
              </w:rPr>
            </w:pPr>
            <w:r>
              <w:rPr>
                <w:rFonts w:ascii="宋体" w:hAnsi="宋体" w:cs="宋体" w:eastAsia="宋体" w:hint="default"/>
                <w:sz w:val="18"/>
                <w:szCs w:val="18"/>
              </w:rPr>
              <w:t>美盛文化非 公开发行股 票自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 </w:t>
            </w:r>
            <w:r>
              <w:rPr>
                <w:rFonts w:ascii="宋体" w:hAnsi="宋体" w:cs="宋体" w:eastAsia="宋体" w:hint="default"/>
                <w:spacing w:val="-2"/>
                <w:sz w:val="18"/>
                <w:szCs w:val="18"/>
              </w:rPr>
              <w:t>市。限售期为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自本次发行 新增股份上 市首日起三 </w:t>
            </w:r>
            <w:r>
              <w:rPr>
                <w:rFonts w:ascii="宋体" w:hAnsi="宋体" w:cs="宋体" w:eastAsia="宋体" w:hint="default"/>
                <w:spacing w:val="-2"/>
                <w:sz w:val="18"/>
                <w:szCs w:val="18"/>
              </w:rPr>
              <w:t>十六个月，可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上市流通时 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48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6" w:lineRule="auto"/>
              <w:ind w:left="23" w:right="190"/>
              <w:jc w:val="left"/>
              <w:rPr>
                <w:rFonts w:ascii="宋体" w:hAnsi="宋体" w:cs="宋体" w:eastAsia="宋体" w:hint="default"/>
                <w:sz w:val="18"/>
                <w:szCs w:val="18"/>
              </w:rPr>
            </w:pPr>
            <w:r>
              <w:rPr>
                <w:rFonts w:ascii="宋体" w:hAnsi="宋体" w:cs="宋体" w:eastAsia="宋体" w:hint="default"/>
                <w:sz w:val="18"/>
                <w:szCs w:val="18"/>
              </w:rPr>
              <w:t>新余天游投 资管理中心</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（普通合伙）</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3"/>
              <w:jc w:val="both"/>
              <w:rPr>
                <w:rFonts w:ascii="宋体" w:hAnsi="宋体" w:cs="宋体" w:eastAsia="宋体" w:hint="default"/>
                <w:sz w:val="18"/>
                <w:szCs w:val="18"/>
              </w:rPr>
            </w:pPr>
            <w:r>
              <w:rPr>
                <w:rFonts w:ascii="宋体" w:hAnsi="宋体" w:cs="宋体" w:eastAsia="宋体" w:hint="default"/>
                <w:sz w:val="18"/>
                <w:szCs w:val="18"/>
              </w:rPr>
              <w:t>美盛文化非 公开发行股 票自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 </w:t>
            </w:r>
            <w:r>
              <w:rPr>
                <w:rFonts w:ascii="宋体" w:hAnsi="宋体" w:cs="宋体" w:eastAsia="宋体" w:hint="default"/>
                <w:spacing w:val="-2"/>
                <w:sz w:val="18"/>
                <w:szCs w:val="18"/>
              </w:rPr>
              <w:t>市。限售期为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自本次发行 新增股份上 市首日起三 </w:t>
            </w:r>
            <w:r>
              <w:rPr>
                <w:rFonts w:ascii="宋体" w:hAnsi="宋体" w:cs="宋体" w:eastAsia="宋体" w:hint="default"/>
                <w:spacing w:val="-2"/>
                <w:sz w:val="18"/>
                <w:szCs w:val="18"/>
              </w:rPr>
              <w:t>十六个月，可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上市流通时 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6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3" w:right="190"/>
              <w:jc w:val="left"/>
              <w:rPr>
                <w:rFonts w:ascii="宋体" w:hAnsi="宋体" w:cs="宋体" w:eastAsia="宋体" w:hint="default"/>
                <w:sz w:val="18"/>
                <w:szCs w:val="18"/>
              </w:rPr>
            </w:pPr>
            <w:r>
              <w:rPr>
                <w:rFonts w:ascii="宋体" w:hAnsi="宋体" w:cs="宋体" w:eastAsia="宋体" w:hint="default"/>
                <w:sz w:val="18"/>
                <w:szCs w:val="18"/>
              </w:rPr>
              <w:t>新余乐活投 资管理中心</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（普通合伙）</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3"/>
              <w:jc w:val="both"/>
              <w:rPr>
                <w:rFonts w:ascii="宋体" w:hAnsi="宋体" w:cs="宋体" w:eastAsia="宋体" w:hint="default"/>
                <w:sz w:val="18"/>
                <w:szCs w:val="18"/>
              </w:rPr>
            </w:pPr>
            <w:r>
              <w:rPr>
                <w:rFonts w:ascii="宋体" w:hAnsi="宋体" w:cs="宋体" w:eastAsia="宋体" w:hint="default"/>
                <w:sz w:val="18"/>
                <w:szCs w:val="18"/>
              </w:rPr>
              <w:t>美盛文化非 公开发行股 票自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 </w:t>
            </w:r>
            <w:r>
              <w:rPr>
                <w:rFonts w:ascii="宋体" w:hAnsi="宋体" w:cs="宋体" w:eastAsia="宋体" w:hint="default"/>
                <w:spacing w:val="-2"/>
                <w:sz w:val="18"/>
                <w:szCs w:val="18"/>
              </w:rPr>
              <w:t>市。限售期为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自本次发行 新增股份上 市首日起三 </w:t>
            </w:r>
            <w:r>
              <w:rPr>
                <w:rFonts w:ascii="宋体" w:hAnsi="宋体" w:cs="宋体" w:eastAsia="宋体" w:hint="default"/>
                <w:spacing w:val="-2"/>
                <w:sz w:val="18"/>
                <w:szCs w:val="18"/>
              </w:rPr>
              <w:t>十六个月，可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上市流通时 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right="0"/>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1360"/>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3"/>
        <w:rPr>
          <w:rFonts w:ascii="宋体" w:hAnsi="宋体" w:cs="宋体" w:eastAsia="宋体" w:hint="default"/>
          <w:b/>
          <w:bCs/>
          <w:sz w:val="23"/>
          <w:szCs w:val="23"/>
        </w:rPr>
      </w:pPr>
    </w:p>
    <w:p>
      <w:pPr>
        <w:spacing w:before="44"/>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2"/>
        <w:gridCol w:w="955"/>
        <w:gridCol w:w="956"/>
        <w:gridCol w:w="958"/>
        <w:gridCol w:w="959"/>
        <w:gridCol w:w="958"/>
        <w:gridCol w:w="958"/>
        <w:gridCol w:w="959"/>
        <w:gridCol w:w="958"/>
        <w:gridCol w:w="959"/>
      </w:tblGrid>
      <w:tr>
        <w:trPr>
          <w:trHeight w:val="714" w:hRule="exact"/>
        </w:trPr>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 w:right="111"/>
              <w:jc w:val="left"/>
              <w:rPr>
                <w:rFonts w:ascii="宋体" w:hAnsi="宋体" w:cs="宋体" w:eastAsia="宋体" w:hint="default"/>
                <w:sz w:val="18"/>
                <w:szCs w:val="18"/>
              </w:rPr>
            </w:pPr>
            <w:r>
              <w:rPr>
                <w:rFonts w:ascii="宋体" w:hAnsi="宋体" w:cs="宋体" w:eastAsia="宋体" w:hint="default"/>
                <w:sz w:val="18"/>
                <w:szCs w:val="18"/>
              </w:rPr>
              <w:t>股东或关 联人名称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4" w:right="23" w:hanging="90"/>
              <w:jc w:val="left"/>
              <w:rPr>
                <w:rFonts w:ascii="宋体" w:hAnsi="宋体" w:cs="宋体" w:eastAsia="宋体" w:hint="default"/>
                <w:sz w:val="18"/>
                <w:szCs w:val="18"/>
              </w:rPr>
            </w:pPr>
            <w:r>
              <w:rPr>
                <w:rFonts w:ascii="宋体" w:hAnsi="宋体" w:cs="宋体" w:eastAsia="宋体" w:hint="default"/>
                <w:sz w:val="18"/>
                <w:szCs w:val="18"/>
              </w:rPr>
              <w:t>报告期新增 占用金额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报告期偿还 总金额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84" w:right="23" w:hanging="361"/>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83" w:right="23" w:hanging="360"/>
              <w:jc w:val="left"/>
              <w:rPr>
                <w:rFonts w:ascii="宋体" w:hAnsi="宋体" w:cs="宋体" w:eastAsia="宋体" w:hint="default"/>
                <w:sz w:val="18"/>
                <w:szCs w:val="18"/>
              </w:rPr>
            </w:pPr>
            <w:r>
              <w:rPr>
                <w:rFonts w:ascii="宋体" w:hAnsi="宋体" w:cs="宋体" w:eastAsia="宋体" w:hint="default"/>
                <w:sz w:val="18"/>
                <w:szCs w:val="18"/>
              </w:rPr>
              <w:t>预计偿还金 额</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4419"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美盛控股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 公司控股股 东美盛控股 集团有限公 司（以下简 称美盛控 股）通过由 公司间接划 转款项方式 违规占用资 金，余额为</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1,245,189,4</w:t>
            </w:r>
          </w:p>
          <w:p>
            <w:pPr>
              <w:pStyle w:val="TableParagraph"/>
              <w:spacing w:line="300" w:lineRule="auto" w:before="65"/>
              <w:ind w:left="22"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27.78</w:t>
            </w:r>
            <w:r>
              <w:rPr>
                <w:rFonts w:ascii="Times New Roman" w:hAnsi="Times New Roman" w:cs="Times New Roman" w:eastAsia="Times New Roman" w:hint="default"/>
                <w:spacing w:val="-1"/>
                <w:sz w:val="18"/>
                <w:szCs w:val="18"/>
              </w:rPr>
              <w:t> </w:t>
            </w:r>
            <w:r>
              <w:rPr>
                <w:rFonts w:ascii="宋体" w:hAnsi="宋体" w:cs="宋体" w:eastAsia="宋体" w:hint="default"/>
                <w:spacing w:val="-30"/>
                <w:sz w:val="18"/>
                <w:szCs w:val="18"/>
              </w:rPr>
              <w:t>元。截</w:t>
            </w:r>
            <w:r>
              <w:rPr>
                <w:rFonts w:ascii="宋体" w:hAnsi="宋体" w:cs="宋体" w:eastAsia="宋体" w:hint="default"/>
                <w:sz w:val="18"/>
                <w:szCs w:val="18"/>
              </w:rPr>
              <w:t> 至</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148,418.94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23,900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124,518.94</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现金清偿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124,518.94</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52"/>
        <w:gridCol w:w="955"/>
        <w:gridCol w:w="956"/>
        <w:gridCol w:w="958"/>
        <w:gridCol w:w="959"/>
        <w:gridCol w:w="958"/>
        <w:gridCol w:w="958"/>
        <w:gridCol w:w="959"/>
        <w:gridCol w:w="958"/>
        <w:gridCol w:w="959"/>
      </w:tblGrid>
      <w:tr>
        <w:trPr>
          <w:trHeight w:val="1611" w:hRule="exact"/>
        </w:trPr>
        <w:tc>
          <w:tcPr>
            <w:tcW w:w="952"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pacing w:val="-30"/>
                <w:sz w:val="18"/>
                <w:szCs w:val="18"/>
              </w:rPr>
              <w:t>日，公</w:t>
            </w:r>
            <w:r>
              <w:rPr>
                <w:rFonts w:ascii="宋体" w:hAnsi="宋体" w:cs="宋体" w:eastAsia="宋体" w:hint="default"/>
                <w:sz w:val="18"/>
                <w:szCs w:val="18"/>
              </w:rPr>
              <w:t> 司已收到美 盛控股归还 的上述款 项。</w:t>
            </w: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r>
      <w:tr>
        <w:trPr>
          <w:trHeight w:val="12219"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美盛控股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316" w:lineRule="auto" w:before="61"/>
              <w:ind w:left="22" w:right="21"/>
              <w:jc w:val="both"/>
              <w:rPr>
                <w:rFonts w:ascii="宋体" w:hAnsi="宋体" w:cs="宋体" w:eastAsia="宋体" w:hint="default"/>
                <w:sz w:val="18"/>
                <w:szCs w:val="18"/>
              </w:rPr>
            </w:pPr>
            <w:r>
              <w:rPr>
                <w:rFonts w:ascii="宋体" w:hAnsi="宋体" w:cs="宋体" w:eastAsia="宋体" w:hint="default"/>
                <w:sz w:val="18"/>
                <w:szCs w:val="18"/>
              </w:rPr>
              <w:t>月，公司与 美盛控股签 订股权转让 协议，约定 公司以</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356,584,673</w:t>
            </w:r>
          </w:p>
          <w:p>
            <w:pPr>
              <w:pStyle w:val="TableParagraph"/>
              <w:spacing w:line="314" w:lineRule="auto" w:before="65"/>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元的价 格向美盛控 股购买其持 有的杭州捷 木股权投资 管理有限公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 称捷木投 资</w:t>
            </w:r>
            <w:r>
              <w:rPr>
                <w:rFonts w:ascii="Times New Roman" w:hAnsi="Times New Roman" w:cs="Times New Roman" w:eastAsia="Times New Roman" w:hint="default"/>
                <w:sz w:val="18"/>
                <w:szCs w:val="18"/>
              </w:rPr>
              <w:t>)50%</w:t>
            </w:r>
            <w:r>
              <w:rPr>
                <w:rFonts w:ascii="宋体" w:hAnsi="宋体" w:cs="宋体" w:eastAsia="宋体" w:hint="default"/>
                <w:sz w:val="18"/>
                <w:szCs w:val="18"/>
              </w:rPr>
              <w:t>的 股权和其对 捷木投资的 债权。该事 项经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年度股东大 会审议通过 后，公司已 支付投资款</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350,000,000</w:t>
            </w:r>
          </w:p>
          <w:p>
            <w:pPr>
              <w:pStyle w:val="TableParagraph"/>
              <w:spacing w:line="309" w:lineRule="auto" w:before="65"/>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.00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并 另向捷木投 资其他款项</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sz w:val="18"/>
              </w:rPr>
              <w:t>16,769,389.</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元。</w:t>
            </w:r>
            <w:r>
              <w:rPr>
                <w:rFonts w:ascii="Times New Roman" w:hAnsi="Times New Roman" w:cs="Times New Roman" w:eastAsia="Times New Roman" w:hint="default"/>
                <w:spacing w:val="-8"/>
                <w:sz w:val="18"/>
                <w:szCs w:val="18"/>
              </w:rPr>
              <w:t>2018</w:t>
            </w:r>
          </w:p>
          <w:p>
            <w:pPr>
              <w:pStyle w:val="TableParagraph"/>
              <w:spacing w:line="316"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日，公司与 美盛控股及 其实际控制 人赵小强签 订补充协 议，约定终 止收购捷木 投资的交</w:t>
            </w: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26,676.94</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26,676.94</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现金清偿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26,676.94</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52"/>
        <w:gridCol w:w="955"/>
        <w:gridCol w:w="956"/>
        <w:gridCol w:w="958"/>
        <w:gridCol w:w="959"/>
        <w:gridCol w:w="958"/>
        <w:gridCol w:w="958"/>
        <w:gridCol w:w="959"/>
        <w:gridCol w:w="958"/>
        <w:gridCol w:w="959"/>
      </w:tblGrid>
      <w:tr>
        <w:trPr>
          <w:trHeight w:val="5979" w:hRule="exact"/>
        </w:trPr>
        <w:tc>
          <w:tcPr>
            <w:tcW w:w="952"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宋体" w:hAnsi="宋体" w:cs="宋体" w:eastAsia="宋体" w:hint="default"/>
                <w:sz w:val="18"/>
                <w:szCs w:val="18"/>
              </w:rPr>
              <w:t>易。截至</w:t>
            </w:r>
          </w:p>
          <w:p>
            <w:pPr>
              <w:pStyle w:val="TableParagraph"/>
              <w:spacing w:line="240" w:lineRule="auto" w:before="76"/>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312" w:lineRule="auto" w:before="63"/>
              <w:ind w:left="22" w:right="21"/>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0"/>
                <w:sz w:val="18"/>
                <w:szCs w:val="18"/>
              </w:rPr>
              <w:t>日，美</w:t>
            </w:r>
            <w:r>
              <w:rPr>
                <w:rFonts w:ascii="宋体" w:hAnsi="宋体" w:cs="宋体" w:eastAsia="宋体" w:hint="default"/>
                <w:sz w:val="18"/>
                <w:szCs w:val="18"/>
              </w:rPr>
              <w:t> 盛控股共归 还交易金额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亿元。剩 余未归还款 项</w:t>
            </w:r>
          </w:p>
          <w:p>
            <w:pPr>
              <w:pStyle w:val="TableParagraph"/>
              <w:spacing w:line="240" w:lineRule="auto" w:before="62"/>
              <w:ind w:left="22" w:right="0"/>
              <w:jc w:val="both"/>
              <w:rPr>
                <w:rFonts w:ascii="Times New Roman" w:hAnsi="Times New Roman" w:cs="Times New Roman" w:eastAsia="Times New Roman" w:hint="default"/>
                <w:sz w:val="18"/>
                <w:szCs w:val="18"/>
              </w:rPr>
            </w:pPr>
            <w:r>
              <w:rPr>
                <w:rFonts w:ascii="Times New Roman"/>
                <w:sz w:val="18"/>
              </w:rPr>
              <w:t>266,769,389</w:t>
            </w:r>
          </w:p>
          <w:p>
            <w:pPr>
              <w:pStyle w:val="TableParagraph"/>
              <w:spacing w:line="314" w:lineRule="auto" w:before="65"/>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元形成 美盛控股对 公司的非经 营性资金占 用。截至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312" w:lineRule="auto" w:before="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日，公司</w:t>
            </w:r>
            <w:r>
              <w:rPr>
                <w:rFonts w:ascii="宋体" w:hAnsi="宋体" w:cs="宋体" w:eastAsia="宋体" w:hint="default"/>
                <w:sz w:val="18"/>
                <w:szCs w:val="18"/>
              </w:rPr>
              <w:t> 已收到美盛 控股归还的 上述款项。</w:t>
            </w: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175,095.88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23,900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151,195.88</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151,195.88</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期末合计值占最近一期经审计净资 产的比例</w:t>
            </w:r>
          </w:p>
        </w:tc>
        <w:tc>
          <w:tcPr>
            <w:tcW w:w="67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42.90%</w:t>
            </w:r>
          </w:p>
        </w:tc>
      </w:tr>
      <w:tr>
        <w:trPr>
          <w:trHeight w:val="402"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相关决策程序</w:t>
            </w:r>
          </w:p>
        </w:tc>
        <w:tc>
          <w:tcPr>
            <w:tcW w:w="67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未经相关决策程序</w:t>
            </w:r>
          </w:p>
        </w:tc>
      </w:tr>
      <w:tr>
        <w:trPr>
          <w:trHeight w:val="1338"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当期新增大股东及其附属企业非经 </w:t>
            </w:r>
            <w:r>
              <w:rPr>
                <w:rFonts w:ascii="宋体" w:hAnsi="宋体" w:cs="宋体" w:eastAsia="宋体" w:hint="default"/>
                <w:spacing w:val="-5"/>
                <w:sz w:val="18"/>
                <w:szCs w:val="18"/>
              </w:rPr>
              <w:t>营性资金占用情况的原因、责任人追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究及董事会拟定采取措施的情况说 明</w:t>
            </w:r>
          </w:p>
        </w:tc>
        <w:tc>
          <w:tcPr>
            <w:tcW w:w="67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美盛控股已于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日完成还款。</w:t>
            </w:r>
          </w:p>
        </w:tc>
      </w:tr>
      <w:tr>
        <w:trPr>
          <w:trHeight w:val="1026"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未能按计划清偿非经营性资金占用 </w:t>
            </w:r>
            <w:r>
              <w:rPr>
                <w:rFonts w:ascii="宋体" w:hAnsi="宋体" w:cs="宋体" w:eastAsia="宋体" w:hint="default"/>
                <w:spacing w:val="-5"/>
                <w:sz w:val="18"/>
                <w:szCs w:val="18"/>
              </w:rPr>
              <w:t>的原因、责任追究情况及董事会拟定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采取的措施说明</w:t>
            </w:r>
          </w:p>
        </w:tc>
        <w:tc>
          <w:tcPr>
            <w:tcW w:w="67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已偿还。</w:t>
            </w:r>
          </w:p>
        </w:tc>
      </w:tr>
      <w:tr>
        <w:trPr>
          <w:trHeight w:val="714"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意见的披露日期</w:t>
            </w:r>
          </w:p>
        </w:tc>
        <w:tc>
          <w:tcPr>
            <w:tcW w:w="67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8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意见的披露索引</w:t>
            </w:r>
          </w:p>
        </w:tc>
        <w:tc>
          <w:tcPr>
            <w:tcW w:w="6708"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4"/>
                <w:sz w:val="18"/>
                <w:szCs w:val="18"/>
              </w:rPr>
              <w:t>详见公司披露于《证券时报》、《中国证券报》、《上海证券报》、《证券日报》及巨潮资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）的相关公告（公告编号）</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0" w:lineRule="auto" w:before="101"/>
        <w:ind w:left="451" w:right="1132" w:firstLine="480"/>
        <w:jc w:val="both"/>
        <w:rPr>
          <w:rFonts w:ascii="宋体" w:hAnsi="宋体" w:cs="宋体" w:eastAsia="宋体" w:hint="default"/>
          <w:sz w:val="18"/>
          <w:szCs w:val="18"/>
        </w:rPr>
      </w:pPr>
      <w:r>
        <w:rPr>
          <w:rFonts w:ascii="宋体" w:hAnsi="宋体" w:cs="宋体" w:eastAsia="宋体" w:hint="default"/>
          <w:sz w:val="18"/>
          <w:szCs w:val="18"/>
        </w:rPr>
        <w:t>天健会计师事务所（特殊普通合伙）（以下简称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年审会计师</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Times New Roman" w:hAnsi="Times New Roman" w:cs="Times New Roman" w:eastAsia="Times New Roman" w:hint="default"/>
          <w:sz w:val="18"/>
          <w:szCs w:val="18"/>
        </w:rPr>
        <w:t>“</w:t>
      </w:r>
      <w:r>
        <w:rPr>
          <w:rFonts w:ascii="宋体" w:hAnsi="宋体" w:cs="宋体" w:eastAsia="宋体" w:hint="default"/>
          <w:sz w:val="18"/>
          <w:szCs w:val="18"/>
        </w:rPr>
        <w:t>天健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宋体" w:hAnsi="宋体" w:cs="宋体" w:eastAsia="宋体" w:hint="default"/>
          <w:spacing w:val="-14"/>
          <w:sz w:val="18"/>
          <w:szCs w:val="18"/>
        </w:rPr>
        <w:t> </w:t>
      </w:r>
      <w:r>
        <w:rPr>
          <w:rFonts w:ascii="宋体" w:hAnsi="宋体" w:cs="宋体" w:eastAsia="宋体" w:hint="default"/>
          <w:sz w:val="18"/>
          <w:szCs w:val="18"/>
        </w:rPr>
        <w:t>对美盛文化创意股份有限公司（以下简</w:t>
      </w:r>
      <w:r>
        <w:rPr>
          <w:rFonts w:ascii="宋体" w:hAnsi="宋体" w:cs="宋体" w:eastAsia="宋体" w:hint="default"/>
          <w:sz w:val="18"/>
          <w:szCs w:val="18"/>
        </w:rPr>
        <w:t> </w:t>
      </w:r>
      <w:r>
        <w:rPr>
          <w:rFonts w:ascii="宋体" w:hAnsi="宋体" w:cs="宋体" w:eastAsia="宋体" w:hint="default"/>
          <w:spacing w:val="-2"/>
          <w:sz w:val="18"/>
          <w:szCs w:val="18"/>
        </w:rPr>
        <w:t>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或</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美盛文化</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年度财务报告进行了审计，并于</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29</w:t>
      </w:r>
      <w:r>
        <w:rPr>
          <w:rFonts w:ascii="宋体" w:hAnsi="宋体" w:cs="宋体" w:eastAsia="宋体" w:hint="default"/>
          <w:spacing w:val="-2"/>
          <w:sz w:val="18"/>
          <w:szCs w:val="18"/>
        </w:rPr>
        <w:t>日出具了保留意见的审计报告。根据《公开发</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1"/>
          <w:sz w:val="18"/>
          <w:szCs w:val="18"/>
        </w:rPr>
        <w:t>行证券的公司信息披露编报</w:t>
      </w:r>
      <w:r>
        <w:rPr>
          <w:rFonts w:ascii="Times New Roman" w:hAnsi="Times New Roman" w:cs="Times New Roman" w:eastAsia="Times New Roman" w:hint="default"/>
          <w:spacing w:val="-1"/>
          <w:sz w:val="18"/>
          <w:szCs w:val="18"/>
        </w:rPr>
        <w:t>14</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非标准审计意见及其涉及事项的处理》、《深圳证券交易所股票上市规则》等有关规</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定的要求，公司董事会对该审计意见涉及事项说明如下：</w:t>
      </w:r>
    </w:p>
    <w:p>
      <w:pPr>
        <w:spacing w:after="0" w:line="30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931" w:right="1360" w:firstLine="0"/>
        <w:jc w:val="left"/>
        <w:rPr>
          <w:rFonts w:ascii="宋体" w:hAnsi="宋体" w:cs="宋体" w:eastAsia="宋体" w:hint="default"/>
          <w:sz w:val="18"/>
          <w:szCs w:val="18"/>
        </w:rPr>
      </w:pPr>
      <w:r>
        <w:rPr>
          <w:rFonts w:ascii="宋体" w:hAnsi="宋体" w:cs="宋体" w:eastAsia="宋体" w:hint="default"/>
          <w:sz w:val="18"/>
          <w:szCs w:val="18"/>
        </w:rPr>
        <w:t>一、关于保留意见及强调事项的详细情况说明</w:t>
      </w:r>
    </w:p>
    <w:p>
      <w:pPr>
        <w:spacing w:line="304" w:lineRule="auto" w:before="76"/>
        <w:ind w:left="451" w:right="1130" w:firstLine="48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、如财务报表附注五（一）</w:t>
      </w:r>
      <w:r>
        <w:rPr>
          <w:rFonts w:ascii="Times New Roman" w:hAnsi="Times New Roman" w:cs="Times New Roman" w:eastAsia="Times New Roman" w:hint="default"/>
          <w:spacing w:val="-1"/>
          <w:sz w:val="18"/>
          <w:szCs w:val="18"/>
        </w:rPr>
        <w:t>18</w:t>
      </w:r>
      <w:r>
        <w:rPr>
          <w:rFonts w:ascii="宋体" w:hAnsi="宋体" w:cs="宋体" w:eastAsia="宋体" w:hint="default"/>
          <w:spacing w:val="-1"/>
          <w:sz w:val="18"/>
          <w:szCs w:val="18"/>
        </w:rPr>
        <w:t>其他非流动资产所述，</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月，美盛文化公司与控股股东美盛控股集团有限公</w:t>
      </w:r>
      <w:r>
        <w:rPr>
          <w:rFonts w:ascii="宋体" w:hAnsi="宋体" w:cs="宋体" w:eastAsia="宋体" w:hint="default"/>
          <w:sz w:val="18"/>
          <w:szCs w:val="18"/>
        </w:rPr>
        <w:t> </w:t>
      </w:r>
      <w:r>
        <w:rPr>
          <w:rFonts w:ascii="宋体" w:hAnsi="宋体" w:cs="宋体" w:eastAsia="宋体" w:hint="default"/>
          <w:spacing w:val="-1"/>
          <w:sz w:val="18"/>
          <w:szCs w:val="18"/>
        </w:rPr>
        <w:t>司（以下简称美盛控股）签订深圳市同道大叔文化传播有限公司（以下简称同道大叔公司）股权转让协议，约定美盛文</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2"/>
          <w:sz w:val="18"/>
          <w:szCs w:val="18"/>
        </w:rPr>
        <w:t>化公司以</w:t>
      </w:r>
      <w:r>
        <w:rPr>
          <w:rFonts w:ascii="Times New Roman" w:hAnsi="Times New Roman" w:cs="Times New Roman" w:eastAsia="Times New Roman" w:hint="default"/>
          <w:spacing w:val="-2"/>
          <w:sz w:val="18"/>
          <w:szCs w:val="18"/>
        </w:rPr>
        <w:t>217,500,000.00</w:t>
      </w:r>
      <w:r>
        <w:rPr>
          <w:rFonts w:ascii="宋体" w:hAnsi="宋体" w:cs="宋体" w:eastAsia="宋体" w:hint="default"/>
          <w:spacing w:val="-2"/>
          <w:sz w:val="18"/>
          <w:szCs w:val="18"/>
        </w:rPr>
        <w:t>元的价格向美盛控股购买其持有的同道大叔公司</w:t>
      </w:r>
      <w:r>
        <w:rPr>
          <w:rFonts w:ascii="Times New Roman" w:hAnsi="Times New Roman" w:cs="Times New Roman" w:eastAsia="Times New Roman" w:hint="default"/>
          <w:spacing w:val="-2"/>
          <w:sz w:val="18"/>
          <w:szCs w:val="18"/>
        </w:rPr>
        <w:t>72.50%</w:t>
      </w:r>
      <w:r>
        <w:rPr>
          <w:rFonts w:ascii="宋体" w:hAnsi="宋体" w:cs="宋体" w:eastAsia="宋体" w:hint="default"/>
          <w:spacing w:val="-2"/>
          <w:sz w:val="18"/>
          <w:szCs w:val="18"/>
        </w:rPr>
        <w:t>的股权，款项应于协议签订后</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个工作日</w:t>
      </w:r>
      <w:r>
        <w:rPr>
          <w:rFonts w:ascii="宋体" w:hAnsi="宋体" w:cs="宋体" w:eastAsia="宋体" w:hint="default"/>
          <w:spacing w:val="-47"/>
          <w:sz w:val="18"/>
          <w:szCs w:val="18"/>
        </w:rPr>
        <w:t> </w:t>
      </w:r>
      <w:r>
        <w:rPr>
          <w:rFonts w:ascii="宋体" w:hAnsi="宋体" w:cs="宋体" w:eastAsia="宋体" w:hint="default"/>
          <w:spacing w:val="-1"/>
          <w:sz w:val="18"/>
          <w:szCs w:val="18"/>
        </w:rPr>
        <w:t>内支付全部款项。美盛文化公司于</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年已支付全部交易对价，同道大叔公司于</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月完成本次股权交易的工商变</w:t>
      </w:r>
      <w:r>
        <w:rPr>
          <w:rFonts w:ascii="宋体" w:hAnsi="宋体" w:cs="宋体" w:eastAsia="宋体" w:hint="default"/>
          <w:spacing w:val="-53"/>
          <w:sz w:val="18"/>
          <w:szCs w:val="18"/>
        </w:rPr>
        <w:t> </w:t>
      </w:r>
      <w:r>
        <w:rPr>
          <w:rFonts w:ascii="宋体" w:hAnsi="宋体" w:cs="宋体" w:eastAsia="宋体" w:hint="default"/>
          <w:sz w:val="18"/>
          <w:szCs w:val="18"/>
        </w:rPr>
        <w:t>更登记手续。</w:t>
      </w:r>
    </w:p>
    <w:p>
      <w:pPr>
        <w:spacing w:line="316" w:lineRule="auto" w:before="28"/>
        <w:ind w:left="451" w:right="1041" w:firstLine="480"/>
        <w:jc w:val="both"/>
        <w:rPr>
          <w:rFonts w:ascii="宋体" w:hAnsi="宋体" w:cs="宋体" w:eastAsia="宋体" w:hint="default"/>
          <w:sz w:val="18"/>
          <w:szCs w:val="18"/>
        </w:rPr>
      </w:pPr>
      <w:r>
        <w:rPr>
          <w:rFonts w:ascii="宋体" w:hAnsi="宋体" w:cs="宋体" w:eastAsia="宋体" w:hint="default"/>
          <w:spacing w:val="-2"/>
          <w:sz w:val="18"/>
          <w:szCs w:val="18"/>
        </w:rPr>
        <w:t>上述交易属于关联交易，根据《深圳证券交易所股票上市规则》，本次交易需经董事会、股东大会审批方可实施。</w:t>
      </w:r>
      <w:r>
        <w:rPr>
          <w:rFonts w:ascii="宋体" w:hAnsi="宋体" w:cs="宋体" w:eastAsia="宋体" w:hint="default"/>
          <w:sz w:val="18"/>
          <w:szCs w:val="18"/>
        </w:rPr>
        <w:t> 截至本报告日，美盛文化公司仍未就上述事项执行相关决策审议程序。</w:t>
      </w:r>
    </w:p>
    <w:p>
      <w:pPr>
        <w:spacing w:line="316" w:lineRule="auto" w:before="19"/>
        <w:ind w:left="451" w:right="1112" w:firstLine="480"/>
        <w:jc w:val="both"/>
        <w:rPr>
          <w:rFonts w:ascii="宋体" w:hAnsi="宋体" w:cs="宋体" w:eastAsia="宋体" w:hint="default"/>
          <w:sz w:val="18"/>
          <w:szCs w:val="18"/>
        </w:rPr>
      </w:pPr>
      <w:r>
        <w:rPr>
          <w:rFonts w:ascii="宋体" w:hAnsi="宋体" w:cs="宋体" w:eastAsia="宋体" w:hint="default"/>
          <w:sz w:val="18"/>
          <w:szCs w:val="18"/>
        </w:rPr>
        <w:t>天健无法就上述交易是否可以完成获取充分适当的审计证据，不能判断将已支付股权转让款列示于其他非流动资 产是否恰当，若该交易不能完成，已支付的款项应予收回，天健也无法就该款项的可收回性获取充分适当的审计证据， 从而无法确定是否需计提相应的减值准备。</w:t>
      </w:r>
    </w:p>
    <w:p>
      <w:pPr>
        <w:spacing w:line="300" w:lineRule="auto" w:before="19"/>
        <w:ind w:left="451" w:right="1133" w:firstLine="48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、天健提醒财务报表使用者关注，如财务报表附注五</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其他应收款所述，截至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日，应收美盛控 股资金余额</w:t>
      </w:r>
      <w:r>
        <w:rPr>
          <w:rFonts w:ascii="Times New Roman" w:hAnsi="Times New Roman" w:cs="Times New Roman" w:eastAsia="Times New Roman" w:hint="default"/>
          <w:sz w:val="18"/>
          <w:szCs w:val="18"/>
        </w:rPr>
        <w:t>1,511,958,817.28</w:t>
      </w:r>
      <w:r>
        <w:rPr>
          <w:rFonts w:ascii="宋体" w:hAnsi="宋体" w:cs="宋体" w:eastAsia="宋体" w:hint="default"/>
          <w:sz w:val="18"/>
          <w:szCs w:val="18"/>
        </w:rPr>
        <w:t>元，形成原因如下：</w:t>
      </w:r>
    </w:p>
    <w:p>
      <w:pPr>
        <w:spacing w:before="13"/>
        <w:ind w:left="93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pacing w:val="9"/>
          <w:sz w:val="18"/>
          <w:szCs w:val="18"/>
        </w:rPr>
        <w:t>一</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5"/>
          <w:sz w:val="18"/>
          <w:szCs w:val="18"/>
        </w:rPr>
        <w:t> </w:t>
      </w:r>
      <w:r>
        <w:rPr>
          <w:rFonts w:ascii="宋体" w:hAnsi="宋体" w:cs="宋体" w:eastAsia="宋体" w:hint="default"/>
          <w:spacing w:val="18"/>
          <w:sz w:val="18"/>
          <w:szCs w:val="18"/>
        </w:rPr>
        <w:t>年美盛控股通过由美盛文化公司划转款项至其他单位的方式形成违</w:t>
      </w:r>
      <w:r>
        <w:rPr>
          <w:rFonts w:ascii="宋体" w:hAnsi="宋体" w:cs="宋体" w:eastAsia="宋体" w:hint="default"/>
          <w:spacing w:val="-66"/>
          <w:sz w:val="18"/>
          <w:szCs w:val="18"/>
        </w:rPr>
        <w:t> </w:t>
      </w:r>
      <w:r>
        <w:rPr>
          <w:rFonts w:ascii="宋体" w:hAnsi="宋体" w:cs="宋体" w:eastAsia="宋体" w:hint="default"/>
          <w:spacing w:val="16"/>
          <w:sz w:val="18"/>
          <w:szCs w:val="18"/>
        </w:rPr>
        <w:t>规资金占用，</w:t>
      </w:r>
      <w:r>
        <w:rPr>
          <w:rFonts w:ascii="宋体" w:hAnsi="宋体" w:cs="宋体" w:eastAsia="宋体" w:hint="default"/>
          <w:spacing w:val="-70"/>
          <w:sz w:val="18"/>
          <w:szCs w:val="18"/>
        </w:rPr>
        <w:t> </w:t>
      </w:r>
      <w:r>
        <w:rPr>
          <w:rFonts w:ascii="宋体" w:hAnsi="宋体" w:cs="宋体" w:eastAsia="宋体" w:hint="default"/>
          <w:spacing w:val="15"/>
          <w:sz w:val="18"/>
          <w:szCs w:val="18"/>
        </w:rPr>
        <w:t>期末余额为</w:t>
      </w:r>
    </w:p>
    <w:p>
      <w:pPr>
        <w:spacing w:before="63"/>
        <w:ind w:left="451"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1,245,189,427.78</w:t>
      </w:r>
      <w:r>
        <w:rPr>
          <w:rFonts w:ascii="宋体" w:hAnsi="宋体" w:cs="宋体" w:eastAsia="宋体" w:hint="default"/>
          <w:sz w:val="18"/>
          <w:szCs w:val="18"/>
        </w:rPr>
        <w:t>元。截至本报告日，美盛文化公司已收到美盛控股归还的上述款项。</w:t>
      </w:r>
    </w:p>
    <w:p>
      <w:pPr>
        <w:spacing w:line="300" w:lineRule="auto" w:before="63"/>
        <w:ind w:left="451" w:right="1121" w:firstLine="48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月，美盛文化公司与美盛控股签订股权转让协议，约定美盛文化公司以</w:t>
      </w:r>
      <w:r>
        <w:rPr>
          <w:rFonts w:ascii="Times New Roman" w:hAnsi="Times New Roman" w:cs="Times New Roman" w:eastAsia="Times New Roman" w:hint="default"/>
          <w:sz w:val="18"/>
          <w:szCs w:val="18"/>
        </w:rPr>
        <w:t>356,584,673.89</w:t>
      </w:r>
      <w:r>
        <w:rPr>
          <w:rFonts w:ascii="宋体" w:hAnsi="宋体" w:cs="宋体" w:eastAsia="宋体" w:hint="default"/>
          <w:sz w:val="18"/>
          <w:szCs w:val="18"/>
        </w:rPr>
        <w:t>元的价格向美</w:t>
      </w:r>
      <w:r>
        <w:rPr>
          <w:rFonts w:ascii="宋体" w:hAnsi="宋体" w:cs="宋体" w:eastAsia="宋体" w:hint="default"/>
          <w:w w:val="99"/>
          <w:sz w:val="18"/>
          <w:szCs w:val="18"/>
        </w:rPr>
        <w:t> </w:t>
      </w:r>
      <w:r>
        <w:rPr>
          <w:rFonts w:ascii="宋体" w:hAnsi="宋体" w:cs="宋体" w:eastAsia="宋体" w:hint="default"/>
          <w:sz w:val="18"/>
          <w:szCs w:val="18"/>
        </w:rPr>
        <w:t>盛控股购买其持有的杭州捷木股权投资管理有限公司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以下简称捷木投资</w:t>
      </w:r>
      <w:r>
        <w:rPr>
          <w:rFonts w:ascii="Times New Roman" w:hAnsi="Times New Roman" w:cs="Times New Roman" w:eastAsia="Times New Roman" w:hint="default"/>
          <w:sz w:val="18"/>
          <w:szCs w:val="18"/>
        </w:rPr>
        <w:t>)50%</w:t>
      </w:r>
      <w:r>
        <w:rPr>
          <w:rFonts w:ascii="宋体" w:hAnsi="宋体" w:cs="宋体" w:eastAsia="宋体" w:hint="default"/>
          <w:sz w:val="18"/>
          <w:szCs w:val="18"/>
        </w:rPr>
        <w:t>的股权和其对捷木投资的债权。该事项经</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Times New Roman" w:hAnsi="Times New Roman" w:cs="Times New Roman" w:eastAsia="Times New Roman" w:hint="default"/>
          <w:spacing w:val="5"/>
          <w:sz w:val="18"/>
          <w:szCs w:val="18"/>
        </w:rPr>
        <w:t>2017</w:t>
      </w:r>
      <w:r>
        <w:rPr>
          <w:rFonts w:ascii="宋体" w:hAnsi="宋体" w:cs="宋体" w:eastAsia="宋体" w:hint="default"/>
          <w:spacing w:val="5"/>
          <w:sz w:val="18"/>
          <w:szCs w:val="18"/>
        </w:rPr>
        <w:t>年度股东大会审议通过后，美盛文化公司支付了股权转让款</w:t>
      </w:r>
      <w:r>
        <w:rPr>
          <w:rFonts w:ascii="Times New Roman" w:hAnsi="Times New Roman" w:cs="Times New Roman" w:eastAsia="Times New Roman" w:hint="default"/>
          <w:spacing w:val="5"/>
          <w:sz w:val="18"/>
          <w:szCs w:val="18"/>
        </w:rPr>
        <w:t>350,000,000.00</w:t>
      </w:r>
      <w:r>
        <w:rPr>
          <w:rFonts w:ascii="宋体" w:hAnsi="宋体" w:cs="宋体" w:eastAsia="宋体" w:hint="default"/>
          <w:spacing w:val="5"/>
          <w:sz w:val="18"/>
          <w:szCs w:val="18"/>
        </w:rPr>
        <w:t>元</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4"/>
          <w:sz w:val="18"/>
          <w:szCs w:val="18"/>
        </w:rPr>
        <w:t> </w:t>
      </w:r>
      <w:r>
        <w:rPr>
          <w:rFonts w:ascii="宋体" w:hAnsi="宋体" w:cs="宋体" w:eastAsia="宋体" w:hint="default"/>
          <w:spacing w:val="8"/>
          <w:sz w:val="18"/>
          <w:szCs w:val="18"/>
        </w:rPr>
        <w:t>另向捷木投资支付项目其他款项</w:t>
      </w:r>
      <w:r>
        <w:rPr>
          <w:rFonts w:ascii="宋体" w:hAnsi="宋体" w:cs="宋体" w:eastAsia="宋体" w:hint="default"/>
          <w:sz w:val="18"/>
          <w:szCs w:val="18"/>
        </w:rPr>
      </w:r>
    </w:p>
    <w:p>
      <w:pPr>
        <w:spacing w:before="13"/>
        <w:ind w:left="451"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16,769,389.50</w:t>
      </w:r>
      <w:r>
        <w:rPr>
          <w:rFonts w:ascii="宋体" w:hAnsi="宋体" w:cs="宋体" w:eastAsia="宋体" w:hint="default"/>
          <w:sz w:val="18"/>
          <w:szCs w:val="18"/>
        </w:rPr>
        <w:t>元。</w:t>
      </w:r>
    </w:p>
    <w:p>
      <w:pPr>
        <w:spacing w:line="300" w:lineRule="auto" w:before="63"/>
        <w:ind w:left="451" w:right="1132" w:firstLine="48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日，美盛文化公司与美盛控股及其实际控制人赵小强签订补充协议，约定终止收购杭州捷木股权的 交易。截至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日，美盛控股共归还交易金额</w:t>
      </w:r>
      <w:r>
        <w:rPr>
          <w:rFonts w:ascii="Times New Roman" w:hAnsi="Times New Roman" w:cs="Times New Roman" w:eastAsia="Times New Roman" w:hint="default"/>
          <w:sz w:val="18"/>
          <w:szCs w:val="18"/>
        </w:rPr>
        <w:t>1</w:t>
      </w:r>
      <w:r>
        <w:rPr>
          <w:rFonts w:ascii="宋体" w:hAnsi="宋体" w:cs="宋体" w:eastAsia="宋体" w:hint="default"/>
          <w:sz w:val="18"/>
          <w:szCs w:val="18"/>
        </w:rPr>
        <w:t>亿元，剩余未归还款项</w:t>
      </w:r>
      <w:r>
        <w:rPr>
          <w:rFonts w:ascii="Times New Roman" w:hAnsi="Times New Roman" w:cs="Times New Roman" w:eastAsia="Times New Roman" w:hint="default"/>
          <w:sz w:val="18"/>
          <w:szCs w:val="18"/>
        </w:rPr>
        <w:t>266,769,389.50</w:t>
      </w:r>
      <w:r>
        <w:rPr>
          <w:rFonts w:ascii="宋体" w:hAnsi="宋体" w:cs="宋体" w:eastAsia="宋体" w:hint="default"/>
          <w:sz w:val="18"/>
          <w:szCs w:val="18"/>
        </w:rPr>
        <w:t>元形成美盛控股对美盛文</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化公司的非经营性资金占用。截至本报告日，美盛文化公司已收到美盛控股归还的上述款项。</w:t>
      </w:r>
    </w:p>
    <w:p>
      <w:pPr>
        <w:spacing w:line="316" w:lineRule="auto" w:before="32"/>
        <w:ind w:left="931" w:right="0" w:firstLine="0"/>
        <w:jc w:val="left"/>
        <w:rPr>
          <w:rFonts w:ascii="宋体" w:hAnsi="宋体" w:cs="宋体" w:eastAsia="宋体" w:hint="default"/>
          <w:sz w:val="18"/>
          <w:szCs w:val="18"/>
        </w:rPr>
      </w:pPr>
      <w:r>
        <w:rPr>
          <w:rFonts w:ascii="宋体" w:hAnsi="宋体" w:cs="宋体" w:eastAsia="宋体" w:hint="default"/>
          <w:sz w:val="18"/>
          <w:szCs w:val="18"/>
        </w:rPr>
        <w:t>二、公司董事会对相关事项的意见 </w:t>
      </w:r>
      <w:r>
        <w:rPr>
          <w:rFonts w:ascii="宋体" w:hAnsi="宋体" w:cs="宋体" w:eastAsia="宋体" w:hint="default"/>
          <w:spacing w:val="-2"/>
          <w:sz w:val="18"/>
          <w:szCs w:val="18"/>
        </w:rPr>
        <w:t>对注册会计师出具保留意见的审计报告，公司董事会予以理解和认可。董事会同意天健出具的保留意见审计报告，</w:t>
      </w:r>
    </w:p>
    <w:p>
      <w:pPr>
        <w:spacing w:line="316" w:lineRule="auto" w:before="19"/>
        <w:ind w:left="931" w:right="0" w:hanging="481"/>
        <w:jc w:val="left"/>
        <w:rPr>
          <w:rFonts w:ascii="宋体" w:hAnsi="宋体" w:cs="宋体" w:eastAsia="宋体" w:hint="default"/>
          <w:sz w:val="18"/>
          <w:szCs w:val="18"/>
        </w:rPr>
      </w:pPr>
      <w:r>
        <w:rPr>
          <w:rFonts w:ascii="宋体" w:hAnsi="宋体" w:cs="宋体" w:eastAsia="宋体" w:hint="default"/>
          <w:sz w:val="18"/>
          <w:szCs w:val="18"/>
        </w:rPr>
        <w:t>针对保留意见涉及的事项董事会和管理层已制定相关有效措施，以消除不利影响，维护公司和股东的合法权益。 三、消除相关事项及其影响的具体措施 公司董事会高度重视本次天健会计师事务所提出的保留意见及强调事项内容，针对审计报告中的上述事项，公司</w:t>
      </w:r>
    </w:p>
    <w:p>
      <w:pPr>
        <w:spacing w:line="300" w:lineRule="auto" w:before="19"/>
        <w:ind w:left="451" w:right="1136" w:firstLine="0"/>
        <w:jc w:val="both"/>
        <w:rPr>
          <w:rFonts w:ascii="宋体" w:hAnsi="宋体" w:cs="宋体" w:eastAsia="宋体" w:hint="default"/>
          <w:sz w:val="18"/>
          <w:szCs w:val="18"/>
        </w:rPr>
      </w:pPr>
      <w:r>
        <w:rPr>
          <w:rFonts w:ascii="宋体" w:hAnsi="宋体" w:cs="宋体" w:eastAsia="宋体" w:hint="default"/>
          <w:sz w:val="18"/>
          <w:szCs w:val="18"/>
        </w:rPr>
        <w:t>董事会和管理层采取以下措施：</w:t>
      </w:r>
      <w:r>
        <w:rPr>
          <w:rFonts w:ascii="Times New Roman" w:hAnsi="Times New Roman" w:cs="Times New Roman" w:eastAsia="Times New Roman" w:hint="default"/>
          <w:sz w:val="18"/>
          <w:szCs w:val="18"/>
        </w:rPr>
        <w:t>1</w:t>
      </w:r>
      <w:r>
        <w:rPr>
          <w:rFonts w:ascii="宋体" w:hAnsi="宋体" w:cs="宋体" w:eastAsia="宋体" w:hint="default"/>
          <w:sz w:val="18"/>
          <w:szCs w:val="18"/>
        </w:rPr>
        <w:t>、根据《深圳证券交易所股票上市规则》，尽快就同道大叔公司股权转让事项召开董</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事会、股东大会审议决策；</w:t>
      </w:r>
      <w:r>
        <w:rPr>
          <w:rFonts w:ascii="Times New Roman" w:hAnsi="Times New Roman" w:cs="Times New Roman" w:eastAsia="Times New Roman" w:hint="default"/>
          <w:sz w:val="18"/>
          <w:szCs w:val="18"/>
        </w:rPr>
        <w:t>2</w:t>
      </w:r>
      <w:r>
        <w:rPr>
          <w:rFonts w:ascii="宋体" w:hAnsi="宋体" w:cs="宋体" w:eastAsia="宋体" w:hint="default"/>
          <w:sz w:val="18"/>
          <w:szCs w:val="18"/>
        </w:rPr>
        <w:t>、加强财务管理规范化建设，加强财务人员和业务人员合规培训，进一步完善业务的内控</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流程。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spacing w:before="0"/>
        <w:ind w:left="7093" w:right="0" w:firstLine="0"/>
        <w:jc w:val="left"/>
        <w:rPr>
          <w:rFonts w:ascii="宋体" w:hAnsi="宋体" w:cs="宋体" w:eastAsia="宋体" w:hint="default"/>
          <w:sz w:val="18"/>
          <w:szCs w:val="18"/>
        </w:rPr>
      </w:pPr>
      <w:r>
        <w:rPr>
          <w:rFonts w:ascii="宋体" w:hAnsi="宋体" w:cs="宋体" w:eastAsia="宋体" w:hint="default"/>
          <w:sz w:val="18"/>
          <w:szCs w:val="18"/>
        </w:rPr>
        <w:t>美盛文化创意股份有限公司董事会</w:t>
      </w:r>
    </w:p>
    <w:p>
      <w:pPr>
        <w:spacing w:line="240" w:lineRule="auto" w:before="2"/>
        <w:rPr>
          <w:rFonts w:ascii="宋体" w:hAnsi="宋体" w:cs="宋体" w:eastAsia="宋体" w:hint="default"/>
          <w:sz w:val="25"/>
          <w:szCs w:val="25"/>
        </w:rPr>
      </w:pPr>
    </w:p>
    <w:p>
      <w:pPr>
        <w:pStyle w:val="Heading2"/>
        <w:spacing w:line="240" w:lineRule="auto"/>
        <w:ind w:right="1360"/>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0" w:lineRule="auto" w:before="101"/>
        <w:ind w:left="154" w:right="1130" w:firstLine="420"/>
        <w:jc w:val="both"/>
        <w:rPr>
          <w:rFonts w:ascii="宋体" w:hAnsi="宋体" w:cs="宋体" w:eastAsia="宋体" w:hint="default"/>
          <w:sz w:val="18"/>
          <w:szCs w:val="18"/>
        </w:rPr>
      </w:pPr>
      <w:r>
        <w:rPr>
          <w:rFonts w:ascii="宋体" w:hAnsi="宋体" w:cs="宋体" w:eastAsia="宋体" w:hint="default"/>
          <w:spacing w:val="-2"/>
          <w:sz w:val="18"/>
          <w:szCs w:val="18"/>
        </w:rPr>
        <w:t>本公司根据《财政部关于修订印发</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年度一般企业财务报表格式的通知》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财会〔</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及其解读和企业会计准</w:t>
      </w:r>
      <w:r>
        <w:rPr>
          <w:rFonts w:ascii="宋体" w:hAnsi="宋体" w:cs="宋体" w:eastAsia="宋体" w:hint="default"/>
          <w:sz w:val="18"/>
          <w:szCs w:val="18"/>
        </w:rPr>
        <w:t> </w:t>
      </w:r>
      <w:r>
        <w:rPr>
          <w:rFonts w:ascii="宋体" w:hAnsi="宋体" w:cs="宋体" w:eastAsia="宋体" w:hint="default"/>
          <w:spacing w:val="-2"/>
          <w:sz w:val="18"/>
          <w:szCs w:val="18"/>
        </w:rPr>
        <w:t>则的要求编制</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年度财务报表，此项会计政策变更采用追溯调整法。</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年比较财务报表受重要影响的报表项目和金额如</w:t>
      </w:r>
      <w:r>
        <w:rPr>
          <w:rFonts w:ascii="宋体" w:hAnsi="宋体" w:cs="宋体" w:eastAsia="宋体" w:hint="default"/>
          <w:spacing w:val="-56"/>
          <w:sz w:val="18"/>
          <w:szCs w:val="18"/>
        </w:rPr>
        <w:t> </w:t>
      </w:r>
      <w:r>
        <w:rPr>
          <w:rFonts w:ascii="宋体" w:hAnsi="宋体" w:cs="宋体" w:eastAsia="宋体" w:hint="default"/>
          <w:sz w:val="18"/>
          <w:szCs w:val="18"/>
        </w:rPr>
        <w:t>下：</w:t>
      </w:r>
    </w:p>
    <w:tbl>
      <w:tblPr>
        <w:tblW w:w="0" w:type="auto"/>
        <w:jc w:val="left"/>
        <w:tblInd w:w="146" w:type="dxa"/>
        <w:tblLayout w:type="fixed"/>
        <w:tblCellMar>
          <w:top w:w="0" w:type="dxa"/>
          <w:left w:w="0" w:type="dxa"/>
          <w:bottom w:w="0" w:type="dxa"/>
          <w:right w:w="0" w:type="dxa"/>
        </w:tblCellMar>
        <w:tblLook w:val="01E0"/>
      </w:tblPr>
      <w:tblGrid>
        <w:gridCol w:w="2268"/>
        <w:gridCol w:w="2428"/>
        <w:gridCol w:w="1824"/>
        <w:gridCol w:w="2003"/>
      </w:tblGrid>
      <w:tr>
        <w:trPr>
          <w:trHeight w:val="347" w:hRule="exact"/>
        </w:trPr>
        <w:tc>
          <w:tcPr>
            <w:tcW w:w="46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40" w:right="0"/>
              <w:jc w:val="left"/>
              <w:rPr>
                <w:rFonts w:ascii="宋体" w:hAnsi="宋体" w:cs="宋体" w:eastAsia="宋体" w:hint="default"/>
                <w:sz w:val="18"/>
                <w:szCs w:val="18"/>
              </w:rPr>
            </w:pPr>
            <w:r>
              <w:rPr>
                <w:rFonts w:ascii="宋体" w:hAnsi="宋体" w:cs="宋体" w:eastAsia="宋体" w:hint="default"/>
                <w:sz w:val="18"/>
                <w:szCs w:val="18"/>
              </w:rPr>
              <w:t>原列报报表项目及金额</w:t>
            </w:r>
          </w:p>
        </w:tc>
        <w:tc>
          <w:tcPr>
            <w:tcW w:w="3827"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1005" w:right="0"/>
              <w:jc w:val="left"/>
              <w:rPr>
                <w:rFonts w:ascii="宋体" w:hAnsi="宋体" w:cs="宋体" w:eastAsia="宋体" w:hint="default"/>
                <w:sz w:val="18"/>
                <w:szCs w:val="18"/>
              </w:rPr>
            </w:pPr>
            <w:r>
              <w:rPr>
                <w:rFonts w:ascii="宋体" w:hAnsi="宋体" w:cs="宋体" w:eastAsia="宋体" w:hint="default"/>
                <w:sz w:val="18"/>
                <w:szCs w:val="18"/>
              </w:rPr>
              <w:t>新列报报表项目及金额</w:t>
            </w: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28" w:type="dxa"/>
            <w:tcBorders>
              <w:top w:val="single" w:sz="6" w:space="0" w:color="000000"/>
              <w:left w:val="single" w:sz="6" w:space="0" w:color="000000"/>
              <w:bottom w:val="single" w:sz="6" w:space="0" w:color="000000"/>
              <w:right w:val="single" w:sz="6" w:space="0" w:color="000000"/>
            </w:tcBorders>
          </w:tcPr>
          <w:p>
            <w:pPr/>
          </w:p>
        </w:tc>
        <w:tc>
          <w:tcPr>
            <w:tcW w:w="1824"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003" w:type="dxa"/>
            <w:vMerge w:val="restart"/>
            <w:tcBorders>
              <w:top w:val="single" w:sz="6" w:space="0" w:color="000000"/>
              <w:left w:val="single" w:sz="6" w:space="0" w:color="000000"/>
              <w:right w:val="nil" w:sz="6" w:space="0" w:color="auto"/>
            </w:tcBorders>
          </w:tcPr>
          <w:p>
            <w:pPr>
              <w:pStyle w:val="TableParagraph"/>
              <w:spacing w:line="240" w:lineRule="auto" w:before="61"/>
              <w:ind w:left="860" w:right="0"/>
              <w:jc w:val="left"/>
              <w:rPr>
                <w:rFonts w:ascii="Times New Roman" w:hAnsi="Times New Roman" w:cs="Times New Roman" w:eastAsia="Times New Roman" w:hint="default"/>
                <w:sz w:val="18"/>
                <w:szCs w:val="18"/>
              </w:rPr>
            </w:pPr>
            <w:r>
              <w:rPr>
                <w:rFonts w:ascii="Times New Roman"/>
                <w:sz w:val="18"/>
              </w:rPr>
              <w:t>241,982,425.20</w:t>
            </w: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241,982,425.20</w:t>
            </w:r>
          </w:p>
        </w:tc>
        <w:tc>
          <w:tcPr>
            <w:tcW w:w="1824" w:type="dxa"/>
            <w:vMerge/>
            <w:tcBorders>
              <w:left w:val="single" w:sz="6" w:space="0" w:color="000000"/>
              <w:bottom w:val="single" w:sz="6" w:space="0" w:color="000000"/>
              <w:right w:val="single" w:sz="6" w:space="0" w:color="000000"/>
            </w:tcBorders>
          </w:tcPr>
          <w:p>
            <w:pPr/>
          </w:p>
        </w:tc>
        <w:tc>
          <w:tcPr>
            <w:tcW w:w="2003" w:type="dxa"/>
            <w:vMerge/>
            <w:tcBorders>
              <w:left w:val="single" w:sz="6" w:space="0" w:color="000000"/>
              <w:bottom w:val="single" w:sz="6" w:space="0" w:color="000000"/>
              <w:right w:val="nil" w:sz="6" w:space="0" w:color="auto"/>
            </w:tcBorders>
          </w:tcPr>
          <w:p>
            <w:pP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9,699,030.68</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left="950" w:right="0"/>
              <w:jc w:val="left"/>
              <w:rPr>
                <w:rFonts w:ascii="Times New Roman" w:hAnsi="Times New Roman" w:cs="Times New Roman" w:eastAsia="Times New Roman" w:hint="default"/>
                <w:sz w:val="18"/>
                <w:szCs w:val="18"/>
              </w:rPr>
            </w:pPr>
            <w:r>
              <w:rPr>
                <w:rFonts w:ascii="Times New Roman"/>
                <w:sz w:val="18"/>
              </w:rPr>
              <w:t>16,899,297.96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268"/>
        <w:gridCol w:w="2428"/>
        <w:gridCol w:w="1824"/>
        <w:gridCol w:w="2003"/>
      </w:tblGrid>
      <w:tr>
        <w:trPr>
          <w:trHeight w:val="34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28" w:type="dxa"/>
            <w:tcBorders>
              <w:top w:val="single" w:sz="6" w:space="0" w:color="000000"/>
              <w:left w:val="single" w:sz="6" w:space="0" w:color="000000"/>
              <w:bottom w:val="single" w:sz="6" w:space="0" w:color="000000"/>
              <w:right w:val="single" w:sz="6" w:space="0" w:color="000000"/>
            </w:tcBorders>
          </w:tcPr>
          <w:p>
            <w:pPr/>
          </w:p>
        </w:tc>
        <w:tc>
          <w:tcPr>
            <w:tcW w:w="1824" w:type="dxa"/>
            <w:vMerge w:val="restart"/>
            <w:tcBorders>
              <w:top w:val="single" w:sz="6" w:space="0" w:color="000000"/>
              <w:left w:val="single" w:sz="6" w:space="0" w:color="000000"/>
              <w:right w:val="single" w:sz="6" w:space="0" w:color="000000"/>
            </w:tcBorders>
          </w:tcPr>
          <w:p>
            <w:pPr/>
          </w:p>
        </w:tc>
        <w:tc>
          <w:tcPr>
            <w:tcW w:w="2003" w:type="dxa"/>
            <w:vMerge w:val="restart"/>
            <w:tcBorders>
              <w:top w:val="single" w:sz="6" w:space="0" w:color="000000"/>
              <w:left w:val="single" w:sz="6" w:space="0" w:color="000000"/>
              <w:right w:val="nil" w:sz="6" w:space="0" w:color="auto"/>
            </w:tcBorders>
          </w:tcPr>
          <w:p>
            <w:pP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7,200,267.28</w:t>
            </w:r>
          </w:p>
        </w:tc>
        <w:tc>
          <w:tcPr>
            <w:tcW w:w="1824" w:type="dxa"/>
            <w:vMerge/>
            <w:tcBorders>
              <w:left w:val="single" w:sz="6" w:space="0" w:color="000000"/>
              <w:bottom w:val="single" w:sz="6" w:space="0" w:color="000000"/>
              <w:right w:val="single" w:sz="6" w:space="0" w:color="000000"/>
            </w:tcBorders>
          </w:tcPr>
          <w:p>
            <w:pPr/>
          </w:p>
        </w:tc>
        <w:tc>
          <w:tcPr>
            <w:tcW w:w="2003" w:type="dxa"/>
            <w:vMerge/>
            <w:tcBorders>
              <w:left w:val="single" w:sz="6" w:space="0" w:color="000000"/>
              <w:bottom w:val="single" w:sz="6" w:space="0" w:color="000000"/>
              <w:right w:val="nil" w:sz="6" w:space="0" w:color="auto"/>
            </w:tcBorders>
          </w:tcPr>
          <w:p>
            <w:pP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261,740,364.17</w:t>
            </w:r>
          </w:p>
        </w:tc>
        <w:tc>
          <w:tcPr>
            <w:tcW w:w="1824"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003" w:type="dxa"/>
            <w:vMerge w:val="restart"/>
            <w:tcBorders>
              <w:top w:val="single" w:sz="6" w:space="0" w:color="000000"/>
              <w:left w:val="single" w:sz="6" w:space="0" w:color="000000"/>
              <w:right w:val="nil" w:sz="6" w:space="0" w:color="auto"/>
            </w:tcBorders>
          </w:tcPr>
          <w:p>
            <w:pPr>
              <w:pStyle w:val="TableParagraph"/>
              <w:spacing w:line="240" w:lineRule="auto" w:before="61"/>
              <w:ind w:left="860" w:right="0"/>
              <w:jc w:val="left"/>
              <w:rPr>
                <w:rFonts w:ascii="Times New Roman" w:hAnsi="Times New Roman" w:cs="Times New Roman" w:eastAsia="Times New Roman" w:hint="default"/>
                <w:sz w:val="18"/>
                <w:szCs w:val="18"/>
              </w:rPr>
            </w:pPr>
            <w:r>
              <w:rPr>
                <w:rFonts w:ascii="Times New Roman"/>
                <w:sz w:val="18"/>
              </w:rPr>
              <w:t>261,740,364.17</w:t>
            </w: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428" w:type="dxa"/>
            <w:tcBorders>
              <w:top w:val="single" w:sz="6" w:space="0" w:color="000000"/>
              <w:left w:val="single" w:sz="6" w:space="0" w:color="000000"/>
              <w:bottom w:val="single" w:sz="6" w:space="0" w:color="000000"/>
              <w:right w:val="single" w:sz="6" w:space="0" w:color="000000"/>
            </w:tcBorders>
          </w:tcPr>
          <w:p>
            <w:pPr/>
          </w:p>
        </w:tc>
        <w:tc>
          <w:tcPr>
            <w:tcW w:w="1824" w:type="dxa"/>
            <w:vMerge/>
            <w:tcBorders>
              <w:left w:val="single" w:sz="6" w:space="0" w:color="000000"/>
              <w:bottom w:val="single" w:sz="6" w:space="0" w:color="000000"/>
              <w:right w:val="single" w:sz="6" w:space="0" w:color="000000"/>
            </w:tcBorders>
          </w:tcPr>
          <w:p>
            <w:pPr/>
          </w:p>
        </w:tc>
        <w:tc>
          <w:tcPr>
            <w:tcW w:w="2003" w:type="dxa"/>
            <w:vMerge/>
            <w:tcBorders>
              <w:left w:val="single" w:sz="6" w:space="0" w:color="000000"/>
              <w:bottom w:val="single" w:sz="6" w:space="0" w:color="000000"/>
              <w:right w:val="nil" w:sz="6" w:space="0" w:color="auto"/>
            </w:tcBorders>
          </w:tcPr>
          <w:p>
            <w:pP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12,033,584.50</w:t>
            </w:r>
          </w:p>
        </w:tc>
        <w:tc>
          <w:tcPr>
            <w:tcW w:w="1824"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003" w:type="dxa"/>
            <w:vMerge w:val="restart"/>
            <w:tcBorders>
              <w:top w:val="single" w:sz="6" w:space="0" w:color="000000"/>
              <w:left w:val="single" w:sz="6" w:space="0" w:color="000000"/>
              <w:right w:val="nil" w:sz="6" w:space="0" w:color="auto"/>
            </w:tcBorders>
          </w:tcPr>
          <w:p>
            <w:pPr>
              <w:pStyle w:val="TableParagraph"/>
              <w:spacing w:line="240" w:lineRule="auto" w:before="61"/>
              <w:ind w:left="950" w:right="0"/>
              <w:jc w:val="left"/>
              <w:rPr>
                <w:rFonts w:ascii="Times New Roman" w:hAnsi="Times New Roman" w:cs="Times New Roman" w:eastAsia="Times New Roman" w:hint="default"/>
                <w:sz w:val="18"/>
                <w:szCs w:val="18"/>
              </w:rPr>
            </w:pPr>
            <w:r>
              <w:rPr>
                <w:rFonts w:ascii="Times New Roman"/>
                <w:sz w:val="18"/>
              </w:rPr>
              <w:t>12,033,584.50</w:t>
            </w: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428" w:type="dxa"/>
            <w:tcBorders>
              <w:top w:val="single" w:sz="6" w:space="0" w:color="000000"/>
              <w:left w:val="single" w:sz="6" w:space="0" w:color="000000"/>
              <w:bottom w:val="single" w:sz="6" w:space="0" w:color="000000"/>
              <w:right w:val="single" w:sz="6" w:space="0" w:color="000000"/>
            </w:tcBorders>
          </w:tcPr>
          <w:p>
            <w:pPr/>
          </w:p>
        </w:tc>
        <w:tc>
          <w:tcPr>
            <w:tcW w:w="1824" w:type="dxa"/>
            <w:vMerge/>
            <w:tcBorders>
              <w:left w:val="single" w:sz="6" w:space="0" w:color="000000"/>
              <w:bottom w:val="single" w:sz="6" w:space="0" w:color="000000"/>
              <w:right w:val="single" w:sz="6" w:space="0" w:color="000000"/>
            </w:tcBorders>
          </w:tcPr>
          <w:p>
            <w:pPr/>
          </w:p>
        </w:tc>
        <w:tc>
          <w:tcPr>
            <w:tcW w:w="2003" w:type="dxa"/>
            <w:vMerge/>
            <w:tcBorders>
              <w:left w:val="single" w:sz="6" w:space="0" w:color="000000"/>
              <w:bottom w:val="single" w:sz="6" w:space="0" w:color="000000"/>
              <w:right w:val="nil" w:sz="6" w:space="0" w:color="auto"/>
            </w:tcBorders>
          </w:tcPr>
          <w:p>
            <w:pP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400,000.00</w:t>
            </w:r>
          </w:p>
        </w:tc>
        <w:tc>
          <w:tcPr>
            <w:tcW w:w="1824"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应付票据及应付帐款</w:t>
            </w:r>
          </w:p>
        </w:tc>
        <w:tc>
          <w:tcPr>
            <w:tcW w:w="2003" w:type="dxa"/>
            <w:vMerge w:val="restart"/>
            <w:tcBorders>
              <w:top w:val="single" w:sz="6" w:space="0" w:color="000000"/>
              <w:left w:val="single" w:sz="6" w:space="0" w:color="000000"/>
              <w:right w:val="nil" w:sz="6" w:space="0" w:color="auto"/>
            </w:tcBorders>
          </w:tcPr>
          <w:p>
            <w:pPr>
              <w:pStyle w:val="TableParagraph"/>
              <w:spacing w:line="240" w:lineRule="auto" w:before="61"/>
              <w:ind w:left="860" w:right="0"/>
              <w:jc w:val="left"/>
              <w:rPr>
                <w:rFonts w:ascii="Times New Roman" w:hAnsi="Times New Roman" w:cs="Times New Roman" w:eastAsia="Times New Roman" w:hint="default"/>
                <w:sz w:val="18"/>
                <w:szCs w:val="18"/>
              </w:rPr>
            </w:pPr>
            <w:r>
              <w:rPr>
                <w:rFonts w:ascii="Times New Roman"/>
                <w:sz w:val="18"/>
              </w:rPr>
              <w:t>135,168,933.27</w:t>
            </w: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应付帐款</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134,768,933.27</w:t>
            </w:r>
          </w:p>
        </w:tc>
        <w:tc>
          <w:tcPr>
            <w:tcW w:w="1824" w:type="dxa"/>
            <w:vMerge/>
            <w:tcBorders>
              <w:left w:val="single" w:sz="6" w:space="0" w:color="000000"/>
              <w:bottom w:val="single" w:sz="6" w:space="0" w:color="000000"/>
              <w:right w:val="single" w:sz="6" w:space="0" w:color="000000"/>
            </w:tcBorders>
          </w:tcPr>
          <w:p>
            <w:pPr/>
          </w:p>
        </w:tc>
        <w:tc>
          <w:tcPr>
            <w:tcW w:w="2003" w:type="dxa"/>
            <w:vMerge/>
            <w:tcBorders>
              <w:left w:val="single" w:sz="6" w:space="0" w:color="000000"/>
              <w:bottom w:val="single" w:sz="6" w:space="0" w:color="000000"/>
              <w:right w:val="nil" w:sz="6" w:space="0" w:color="auto"/>
            </w:tcBorders>
          </w:tcPr>
          <w:p>
            <w:pP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894,390.41</w:t>
            </w:r>
          </w:p>
        </w:tc>
        <w:tc>
          <w:tcPr>
            <w:tcW w:w="1824"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03" w:type="dxa"/>
            <w:vMerge w:val="restart"/>
            <w:tcBorders>
              <w:top w:val="single" w:sz="6" w:space="0" w:color="000000"/>
              <w:left w:val="single" w:sz="6" w:space="0" w:color="000000"/>
              <w:right w:val="nil" w:sz="6" w:space="0" w:color="auto"/>
            </w:tcBorders>
          </w:tcPr>
          <w:p>
            <w:pPr>
              <w:pStyle w:val="TableParagraph"/>
              <w:spacing w:line="240" w:lineRule="auto" w:before="61"/>
              <w:ind w:left="860" w:right="0"/>
              <w:jc w:val="left"/>
              <w:rPr>
                <w:rFonts w:ascii="Times New Roman" w:hAnsi="Times New Roman" w:cs="Times New Roman" w:eastAsia="Times New Roman" w:hint="default"/>
                <w:sz w:val="18"/>
                <w:szCs w:val="18"/>
              </w:rPr>
            </w:pPr>
            <w:r>
              <w:rPr>
                <w:rFonts w:ascii="Times New Roman"/>
                <w:sz w:val="18"/>
              </w:rPr>
              <w:t>225,987,014.11</w:t>
            </w: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28" w:type="dxa"/>
            <w:tcBorders>
              <w:top w:val="single" w:sz="6" w:space="0" w:color="000000"/>
              <w:left w:val="single" w:sz="6" w:space="0" w:color="000000"/>
              <w:bottom w:val="single" w:sz="6" w:space="0" w:color="000000"/>
              <w:right w:val="single" w:sz="6" w:space="0" w:color="000000"/>
            </w:tcBorders>
          </w:tcPr>
          <w:p>
            <w:pPr/>
          </w:p>
        </w:tc>
        <w:tc>
          <w:tcPr>
            <w:tcW w:w="1824" w:type="dxa"/>
            <w:vMerge/>
            <w:tcBorders>
              <w:left w:val="single" w:sz="6" w:space="0" w:color="000000"/>
              <w:right w:val="single" w:sz="6" w:space="0" w:color="000000"/>
            </w:tcBorders>
          </w:tcPr>
          <w:p>
            <w:pPr/>
          </w:p>
        </w:tc>
        <w:tc>
          <w:tcPr>
            <w:tcW w:w="2003" w:type="dxa"/>
            <w:vMerge/>
            <w:tcBorders>
              <w:left w:val="single" w:sz="6" w:space="0" w:color="000000"/>
              <w:right w:val="nil" w:sz="6" w:space="0" w:color="auto"/>
            </w:tcBorders>
          </w:tcPr>
          <w:p>
            <w:pP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225,092,623.70</w:t>
            </w:r>
          </w:p>
        </w:tc>
        <w:tc>
          <w:tcPr>
            <w:tcW w:w="1824" w:type="dxa"/>
            <w:vMerge/>
            <w:tcBorders>
              <w:left w:val="single" w:sz="6" w:space="0" w:color="000000"/>
              <w:bottom w:val="single" w:sz="6" w:space="0" w:color="000000"/>
              <w:right w:val="single" w:sz="6" w:space="0" w:color="000000"/>
            </w:tcBorders>
          </w:tcPr>
          <w:p>
            <w:pPr/>
          </w:p>
        </w:tc>
        <w:tc>
          <w:tcPr>
            <w:tcW w:w="2003" w:type="dxa"/>
            <w:vMerge/>
            <w:tcBorders>
              <w:left w:val="single" w:sz="6" w:space="0" w:color="000000"/>
              <w:bottom w:val="single" w:sz="6" w:space="0" w:color="000000"/>
              <w:right w:val="nil" w:sz="6" w:space="0" w:color="auto"/>
            </w:tcBorders>
          </w:tcPr>
          <w:p>
            <w:pPr/>
          </w:p>
        </w:tc>
      </w:tr>
      <w:tr>
        <w:trPr>
          <w:trHeight w:val="347" w:hRule="exact"/>
        </w:trPr>
        <w:tc>
          <w:tcPr>
            <w:tcW w:w="2268"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28" w:type="dxa"/>
            <w:vMerge w:val="restart"/>
            <w:tcBorders>
              <w:top w:val="single" w:sz="6" w:space="0" w:color="000000"/>
              <w:left w:val="single" w:sz="6" w:space="0" w:color="000000"/>
              <w:right w:val="single" w:sz="6" w:space="0" w:color="000000"/>
            </w:tcBorders>
          </w:tcPr>
          <w:p>
            <w:pPr>
              <w:pStyle w:val="TableParagraph"/>
              <w:spacing w:line="240" w:lineRule="auto" w:before="61"/>
              <w:ind w:left="1285" w:right="0"/>
              <w:jc w:val="left"/>
              <w:rPr>
                <w:rFonts w:ascii="Times New Roman" w:hAnsi="Times New Roman" w:cs="Times New Roman" w:eastAsia="Times New Roman" w:hint="default"/>
                <w:sz w:val="18"/>
                <w:szCs w:val="18"/>
              </w:rPr>
            </w:pPr>
            <w:r>
              <w:rPr>
                <w:rFonts w:ascii="Times New Roman"/>
                <w:sz w:val="18"/>
              </w:rPr>
              <w:t>118,304,854.10</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0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88,464,860.65</w:t>
            </w:r>
          </w:p>
        </w:tc>
      </w:tr>
      <w:tr>
        <w:trPr>
          <w:trHeight w:val="347" w:hRule="exact"/>
        </w:trPr>
        <w:tc>
          <w:tcPr>
            <w:tcW w:w="2268" w:type="dxa"/>
            <w:vMerge/>
            <w:tcBorders>
              <w:left w:val="single" w:sz="6" w:space="0" w:color="000000"/>
              <w:bottom w:val="single" w:sz="6" w:space="0" w:color="000000"/>
              <w:right w:val="single" w:sz="6" w:space="0" w:color="000000"/>
            </w:tcBorders>
          </w:tcPr>
          <w:p>
            <w:pPr/>
          </w:p>
        </w:tc>
        <w:tc>
          <w:tcPr>
            <w:tcW w:w="2428" w:type="dxa"/>
            <w:vMerge/>
            <w:tcBorders>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0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29,839,993.45</w:t>
            </w:r>
          </w:p>
        </w:tc>
      </w:tr>
      <w:tr>
        <w:trPr>
          <w:trHeight w:val="65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收到其他与经营活动有关的</w:t>
            </w:r>
            <w:r>
              <w:rPr>
                <w:rFonts w:ascii="宋体" w:hAnsi="宋体" w:cs="宋体" w:eastAsia="宋体" w:hint="default"/>
                <w:sz w:val="18"/>
                <w:szCs w:val="18"/>
              </w:rPr>
              <w:t> 现金</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49,050,590.67</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收到其他与经营活动有 关的现金</w:t>
            </w:r>
          </w:p>
        </w:tc>
        <w:tc>
          <w:tcPr>
            <w:tcW w:w="20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50,555,590.67</w:t>
            </w:r>
          </w:p>
        </w:tc>
      </w:tr>
      <w:tr>
        <w:trPr>
          <w:trHeight w:val="660"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收到其他与投资活动有关的</w:t>
            </w:r>
            <w:r>
              <w:rPr>
                <w:rFonts w:ascii="宋体" w:hAnsi="宋体" w:cs="宋体" w:eastAsia="宋体" w:hint="default"/>
                <w:sz w:val="18"/>
                <w:szCs w:val="18"/>
              </w:rPr>
              <w:t> 现金</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11,826,652,576.17</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收到其他与投资活动有 关的现金</w:t>
            </w:r>
          </w:p>
        </w:tc>
        <w:tc>
          <w:tcPr>
            <w:tcW w:w="20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9"/>
              <w:jc w:val="right"/>
              <w:rPr>
                <w:rFonts w:ascii="Times New Roman" w:hAnsi="Times New Roman" w:cs="Times New Roman" w:eastAsia="Times New Roman" w:hint="default"/>
                <w:sz w:val="18"/>
                <w:szCs w:val="18"/>
              </w:rPr>
            </w:pPr>
            <w:r>
              <w:rPr>
                <w:rFonts w:ascii="Times New Roman"/>
                <w:spacing w:val="-1"/>
                <w:sz w:val="18"/>
              </w:rPr>
              <w:t>11,825,147,576.17</w:t>
            </w: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0" w:lineRule="auto" w:before="102"/>
        <w:ind w:left="154" w:right="1129" w:firstLine="42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日，子公司香港美盛与徐迪旻、株式会社爱华签订投资项目和解协议，协议约定香港美盛以</w:t>
      </w:r>
      <w:r>
        <w:rPr>
          <w:rFonts w:ascii="Times New Roman" w:hAnsi="Times New Roman" w:cs="Times New Roman" w:eastAsia="Times New Roman" w:hint="default"/>
          <w:sz w:val="18"/>
          <w:szCs w:val="18"/>
        </w:rPr>
        <w:t>1</w:t>
      </w:r>
      <w:r>
        <w:rPr>
          <w:rFonts w:ascii="宋体" w:hAnsi="宋体" w:cs="宋体" w:eastAsia="宋体" w:hint="default"/>
          <w:sz w:val="18"/>
          <w:szCs w:val="18"/>
        </w:rPr>
        <w:t>日元的价格 向徐迪旻转让日本爱华</w:t>
      </w:r>
      <w:r>
        <w:rPr>
          <w:rFonts w:ascii="Times New Roman" w:hAnsi="Times New Roman" w:cs="Times New Roman" w:eastAsia="Times New Roman" w:hint="default"/>
          <w:sz w:val="18"/>
          <w:szCs w:val="18"/>
        </w:rPr>
        <w:t>51%</w:t>
      </w:r>
      <w:r>
        <w:rPr>
          <w:rFonts w:ascii="宋体" w:hAnsi="宋体" w:cs="宋体" w:eastAsia="宋体" w:hint="default"/>
          <w:sz w:val="18"/>
          <w:szCs w:val="18"/>
        </w:rPr>
        <w:t>的股权。</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月，公司与徐迪旻及株式会社爱华已办理相应的财产交接手续，故公司自</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月起不再将日本爱华纳入合并范围。</w:t>
      </w:r>
    </w:p>
    <w:p>
      <w:pPr>
        <w:spacing w:line="300" w:lineRule="auto" w:before="13"/>
        <w:ind w:left="154" w:right="1129" w:firstLine="42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月，公司与优加互娱公司签订股权转让协议，约定公司将子公司鱼骨头公司</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的股权作价</w:t>
      </w:r>
      <w:r>
        <w:rPr>
          <w:rFonts w:ascii="Times New Roman" w:hAnsi="Times New Roman" w:cs="Times New Roman" w:eastAsia="Times New Roman" w:hint="default"/>
          <w:sz w:val="18"/>
          <w:szCs w:val="18"/>
        </w:rPr>
        <w:t>40,000</w:t>
      </w:r>
      <w:r>
        <w:rPr>
          <w:rFonts w:ascii="宋体" w:hAnsi="宋体" w:cs="宋体" w:eastAsia="宋体" w:hint="default"/>
          <w:sz w:val="18"/>
          <w:szCs w:val="18"/>
        </w:rPr>
        <w:t>元转让给 对方。本次交易完成后，公司失去对鱼骨头公司的控制，自</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月开始不再将鱼骨头公司纳入公司合并范围。</w:t>
      </w:r>
    </w:p>
    <w:p>
      <w:pPr>
        <w:spacing w:line="300" w:lineRule="auto" w:before="53"/>
        <w:ind w:left="154" w:right="1129"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月，公司与</w:t>
      </w:r>
      <w:r>
        <w:rPr>
          <w:rFonts w:ascii="Times New Roman" w:hAnsi="Times New Roman" w:cs="Times New Roman" w:eastAsia="Times New Roman" w:hint="default"/>
          <w:sz w:val="18"/>
          <w:szCs w:val="18"/>
        </w:rPr>
        <w:t>Costume</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Craze</w:t>
      </w:r>
      <w:r>
        <w:rPr>
          <w:rFonts w:ascii="宋体" w:hAnsi="宋体" w:cs="宋体" w:eastAsia="宋体" w:hint="default"/>
          <w:sz w:val="18"/>
          <w:szCs w:val="18"/>
        </w:rPr>
        <w:t>公司原股东</w:t>
      </w:r>
      <w:r>
        <w:rPr>
          <w:rFonts w:ascii="Times New Roman" w:hAnsi="Times New Roman" w:cs="Times New Roman" w:eastAsia="Times New Roman" w:hint="default"/>
          <w:sz w:val="18"/>
          <w:szCs w:val="18"/>
        </w:rPr>
        <w:t>Makakama</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Holding</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co.</w:t>
      </w:r>
      <w:r>
        <w:rPr>
          <w:rFonts w:ascii="宋体" w:hAnsi="宋体" w:cs="宋体" w:eastAsia="宋体" w:hint="default"/>
          <w:sz w:val="18"/>
          <w:szCs w:val="18"/>
        </w:rPr>
        <w:t>、</w:t>
      </w:r>
      <w:r>
        <w:rPr>
          <w:rFonts w:ascii="Times New Roman" w:hAnsi="Times New Roman" w:cs="Times New Roman" w:eastAsia="Times New Roman" w:hint="default"/>
          <w:sz w:val="18"/>
          <w:szCs w:val="18"/>
        </w:rPr>
        <w:t>M</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Squad</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Family</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Partnership</w:t>
      </w:r>
      <w:r>
        <w:rPr>
          <w:rFonts w:ascii="宋体" w:hAnsi="宋体" w:cs="宋体" w:eastAsia="宋体" w:hint="default"/>
          <w:sz w:val="18"/>
          <w:szCs w:val="18"/>
        </w:rPr>
        <w:t>、</w:t>
      </w:r>
      <w:r>
        <w:rPr>
          <w:rFonts w:ascii="Times New Roman" w:hAnsi="Times New Roman" w:cs="Times New Roman" w:eastAsia="Times New Roman" w:hint="default"/>
          <w:sz w:val="18"/>
          <w:szCs w:val="18"/>
        </w:rPr>
        <w:t>Kathryn</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E.Maloney</w:t>
      </w:r>
      <w:r>
        <w:rPr>
          <w:rFonts w:ascii="Times New Roman" w:hAnsi="Times New Roman" w:cs="Times New Roman" w:eastAsia="Times New Roman" w:hint="default"/>
          <w:sz w:val="18"/>
          <w:szCs w:val="18"/>
        </w:rPr>
        <w:t> Erfert</w:t>
      </w:r>
      <w:r>
        <w:rPr>
          <w:rFonts w:ascii="宋体" w:hAnsi="宋体" w:cs="宋体" w:eastAsia="宋体" w:hint="default"/>
          <w:sz w:val="18"/>
          <w:szCs w:val="18"/>
        </w:rPr>
        <w:t>、</w:t>
      </w:r>
      <w:r>
        <w:rPr>
          <w:rFonts w:ascii="Times New Roman" w:hAnsi="Times New Roman" w:cs="Times New Roman" w:eastAsia="Times New Roman" w:hint="default"/>
          <w:sz w:val="18"/>
          <w:szCs w:val="18"/>
        </w:rPr>
        <w:t>Matthew W.Maloney,Kathleen S.Maloney</w:t>
      </w:r>
      <w:r>
        <w:rPr>
          <w:rFonts w:ascii="宋体" w:hAnsi="宋体" w:cs="宋体" w:eastAsia="宋体" w:hint="default"/>
          <w:sz w:val="18"/>
          <w:szCs w:val="18"/>
        </w:rPr>
        <w:t>（以下简称原股东）签订调解协议，约定</w:t>
      </w:r>
      <w:r>
        <w:rPr>
          <w:rFonts w:ascii="Times New Roman" w:hAnsi="Times New Roman" w:cs="Times New Roman" w:eastAsia="Times New Roman" w:hint="default"/>
          <w:sz w:val="18"/>
          <w:szCs w:val="18"/>
        </w:rPr>
        <w:t>Costume Craze</w:t>
      </w:r>
      <w:r>
        <w:rPr>
          <w:rFonts w:ascii="宋体" w:hAnsi="宋体" w:cs="宋体" w:eastAsia="宋体" w:hint="default"/>
          <w:sz w:val="18"/>
          <w:szCs w:val="18"/>
        </w:rPr>
        <w:t>和原股东共向公司归 还原借给</w:t>
      </w:r>
      <w:r>
        <w:rPr>
          <w:rFonts w:ascii="Times New Roman" w:hAnsi="Times New Roman" w:cs="Times New Roman" w:eastAsia="Times New Roman" w:hint="default"/>
          <w:sz w:val="18"/>
          <w:szCs w:val="18"/>
        </w:rPr>
        <w:t>Costume</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Craze</w:t>
      </w:r>
      <w:r>
        <w:rPr>
          <w:rFonts w:ascii="宋体" w:hAnsi="宋体" w:cs="宋体" w:eastAsia="宋体" w:hint="default"/>
          <w:sz w:val="18"/>
          <w:szCs w:val="18"/>
        </w:rPr>
        <w:t>作经营用款项</w:t>
      </w:r>
      <w:r>
        <w:rPr>
          <w:rFonts w:ascii="Times New Roman" w:hAnsi="Times New Roman" w:cs="Times New Roman" w:eastAsia="Times New Roman" w:hint="default"/>
          <w:sz w:val="18"/>
          <w:szCs w:val="18"/>
        </w:rPr>
        <w:t>30</w:t>
      </w:r>
      <w:r>
        <w:rPr>
          <w:rFonts w:ascii="宋体" w:hAnsi="宋体" w:cs="宋体" w:eastAsia="宋体" w:hint="default"/>
          <w:sz w:val="18"/>
          <w:szCs w:val="18"/>
        </w:rPr>
        <w:t>万美元，公司无偿放弃持有的</w:t>
      </w:r>
      <w:r>
        <w:rPr>
          <w:rFonts w:ascii="Times New Roman" w:hAnsi="Times New Roman" w:cs="Times New Roman" w:eastAsia="Times New Roman" w:hint="default"/>
          <w:sz w:val="18"/>
          <w:szCs w:val="18"/>
        </w:rPr>
        <w:t>Costume</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Craze</w:t>
      </w:r>
      <w:r>
        <w:rPr>
          <w:rFonts w:ascii="宋体" w:hAnsi="宋体" w:cs="宋体" w:eastAsia="宋体" w:hint="default"/>
          <w:sz w:val="18"/>
          <w:szCs w:val="18"/>
        </w:rPr>
        <w:t>全部股权。因公司于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月开始便无 法收到</w:t>
      </w:r>
      <w:r>
        <w:rPr>
          <w:rFonts w:ascii="Times New Roman" w:hAnsi="Times New Roman" w:cs="Times New Roman" w:eastAsia="Times New Roman" w:hint="default"/>
          <w:sz w:val="18"/>
          <w:szCs w:val="18"/>
        </w:rPr>
        <w:t>Costume Craze</w:t>
      </w:r>
      <w:r>
        <w:rPr>
          <w:rFonts w:ascii="宋体" w:hAnsi="宋体" w:cs="宋体" w:eastAsia="宋体" w:hint="default"/>
          <w:sz w:val="18"/>
          <w:szCs w:val="18"/>
        </w:rPr>
        <w:t>的财务报表，且无法继续参与</w:t>
      </w:r>
      <w:r>
        <w:rPr>
          <w:rFonts w:ascii="Times New Roman" w:hAnsi="Times New Roman" w:cs="Times New Roman" w:eastAsia="Times New Roman" w:hint="default"/>
          <w:sz w:val="18"/>
          <w:szCs w:val="18"/>
        </w:rPr>
        <w:t>Costume Craze</w:t>
      </w:r>
      <w:r>
        <w:rPr>
          <w:rFonts w:ascii="宋体" w:hAnsi="宋体" w:cs="宋体" w:eastAsia="宋体" w:hint="default"/>
          <w:sz w:val="18"/>
          <w:szCs w:val="18"/>
        </w:rPr>
        <w:t>的日常经营活动，实际已失去对</w:t>
      </w:r>
      <w:r>
        <w:rPr>
          <w:rFonts w:ascii="Times New Roman" w:hAnsi="Times New Roman" w:cs="Times New Roman" w:eastAsia="Times New Roman" w:hint="default"/>
          <w:sz w:val="18"/>
          <w:szCs w:val="18"/>
        </w:rPr>
        <w:t>Costume</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Craze</w:t>
      </w:r>
      <w:r>
        <w:rPr>
          <w:rFonts w:ascii="宋体" w:hAnsi="宋体" w:cs="宋体" w:eastAsia="宋体" w:hint="default"/>
          <w:sz w:val="18"/>
          <w:szCs w:val="18"/>
        </w:rPr>
        <w:t>的控制，故 公司自</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月开始不再将</w:t>
      </w:r>
      <w:r>
        <w:rPr>
          <w:rFonts w:ascii="Times New Roman" w:hAnsi="Times New Roman" w:cs="Times New Roman" w:eastAsia="Times New Roman" w:hint="default"/>
          <w:sz w:val="18"/>
          <w:szCs w:val="18"/>
        </w:rPr>
        <w:t>Costume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Craze</w:t>
      </w:r>
      <w:r>
        <w:rPr>
          <w:rFonts w:ascii="宋体" w:hAnsi="宋体" w:cs="宋体" w:eastAsia="宋体" w:hint="default"/>
          <w:sz w:val="18"/>
          <w:szCs w:val="18"/>
        </w:rPr>
        <w:t>纳入合并范围。</w:t>
      </w:r>
    </w:p>
    <w:p>
      <w:pPr>
        <w:spacing w:line="240" w:lineRule="auto" w:before="2"/>
        <w:rPr>
          <w:rFonts w:ascii="宋体" w:hAnsi="宋体" w:cs="宋体" w:eastAsia="宋体" w:hint="default"/>
          <w:sz w:val="20"/>
          <w:szCs w:val="20"/>
        </w:rPr>
      </w:pPr>
    </w:p>
    <w:p>
      <w:pPr>
        <w:pStyle w:val="Heading2"/>
        <w:spacing w:line="240" w:lineRule="auto"/>
        <w:ind w:right="0"/>
        <w:jc w:val="both"/>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赵海荣、陈艳</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赵海荣连续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年、陈艳第一年</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4" w:right="62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3"/>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360"/>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360"/>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1360"/>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spacing w:line="340"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1360"/>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1360"/>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360"/>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44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1360"/>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360"/>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674"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关联交易</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关联关</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关联交</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关联交</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4" w:right="62"/>
              <w:jc w:val="left"/>
              <w:rPr>
                <w:rFonts w:ascii="宋体" w:hAnsi="宋体" w:cs="宋体" w:eastAsia="宋体" w:hint="default"/>
                <w:sz w:val="18"/>
                <w:szCs w:val="18"/>
              </w:rPr>
            </w:pPr>
            <w:r>
              <w:rPr>
                <w:rFonts w:ascii="宋体" w:hAnsi="宋体" w:cs="宋体" w:eastAsia="宋体" w:hint="default"/>
                <w:sz w:val="18"/>
                <w:szCs w:val="18"/>
              </w:rPr>
              <w:t>关联交 易定价</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关联交</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0"/>
              <w:jc w:val="left"/>
              <w:rPr>
                <w:rFonts w:ascii="宋体" w:hAnsi="宋体" w:cs="宋体" w:eastAsia="宋体" w:hint="default"/>
                <w:sz w:val="18"/>
                <w:szCs w:val="18"/>
              </w:rPr>
            </w:pPr>
            <w:r>
              <w:rPr>
                <w:rFonts w:ascii="宋体" w:hAnsi="宋体" w:cs="宋体" w:eastAsia="宋体" w:hint="default"/>
                <w:sz w:val="18"/>
                <w:szCs w:val="18"/>
              </w:rPr>
              <w:t>占同类 交易金</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1"/>
              <w:jc w:val="left"/>
              <w:rPr>
                <w:rFonts w:ascii="宋体" w:hAnsi="宋体" w:cs="宋体" w:eastAsia="宋体" w:hint="default"/>
                <w:sz w:val="18"/>
                <w:szCs w:val="18"/>
              </w:rPr>
            </w:pPr>
            <w:r>
              <w:rPr>
                <w:rFonts w:ascii="宋体" w:hAnsi="宋体" w:cs="宋体" w:eastAsia="宋体" w:hint="default"/>
                <w:sz w:val="18"/>
                <w:szCs w:val="18"/>
              </w:rPr>
              <w:t>获批的 交易额</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1"/>
              <w:jc w:val="left"/>
              <w:rPr>
                <w:rFonts w:ascii="宋体" w:hAnsi="宋体" w:cs="宋体" w:eastAsia="宋体" w:hint="default"/>
                <w:sz w:val="18"/>
                <w:szCs w:val="18"/>
              </w:rPr>
            </w:pPr>
            <w:r>
              <w:rPr>
                <w:rFonts w:ascii="宋体" w:hAnsi="宋体" w:cs="宋体" w:eastAsia="宋体" w:hint="default"/>
                <w:sz w:val="18"/>
                <w:szCs w:val="18"/>
              </w:rPr>
              <w:t>是否超 过获批</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0"/>
              <w:jc w:val="left"/>
              <w:rPr>
                <w:rFonts w:ascii="宋体" w:hAnsi="宋体" w:cs="宋体" w:eastAsia="宋体" w:hint="default"/>
                <w:sz w:val="18"/>
                <w:szCs w:val="18"/>
              </w:rPr>
            </w:pPr>
            <w:r>
              <w:rPr>
                <w:rFonts w:ascii="宋体" w:hAnsi="宋体" w:cs="宋体" w:eastAsia="宋体" w:hint="default"/>
                <w:sz w:val="18"/>
                <w:szCs w:val="18"/>
              </w:rPr>
              <w:t>关联交 易结算</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1"/>
              <w:jc w:val="left"/>
              <w:rPr>
                <w:rFonts w:ascii="宋体" w:hAnsi="宋体" w:cs="宋体" w:eastAsia="宋体" w:hint="default"/>
                <w:sz w:val="18"/>
                <w:szCs w:val="18"/>
              </w:rPr>
            </w:pPr>
            <w:r>
              <w:rPr>
                <w:rFonts w:ascii="宋体" w:hAnsi="宋体" w:cs="宋体" w:eastAsia="宋体" w:hint="default"/>
                <w:sz w:val="18"/>
                <w:szCs w:val="18"/>
              </w:rPr>
              <w:t>可获得 的同类</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披露日</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披露索</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674"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3" w:right="0"/>
              <w:jc w:val="left"/>
              <w:rPr>
                <w:rFonts w:ascii="宋体" w:hAnsi="宋体" w:cs="宋体" w:eastAsia="宋体" w:hint="default"/>
                <w:sz w:val="18"/>
                <w:szCs w:val="18"/>
              </w:rPr>
            </w:pPr>
            <w:r>
              <w:rPr>
                <w:rFonts w:ascii="宋体" w:hAnsi="宋体" w:cs="宋体" w:eastAsia="宋体" w:hint="default"/>
                <w:sz w:val="18"/>
                <w:szCs w:val="18"/>
              </w:rPr>
              <w:t>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6" w:right="0"/>
              <w:jc w:val="left"/>
              <w:rPr>
                <w:rFonts w:ascii="宋体" w:hAnsi="宋体" w:cs="宋体" w:eastAsia="宋体" w:hint="default"/>
                <w:sz w:val="18"/>
                <w:szCs w:val="18"/>
              </w:rPr>
            </w:pPr>
            <w:r>
              <w:rPr>
                <w:rFonts w:ascii="宋体" w:hAnsi="宋体" w:cs="宋体" w:eastAsia="宋体" w:hint="default"/>
                <w:sz w:val="18"/>
                <w:szCs w:val="18"/>
              </w:rPr>
              <w:t>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41" w:right="60" w:hanging="180"/>
              <w:jc w:val="left"/>
              <w:rPr>
                <w:rFonts w:ascii="宋体" w:hAnsi="宋体" w:cs="宋体" w:eastAsia="宋体" w:hint="default"/>
                <w:sz w:val="18"/>
                <w:szCs w:val="18"/>
              </w:rPr>
            </w:pPr>
            <w:r>
              <w:rPr>
                <w:rFonts w:ascii="宋体" w:hAnsi="宋体" w:cs="宋体" w:eastAsia="宋体" w:hint="default"/>
                <w:sz w:val="18"/>
                <w:szCs w:val="18"/>
              </w:rPr>
              <w:t>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51" w:right="61" w:hanging="90"/>
              <w:jc w:val="left"/>
              <w:rPr>
                <w:rFonts w:ascii="宋体" w:hAnsi="宋体" w:cs="宋体" w:eastAsia="宋体" w:hint="default"/>
                <w:sz w:val="18"/>
                <w:szCs w:val="18"/>
              </w:rPr>
            </w:pPr>
            <w:r>
              <w:rPr>
                <w:rFonts w:ascii="宋体" w:hAnsi="宋体" w:cs="宋体" w:eastAsia="宋体" w:hint="default"/>
                <w:sz w:val="18"/>
                <w:szCs w:val="18"/>
              </w:rPr>
              <w:t>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1" w:right="0"/>
              <w:jc w:val="left"/>
              <w:rPr>
                <w:rFonts w:ascii="宋体" w:hAnsi="宋体" w:cs="宋体" w:eastAsia="宋体" w:hint="default"/>
                <w:sz w:val="18"/>
                <w:szCs w:val="18"/>
              </w:rPr>
            </w:pPr>
            <w:r>
              <w:rPr>
                <w:rFonts w:ascii="宋体" w:hAnsi="宋体" w:cs="宋体" w:eastAsia="宋体" w:hint="default"/>
                <w:sz w:val="18"/>
                <w:szCs w:val="18"/>
              </w:rPr>
              <w:t>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1" w:right="0"/>
              <w:jc w:val="left"/>
              <w:rPr>
                <w:rFonts w:ascii="宋体" w:hAnsi="宋体" w:cs="宋体" w:eastAsia="宋体" w:hint="default"/>
                <w:sz w:val="18"/>
                <w:szCs w:val="18"/>
              </w:rPr>
            </w:pPr>
            <w:r>
              <w:rPr>
                <w:rFonts w:ascii="宋体" w:hAnsi="宋体" w:cs="宋体" w:eastAsia="宋体" w:hint="default"/>
                <w:sz w:val="18"/>
                <w:szCs w:val="18"/>
              </w:rPr>
              <w:t>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41" w:right="61" w:hanging="180"/>
              <w:jc w:val="left"/>
              <w:rPr>
                <w:rFonts w:ascii="宋体" w:hAnsi="宋体" w:cs="宋体" w:eastAsia="宋体" w:hint="default"/>
                <w:sz w:val="18"/>
                <w:szCs w:val="18"/>
              </w:rPr>
            </w:pPr>
            <w:r>
              <w:rPr>
                <w:rFonts w:ascii="宋体" w:hAnsi="宋体" w:cs="宋体" w:eastAsia="宋体" w:hint="default"/>
                <w:sz w:val="18"/>
                <w:szCs w:val="18"/>
              </w:rPr>
              <w:t>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引</w:t>
            </w:r>
          </w:p>
        </w:tc>
      </w:tr>
      <w:tr>
        <w:trPr>
          <w:trHeight w:val="352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22" w:right="0"/>
              <w:jc w:val="left"/>
              <w:rPr>
                <w:rFonts w:ascii="Times New Roman" w:hAnsi="Times New Roman" w:cs="Times New Roman" w:eastAsia="Times New Roman" w:hint="default"/>
                <w:sz w:val="18"/>
                <w:szCs w:val="18"/>
              </w:rPr>
            </w:pPr>
            <w:r>
              <w:rPr>
                <w:rFonts w:ascii="Times New Roman"/>
                <w:sz w:val="18"/>
              </w:rPr>
              <w:t>JAKKS</w:t>
            </w:r>
          </w:p>
          <w:p>
            <w:pPr>
              <w:pStyle w:val="TableParagraph"/>
              <w:spacing w:line="362" w:lineRule="auto" w:before="104"/>
              <w:ind w:left="22" w:right="221"/>
              <w:jc w:val="left"/>
              <w:rPr>
                <w:rFonts w:ascii="Times New Roman" w:hAnsi="Times New Roman" w:cs="Times New Roman" w:eastAsia="Times New Roman" w:hint="default"/>
                <w:sz w:val="18"/>
                <w:szCs w:val="18"/>
              </w:rPr>
            </w:pPr>
            <w:r>
              <w:rPr>
                <w:rFonts w:ascii="Times New Roman"/>
                <w:sz w:val="18"/>
              </w:rPr>
              <w:t>Pacific,</w:t>
            </w:r>
            <w:r>
              <w:rPr>
                <w:rFonts w:ascii="Times New Roman"/>
                <w:w w:val="99"/>
                <w:sz w:val="18"/>
              </w:rPr>
              <w:t> </w:t>
            </w:r>
            <w:r>
              <w:rPr>
                <w:rFonts w:ascii="Times New Roman"/>
                <w:sz w:val="18"/>
              </w:rPr>
              <w:t>Inc.</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美盛文 化参股 公司； 公司实 际控制 人、董 事长赵 小强先 生担任 关联方 董事</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向关联 人销售 产品、 商品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00" w:lineRule="auto"/>
              <w:ind w:left="22"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衍生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协议定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100"/>
              <w:jc w:val="both"/>
              <w:rPr>
                <w:rFonts w:ascii="宋体" w:hAnsi="宋体" w:cs="宋体" w:eastAsia="宋体" w:hint="default"/>
                <w:sz w:val="18"/>
                <w:szCs w:val="18"/>
              </w:rPr>
            </w:pPr>
            <w:r>
              <w:rPr>
                <w:rFonts w:ascii="宋体" w:hAnsi="宋体" w:cs="宋体" w:eastAsia="宋体" w:hint="default"/>
                <w:sz w:val="18"/>
                <w:szCs w:val="18"/>
              </w:rPr>
              <w:t>双方约 定的订 单价格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21,144.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23.59%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30,915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月结</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101"/>
              <w:jc w:val="both"/>
              <w:rPr>
                <w:rFonts w:ascii="宋体" w:hAnsi="宋体" w:cs="宋体" w:eastAsia="宋体" w:hint="default"/>
                <w:sz w:val="18"/>
                <w:szCs w:val="18"/>
              </w:rPr>
            </w:pPr>
            <w:r>
              <w:rPr>
                <w:rFonts w:ascii="宋体" w:hAnsi="宋体" w:cs="宋体" w:eastAsia="宋体" w:hint="default"/>
                <w:sz w:val="18"/>
                <w:szCs w:val="18"/>
              </w:rPr>
              <w:t>与同类 交易市 价持平</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67"/>
              <w:jc w:val="left"/>
              <w:rPr>
                <w:rFonts w:ascii="宋体" w:hAnsi="宋体" w:cs="宋体" w:eastAsia="宋体" w:hint="default"/>
                <w:sz w:val="18"/>
                <w:szCs w:val="18"/>
              </w:rPr>
            </w:pPr>
            <w:r>
              <w:rPr>
                <w:rFonts w:ascii="宋体" w:hAnsi="宋体" w:cs="宋体" w:eastAsia="宋体" w:hint="default"/>
                <w:sz w:val="18"/>
                <w:szCs w:val="18"/>
              </w:rPr>
              <w:t>公告编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44</w:t>
            </w:r>
          </w:p>
        </w:tc>
      </w:tr>
      <w:tr>
        <w:trPr>
          <w:trHeight w:val="161" w:hRule="exact"/>
        </w:trPr>
        <w:tc>
          <w:tcPr>
            <w:tcW w:w="286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21,144.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68</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30,915</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860"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3"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642" w:type="dxa"/>
            <w:vMerge/>
            <w:tcBorders>
              <w:left w:val="single" w:sz="4" w:space="0" w:color="000000"/>
              <w:right w:val="single" w:sz="4" w:space="0" w:color="000000"/>
            </w:tcBorders>
            <w:shd w:val="clear" w:color="auto" w:fill="D2D2D2"/>
          </w:tcPr>
          <w:p>
            <w:pPr/>
          </w:p>
        </w:tc>
      </w:tr>
      <w:tr>
        <w:trPr>
          <w:trHeight w:val="161" w:hRule="exact"/>
        </w:trPr>
        <w:tc>
          <w:tcPr>
            <w:tcW w:w="286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原预计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年度累计交易金额不超过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4500 </w:t>
            </w:r>
            <w:r>
              <w:rPr>
                <w:rFonts w:ascii="宋体" w:hAnsi="宋体" w:cs="宋体" w:eastAsia="宋体" w:hint="default"/>
                <w:sz w:val="18"/>
                <w:szCs w:val="18"/>
              </w:rPr>
              <w:t>万美元。报告期内实际发生金额为</w:t>
            </w:r>
          </w:p>
          <w:p>
            <w:pPr>
              <w:pStyle w:val="TableParagraph"/>
              <w:spacing w:line="240" w:lineRule="auto" w:before="63"/>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213,119,046.28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元，并未超出预计</w:t>
            </w:r>
          </w:p>
        </w:tc>
      </w:tr>
      <w:tr>
        <w:trPr>
          <w:trHeight w:val="714"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64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4"/>
        <w:spacing w:line="240" w:lineRule="auto"/>
        <w:ind w:right="1360"/>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12"/>
        <w:rPr>
          <w:rFonts w:ascii="宋体" w:hAnsi="宋体" w:cs="宋体" w:eastAsia="宋体" w:hint="default"/>
          <w:sz w:val="20"/>
          <w:szCs w:val="20"/>
        </w:rPr>
      </w:pPr>
    </w:p>
    <w:p>
      <w:pPr>
        <w:pStyle w:val="Heading4"/>
        <w:spacing w:line="240" w:lineRule="auto"/>
        <w:ind w:right="1360"/>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2"/>
        <w:rPr>
          <w:rFonts w:ascii="宋体" w:hAnsi="宋体" w:cs="宋体" w:eastAsia="宋体" w:hint="default"/>
          <w:sz w:val="21"/>
          <w:szCs w:val="21"/>
        </w:rPr>
      </w:pPr>
    </w:p>
    <w:p>
      <w:pPr>
        <w:pStyle w:val="Heading4"/>
        <w:spacing w:line="240" w:lineRule="auto"/>
        <w:ind w:right="1360"/>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after="0" w:line="3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360"/>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360"/>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360"/>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2"/>
        <w:rPr>
          <w:rFonts w:ascii="宋体" w:hAnsi="宋体" w:cs="宋体" w:eastAsia="宋体" w:hint="default"/>
          <w:sz w:val="20"/>
          <w:szCs w:val="20"/>
        </w:rPr>
      </w:pPr>
    </w:p>
    <w:p>
      <w:pPr>
        <w:pStyle w:val="Heading4"/>
        <w:spacing w:line="240" w:lineRule="auto"/>
        <w:ind w:right="1360"/>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1"/>
        <w:rPr>
          <w:rFonts w:ascii="宋体" w:hAnsi="宋体" w:cs="宋体" w:eastAsia="宋体" w:hint="default"/>
          <w:sz w:val="21"/>
          <w:szCs w:val="21"/>
        </w:rPr>
      </w:pPr>
    </w:p>
    <w:p>
      <w:pPr>
        <w:pStyle w:val="Heading4"/>
        <w:spacing w:line="240" w:lineRule="auto"/>
        <w:ind w:right="1360"/>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2"/>
        <w:rPr>
          <w:rFonts w:ascii="宋体" w:hAnsi="宋体" w:cs="宋体" w:eastAsia="宋体" w:hint="default"/>
          <w:sz w:val="21"/>
          <w:szCs w:val="21"/>
        </w:rPr>
      </w:pPr>
    </w:p>
    <w:p>
      <w:pPr>
        <w:pStyle w:val="Heading4"/>
        <w:spacing w:line="240" w:lineRule="auto"/>
        <w:ind w:right="1360"/>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公司报告期不存在担保情况。</w:t>
      </w:r>
    </w:p>
    <w:p>
      <w:pPr>
        <w:spacing w:line="240" w:lineRule="auto" w:before="12"/>
        <w:rPr>
          <w:rFonts w:ascii="宋体" w:hAnsi="宋体" w:cs="宋体" w:eastAsia="宋体" w:hint="default"/>
          <w:sz w:val="20"/>
          <w:szCs w:val="20"/>
        </w:rPr>
      </w:pPr>
    </w:p>
    <w:p>
      <w:pPr>
        <w:pStyle w:val="Heading4"/>
        <w:spacing w:line="240" w:lineRule="auto"/>
        <w:ind w:right="1360"/>
        <w:jc w:val="left"/>
        <w:rPr>
          <w:b w:val="0"/>
          <w:bCs w:val="0"/>
        </w:rPr>
      </w:pPr>
      <w:bookmarkStart w:name="（1）担保情况" w:id="93"/>
      <w:bookmarkEnd w:id="93"/>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2"/>
        <w:gridCol w:w="1302"/>
        <w:gridCol w:w="1057"/>
        <w:gridCol w:w="1041"/>
        <w:gridCol w:w="1048"/>
        <w:gridCol w:w="790"/>
        <w:gridCol w:w="783"/>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6"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9"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2" w:right="9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25" w:right="7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5"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8"/>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before="52"/>
        <w:ind w:left="154" w:right="136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both"/>
        <w:rPr>
          <w:b w:val="0"/>
          <w:bCs w:val="0"/>
        </w:rPr>
      </w:pPr>
      <w:bookmarkStart w:name="（2）违规对外担保情况" w:id="94"/>
      <w:bookmarkEnd w:id="94"/>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bookmarkStart w:name="3、委托他人进行现金资产管理情况" w:id="95"/>
      <w:bookmarkEnd w:id="9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spacing w:line="240" w:lineRule="auto" w:before="12"/>
        <w:rPr>
          <w:rFonts w:ascii="宋体" w:hAnsi="宋体" w:cs="宋体" w:eastAsia="宋体" w:hint="default"/>
          <w:sz w:val="20"/>
          <w:szCs w:val="20"/>
        </w:rPr>
      </w:pPr>
    </w:p>
    <w:p>
      <w:pPr>
        <w:pStyle w:val="Heading4"/>
        <w:spacing w:line="240" w:lineRule="auto"/>
        <w:ind w:right="0"/>
        <w:jc w:val="both"/>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1"/>
        <w:rPr>
          <w:rFonts w:ascii="宋体" w:hAnsi="宋体" w:cs="宋体" w:eastAsia="宋体" w:hint="default"/>
          <w:sz w:val="21"/>
          <w:szCs w:val="21"/>
        </w:rPr>
      </w:pPr>
    </w:p>
    <w:p>
      <w:pPr>
        <w:pStyle w:val="Heading4"/>
        <w:spacing w:line="240" w:lineRule="auto"/>
        <w:ind w:right="0"/>
        <w:jc w:val="both"/>
        <w:rPr>
          <w:b w:val="0"/>
          <w:bCs w:val="0"/>
        </w:rPr>
      </w:pPr>
      <w:bookmarkStart w:name="4、其他重大合同" w:id="98"/>
      <w:bookmarkEnd w:id="9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十八、社会责任情况" w:id="99"/>
      <w:bookmarkEnd w:id="99"/>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履行社会责任情况" w:id="100"/>
      <w:bookmarkEnd w:id="100"/>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8"/>
        <w:rPr>
          <w:rFonts w:ascii="宋体" w:hAnsi="宋体" w:cs="宋体" w:eastAsia="宋体" w:hint="default"/>
          <w:b/>
          <w:bCs/>
          <w:sz w:val="26"/>
          <w:szCs w:val="26"/>
        </w:rPr>
      </w:pPr>
    </w:p>
    <w:p>
      <w:pPr>
        <w:spacing w:line="316" w:lineRule="auto"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一、持续完善的公司管理机制 </w:t>
      </w:r>
      <w:r>
        <w:rPr>
          <w:rFonts w:ascii="宋体" w:hAnsi="宋体" w:cs="宋体" w:eastAsia="宋体" w:hint="default"/>
          <w:spacing w:val="-2"/>
          <w:sz w:val="18"/>
          <w:szCs w:val="18"/>
        </w:rPr>
        <w:t>公司始终坚持规范的管理模式，严格按照《公司法》、《证券法》、《上市公司治理准则》等法律法规及中国证监会关</w:t>
      </w:r>
    </w:p>
    <w:p>
      <w:pPr>
        <w:spacing w:line="316" w:lineRule="auto" w:before="19"/>
        <w:ind w:left="154" w:right="1132" w:firstLine="0"/>
        <w:jc w:val="both"/>
        <w:rPr>
          <w:rFonts w:ascii="宋体" w:hAnsi="宋体" w:cs="宋体" w:eastAsia="宋体" w:hint="default"/>
          <w:sz w:val="18"/>
          <w:szCs w:val="18"/>
        </w:rPr>
      </w:pPr>
      <w:r>
        <w:rPr>
          <w:rFonts w:ascii="宋体" w:hAnsi="宋体" w:cs="宋体" w:eastAsia="宋体" w:hint="default"/>
          <w:spacing w:val="-2"/>
          <w:sz w:val="18"/>
          <w:szCs w:val="18"/>
        </w:rPr>
        <w:t>于公司治理的有关要求，建立健全规章制度体系，有效落实各项规范管理，切实完善公司治理结构，目前已建立《公司股东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大会议事规则》《公司董事会议事规则》《公司监事会议事规则》《公司募集资金管理制度》《公司财务制度》《公司投资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者关系管理制度》《公司子公司管理办法》《公司总经理工作细则》等一系列公司制度，形成了科学有效的职责分工和制衡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机制。公司明确了股东大会、董事会、监事会和经营层的分级决策、规范运作，针对经营计划、对外投资、股权激励等重要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方面有完善的运行机制。</w:t>
      </w:r>
    </w:p>
    <w:p>
      <w:pPr>
        <w:spacing w:line="316" w:lineRule="auto" w:before="19"/>
        <w:ind w:left="514" w:right="0" w:firstLine="0"/>
        <w:jc w:val="left"/>
        <w:rPr>
          <w:rFonts w:ascii="宋体" w:hAnsi="宋体" w:cs="宋体" w:eastAsia="宋体" w:hint="default"/>
          <w:sz w:val="18"/>
          <w:szCs w:val="18"/>
        </w:rPr>
      </w:pPr>
      <w:r>
        <w:rPr>
          <w:rFonts w:ascii="宋体" w:hAnsi="宋体" w:cs="宋体" w:eastAsia="宋体" w:hint="default"/>
          <w:sz w:val="18"/>
          <w:szCs w:val="18"/>
        </w:rPr>
        <w:t>二、持续加强与投资者关系管理 </w:t>
      </w:r>
      <w:r>
        <w:rPr>
          <w:rFonts w:ascii="宋体" w:hAnsi="宋体" w:cs="宋体" w:eastAsia="宋体" w:hint="default"/>
          <w:spacing w:val="-4"/>
          <w:sz w:val="18"/>
          <w:szCs w:val="18"/>
        </w:rPr>
        <w:t>公司始终保持与广大投资者顺畅的沟通关系，通过举办定期业绩说明会、接受投资者来现场调研、接听回复投资者来电、</w:t>
      </w:r>
    </w:p>
    <w:p>
      <w:pPr>
        <w:spacing w:line="316" w:lineRule="auto" w:before="19"/>
        <w:ind w:left="514" w:right="1752" w:hanging="360"/>
        <w:jc w:val="left"/>
        <w:rPr>
          <w:rFonts w:ascii="宋体" w:hAnsi="宋体" w:cs="宋体" w:eastAsia="宋体" w:hint="default"/>
          <w:sz w:val="18"/>
          <w:szCs w:val="18"/>
        </w:rPr>
      </w:pPr>
      <w:r>
        <w:rPr>
          <w:rFonts w:ascii="宋体" w:hAnsi="宋体" w:cs="宋体" w:eastAsia="宋体" w:hint="default"/>
          <w:sz w:val="18"/>
          <w:szCs w:val="18"/>
        </w:rPr>
        <w:t>来函及电子邮件、提供股东大会网络投票等多种形式，加强与投资者的沟通，不断提高投资者关系管理工作水平。 三、员工利益保障</w:t>
      </w:r>
    </w:p>
    <w:p>
      <w:pPr>
        <w:spacing w:line="300" w:lineRule="auto" w:before="19"/>
        <w:ind w:left="58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、员工合法权益的保障 </w:t>
      </w:r>
      <w:r>
        <w:rPr>
          <w:rFonts w:ascii="宋体" w:hAnsi="宋体" w:cs="宋体" w:eastAsia="宋体" w:hint="default"/>
          <w:spacing w:val="-2"/>
          <w:sz w:val="18"/>
          <w:szCs w:val="18"/>
        </w:rPr>
        <w:t>与每位符合聘用条件的员工签订劳动合同；为员工办理医疗、养老、失业、工伤、生育等社会保险；实行年休假制度，</w:t>
      </w:r>
    </w:p>
    <w:p>
      <w:pPr>
        <w:spacing w:line="316" w:lineRule="auto" w:before="31"/>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保障员工正常作息时间；按时发薪，按照行业标准及员工个人能力定期调薪；公司按规定建立了职工代表大会，在监事会中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至少安排一名职工监事，监督企业规范运作，保障员工权益。</w:t>
      </w:r>
    </w:p>
    <w:p>
      <w:pPr>
        <w:spacing w:line="300" w:lineRule="auto" w:before="19"/>
        <w:ind w:left="514" w:right="0" w:firstLine="7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、提供优秀的晋升机制和平台 </w:t>
      </w:r>
      <w:r>
        <w:rPr>
          <w:rFonts w:ascii="宋体" w:hAnsi="宋体" w:cs="宋体" w:eastAsia="宋体" w:hint="default"/>
          <w:spacing w:val="-2"/>
          <w:sz w:val="18"/>
          <w:szCs w:val="18"/>
        </w:rPr>
        <w:t>公司以提升员工综合素质为目标，为员工量身定做人才培养计划，建立员工职业发展规划，通过培训、讲座、组织员工</w:t>
      </w:r>
    </w:p>
    <w:p>
      <w:pPr>
        <w:spacing w:line="300" w:lineRule="auto" w:before="31"/>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活动等多种方式提升员工的专业知识、工作技能和管理能力，开拓员工视野，激发员工工作积极性和创造力。</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年，公司</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在内部为员工举行了多场培训和讲座，邀请了行业内的专业和集团领导为员工授课，丰富了员工的知识储备，也为员工的职</w:t>
      </w:r>
    </w:p>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6" w:lineRule="auto" w:before="44"/>
        <w:ind w:left="514" w:right="8592" w:hanging="360"/>
        <w:jc w:val="left"/>
        <w:rPr>
          <w:rFonts w:ascii="宋体" w:hAnsi="宋体" w:cs="宋体" w:eastAsia="宋体" w:hint="default"/>
          <w:sz w:val="18"/>
          <w:szCs w:val="18"/>
        </w:rPr>
      </w:pPr>
      <w:r>
        <w:rPr>
          <w:rFonts w:ascii="宋体" w:hAnsi="宋体" w:cs="宋体" w:eastAsia="宋体" w:hint="default"/>
          <w:sz w:val="18"/>
          <w:szCs w:val="18"/>
        </w:rPr>
        <w:t>业发展创造了有利条件。 四、对业务的精益求精</w:t>
      </w:r>
    </w:p>
    <w:p>
      <w:pPr>
        <w:spacing w:line="319" w:lineRule="auto" w:before="19"/>
        <w:ind w:left="154" w:right="1131" w:firstLine="360"/>
        <w:jc w:val="both"/>
        <w:rPr>
          <w:rFonts w:ascii="宋体" w:hAnsi="宋体" w:cs="宋体" w:eastAsia="宋体" w:hint="default"/>
          <w:sz w:val="18"/>
          <w:szCs w:val="18"/>
        </w:rPr>
      </w:pPr>
      <w:r>
        <w:rPr>
          <w:rFonts w:ascii="宋体" w:hAnsi="宋体" w:cs="宋体" w:eastAsia="宋体" w:hint="default"/>
          <w:spacing w:val="-2"/>
          <w:sz w:val="18"/>
          <w:szCs w:val="18"/>
        </w:rPr>
        <w:t>公司一直将客户的体验和感受摆在首位，通过提升产品质量和服务质量来满足每一位客户的需求，给客户创造温馨的感</w:t>
      </w:r>
      <w:r>
        <w:rPr>
          <w:rFonts w:ascii="宋体" w:hAnsi="宋体" w:cs="宋体" w:eastAsia="宋体" w:hint="default"/>
          <w:sz w:val="18"/>
          <w:szCs w:val="18"/>
        </w:rPr>
        <w:t> </w:t>
      </w:r>
      <w:r>
        <w:rPr>
          <w:rFonts w:ascii="宋体" w:hAnsi="宋体" w:cs="宋体" w:eastAsia="宋体" w:hint="default"/>
          <w:spacing w:val="-2"/>
          <w:sz w:val="18"/>
          <w:szCs w:val="18"/>
        </w:rPr>
        <w:t>受。公司通过加强供应商管理，从源头上确保产品质量符合要求。并根据市场分析及调研结果不断改进产品，丰富产品内容</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提高产品品质，以此满足不同客户的需求，提升客户满意度。</w:t>
      </w:r>
    </w:p>
    <w:p>
      <w:pPr>
        <w:spacing w:line="316" w:lineRule="auto" w:before="17"/>
        <w:ind w:left="514" w:right="0" w:firstLine="0"/>
        <w:jc w:val="left"/>
        <w:rPr>
          <w:rFonts w:ascii="宋体" w:hAnsi="宋体" w:cs="宋体" w:eastAsia="宋体" w:hint="default"/>
          <w:sz w:val="18"/>
          <w:szCs w:val="18"/>
        </w:rPr>
      </w:pPr>
      <w:r>
        <w:rPr>
          <w:rFonts w:ascii="宋体" w:hAnsi="宋体" w:cs="宋体" w:eastAsia="宋体" w:hint="default"/>
          <w:sz w:val="18"/>
          <w:szCs w:val="18"/>
        </w:rPr>
        <w:t>五、倡导环保节能理念 </w:t>
      </w:r>
      <w:r>
        <w:rPr>
          <w:rFonts w:ascii="宋体" w:hAnsi="宋体" w:cs="宋体" w:eastAsia="宋体" w:hint="default"/>
          <w:spacing w:val="-2"/>
          <w:sz w:val="18"/>
          <w:szCs w:val="18"/>
        </w:rPr>
        <w:t>公司积极提倡绿色环保的办公方式，建立了</w:t>
      </w:r>
      <w:r>
        <w:rPr>
          <w:rFonts w:ascii="Times New Roman" w:hAnsi="Times New Roman" w:cs="Times New Roman" w:eastAsia="Times New Roman" w:hint="default"/>
          <w:spacing w:val="-2"/>
          <w:sz w:val="18"/>
          <w:szCs w:val="18"/>
        </w:rPr>
        <w:t>oa</w:t>
      </w:r>
      <w:r>
        <w:rPr>
          <w:rFonts w:ascii="宋体" w:hAnsi="宋体" w:cs="宋体" w:eastAsia="宋体" w:hint="default"/>
          <w:spacing w:val="-2"/>
          <w:sz w:val="18"/>
          <w:szCs w:val="18"/>
        </w:rPr>
        <w:t>办公系统、财务管理系统，充分发挥无纸化办公的优势，减少对纸张的浪</w:t>
      </w:r>
    </w:p>
    <w:p>
      <w:pPr>
        <w:spacing w:line="316" w:lineRule="auto"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费；公司提倡纸张二次利用，非重要文件尽量使用废旧纸张；电脑、复印机每日下班要及时切断电源，并安排专人检查；公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司倡导大家坐班车或者步行上班，尽量减缓交通拥堵，减少环境污染物排放。</w:t>
      </w:r>
    </w:p>
    <w:p>
      <w:pPr>
        <w:spacing w:line="309" w:lineRule="auto" w:before="59"/>
        <w:ind w:left="154" w:right="1032" w:firstLine="2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年，公司将继续以高度的社会责任感做好日常经营，规范运作，持续完善内控制度，加强与投资者的沟通，为股东 创造价值，也为员工提供更为健全的学习平台和更大的发展空间。在追求经济效益的同时，积极参与社会公益，反馈社会， 将经营活动建立在环境保护的基础上，重视节能减排与技术创新，推动企业与环境的和谐发展。</w:t>
      </w:r>
    </w:p>
    <w:p>
      <w:pPr>
        <w:spacing w:line="240" w:lineRule="auto" w:before="11"/>
        <w:rPr>
          <w:rFonts w:ascii="宋体" w:hAnsi="宋体" w:cs="宋体" w:eastAsia="宋体" w:hint="default"/>
          <w:sz w:val="22"/>
          <w:szCs w:val="22"/>
        </w:rPr>
      </w:pPr>
    </w:p>
    <w:p>
      <w:pPr>
        <w:pStyle w:val="Heading4"/>
        <w:spacing w:line="240" w:lineRule="auto"/>
        <w:ind w:right="1360"/>
        <w:jc w:val="left"/>
        <w:rPr>
          <w:b w:val="0"/>
          <w:bCs w:val="0"/>
        </w:rPr>
      </w:pPr>
      <w:bookmarkStart w:name="2、履行精准扶贫社会责任情况" w:id="101"/>
      <w:bookmarkEnd w:id="101"/>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宋体" w:hAnsi="宋体" w:cs="宋体" w:eastAsia="宋体" w:hint="default"/>
          <w:sz w:val="18"/>
          <w:szCs w:val="18"/>
        </w:rPr>
        <w:t>公司报告期暂未开展精准扶贫工作，也暂无后续精准扶贫计划。</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3、环境保护相关的情况" w:id="102"/>
      <w:bookmarkEnd w:id="102"/>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5712"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before="25"/>
        <w:ind w:left="154" w:right="1360" w:firstLine="0"/>
        <w:jc w:val="left"/>
        <w:rPr>
          <w:rFonts w:ascii="宋体" w:hAnsi="宋体" w:cs="宋体" w:eastAsia="宋体" w:hint="default"/>
          <w:sz w:val="18"/>
          <w:szCs w:val="18"/>
        </w:rPr>
      </w:pPr>
      <w:r>
        <w:rPr>
          <w:rFonts w:ascii="宋体" w:hAnsi="宋体" w:cs="宋体" w:eastAsia="宋体" w:hint="default"/>
          <w:sz w:val="18"/>
          <w:szCs w:val="18"/>
        </w:rPr>
        <w:t>公司不属于环境保护部门公布的重点排污单位。</w:t>
      </w:r>
    </w:p>
    <w:p>
      <w:pPr>
        <w:spacing w:line="240" w:lineRule="auto" w:before="2"/>
        <w:rPr>
          <w:rFonts w:ascii="宋体" w:hAnsi="宋体" w:cs="宋体" w:eastAsia="宋体" w:hint="default"/>
          <w:sz w:val="25"/>
          <w:szCs w:val="25"/>
        </w:rPr>
      </w:pPr>
    </w:p>
    <w:p>
      <w:pPr>
        <w:pStyle w:val="Heading2"/>
        <w:spacing w:line="240" w:lineRule="auto"/>
        <w:ind w:right="1360"/>
        <w:jc w:val="left"/>
        <w:rPr>
          <w:b w:val="0"/>
          <w:bCs w:val="0"/>
        </w:rPr>
      </w:pPr>
      <w:bookmarkStart w:name="十九、其他重大事项的说明" w:id="103"/>
      <w:bookmarkEnd w:id="103"/>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7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公司报告期不存在需要说明的其他重大事项。</w:t>
      </w:r>
    </w:p>
    <w:p>
      <w:pPr>
        <w:spacing w:line="240" w:lineRule="auto" w:before="3"/>
        <w:rPr>
          <w:rFonts w:ascii="宋体" w:hAnsi="宋体" w:cs="宋体" w:eastAsia="宋体" w:hint="default"/>
          <w:sz w:val="19"/>
          <w:szCs w:val="19"/>
        </w:rPr>
      </w:pPr>
    </w:p>
    <w:p>
      <w:pPr>
        <w:pStyle w:val="Heading2"/>
        <w:spacing w:line="240" w:lineRule="auto"/>
        <w:ind w:right="1360"/>
        <w:jc w:val="left"/>
        <w:rPr>
          <w:b w:val="0"/>
          <w:bCs w:val="0"/>
        </w:rPr>
      </w:pPr>
      <w:bookmarkStart w:name="二十、公司子公司重大事项" w:id="104"/>
      <w:bookmarkEnd w:id="104"/>
      <w:r>
        <w:rPr>
          <w:b w:val="0"/>
          <w:bCs w:val="0"/>
        </w:rPr>
      </w:r>
      <w:r>
        <w:rPr/>
        <w:t>二十、公司子公司重大事项</w:t>
      </w:r>
      <w:r>
        <w:rPr>
          <w:b w:val="0"/>
          <w:bCs w:val="0"/>
        </w:rPr>
      </w:r>
    </w:p>
    <w:p>
      <w:pPr>
        <w:spacing w:line="240" w:lineRule="auto" w:before="9"/>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6" w:right="1360"/>
        <w:jc w:val="left"/>
        <w:rPr>
          <w:b w:val="0"/>
          <w:bCs w:val="0"/>
        </w:rPr>
      </w:pPr>
      <w:bookmarkStart w:name="第六节 股份变动及股东情况" w:id="105"/>
      <w:bookmarkEnd w:id="105"/>
      <w:r>
        <w:rPr>
          <w:b w:val="0"/>
          <w:bCs w:val="0"/>
        </w:rPr>
      </w:r>
      <w:bookmarkStart w:name="_bookmark5" w:id="106"/>
      <w:bookmarkEnd w:id="106"/>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360"/>
        <w:jc w:val="left"/>
        <w:rPr>
          <w:b w:val="0"/>
          <w:bCs w:val="0"/>
        </w:rPr>
      </w:pPr>
      <w:bookmarkStart w:name="一、股份变动情况" w:id="107"/>
      <w:bookmarkEnd w:id="107"/>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1、股份变动情况" w:id="108"/>
      <w:bookmarkEnd w:id="108"/>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181,275,2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19.93%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-21,805,8</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-21,805,8</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159,469,3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17.53%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181,275,2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19.93%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-21,805,8</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-21,805,8</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159,469,3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17.53%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24,573,55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2.70%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-16,200,0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-16,200,0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8,373,559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0.92%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156,701,6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17.23%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-5,605,88</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-5,605,88</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151,095,7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16.61%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728,297,4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80.07%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21,805,88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21,805,88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750,103,3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82.47%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728,297,4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80.07%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21,805,88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21,805,88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750,103,3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82.47%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909,572,7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909,572,7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319" w:lineRule="auto"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年非公开发行股票中赵小强、郭瑞及杭州宏德盛投资管理有限公司所认购股份于</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日解除限售，其中法人</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股东杭州宏德盛投资管理公司解禁</w:t>
      </w:r>
      <w:r>
        <w:rPr>
          <w:rFonts w:ascii="Times New Roman" w:hAnsi="Times New Roman" w:cs="Times New Roman" w:eastAsia="Times New Roman" w:hint="default"/>
          <w:spacing w:val="-2"/>
          <w:sz w:val="18"/>
          <w:szCs w:val="18"/>
        </w:rPr>
        <w:t>16200000</w:t>
      </w:r>
      <w:r>
        <w:rPr>
          <w:rFonts w:ascii="宋体" w:hAnsi="宋体" w:cs="宋体" w:eastAsia="宋体" w:hint="default"/>
          <w:spacing w:val="-2"/>
          <w:sz w:val="18"/>
          <w:szCs w:val="18"/>
        </w:rPr>
        <w:t>股，自然人股东赵小强、郭瑞解禁</w:t>
      </w:r>
      <w:r>
        <w:rPr>
          <w:rFonts w:ascii="Times New Roman" w:hAnsi="Times New Roman" w:cs="Times New Roman" w:eastAsia="Times New Roman" w:hint="default"/>
          <w:spacing w:val="-2"/>
          <w:sz w:val="18"/>
          <w:szCs w:val="18"/>
        </w:rPr>
        <w:t>46080000</w:t>
      </w:r>
      <w:r>
        <w:rPr>
          <w:rFonts w:ascii="宋体" w:hAnsi="宋体" w:cs="宋体" w:eastAsia="宋体" w:hint="default"/>
          <w:spacing w:val="-2"/>
          <w:sz w:val="18"/>
          <w:szCs w:val="18"/>
        </w:rPr>
        <w:t>股，因赵小强、郭瑞为公司董事，仍</w:t>
      </w:r>
    </w:p>
    <w:p>
      <w:pPr>
        <w:spacing w:line="360"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需遵守高管锁定承诺。 股份变动的批准情况</w:t>
      </w:r>
    </w:p>
    <w:p>
      <w:pPr>
        <w:spacing w:line="338" w:lineRule="auto" w:before="27"/>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股份变动的过户情况</w:t>
      </w:r>
    </w:p>
    <w:p>
      <w:pPr>
        <w:spacing w:line="340" w:lineRule="auto" w:before="42"/>
        <w:ind w:left="154" w:right="87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股份回购的实施进展情况</w:t>
      </w:r>
    </w:p>
    <w:p>
      <w:pPr>
        <w:spacing w:line="338" w:lineRule="auto" w:before="41"/>
        <w:ind w:left="15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采用集中竞价方式减持回购股份的实施进展情况</w:t>
      </w:r>
    </w:p>
    <w:p>
      <w:pPr>
        <w:spacing w:line="338" w:lineRule="auto"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3"/>
          <w:sz w:val="18"/>
          <w:szCs w:val="18"/>
        </w:rPr>
        <w:t>公司于</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日召开的第三届董事会第三十一次会议、</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日召开的</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年第五次临时股东大会审议通过《回</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0" w:lineRule="auto" w:before="44"/>
        <w:ind w:left="154" w:right="1028" w:firstLine="0"/>
        <w:jc w:val="left"/>
        <w:rPr>
          <w:rFonts w:ascii="宋体" w:hAnsi="宋体" w:cs="宋体" w:eastAsia="宋体" w:hint="default"/>
          <w:sz w:val="18"/>
          <w:szCs w:val="18"/>
        </w:rPr>
      </w:pPr>
      <w:r>
        <w:rPr>
          <w:rFonts w:ascii="宋体" w:hAnsi="宋体" w:cs="宋体" w:eastAsia="宋体" w:hint="default"/>
          <w:spacing w:val="-9"/>
          <w:sz w:val="18"/>
          <w:szCs w:val="18"/>
        </w:rPr>
        <w:t>购公司股份的预案》。本次以集中竞价方式回购公司股份的资金规模为不低于</w:t>
      </w:r>
      <w:r>
        <w:rPr>
          <w:rFonts w:ascii="Times New Roman" w:hAnsi="Times New Roman" w:cs="Times New Roman" w:eastAsia="Times New Roman" w:hint="default"/>
          <w:spacing w:val="-9"/>
          <w:sz w:val="18"/>
          <w:szCs w:val="18"/>
        </w:rPr>
        <w:t>10000</w:t>
      </w:r>
      <w:r>
        <w:rPr>
          <w:rFonts w:ascii="宋体" w:hAnsi="宋体" w:cs="宋体" w:eastAsia="宋体" w:hint="default"/>
          <w:spacing w:val="-9"/>
          <w:sz w:val="18"/>
          <w:szCs w:val="18"/>
        </w:rPr>
        <w:t>万元（含），不高于人民币</w:t>
      </w:r>
      <w:r>
        <w:rPr>
          <w:rFonts w:ascii="Times New Roman" w:hAnsi="Times New Roman" w:cs="Times New Roman" w:eastAsia="Times New Roman" w:hint="default"/>
          <w:spacing w:val="-9"/>
          <w:sz w:val="18"/>
          <w:szCs w:val="18"/>
        </w:rPr>
        <w:t>20000</w:t>
      </w:r>
      <w:r>
        <w:rPr>
          <w:rFonts w:ascii="宋体" w:hAnsi="宋体" w:cs="宋体" w:eastAsia="宋体" w:hint="default"/>
          <w:spacing w:val="-9"/>
          <w:sz w:val="18"/>
          <w:szCs w:val="18"/>
        </w:rPr>
        <w:t>万元（含），</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回购价格不超过</w:t>
      </w:r>
      <w:r>
        <w:rPr>
          <w:rFonts w:ascii="Times New Roman" w:hAnsi="Times New Roman" w:cs="Times New Roman" w:eastAsia="Times New Roman" w:hint="default"/>
          <w:sz w:val="18"/>
          <w:szCs w:val="18"/>
        </w:rPr>
        <w:t>12.18</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股，回购实施期限为股东大会审议通过之日起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月内。本次回购股份将用于依法注销，减少注册资 本。</w:t>
      </w:r>
    </w:p>
    <w:p>
      <w:pPr>
        <w:spacing w:before="72"/>
        <w:ind w:left="154" w:right="1360"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line="33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公司认为必要或证券监管机构要求披露的其他内容</w:t>
      </w:r>
    </w:p>
    <w:p>
      <w:pPr>
        <w:spacing w:before="42"/>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1360"/>
        <w:jc w:val="left"/>
        <w:rPr>
          <w:b w:val="0"/>
          <w:bCs w:val="0"/>
        </w:rPr>
      </w:pPr>
      <w:bookmarkStart w:name="2、限售股份变动情况" w:id="109"/>
      <w:bookmarkEnd w:id="109"/>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spacing w:before="44"/>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before="44"/>
        <w:ind w:left="0" w:right="1136" w:firstLine="0"/>
        <w:jc w:val="right"/>
        <w:rPr>
          <w:rFonts w:ascii="宋体" w:hAnsi="宋体" w:cs="宋体" w:eastAsia="宋体" w:hint="default"/>
          <w:sz w:val="18"/>
          <w:szCs w:val="18"/>
        </w:rPr>
      </w:pPr>
      <w:r>
        <w:rPr/>
        <w:pict>
          <v:shape style="position:absolute;margin-left:56.459999pt;margin-top:-52.148281pt;width:479.35pt;height:406.4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150,250,371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5,605,884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144,644,487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72"/>
                          <w:jc w:val="left"/>
                          <w:rPr>
                            <w:rFonts w:ascii="宋体" w:hAnsi="宋体" w:cs="宋体" w:eastAsia="宋体" w:hint="default"/>
                            <w:sz w:val="18"/>
                            <w:szCs w:val="18"/>
                          </w:rPr>
                        </w:pPr>
                        <w:r>
                          <w:rPr>
                            <w:rFonts w:ascii="宋体" w:hAnsi="宋体" w:cs="宋体" w:eastAsia="宋体" w:hint="default"/>
                            <w:sz w:val="18"/>
                            <w:szCs w:val="18"/>
                          </w:rPr>
                          <w:t>首发后个人类限 售股，高管锁定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首发后限售股于</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6,451,301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6,451,301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72"/>
                          <w:jc w:val="left"/>
                          <w:rPr>
                            <w:rFonts w:ascii="宋体" w:hAnsi="宋体" w:cs="宋体" w:eastAsia="宋体" w:hint="default"/>
                            <w:sz w:val="18"/>
                            <w:szCs w:val="18"/>
                          </w:rPr>
                        </w:pPr>
                        <w:r>
                          <w:rPr>
                            <w:rFonts w:ascii="宋体" w:hAnsi="宋体" w:cs="宋体" w:eastAsia="宋体" w:hint="default"/>
                            <w:sz w:val="18"/>
                            <w:szCs w:val="18"/>
                          </w:rPr>
                          <w:t>增发后个人类限 售股，高管锁定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首发后限售股于</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解除限售</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日解 除限售。</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杭州比因美特卡 通影视有限公司</w:t>
                        </w:r>
                      </w:p>
                      <w:p>
                        <w:pPr>
                          <w:pStyle w:val="TableParagraph"/>
                          <w:spacing w:line="319" w:lineRule="auto" w:before="19"/>
                          <w:ind w:left="22" w:right="75"/>
                          <w:jc w:val="both"/>
                          <w:rPr>
                            <w:rFonts w:ascii="宋体" w:hAnsi="宋体" w:cs="宋体" w:eastAsia="宋体" w:hint="default"/>
                            <w:sz w:val="18"/>
                            <w:szCs w:val="18"/>
                          </w:rPr>
                        </w:pPr>
                        <w:r>
                          <w:rPr>
                            <w:rFonts w:ascii="宋体" w:hAnsi="宋体" w:cs="宋体" w:eastAsia="宋体" w:hint="default"/>
                            <w:sz w:val="18"/>
                            <w:szCs w:val="18"/>
                          </w:rPr>
                          <w:t>（现更名为杭州 宏德盛投资管理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增发后机构类限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首发后机构类限 售类股已于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302" w:lineRule="auto"/>
                          <w:ind w:left="22" w:right="7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 限售。</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5"/>
                          <w:jc w:val="both"/>
                          <w:rPr>
                            <w:rFonts w:ascii="宋体" w:hAnsi="宋体" w:cs="宋体" w:eastAsia="宋体" w:hint="default"/>
                            <w:sz w:val="18"/>
                            <w:szCs w:val="18"/>
                          </w:rPr>
                        </w:pPr>
                        <w:r>
                          <w:rPr>
                            <w:rFonts w:ascii="宋体" w:hAnsi="宋体" w:cs="宋体" w:eastAsia="宋体" w:hint="default"/>
                            <w:sz w:val="18"/>
                            <w:szCs w:val="18"/>
                          </w:rPr>
                          <w:t>新余天游投资管 理中心（普通合 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4,001,400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4,001,400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72"/>
                          <w:jc w:val="left"/>
                          <w:rPr>
                            <w:rFonts w:ascii="宋体" w:hAnsi="宋体" w:cs="宋体" w:eastAsia="宋体" w:hint="default"/>
                            <w:sz w:val="18"/>
                            <w:szCs w:val="18"/>
                          </w:rPr>
                        </w:pPr>
                        <w:r>
                          <w:rPr>
                            <w:rFonts w:ascii="宋体" w:hAnsi="宋体" w:cs="宋体" w:eastAsia="宋体" w:hint="default"/>
                            <w:sz w:val="18"/>
                            <w:szCs w:val="18"/>
                          </w:rPr>
                          <w:t>增发后机构类限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增发后机构类限 售股于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2" w:lineRule="auto"/>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 限售。</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5"/>
                          <w:jc w:val="both"/>
                          <w:rPr>
                            <w:rFonts w:ascii="宋体" w:hAnsi="宋体" w:cs="宋体" w:eastAsia="宋体" w:hint="default"/>
                            <w:sz w:val="18"/>
                            <w:szCs w:val="18"/>
                          </w:rPr>
                        </w:pPr>
                        <w:r>
                          <w:rPr>
                            <w:rFonts w:ascii="宋体" w:hAnsi="宋体" w:cs="宋体" w:eastAsia="宋体" w:hint="default"/>
                            <w:sz w:val="18"/>
                            <w:szCs w:val="18"/>
                          </w:rPr>
                          <w:t>新余乐活投资管 理中心（普通合 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4,372,158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4,372,158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72"/>
                          <w:jc w:val="left"/>
                          <w:rPr>
                            <w:rFonts w:ascii="宋体" w:hAnsi="宋体" w:cs="宋体" w:eastAsia="宋体" w:hint="default"/>
                            <w:sz w:val="18"/>
                            <w:szCs w:val="18"/>
                          </w:rPr>
                        </w:pPr>
                        <w:r>
                          <w:rPr>
                            <w:rFonts w:ascii="宋体" w:hAnsi="宋体" w:cs="宋体" w:eastAsia="宋体" w:hint="default"/>
                            <w:sz w:val="18"/>
                            <w:szCs w:val="18"/>
                          </w:rPr>
                          <w:t>增发后机构类限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增发后机构类限 售股于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2" w:lineRule="auto"/>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 限售。</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181,275,230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21,805,884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159,469,346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2"/>
        <w:spacing w:line="240" w:lineRule="auto" w:before="26"/>
        <w:ind w:right="1360"/>
        <w:jc w:val="left"/>
        <w:rPr>
          <w:b w:val="0"/>
          <w:bCs w:val="0"/>
        </w:rPr>
      </w:pPr>
      <w:bookmarkStart w:name="二、证券发行与上市情况" w:id="110"/>
      <w:bookmarkEnd w:id="110"/>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1、报告期内证券发行（不含优先股）情况" w:id="111"/>
      <w:bookmarkEnd w:id="111"/>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360"/>
        <w:jc w:val="left"/>
        <w:rPr>
          <w:b w:val="0"/>
          <w:bCs w:val="0"/>
        </w:rPr>
      </w:pPr>
      <w:bookmarkStart w:name="2、公司股份总数及股东结构的变动、公司资产和负债结构的变动情况说明" w:id="112"/>
      <w:bookmarkEnd w:id="112"/>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360"/>
        <w:jc w:val="left"/>
        <w:rPr>
          <w:b w:val="0"/>
          <w:bCs w:val="0"/>
        </w:rPr>
      </w:pPr>
      <w:bookmarkStart w:name="3、现存的内部职工股情况" w:id="113"/>
      <w:bookmarkEnd w:id="113"/>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360"/>
        <w:jc w:val="left"/>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360"/>
        <w:jc w:val="left"/>
        <w:rPr>
          <w:b w:val="0"/>
          <w:bCs w:val="0"/>
        </w:rPr>
      </w:pPr>
      <w:bookmarkStart w:name="1、公司股东数量及持股情况" w:id="115"/>
      <w:bookmarkEnd w:id="115"/>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37,788</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6" w:right="0"/>
              <w:jc w:val="left"/>
              <w:rPr>
                <w:rFonts w:ascii="Times New Roman" w:hAnsi="Times New Roman" w:cs="Times New Roman" w:eastAsia="Times New Roman" w:hint="default"/>
                <w:sz w:val="18"/>
                <w:szCs w:val="18"/>
              </w:rPr>
            </w:pPr>
            <w:r>
              <w:rPr>
                <w:rFonts w:ascii="Times New Roman"/>
                <w:b/>
                <w:sz w:val="18"/>
              </w:rPr>
              <w:t>41489</w:t>
            </w:r>
            <w:r>
              <w:rPr>
                <w:rFonts w:ascii="Times New Roman"/>
                <w:sz w:val="18"/>
              </w:rPr>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9"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美盛控股集团有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37.76%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343,450,8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333,799,049</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20.62%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187,587,1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144,644,4</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87</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187,582,361</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新昌县宏盛投资 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5.85%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53,222,40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45,000,000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上海圭蔓企业管 </w:t>
            </w:r>
            <w:r>
              <w:rPr>
                <w:rFonts w:ascii="宋体" w:hAnsi="宋体" w:cs="宋体" w:eastAsia="宋体" w:hint="default"/>
                <w:spacing w:val="-4"/>
                <w:sz w:val="18"/>
                <w:szCs w:val="18"/>
              </w:rPr>
              <w:t>理合伙企业（有限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4.33%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39,375,37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35,952,021</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徐建刚</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2.26%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20,574,46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20,574,462</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香港中央结算有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1.49%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13,557,59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518,185</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华信信托股份有 限公司－华信信 托</w:t>
            </w:r>
            <w:r>
              <w:rPr>
                <w:rFonts w:ascii="Times New Roman" w:hAnsi="Times New Roman" w:cs="Times New Roman" w:eastAsia="Times New Roman" w:hint="default"/>
                <w:sz w:val="18"/>
                <w:szCs w:val="18"/>
              </w:rPr>
              <w:t>·</w:t>
            </w:r>
            <w:r>
              <w:rPr>
                <w:rFonts w:ascii="宋体" w:hAnsi="宋体" w:cs="宋体" w:eastAsia="宋体" w:hint="default"/>
                <w:sz w:val="18"/>
                <w:szCs w:val="18"/>
              </w:rPr>
              <w:t>工信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 资金信托计划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1.09%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9,955,211</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0.95%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8,601,734</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6,451,300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786"/>
        <w:gridCol w:w="788"/>
        <w:gridCol w:w="787"/>
        <w:gridCol w:w="840"/>
        <w:gridCol w:w="1349"/>
        <w:gridCol w:w="1348"/>
      </w:tblGrid>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金燕</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7,400,000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新余乐活投资管 理中心（有限合 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4,372,159</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4,372,159</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319" w:lineRule="auto" w:before="51"/>
              <w:ind w:left="15" w:right="21"/>
              <w:jc w:val="left"/>
              <w:rPr>
                <w:rFonts w:ascii="宋体" w:hAnsi="宋体" w:cs="宋体" w:eastAsia="宋体" w:hint="default"/>
                <w:sz w:val="18"/>
                <w:szCs w:val="18"/>
              </w:rPr>
            </w:pPr>
            <w:r>
              <w:rPr>
                <w:rFonts w:ascii="宋体" w:hAnsi="宋体" w:cs="宋体" w:eastAsia="宋体" w:hint="default"/>
                <w:spacing w:val="-1"/>
                <w:sz w:val="18"/>
                <w:szCs w:val="18"/>
              </w:rPr>
              <w:t>赵小强担任公司法定代表人及董事长职务，为美盛控股集团有限公司和新昌县宏盛投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资有限公司的实际控制人，未知其他股东是否有关联关系。</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美盛控股集团有限公司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343,450,800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343,450,800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新昌县宏盛投资有限公司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53,222,400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53,222,400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42,942,675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42,942,675</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上海圭蔓企业管理合伙企业（有限合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b/>
                <w:sz w:val="18"/>
              </w:rPr>
              <w:t>39,375,373</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b/>
                <w:sz w:val="18"/>
              </w:rPr>
              <w:t>39,375,373</w:t>
            </w:r>
            <w:r>
              <w:rPr>
                <w:rFonts w:ascii="Times New Roman"/>
                <w:sz w:val="18"/>
              </w:rPr>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徐建刚</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20,574,462</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z w:val="18"/>
              </w:rPr>
              <w:t>20,574,462</w:t>
            </w:r>
            <w:r>
              <w:rPr>
                <w:rFonts w:ascii="Times New Roman"/>
                <w:sz w:val="18"/>
              </w:rPr>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13,557,592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13,557,592</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27"/>
              <w:jc w:val="left"/>
              <w:rPr>
                <w:rFonts w:ascii="宋体" w:hAnsi="宋体" w:cs="宋体" w:eastAsia="宋体" w:hint="default"/>
                <w:sz w:val="18"/>
                <w:szCs w:val="18"/>
              </w:rPr>
            </w:pPr>
            <w:r>
              <w:rPr>
                <w:rFonts w:ascii="宋体" w:hAnsi="宋体" w:cs="宋体" w:eastAsia="宋体" w:hint="default"/>
                <w:sz w:val="18"/>
                <w:szCs w:val="18"/>
              </w:rPr>
              <w:t>华信信托股份有限公司－华信信 托</w:t>
            </w:r>
            <w:r>
              <w:rPr>
                <w:rFonts w:ascii="Times New Roman" w:hAnsi="Times New Roman" w:cs="Times New Roman" w:eastAsia="Times New Roman" w:hint="default"/>
                <w:sz w:val="18"/>
                <w:szCs w:val="18"/>
              </w:rPr>
              <w:t>·</w:t>
            </w:r>
            <w:r>
              <w:rPr>
                <w:rFonts w:ascii="宋体" w:hAnsi="宋体" w:cs="宋体" w:eastAsia="宋体" w:hint="default"/>
                <w:sz w:val="18"/>
                <w:szCs w:val="18"/>
              </w:rPr>
              <w:t>工信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9,955,211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9,955,211</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金燕</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7,400,000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中国农业银行股份有限公司－中证</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交易型开放式指数证券投资基金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3,750,089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3,750,089</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陈希远</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2,975,125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2,975,125</w:t>
            </w:r>
          </w:p>
        </w:tc>
      </w:tr>
      <w:tr>
        <w:trPr>
          <w:trHeight w:val="1338"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5" w:right="21"/>
              <w:jc w:val="left"/>
              <w:rPr>
                <w:rFonts w:ascii="宋体" w:hAnsi="宋体" w:cs="宋体" w:eastAsia="宋体" w:hint="default"/>
                <w:sz w:val="18"/>
                <w:szCs w:val="18"/>
              </w:rPr>
            </w:pPr>
            <w:r>
              <w:rPr>
                <w:rFonts w:ascii="宋体" w:hAnsi="宋体" w:cs="宋体" w:eastAsia="宋体" w:hint="default"/>
                <w:spacing w:val="-1"/>
                <w:sz w:val="18"/>
                <w:szCs w:val="18"/>
              </w:rPr>
              <w:t>赵小强担任公司法定代表人及董事长职务，为美盛控股集团有限公司和新昌县宏盛投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资有限公司的实际控制人，未知其他股东是否有关联关系。</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4" w:right="136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4"/>
        <w:spacing w:line="240" w:lineRule="auto"/>
        <w:ind w:right="1360"/>
        <w:jc w:val="left"/>
        <w:rPr>
          <w:b w:val="0"/>
          <w:bCs w:val="0"/>
        </w:rPr>
      </w:pPr>
      <w:bookmarkStart w:name="2、公司控股股东情况" w:id="116"/>
      <w:bookmarkEnd w:id="116"/>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592"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1997"/>
        <w:gridCol w:w="1829"/>
        <w:gridCol w:w="1894"/>
        <w:gridCol w:w="1935"/>
        <w:gridCol w:w="1914"/>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818" w:right="75"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67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美盛控股集团有限公司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91330624668325905U</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8"/>
              <w:jc w:val="left"/>
              <w:rPr>
                <w:rFonts w:ascii="宋体" w:hAnsi="宋体" w:cs="宋体" w:eastAsia="宋体" w:hint="default"/>
                <w:sz w:val="18"/>
                <w:szCs w:val="18"/>
              </w:rPr>
            </w:pPr>
            <w:r>
              <w:rPr>
                <w:rFonts w:ascii="宋体" w:hAnsi="宋体" w:cs="宋体" w:eastAsia="宋体" w:hint="default"/>
                <w:sz w:val="18"/>
                <w:szCs w:val="18"/>
              </w:rPr>
              <w:t>实业投资；资产管理咨 询，项目投资咨询；房</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7"/>
        <w:gridCol w:w="1829"/>
        <w:gridCol w:w="1894"/>
        <w:gridCol w:w="1935"/>
        <w:gridCol w:w="1914"/>
      </w:tblGrid>
      <w:tr>
        <w:trPr>
          <w:trHeight w:val="2235" w:hRule="exact"/>
        </w:trPr>
        <w:tc>
          <w:tcPr>
            <w:tcW w:w="199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78"/>
              <w:jc w:val="both"/>
              <w:rPr>
                <w:rFonts w:ascii="宋体" w:hAnsi="宋体" w:cs="宋体" w:eastAsia="宋体" w:hint="default"/>
                <w:sz w:val="18"/>
                <w:szCs w:val="18"/>
              </w:rPr>
            </w:pPr>
            <w:r>
              <w:rPr>
                <w:rFonts w:ascii="宋体" w:hAnsi="宋体" w:cs="宋体" w:eastAsia="宋体" w:hint="default"/>
                <w:sz w:val="18"/>
                <w:szCs w:val="18"/>
              </w:rPr>
              <w:t>地产开发；销售：日用 百货、家用纺织品、服 装用原辅材料、差别化 纤维；旅游开发（依法 须经批准的项目，经相 关部门批准后方可开展 经营活动）</w:t>
            </w:r>
          </w:p>
        </w:tc>
      </w:tr>
      <w:tr>
        <w:trPr>
          <w:trHeight w:val="1026"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1"/>
        <w:rPr>
          <w:rFonts w:ascii="宋体" w:hAnsi="宋体" w:cs="宋体" w:eastAsia="宋体" w:hint="default"/>
          <w:sz w:val="21"/>
          <w:szCs w:val="21"/>
        </w:rPr>
      </w:pPr>
    </w:p>
    <w:p>
      <w:pPr>
        <w:pStyle w:val="Heading4"/>
        <w:spacing w:line="240" w:lineRule="auto"/>
        <w:ind w:right="1360"/>
        <w:jc w:val="left"/>
        <w:rPr>
          <w:b w:val="0"/>
          <w:bCs w:val="0"/>
        </w:rPr>
      </w:pPr>
      <w:bookmarkStart w:name="3、公司实际控制人及其一致行动人" w:id="117"/>
      <w:bookmarkEnd w:id="117"/>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详见第八节 董事、监事、高级管理人员和员工情况之任职情况</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54" w:right="136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34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p>
      <w:pPr>
        <w:spacing w:line="4305" w:lineRule="exact"/>
        <w:ind w:left="1356"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4591456" cy="27336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4591456" cy="2733675"/>
                    </a:xfrm>
                    <a:prstGeom prst="rect">
                      <a:avLst/>
                    </a:prstGeom>
                  </pic:spPr>
                </pic:pic>
              </a:graphicData>
            </a:graphic>
          </wp:inline>
        </w:drawing>
      </w:r>
      <w:r>
        <w:rPr>
          <w:rFonts w:ascii="宋体" w:hAnsi="宋体" w:cs="宋体" w:eastAsia="宋体" w:hint="default"/>
          <w:position w:val="-85"/>
          <w:sz w:val="20"/>
          <w:szCs w:val="20"/>
        </w:rPr>
      </w:r>
    </w:p>
    <w:p>
      <w:pPr>
        <w:spacing w:line="240" w:lineRule="auto" w:before="12"/>
        <w:rPr>
          <w:rFonts w:ascii="宋体" w:hAnsi="宋体" w:cs="宋体" w:eastAsia="宋体" w:hint="default"/>
          <w:sz w:val="12"/>
          <w:szCs w:val="12"/>
        </w:rPr>
      </w:pPr>
    </w:p>
    <w:p>
      <w:pPr>
        <w:spacing w:before="26"/>
        <w:ind w:left="154" w:right="136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1360"/>
        <w:jc w:val="left"/>
        <w:rPr>
          <w:b w:val="0"/>
          <w:bCs w:val="0"/>
        </w:rPr>
      </w:pPr>
      <w:bookmarkStart w:name="4、其他持股在10%以上的法人股东" w:id="118"/>
      <w:bookmarkEnd w:id="118"/>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4"/>
        <w:spacing w:line="240" w:lineRule="auto"/>
        <w:ind w:right="1360"/>
        <w:jc w:val="left"/>
        <w:rPr>
          <w:b w:val="0"/>
          <w:bCs w:val="0"/>
        </w:rPr>
      </w:pPr>
      <w:bookmarkStart w:name="5、控股股东、实际控制人、重组方及其他承诺主体股份限制减持情况" w:id="119"/>
      <w:bookmarkEnd w:id="119"/>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1360"/>
        <w:jc w:val="left"/>
        <w:rPr>
          <w:b w:val="0"/>
          <w:bCs w:val="0"/>
        </w:rPr>
      </w:pPr>
      <w:bookmarkStart w:name="第七节 优先股相关情况" w:id="120"/>
      <w:bookmarkEnd w:id="120"/>
      <w:r>
        <w:rPr>
          <w:b w:val="0"/>
          <w:bCs w:val="0"/>
        </w:rPr>
      </w:r>
      <w:bookmarkStart w:name="_bookmark6" w:id="121"/>
      <w:bookmarkEnd w:id="121"/>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4" w:right="85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line="240" w:lineRule="auto" w:before="6"/>
        <w:rPr>
          <w:rFonts w:ascii="宋体" w:hAnsi="宋体" w:cs="宋体" w:eastAsia="宋体" w:hint="default"/>
          <w:sz w:val="19"/>
          <w:szCs w:val="19"/>
        </w:rPr>
      </w:pPr>
    </w:p>
    <w:p>
      <w:pPr>
        <w:pStyle w:val="Heading2"/>
        <w:spacing w:line="240" w:lineRule="auto"/>
        <w:ind w:right="1360"/>
        <w:jc w:val="left"/>
        <w:rPr>
          <w:b w:val="0"/>
          <w:bCs w:val="0"/>
        </w:rPr>
      </w:pPr>
      <w:bookmarkStart w:name="一、报告期末近3年优先股的发行与上市情况" w:id="122"/>
      <w:bookmarkEnd w:id="122"/>
      <w:r>
        <w:rPr>
          <w:b w:val="0"/>
          <w:bCs w:val="0"/>
        </w:rPr>
      </w:r>
      <w:r>
        <w:rPr/>
        <w:t>一、报告期末近</w:t>
      </w:r>
      <w:r>
        <w:rPr>
          <w:spacing w:val="-69"/>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年优先股的发行与上市情况</w:t>
      </w:r>
      <w:r>
        <w:rPr>
          <w:b w:val="0"/>
          <w:bCs w:val="0"/>
        </w:rPr>
      </w:r>
    </w:p>
    <w:p>
      <w:pPr>
        <w:spacing w:line="240" w:lineRule="auto" w:before="4"/>
        <w:rPr>
          <w:rFonts w:ascii="宋体" w:hAnsi="宋体" w:cs="宋体" w:eastAsia="宋体" w:hint="default"/>
          <w:b/>
          <w:bCs/>
          <w:sz w:val="25"/>
          <w:szCs w:val="25"/>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360"/>
        <w:jc w:val="left"/>
        <w:rPr>
          <w:b w:val="0"/>
          <w:bCs w:val="0"/>
        </w:rPr>
      </w:pPr>
      <w:bookmarkStart w:name="二、公司优先股股东数量及持股情况" w:id="123"/>
      <w:bookmarkEnd w:id="123"/>
      <w:r>
        <w:rPr>
          <w:b w:val="0"/>
          <w:bCs w:val="0"/>
        </w:rPr>
      </w:r>
      <w:r>
        <w:rPr/>
        <w:t>二、公司优先股股东数量及持股情况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10"/>
        <w:gridCol w:w="1574"/>
        <w:gridCol w:w="1180"/>
        <w:gridCol w:w="916"/>
        <w:gridCol w:w="917"/>
        <w:gridCol w:w="918"/>
        <w:gridCol w:w="918"/>
        <w:gridCol w:w="917"/>
        <w:gridCol w:w="917"/>
      </w:tblGrid>
      <w:tr>
        <w:trPr>
          <w:trHeight w:val="402" w:hRule="exact"/>
        </w:trPr>
        <w:tc>
          <w:tcPr>
            <w:tcW w:w="956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30" w:right="0"/>
              <w:jc w:val="left"/>
              <w:rPr>
                <w:rFonts w:ascii="宋体" w:hAnsi="宋体" w:cs="宋体" w:eastAsia="宋体" w:hint="default"/>
                <w:sz w:val="18"/>
                <w:szCs w:val="18"/>
              </w:rPr>
            </w:pPr>
            <w:r>
              <w:rPr>
                <w:rFonts w:ascii="宋体" w:hAnsi="宋体" w:cs="宋体" w:eastAsia="宋体" w:hint="default"/>
                <w:sz w:val="18"/>
                <w:szCs w:val="18"/>
              </w:rPr>
              <w:t>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以上优先股股份的股东或前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名优先股股东持股情况</w:t>
            </w:r>
          </w:p>
        </w:tc>
      </w:tr>
      <w:tr>
        <w:trPr>
          <w:trHeight w:val="402" w:hRule="exact"/>
        </w:trPr>
        <w:tc>
          <w:tcPr>
            <w:tcW w:w="13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2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1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4" w:right="91"/>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3" w:right="9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18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310" w:type="dxa"/>
            <w:vMerge/>
            <w:tcBorders>
              <w:left w:val="single" w:sz="4" w:space="0" w:color="000000"/>
              <w:bottom w:val="single" w:sz="4" w:space="0" w:color="000000"/>
              <w:right w:val="single" w:sz="4" w:space="0" w:color="000000"/>
            </w:tcBorders>
            <w:shd w:val="clear" w:color="auto" w:fill="D2D2D2"/>
          </w:tcPr>
          <w:p>
            <w:pPr/>
          </w:p>
        </w:tc>
        <w:tc>
          <w:tcPr>
            <w:tcW w:w="1574" w:type="dxa"/>
            <w:vMerge/>
            <w:tcBorders>
              <w:left w:val="single" w:sz="4" w:space="0" w:color="000000"/>
              <w:bottom w:val="single" w:sz="4" w:space="0" w:color="000000"/>
              <w:right w:val="single" w:sz="4" w:space="0" w:color="000000"/>
            </w:tcBorders>
            <w:shd w:val="clear" w:color="auto" w:fill="D2D2D2"/>
          </w:tcPr>
          <w:p>
            <w:pPr/>
          </w:p>
        </w:tc>
        <w:tc>
          <w:tcPr>
            <w:tcW w:w="1180" w:type="dxa"/>
            <w:vMerge/>
            <w:tcBorders>
              <w:left w:val="single" w:sz="4" w:space="0" w:color="000000"/>
              <w:bottom w:val="single" w:sz="4" w:space="0" w:color="000000"/>
              <w:right w:val="single" w:sz="4" w:space="0" w:color="000000"/>
            </w:tcBorders>
            <w:shd w:val="clear" w:color="auto" w:fill="D2D2D2"/>
          </w:tcPr>
          <w:p>
            <w:pPr/>
          </w:p>
        </w:tc>
        <w:tc>
          <w:tcPr>
            <w:tcW w:w="916"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数量</w:t>
            </w:r>
          </w:p>
        </w:tc>
      </w:tr>
    </w:tbl>
    <w:p>
      <w:pPr>
        <w:spacing w:line="240" w:lineRule="auto" w:before="2"/>
        <w:rPr>
          <w:rFonts w:ascii="宋体" w:hAnsi="宋体" w:cs="宋体" w:eastAsia="宋体" w:hint="default"/>
          <w:sz w:val="18"/>
          <w:szCs w:val="18"/>
        </w:rPr>
      </w:pPr>
    </w:p>
    <w:p>
      <w:pPr>
        <w:pStyle w:val="Heading2"/>
        <w:spacing w:line="240" w:lineRule="auto" w:before="26"/>
        <w:ind w:right="1360"/>
        <w:jc w:val="left"/>
        <w:rPr>
          <w:b w:val="0"/>
          <w:bCs w:val="0"/>
        </w:rPr>
      </w:pPr>
      <w:bookmarkStart w:name="三、公司优先股的利润分配情况" w:id="124"/>
      <w:bookmarkEnd w:id="124"/>
      <w:r>
        <w:rPr>
          <w:b w:val="0"/>
          <w:bCs w:val="0"/>
        </w:rPr>
      </w:r>
      <w:r>
        <w:rPr/>
        <w:t>三、公司优先股的利润分配情况</w:t>
      </w:r>
      <w:r>
        <w:rPr>
          <w:b w:val="0"/>
          <w:bCs w:val="0"/>
        </w:rPr>
      </w:r>
    </w:p>
    <w:p>
      <w:pPr>
        <w:spacing w:line="240" w:lineRule="auto" w:before="8"/>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360"/>
        <w:jc w:val="left"/>
        <w:rPr>
          <w:b w:val="0"/>
          <w:bCs w:val="0"/>
        </w:rPr>
      </w:pPr>
      <w:bookmarkStart w:name="四、优先股回购或转换情况" w:id="125"/>
      <w:bookmarkEnd w:id="125"/>
      <w:r>
        <w:rPr>
          <w:b w:val="0"/>
          <w:bCs w:val="0"/>
        </w:rPr>
      </w:r>
      <w:r>
        <w:rPr/>
        <w:t>四、优先股回购或转换情况</w:t>
      </w:r>
      <w:r>
        <w:rPr>
          <w:b w:val="0"/>
          <w:bCs w:val="0"/>
        </w:rPr>
      </w:r>
    </w:p>
    <w:p>
      <w:pPr>
        <w:spacing w:line="240" w:lineRule="auto" w:before="7"/>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360"/>
        <w:jc w:val="left"/>
        <w:rPr>
          <w:b w:val="0"/>
          <w:bCs w:val="0"/>
        </w:rPr>
      </w:pPr>
      <w:bookmarkStart w:name="五、报告期内优先股表决权恢复情况" w:id="126"/>
      <w:bookmarkEnd w:id="126"/>
      <w:r>
        <w:rPr>
          <w:b w:val="0"/>
          <w:bCs w:val="0"/>
        </w:rPr>
      </w:r>
      <w:r>
        <w:rPr/>
        <w:t>五、报告期内优先股表决权恢复情况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360"/>
        <w:jc w:val="left"/>
        <w:rPr>
          <w:b w:val="0"/>
          <w:bCs w:val="0"/>
        </w:rPr>
      </w:pPr>
      <w:bookmarkStart w:name="1、优先股表决权的恢复、行使情况" w:id="127"/>
      <w:bookmarkEnd w:id="127"/>
      <w:r>
        <w:rPr>
          <w:b w:val="0"/>
          <w:bCs w:val="0"/>
        </w:rPr>
      </w:r>
      <w:r>
        <w:rPr>
          <w:rFonts w:ascii="Times New Roman" w:hAnsi="Times New Roman" w:cs="Times New Roman" w:eastAsia="Times New Roman" w:hint="default"/>
        </w:rPr>
        <w:t>1</w:t>
      </w:r>
      <w:r>
        <w:rPr/>
        <w:t>、优先股表决权的恢复、行使情况</w:t>
      </w:r>
      <w:r>
        <w:rPr>
          <w:b w:val="0"/>
          <w:bCs w:val="0"/>
        </w:rPr>
      </w:r>
    </w:p>
    <w:p>
      <w:pPr>
        <w:spacing w:line="240" w:lineRule="auto" w:before="8"/>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360"/>
        <w:jc w:val="left"/>
        <w:rPr>
          <w:b w:val="0"/>
          <w:bCs w:val="0"/>
        </w:rPr>
      </w:pPr>
      <w:bookmarkStart w:name="2、优先股表决权恢复涉及的股东和实际控制人情况" w:id="128"/>
      <w:bookmarkEnd w:id="128"/>
      <w:r>
        <w:rPr>
          <w:b w:val="0"/>
          <w:bCs w:val="0"/>
        </w:rPr>
      </w:r>
      <w:r>
        <w:rPr>
          <w:rFonts w:ascii="Times New Roman" w:hAnsi="Times New Roman" w:cs="Times New Roman" w:eastAsia="Times New Roman" w:hint="default"/>
        </w:rPr>
        <w:t>2</w:t>
      </w:r>
      <w:r>
        <w:rPr/>
        <w:t>、优先股表决权恢复涉及的股东和实际控制人情况</w:t>
      </w:r>
      <w:r>
        <w:rPr>
          <w:b w:val="0"/>
          <w:bCs w:val="0"/>
        </w:rPr>
      </w:r>
    </w:p>
    <w:p>
      <w:pPr>
        <w:spacing w:line="240" w:lineRule="auto" w:before="9"/>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360"/>
        <w:jc w:val="left"/>
        <w:rPr>
          <w:b w:val="0"/>
          <w:bCs w:val="0"/>
        </w:rPr>
      </w:pPr>
      <w:bookmarkStart w:name="六、优先股所采取的会计政策及理由" w:id="129"/>
      <w:bookmarkEnd w:id="129"/>
      <w:r>
        <w:rPr>
          <w:b w:val="0"/>
          <w:bCs w:val="0"/>
        </w:rPr>
      </w:r>
      <w:r>
        <w:rPr/>
        <w:t>六、优先股所采取的会计政策及理由</w:t>
      </w:r>
      <w:r>
        <w:rPr>
          <w:b w:val="0"/>
          <w:bCs w:val="0"/>
        </w:rPr>
      </w:r>
    </w:p>
    <w:p>
      <w:pPr>
        <w:spacing w:line="240" w:lineRule="auto" w:before="9"/>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1360"/>
        <w:jc w:val="left"/>
        <w:rPr>
          <w:b w:val="0"/>
          <w:bCs w:val="0"/>
        </w:rPr>
      </w:pPr>
      <w:bookmarkStart w:name="第八节 董事、监事、高级管理人员和员工情况" w:id="130"/>
      <w:bookmarkEnd w:id="130"/>
      <w:r>
        <w:rPr>
          <w:b w:val="0"/>
          <w:bCs w:val="0"/>
        </w:rPr>
      </w:r>
      <w:bookmarkStart w:name="_bookmark7" w:id="131"/>
      <w:bookmarkEnd w:id="131"/>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360"/>
        <w:jc w:val="left"/>
        <w:rPr>
          <w:b w:val="0"/>
          <w:bCs w:val="0"/>
        </w:rPr>
      </w:pPr>
      <w:bookmarkStart w:name="一、董事、监事和高级管理人员持股变动" w:id="132"/>
      <w:bookmarkEnd w:id="132"/>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187,587,1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187,587,1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8,601,734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8,601,734</w:t>
            </w:r>
          </w:p>
        </w:tc>
      </w:tr>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196,188,8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196,188,8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r>
    </w:tbl>
    <w:p>
      <w:pPr>
        <w:spacing w:line="240" w:lineRule="auto" w:before="2"/>
        <w:rPr>
          <w:rFonts w:ascii="宋体" w:hAnsi="宋体" w:cs="宋体" w:eastAsia="宋体" w:hint="default"/>
          <w:b/>
          <w:bCs/>
          <w:sz w:val="18"/>
          <w:szCs w:val="18"/>
        </w:rPr>
      </w:pPr>
    </w:p>
    <w:p>
      <w:pPr>
        <w:pStyle w:val="Heading2"/>
        <w:spacing w:line="240" w:lineRule="auto" w:before="26"/>
        <w:ind w:right="1360"/>
        <w:jc w:val="left"/>
        <w:rPr>
          <w:b w:val="0"/>
          <w:bCs w:val="0"/>
        </w:rPr>
      </w:pPr>
      <w:bookmarkStart w:name="二、公司董事、监事、高级管理人员变动情况" w:id="133"/>
      <w:bookmarkEnd w:id="133"/>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张丹峰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董事会秘书董事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个人原因辞去董秘职务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竺林芳</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个人原因辞去财务总监职务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李学文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个人原因辞去监事职务</w:t>
            </w: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bookmarkStart w:name="三、任职情况" w:id="134"/>
      <w:bookmarkEnd w:id="134"/>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316" w:lineRule="auto" w:before="116"/>
        <w:ind w:left="587" w:right="0" w:hanging="143"/>
        <w:jc w:val="left"/>
        <w:rPr>
          <w:rFonts w:ascii="Times New Roman" w:hAnsi="Times New Roman" w:cs="Times New Roman" w:eastAsia="Times New Roman" w:hint="default"/>
          <w:sz w:val="18"/>
          <w:szCs w:val="18"/>
        </w:rPr>
      </w:pPr>
      <w:r>
        <w:rPr>
          <w:rFonts w:ascii="宋体" w:hAnsi="宋体" w:cs="宋体" w:eastAsia="宋体" w:hint="default"/>
          <w:sz w:val="18"/>
          <w:szCs w:val="18"/>
        </w:rPr>
        <w:t>（一）现任董事的专业背景、主要工作经历以及目前在公司的主要职责 </w:t>
      </w:r>
      <w:r>
        <w:rPr>
          <w:rFonts w:ascii="宋体" w:hAnsi="宋体" w:cs="宋体" w:eastAsia="宋体" w:hint="default"/>
          <w:spacing w:val="-3"/>
          <w:sz w:val="18"/>
          <w:szCs w:val="18"/>
        </w:rPr>
        <w:t>赵小强先生，</w:t>
      </w:r>
      <w:r>
        <w:rPr>
          <w:rFonts w:ascii="Times New Roman" w:hAnsi="Times New Roman" w:cs="Times New Roman" w:eastAsia="Times New Roman" w:hint="default"/>
          <w:spacing w:val="-3"/>
          <w:sz w:val="18"/>
          <w:szCs w:val="18"/>
        </w:rPr>
        <w:t>1967</w:t>
      </w:r>
      <w:r>
        <w:rPr>
          <w:rFonts w:ascii="宋体" w:hAnsi="宋体" w:cs="宋体" w:eastAsia="宋体" w:hint="default"/>
          <w:spacing w:val="-3"/>
          <w:sz w:val="18"/>
          <w:szCs w:val="18"/>
        </w:rPr>
        <w:t>年出生，中国国籍，无永久境外居留权。浙江大学</w:t>
      </w:r>
      <w:r>
        <w:rPr>
          <w:rFonts w:ascii="Times New Roman" w:hAnsi="Times New Roman" w:cs="Times New Roman" w:eastAsia="Times New Roman" w:hint="default"/>
          <w:spacing w:val="-3"/>
          <w:sz w:val="18"/>
          <w:szCs w:val="18"/>
        </w:rPr>
        <w:t>EMBA</w:t>
      </w:r>
      <w:r>
        <w:rPr>
          <w:rFonts w:ascii="宋体" w:hAnsi="宋体" w:cs="宋体" w:eastAsia="宋体" w:hint="default"/>
          <w:spacing w:val="-3"/>
          <w:sz w:val="18"/>
          <w:szCs w:val="18"/>
        </w:rPr>
        <w:t>，绍兴市第七届人大代表。赵小强先生</w:t>
      </w:r>
      <w:r>
        <w:rPr>
          <w:rFonts w:ascii="Times New Roman" w:hAnsi="Times New Roman" w:cs="Times New Roman" w:eastAsia="Times New Roman" w:hint="default"/>
          <w:spacing w:val="-3"/>
          <w:sz w:val="18"/>
          <w:szCs w:val="18"/>
        </w:rPr>
        <w:t>1988</w:t>
      </w:r>
    </w:p>
    <w:p>
      <w:pPr>
        <w:spacing w:line="316" w:lineRule="auto" w:before="0"/>
        <w:ind w:left="154" w:right="1131" w:firstLine="0"/>
        <w:jc w:val="both"/>
        <w:rPr>
          <w:rFonts w:ascii="宋体" w:hAnsi="宋体" w:cs="宋体" w:eastAsia="宋体" w:hint="default"/>
          <w:sz w:val="18"/>
          <w:szCs w:val="18"/>
        </w:rPr>
      </w:pPr>
      <w:r>
        <w:rPr>
          <w:rFonts w:ascii="宋体" w:hAnsi="宋体" w:cs="宋体" w:eastAsia="宋体" w:hint="default"/>
          <w:spacing w:val="-2"/>
          <w:sz w:val="18"/>
          <w:szCs w:val="18"/>
        </w:rPr>
        <w:t>年开始个人创业；先后创办新昌县通利针织制衣厂、新昌泰盛织造有限公司、新昌美盛饰品有限公司、新昌县万盛进出口有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限公司、新昌美源工艺有限公司、美盛控股集团有限公司。赵小强先生曾被评为浙江省中小企业优秀企业家，是本公司的主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要创立者之一、实际控制人。现任公司董事长。</w:t>
      </w:r>
    </w:p>
    <w:p>
      <w:pPr>
        <w:spacing w:line="300" w:lineRule="auto" w:before="19"/>
        <w:ind w:left="154" w:right="1140" w:firstLine="360"/>
        <w:jc w:val="left"/>
        <w:rPr>
          <w:rFonts w:ascii="宋体" w:hAnsi="宋体" w:cs="宋体" w:eastAsia="宋体" w:hint="default"/>
          <w:sz w:val="18"/>
          <w:szCs w:val="18"/>
        </w:rPr>
      </w:pPr>
      <w:r>
        <w:rPr>
          <w:rFonts w:ascii="宋体" w:hAnsi="宋体" w:cs="宋体" w:eastAsia="宋体" w:hint="default"/>
          <w:sz w:val="18"/>
          <w:szCs w:val="18"/>
        </w:rPr>
        <w:t>石炜萍女士，</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1973</w:t>
      </w:r>
      <w:r>
        <w:rPr>
          <w:rFonts w:ascii="宋体" w:hAnsi="宋体" w:cs="宋体" w:eastAsia="宋体" w:hint="default"/>
          <w:sz w:val="18"/>
          <w:szCs w:val="18"/>
        </w:rPr>
        <w:t>年出生，中国国籍，无永久境外居留权。为本公司主要创立者之一。现任公司董事，与实际控制人 赵小强先生系夫妻关系。</w:t>
      </w:r>
    </w:p>
    <w:p>
      <w:pPr>
        <w:spacing w:line="300" w:lineRule="auto" w:before="31"/>
        <w:ind w:left="154" w:right="0" w:firstLine="360"/>
        <w:jc w:val="left"/>
        <w:rPr>
          <w:rFonts w:ascii="宋体" w:hAnsi="宋体" w:cs="宋体" w:eastAsia="宋体" w:hint="default"/>
          <w:sz w:val="18"/>
          <w:szCs w:val="18"/>
        </w:rPr>
      </w:pPr>
      <w:r>
        <w:rPr>
          <w:rFonts w:ascii="宋体" w:hAnsi="宋体" w:cs="宋体" w:eastAsia="宋体" w:hint="default"/>
          <w:spacing w:val="-2"/>
          <w:sz w:val="18"/>
          <w:szCs w:val="18"/>
        </w:rPr>
        <w:t>郭瑞先生，</w:t>
      </w:r>
      <w:r>
        <w:rPr>
          <w:rFonts w:ascii="Times New Roman" w:hAnsi="Times New Roman" w:cs="Times New Roman" w:eastAsia="Times New Roman" w:hint="default"/>
          <w:spacing w:val="-2"/>
          <w:sz w:val="18"/>
          <w:szCs w:val="18"/>
        </w:rPr>
        <w:t>1979</w:t>
      </w:r>
      <w:r>
        <w:rPr>
          <w:rFonts w:ascii="宋体" w:hAnsi="宋体" w:cs="宋体" w:eastAsia="宋体" w:hint="default"/>
          <w:spacing w:val="-2"/>
          <w:sz w:val="18"/>
          <w:szCs w:val="18"/>
        </w:rPr>
        <w:t>年出生，中国国籍，无永久境外居留权。本科学历，毕业于上海交通大学国际金融专业。曾任职于上海</w:t>
      </w:r>
      <w:r>
        <w:rPr>
          <w:rFonts w:ascii="宋体" w:hAnsi="宋体" w:cs="宋体" w:eastAsia="宋体" w:hint="default"/>
          <w:sz w:val="18"/>
          <w:szCs w:val="18"/>
        </w:rPr>
        <w:t> 微创软件有限公司、明基逐鹿软件（苏州）有限公司、浙江新和成股份有限公司。现任公司董事、公司总经理。</w:t>
      </w:r>
    </w:p>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0" w:lineRule="auto" w:before="44"/>
        <w:ind w:left="154" w:right="1130" w:firstLine="360"/>
        <w:jc w:val="both"/>
        <w:rPr>
          <w:rFonts w:ascii="宋体" w:hAnsi="宋体" w:cs="宋体" w:eastAsia="宋体" w:hint="default"/>
          <w:sz w:val="18"/>
          <w:szCs w:val="18"/>
        </w:rPr>
      </w:pPr>
      <w:r>
        <w:rPr>
          <w:rFonts w:ascii="宋体" w:hAnsi="宋体" w:cs="宋体" w:eastAsia="宋体" w:hint="default"/>
          <w:spacing w:val="-2"/>
          <w:sz w:val="18"/>
          <w:szCs w:val="18"/>
        </w:rPr>
        <w:t>李茂生先生，</w:t>
      </w:r>
      <w:r>
        <w:rPr>
          <w:rFonts w:ascii="Times New Roman" w:hAnsi="Times New Roman" w:cs="Times New Roman" w:eastAsia="Times New Roman" w:hint="default"/>
          <w:spacing w:val="-2"/>
          <w:sz w:val="18"/>
          <w:szCs w:val="18"/>
        </w:rPr>
        <w:t>1943</w:t>
      </w:r>
      <w:r>
        <w:rPr>
          <w:rFonts w:ascii="宋体" w:hAnsi="宋体" w:cs="宋体" w:eastAsia="宋体" w:hint="default"/>
          <w:spacing w:val="-2"/>
          <w:sz w:val="18"/>
          <w:szCs w:val="18"/>
        </w:rPr>
        <w:t>年出生，中国国籍，无永久境外居留权。经济学家、中国社会科学院博士生导师。曾任中国社会科学</w:t>
      </w:r>
      <w:r>
        <w:rPr>
          <w:rFonts w:ascii="宋体" w:hAnsi="宋体" w:cs="宋体" w:eastAsia="宋体" w:hint="default"/>
          <w:sz w:val="18"/>
          <w:szCs w:val="18"/>
        </w:rPr>
        <w:t> 院研究生院党委副书记、副院长；中国社会科学出版社党委书记、总编辑。现任公司独立董事。</w:t>
      </w:r>
    </w:p>
    <w:p>
      <w:pPr>
        <w:spacing w:before="31"/>
        <w:ind w:left="514" w:right="0" w:firstLine="0"/>
        <w:jc w:val="left"/>
        <w:rPr>
          <w:rFonts w:ascii="宋体" w:hAnsi="宋体" w:cs="宋体" w:eastAsia="宋体" w:hint="default"/>
          <w:sz w:val="18"/>
          <w:szCs w:val="18"/>
        </w:rPr>
      </w:pPr>
      <w:r>
        <w:rPr>
          <w:rFonts w:ascii="宋体" w:hAnsi="宋体" w:cs="宋体" w:eastAsia="宋体" w:hint="default"/>
          <w:sz w:val="18"/>
          <w:szCs w:val="18"/>
        </w:rPr>
        <w:t>高闯先生，</w:t>
      </w:r>
      <w:r>
        <w:rPr>
          <w:rFonts w:ascii="Times New Roman" w:hAnsi="Times New Roman" w:cs="Times New Roman" w:eastAsia="Times New Roman" w:hint="default"/>
          <w:sz w:val="18"/>
          <w:szCs w:val="18"/>
        </w:rPr>
        <w:t>1953</w:t>
      </w:r>
      <w:r>
        <w:rPr>
          <w:rFonts w:ascii="宋体" w:hAnsi="宋体" w:cs="宋体" w:eastAsia="宋体" w:hint="default"/>
          <w:sz w:val="18"/>
          <w:szCs w:val="18"/>
        </w:rPr>
        <w:t>年出生，中国国籍，无永久境外居留权。经济学博士，教授</w:t>
      </w:r>
      <w:r>
        <w:rPr>
          <w:rFonts w:ascii="Times New Roman" w:hAnsi="Times New Roman" w:cs="Times New Roman" w:eastAsia="Times New Roman" w:hint="default"/>
          <w:sz w:val="18"/>
          <w:szCs w:val="18"/>
        </w:rPr>
        <w:t>,</w:t>
      </w:r>
      <w:r>
        <w:rPr>
          <w:rFonts w:ascii="宋体" w:hAnsi="宋体" w:cs="宋体" w:eastAsia="宋体" w:hint="default"/>
          <w:sz w:val="18"/>
          <w:szCs w:val="18"/>
        </w:rPr>
        <w:t>博士生导师，享受国务院特殊津贴的专家</w:t>
      </w:r>
    </w:p>
    <w:p>
      <w:pPr>
        <w:spacing w:line="300" w:lineRule="auto" w:before="63"/>
        <w:ind w:left="514" w:right="0" w:hanging="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1998</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现任首都经贸大学学术委员会主任。现任公司独立董事。 </w:t>
      </w:r>
      <w:r>
        <w:rPr>
          <w:rFonts w:ascii="宋体" w:hAnsi="宋体" w:cs="宋体" w:eastAsia="宋体" w:hint="default"/>
          <w:spacing w:val="-2"/>
          <w:sz w:val="18"/>
          <w:szCs w:val="18"/>
        </w:rPr>
        <w:t>雷新途先生，</w:t>
      </w:r>
      <w:r>
        <w:rPr>
          <w:rFonts w:ascii="Times New Roman" w:hAnsi="Times New Roman" w:cs="Times New Roman" w:eastAsia="Times New Roman" w:hint="default"/>
          <w:spacing w:val="-2"/>
          <w:sz w:val="18"/>
          <w:szCs w:val="18"/>
        </w:rPr>
        <w:t>1972</w:t>
      </w:r>
      <w:r>
        <w:rPr>
          <w:rFonts w:ascii="宋体" w:hAnsi="宋体" w:cs="宋体" w:eastAsia="宋体" w:hint="default"/>
          <w:spacing w:val="-2"/>
          <w:sz w:val="18"/>
          <w:szCs w:val="18"/>
        </w:rPr>
        <w:t>年出生，中国国籍，无永久境外居留权。会计学博士、博士后，会计学教授，博士生导师。现担任浙</w:t>
      </w:r>
    </w:p>
    <w:p>
      <w:pPr>
        <w:spacing w:before="13"/>
        <w:ind w:left="154" w:right="1360" w:firstLine="0"/>
        <w:jc w:val="left"/>
        <w:rPr>
          <w:rFonts w:ascii="宋体" w:hAnsi="宋体" w:cs="宋体" w:eastAsia="宋体" w:hint="default"/>
          <w:sz w:val="18"/>
          <w:szCs w:val="18"/>
        </w:rPr>
      </w:pPr>
      <w:r>
        <w:rPr>
          <w:rFonts w:ascii="宋体" w:hAnsi="宋体" w:cs="宋体" w:eastAsia="宋体" w:hint="default"/>
          <w:sz w:val="18"/>
          <w:szCs w:val="18"/>
        </w:rPr>
        <w:t>江工业大学会计学研究所所长，会计学科负责人、会计系主任。现任公司独立董事。</w:t>
      </w:r>
    </w:p>
    <w:p>
      <w:pPr>
        <w:spacing w:line="316" w:lineRule="auto" w:before="76"/>
        <w:ind w:left="514" w:right="0" w:firstLine="0"/>
        <w:jc w:val="left"/>
        <w:rPr>
          <w:rFonts w:ascii="宋体" w:hAnsi="宋体" w:cs="宋体" w:eastAsia="宋体" w:hint="default"/>
          <w:sz w:val="18"/>
          <w:szCs w:val="18"/>
        </w:rPr>
      </w:pPr>
      <w:r>
        <w:rPr>
          <w:rFonts w:ascii="宋体" w:hAnsi="宋体" w:cs="宋体" w:eastAsia="宋体" w:hint="default"/>
          <w:sz w:val="18"/>
          <w:szCs w:val="18"/>
        </w:rPr>
        <w:t>（二）现任监事的专业背景、主要工作经历以及目前在公司的主要职责 </w:t>
      </w:r>
      <w:r>
        <w:rPr>
          <w:rFonts w:ascii="宋体" w:hAnsi="宋体" w:cs="宋体" w:eastAsia="宋体" w:hint="default"/>
          <w:spacing w:val="-2"/>
          <w:sz w:val="18"/>
          <w:szCs w:val="18"/>
        </w:rPr>
        <w:t>赵风云女士，</w:t>
      </w:r>
      <w:r>
        <w:rPr>
          <w:rFonts w:ascii="Times New Roman" w:hAnsi="Times New Roman" w:cs="Times New Roman" w:eastAsia="Times New Roman" w:hint="default"/>
          <w:spacing w:val="-2"/>
          <w:sz w:val="18"/>
          <w:szCs w:val="18"/>
        </w:rPr>
        <w:t>1980</w:t>
      </w:r>
      <w:r>
        <w:rPr>
          <w:rFonts w:ascii="宋体" w:hAnsi="宋体" w:cs="宋体" w:eastAsia="宋体" w:hint="default"/>
          <w:spacing w:val="-2"/>
          <w:sz w:val="18"/>
          <w:szCs w:val="18"/>
        </w:rPr>
        <w:t>年出生，中国国籍，无永久镜外居留权，本科学历，毕业于青岛科技大学英语专业。先后任职于东莞</w:t>
      </w:r>
    </w:p>
    <w:p>
      <w:pPr>
        <w:spacing w:line="316" w:lineRule="auto" w:before="0"/>
        <w:ind w:left="514" w:right="0" w:hanging="360"/>
        <w:jc w:val="left"/>
        <w:rPr>
          <w:rFonts w:ascii="宋体" w:hAnsi="宋体" w:cs="宋体" w:eastAsia="宋体" w:hint="default"/>
          <w:sz w:val="18"/>
          <w:szCs w:val="18"/>
        </w:rPr>
      </w:pPr>
      <w:r>
        <w:rPr>
          <w:rFonts w:ascii="宋体" w:hAnsi="宋体" w:cs="宋体" w:eastAsia="宋体" w:hint="default"/>
          <w:sz w:val="18"/>
          <w:szCs w:val="18"/>
        </w:rPr>
        <w:t>晨光印刷有限公司、</w:t>
      </w:r>
      <w:r>
        <w:rPr>
          <w:rFonts w:ascii="宋体" w:hAnsi="宋体" w:cs="宋体" w:eastAsia="宋体" w:hint="default"/>
          <w:spacing w:val="-18"/>
          <w:sz w:val="18"/>
          <w:szCs w:val="18"/>
        </w:rPr>
        <w:t> </w:t>
      </w:r>
      <w:r>
        <w:rPr>
          <w:rFonts w:ascii="宋体" w:hAnsi="宋体" w:cs="宋体" w:eastAsia="宋体" w:hint="default"/>
          <w:sz w:val="18"/>
          <w:szCs w:val="18"/>
        </w:rPr>
        <w:t>迪华商贸有限公司。现任公司监事、公司验厂部经理。</w:t>
      </w:r>
      <w:r>
        <w:rPr>
          <w:rFonts w:ascii="宋体" w:hAnsi="宋体" w:cs="宋体" w:eastAsia="宋体" w:hint="default"/>
          <w:sz w:val="18"/>
          <w:szCs w:val="18"/>
        </w:rPr>
        <w:t> </w:t>
      </w:r>
      <w:r>
        <w:rPr>
          <w:rFonts w:ascii="宋体" w:hAnsi="宋体" w:cs="宋体" w:eastAsia="宋体" w:hint="default"/>
          <w:spacing w:val="-4"/>
          <w:sz w:val="18"/>
          <w:szCs w:val="18"/>
        </w:rPr>
        <w:t>丁秀萍女士，</w:t>
      </w:r>
      <w:r>
        <w:rPr>
          <w:rFonts w:ascii="Times New Roman" w:hAnsi="Times New Roman" w:cs="Times New Roman" w:eastAsia="Times New Roman" w:hint="default"/>
          <w:spacing w:val="-4"/>
          <w:sz w:val="18"/>
          <w:szCs w:val="18"/>
        </w:rPr>
        <w:t>1979</w:t>
      </w:r>
      <w:r>
        <w:rPr>
          <w:rFonts w:ascii="宋体" w:hAnsi="宋体" w:cs="宋体" w:eastAsia="宋体" w:hint="default"/>
          <w:spacing w:val="-4"/>
          <w:sz w:val="18"/>
          <w:szCs w:val="18"/>
        </w:rPr>
        <w:t>年出生，中国国籍，无永久镜外居留权，大专学历。曾任职于浙江莎美针织有限公司。现任公司监事、</w:t>
      </w:r>
    </w:p>
    <w:p>
      <w:pPr>
        <w:spacing w:line="316" w:lineRule="auto" w:before="0"/>
        <w:ind w:left="514" w:right="1118" w:hanging="360"/>
        <w:jc w:val="left"/>
        <w:rPr>
          <w:rFonts w:ascii="宋体" w:hAnsi="宋体" w:cs="宋体" w:eastAsia="宋体" w:hint="default"/>
          <w:sz w:val="18"/>
          <w:szCs w:val="18"/>
        </w:rPr>
      </w:pPr>
      <w:r>
        <w:rPr>
          <w:rFonts w:ascii="宋体" w:hAnsi="宋体" w:cs="宋体" w:eastAsia="宋体" w:hint="default"/>
          <w:sz w:val="18"/>
          <w:szCs w:val="18"/>
        </w:rPr>
        <w:t>公司生产部经理。 </w:t>
      </w:r>
      <w:r>
        <w:rPr>
          <w:rFonts w:ascii="宋体" w:hAnsi="宋体" w:cs="宋体" w:eastAsia="宋体" w:hint="default"/>
          <w:spacing w:val="-2"/>
          <w:sz w:val="18"/>
          <w:szCs w:val="18"/>
        </w:rPr>
        <w:t>李学文先生，</w:t>
      </w:r>
      <w:r>
        <w:rPr>
          <w:rFonts w:ascii="Times New Roman" w:hAnsi="Times New Roman" w:cs="Times New Roman" w:eastAsia="Times New Roman" w:hint="default"/>
          <w:spacing w:val="-2"/>
          <w:sz w:val="18"/>
          <w:szCs w:val="18"/>
        </w:rPr>
        <w:t>1961</w:t>
      </w:r>
      <w:r>
        <w:rPr>
          <w:rFonts w:ascii="宋体" w:hAnsi="宋体" w:cs="宋体" w:eastAsia="宋体" w:hint="default"/>
          <w:spacing w:val="-2"/>
          <w:sz w:val="18"/>
          <w:szCs w:val="18"/>
        </w:rPr>
        <w:t>年出生，中国国籍，无永久镜外居留权，高中学历。曾任控股子公司内蒙古荣盛文化传媒股份有限公</w:t>
      </w:r>
    </w:p>
    <w:p>
      <w:pPr>
        <w:spacing w:line="235" w:lineRule="exact" w:before="0"/>
        <w:ind w:left="154" w:right="1360" w:firstLine="0"/>
        <w:jc w:val="left"/>
        <w:rPr>
          <w:rFonts w:ascii="宋体" w:hAnsi="宋体" w:cs="宋体" w:eastAsia="宋体" w:hint="default"/>
          <w:sz w:val="18"/>
          <w:szCs w:val="18"/>
        </w:rPr>
      </w:pPr>
      <w:r>
        <w:rPr>
          <w:rFonts w:ascii="宋体" w:hAnsi="宋体" w:cs="宋体" w:eastAsia="宋体" w:hint="default"/>
          <w:sz w:val="18"/>
          <w:szCs w:val="18"/>
        </w:rPr>
        <w:t>司董事长。</w:t>
      </w:r>
    </w:p>
    <w:p>
      <w:pPr>
        <w:spacing w:line="316" w:lineRule="auto" w:before="76"/>
        <w:ind w:left="587" w:right="1139" w:hanging="134"/>
        <w:jc w:val="left"/>
        <w:rPr>
          <w:rFonts w:ascii="宋体" w:hAnsi="宋体" w:cs="宋体" w:eastAsia="宋体" w:hint="default"/>
          <w:sz w:val="18"/>
          <w:szCs w:val="18"/>
        </w:rPr>
      </w:pPr>
      <w:r>
        <w:rPr>
          <w:rFonts w:ascii="宋体" w:hAnsi="宋体" w:cs="宋体" w:eastAsia="宋体" w:hint="default"/>
          <w:sz w:val="18"/>
          <w:szCs w:val="18"/>
        </w:rPr>
        <w:t>（三）现任高级管理人员的专业背景、主要工作经历以及目前在公司的主要职责 全浩华女士，</w:t>
      </w:r>
      <w:r>
        <w:rPr>
          <w:rFonts w:ascii="Times New Roman" w:hAnsi="Times New Roman" w:cs="Times New Roman" w:eastAsia="Times New Roman" w:hint="default"/>
          <w:sz w:val="18"/>
          <w:szCs w:val="18"/>
        </w:rPr>
        <w:t>1970</w:t>
      </w:r>
      <w:r>
        <w:rPr>
          <w:rFonts w:ascii="宋体" w:hAnsi="宋体" w:cs="宋体" w:eastAsia="宋体" w:hint="default"/>
          <w:sz w:val="18"/>
          <w:szCs w:val="18"/>
        </w:rPr>
        <w:t>年出生，中国国籍，无永久境外居留权。本科学历，毕业于浙江广播电视大学。先后任职于嘉兴阳</w:t>
      </w:r>
    </w:p>
    <w:p>
      <w:pPr>
        <w:spacing w:line="300" w:lineRule="auto" w:before="0"/>
        <w:ind w:left="514" w:right="0" w:hanging="360"/>
        <w:jc w:val="left"/>
        <w:rPr>
          <w:rFonts w:ascii="宋体" w:hAnsi="宋体" w:cs="宋体" w:eastAsia="宋体" w:hint="default"/>
          <w:sz w:val="18"/>
          <w:szCs w:val="18"/>
        </w:rPr>
      </w:pPr>
      <w:r>
        <w:rPr>
          <w:rFonts w:ascii="宋体" w:hAnsi="宋体" w:cs="宋体" w:eastAsia="宋体" w:hint="default"/>
          <w:sz w:val="18"/>
          <w:szCs w:val="18"/>
        </w:rPr>
        <w:t>湖制衣有限公司、浙江依爱夫纺织有限公司。</w:t>
      </w:r>
      <w:r>
        <w:rPr>
          <w:rFonts w:ascii="Times New Roman" w:hAnsi="Times New Roman" w:cs="Times New Roman" w:eastAsia="Times New Roman" w:hint="default"/>
          <w:sz w:val="18"/>
          <w:szCs w:val="18"/>
        </w:rPr>
        <w:t>2011</w:t>
      </w:r>
      <w:r>
        <w:rPr>
          <w:rFonts w:ascii="宋体" w:hAnsi="宋体" w:cs="宋体" w:eastAsia="宋体" w:hint="default"/>
          <w:sz w:val="18"/>
          <w:szCs w:val="18"/>
        </w:rPr>
        <w:t>年进入公司，现任公司副总经理。 </w:t>
      </w:r>
      <w:r>
        <w:rPr>
          <w:rFonts w:ascii="宋体" w:hAnsi="宋体" w:cs="宋体" w:eastAsia="宋体" w:hint="default"/>
          <w:spacing w:val="-2"/>
          <w:sz w:val="18"/>
          <w:szCs w:val="18"/>
        </w:rPr>
        <w:t>马洪堂先生，</w:t>
      </w:r>
      <w:r>
        <w:rPr>
          <w:rFonts w:ascii="Times New Roman" w:hAnsi="Times New Roman" w:cs="Times New Roman" w:eastAsia="Times New Roman" w:hint="default"/>
          <w:spacing w:val="-2"/>
          <w:sz w:val="18"/>
          <w:szCs w:val="18"/>
        </w:rPr>
        <w:t>1981</w:t>
      </w:r>
      <w:r>
        <w:rPr>
          <w:rFonts w:ascii="宋体" w:hAnsi="宋体" w:cs="宋体" w:eastAsia="宋体" w:hint="default"/>
          <w:spacing w:val="-2"/>
          <w:sz w:val="18"/>
          <w:szCs w:val="18"/>
        </w:rPr>
        <w:t>年出生，中国国籍，无永久境外居留权。硕士学历，毕业于浙江工业大学计算机科学与技术专业。曾</w:t>
      </w:r>
    </w:p>
    <w:p>
      <w:pPr>
        <w:spacing w:line="300" w:lineRule="auto" w:before="13"/>
        <w:ind w:left="154" w:right="1118" w:firstLine="0"/>
        <w:jc w:val="left"/>
        <w:rPr>
          <w:rFonts w:ascii="宋体" w:hAnsi="宋体" w:cs="宋体" w:eastAsia="宋体" w:hint="default"/>
          <w:sz w:val="18"/>
          <w:szCs w:val="18"/>
        </w:rPr>
      </w:pPr>
      <w:r>
        <w:rPr>
          <w:rFonts w:ascii="宋体" w:hAnsi="宋体" w:cs="宋体" w:eastAsia="宋体" w:hint="default"/>
          <w:spacing w:val="-2"/>
          <w:sz w:val="18"/>
          <w:szCs w:val="18"/>
        </w:rPr>
        <w:t>供职于杭州洲信信息技术有限公司、信雅达系统工程股份有限公司。</w:t>
      </w:r>
      <w:r>
        <w:rPr>
          <w:rFonts w:ascii="Times New Roman" w:hAnsi="Times New Roman" w:cs="Times New Roman" w:eastAsia="Times New Roman" w:hint="default"/>
          <w:spacing w:val="-2"/>
          <w:sz w:val="18"/>
          <w:szCs w:val="18"/>
        </w:rPr>
        <w:t>2008</w:t>
      </w:r>
      <w:r>
        <w:rPr>
          <w:rFonts w:ascii="宋体" w:hAnsi="宋体" w:cs="宋体" w:eastAsia="宋体" w:hint="default"/>
          <w:spacing w:val="-2"/>
          <w:sz w:val="18"/>
          <w:szCs w:val="18"/>
        </w:rPr>
        <w:t>年起担任浙江缔顺科技有限公司总经理。现任公司</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副总经理。</w:t>
      </w:r>
    </w:p>
    <w:p>
      <w:pPr>
        <w:spacing w:line="300" w:lineRule="auto" w:before="31"/>
        <w:ind w:left="154" w:right="1130" w:firstLine="360"/>
        <w:jc w:val="both"/>
        <w:rPr>
          <w:rFonts w:ascii="宋体" w:hAnsi="宋体" w:cs="宋体" w:eastAsia="宋体" w:hint="default"/>
          <w:sz w:val="18"/>
          <w:szCs w:val="18"/>
        </w:rPr>
      </w:pPr>
      <w:r>
        <w:rPr>
          <w:rFonts w:ascii="宋体" w:hAnsi="宋体" w:cs="宋体" w:eastAsia="宋体" w:hint="default"/>
          <w:spacing w:val="-2"/>
          <w:sz w:val="18"/>
          <w:szCs w:val="18"/>
        </w:rPr>
        <w:t>潘晶先生，</w:t>
      </w:r>
      <w:r>
        <w:rPr>
          <w:rFonts w:ascii="Times New Roman" w:hAnsi="Times New Roman" w:cs="Times New Roman" w:eastAsia="Times New Roman" w:hint="default"/>
          <w:spacing w:val="-2"/>
          <w:sz w:val="18"/>
          <w:szCs w:val="18"/>
        </w:rPr>
        <w:t>1982</w:t>
      </w:r>
      <w:r>
        <w:rPr>
          <w:rFonts w:ascii="宋体" w:hAnsi="宋体" w:cs="宋体" w:eastAsia="宋体" w:hint="default"/>
          <w:spacing w:val="-2"/>
          <w:sz w:val="18"/>
          <w:szCs w:val="18"/>
        </w:rPr>
        <w:t>年出生，中国国籍，无永久境外居留权。本科学历，毕业于江南大学工业设计专业。曾供职于上海龙旗</w:t>
      </w:r>
      <w:r>
        <w:rPr>
          <w:rFonts w:ascii="宋体" w:hAnsi="宋体" w:cs="宋体" w:eastAsia="宋体" w:hint="default"/>
          <w:sz w:val="18"/>
          <w:szCs w:val="18"/>
        </w:rPr>
        <w:t> </w:t>
      </w:r>
      <w:r>
        <w:rPr>
          <w:rFonts w:ascii="宋体" w:hAnsi="宋体" w:cs="宋体" w:eastAsia="宋体" w:hint="default"/>
          <w:spacing w:val="-2"/>
          <w:sz w:val="18"/>
          <w:szCs w:val="18"/>
        </w:rPr>
        <w:t>科技股份有限公司，上海展英通科技有限公司，后担任杭州斯凯网络科技有限公司担任产品总监。</w:t>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月起任杭州真趣</w:t>
      </w:r>
      <w:r>
        <w:rPr>
          <w:rFonts w:ascii="宋体" w:hAnsi="宋体" w:cs="宋体" w:eastAsia="宋体" w:hint="default"/>
          <w:spacing w:val="-59"/>
          <w:sz w:val="18"/>
          <w:szCs w:val="18"/>
        </w:rPr>
        <w:t> </w:t>
      </w:r>
      <w:r>
        <w:rPr>
          <w:rFonts w:ascii="宋体" w:hAnsi="宋体" w:cs="宋体" w:eastAsia="宋体" w:hint="default"/>
          <w:sz w:val="18"/>
          <w:szCs w:val="18"/>
        </w:rPr>
        <w:t>网络科技有限公司董事长兼总经理。现任公司副总经理。</w:t>
      </w:r>
    </w:p>
    <w:p>
      <w:pPr>
        <w:spacing w:before="72"/>
        <w:ind w:left="154" w:right="136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美盛控股集团有限公司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新昌县宏盛投资有限公司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石炜萍</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美盛控股集团有限公司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石炜萍</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新昌县宏盛投资有限公司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新昌县万盛进出口有限公司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真趣网络</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美盛动漫</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天津酷米</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杭州珈禾</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微媒互动</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1338"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高闯</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首都经贸大学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学术委员会 </w:t>
            </w:r>
            <w:r>
              <w:rPr>
                <w:rFonts w:ascii="宋体" w:hAnsi="宋体" w:cs="宋体" w:eastAsia="宋体" w:hint="default"/>
                <w:spacing w:val="-8"/>
                <w:sz w:val="18"/>
                <w:szCs w:val="18"/>
              </w:rPr>
              <w:t>主任、国际比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较管理研究 院院长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雷新途</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浙江工业大学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会计学研究 所所长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潘晶</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真趣网络</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马洪堂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美盛游戏</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360"/>
        <w:jc w:val="left"/>
        <w:rPr>
          <w:b w:val="0"/>
          <w:bCs w:val="0"/>
        </w:rPr>
      </w:pPr>
      <w:bookmarkStart w:name="四、董事、监事、高级管理人员报酬情况" w:id="135"/>
      <w:bookmarkEnd w:id="135"/>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 公司董事、监事的报酬是根据公司章程规定和经营情况，由董事会、监事会提出议案，股东大会批准决定，公司总经理、 </w:t>
      </w:r>
      <w:r>
        <w:rPr>
          <w:rFonts w:ascii="宋体" w:hAnsi="宋体" w:cs="宋体" w:eastAsia="宋体" w:hint="default"/>
          <w:spacing w:val="-2"/>
          <w:sz w:val="18"/>
          <w:szCs w:val="18"/>
        </w:rPr>
        <w:t>副总经理、财务总监、董事会秘书等高级管理人员的报酬由公司董事会薪酬与考核委员会提出议案，报董事会批准决定。报</w:t>
      </w:r>
    </w:p>
    <w:p>
      <w:pPr>
        <w:spacing w:line="316" w:lineRule="auto" w:before="2"/>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告期，实际发放额的确定依据是根据公司总体发展战略和年度的经营目标、其在公司担任的职务以及行业平均标准，结合公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司的工资制度、考核办法而确定的。</w:t>
      </w:r>
    </w:p>
    <w:p>
      <w:pPr>
        <w:spacing w:before="59"/>
        <w:ind w:left="154" w:right="136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石炜萍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张丹峰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董事、董事会秘 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雷新途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李茂生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赵风云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丁秀萍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李学文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全浩华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马洪堂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潘晶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竺林芳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徐秋玲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7.56</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7"/>
        <w:gridCol w:w="1368"/>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1" w:right="0"/>
              <w:jc w:val="left"/>
              <w:rPr>
                <w:rFonts w:ascii="Times New Roman" w:hAnsi="Times New Roman" w:cs="Times New Roman" w:eastAsia="Times New Roman" w:hint="default"/>
                <w:sz w:val="18"/>
                <w:szCs w:val="18"/>
              </w:rPr>
            </w:pPr>
            <w:r>
              <w:rPr>
                <w:rFonts w:ascii="Times New Roman"/>
                <w:sz w:val="18"/>
              </w:rPr>
              <w:t>319.32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1360"/>
        <w:jc w:val="left"/>
        <w:rPr>
          <w:b w:val="0"/>
          <w:bCs w:val="0"/>
        </w:rPr>
      </w:pPr>
      <w:bookmarkStart w:name="五、公司员工情况" w:id="136"/>
      <w:bookmarkEnd w:id="136"/>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360"/>
        <w:jc w:val="left"/>
        <w:rPr>
          <w:b w:val="0"/>
          <w:bCs w:val="0"/>
        </w:rPr>
      </w:pPr>
      <w:bookmarkStart w:name="1、员工数量、专业构成及教育程度" w:id="137"/>
      <w:bookmarkEnd w:id="137"/>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1,377</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1,377</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硕士及以上学历</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高中</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初中</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小学</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1,377</w:t>
            </w:r>
          </w:p>
        </w:tc>
      </w:tr>
    </w:tbl>
    <w:p>
      <w:pPr>
        <w:spacing w:line="240" w:lineRule="auto" w:before="2"/>
        <w:rPr>
          <w:rFonts w:ascii="宋体" w:hAnsi="宋体" w:cs="宋体" w:eastAsia="宋体" w:hint="default"/>
          <w:b/>
          <w:bCs/>
          <w:sz w:val="19"/>
          <w:szCs w:val="19"/>
        </w:rPr>
      </w:pPr>
    </w:p>
    <w:p>
      <w:pPr>
        <w:pStyle w:val="Heading4"/>
        <w:spacing w:line="240" w:lineRule="auto" w:before="35"/>
        <w:ind w:right="1360"/>
        <w:jc w:val="left"/>
        <w:rPr>
          <w:b w:val="0"/>
          <w:bCs w:val="0"/>
        </w:rPr>
      </w:pPr>
      <w:bookmarkStart w:name="2、薪酬政策" w:id="138"/>
      <w:bookmarkEnd w:id="138"/>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spacing w:line="316" w:lineRule="auto" w:before="0"/>
        <w:ind w:left="154" w:right="1032" w:firstLine="73"/>
        <w:jc w:val="left"/>
        <w:rPr>
          <w:rFonts w:ascii="宋体" w:hAnsi="宋体" w:cs="宋体" w:eastAsia="宋体" w:hint="default"/>
          <w:sz w:val="18"/>
          <w:szCs w:val="18"/>
        </w:rPr>
      </w:pPr>
      <w:r>
        <w:rPr>
          <w:rFonts w:ascii="宋体" w:hAnsi="宋体" w:cs="宋体" w:eastAsia="宋体" w:hint="default"/>
          <w:sz w:val="18"/>
          <w:szCs w:val="18"/>
        </w:rPr>
        <w:t>公司董事、监事的报酬是根据公司章程规定和经营情况，由董事会、监事会提出议案，股东大会批准决定，公司总经理、 </w:t>
      </w:r>
      <w:r>
        <w:rPr>
          <w:rFonts w:ascii="宋体" w:hAnsi="宋体" w:cs="宋体" w:eastAsia="宋体" w:hint="default"/>
          <w:spacing w:val="-2"/>
          <w:sz w:val="18"/>
          <w:szCs w:val="18"/>
        </w:rPr>
        <w:t>副总经理、财务总监、董事会秘书等高级管理人员的报酬由公司董事会薪酬与考核委员会提出议案，报董事会批准决定。报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告期，实际发放额的确定依据是根据公司总体发展战略和年度的经营目标、其在公司担任的职务以及行业平均标准，结合公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司的工资制度、考核办法而确定的。高级管理人员实行年薪制，根据行业薪酬水平，结合经营效益、岗位情况等因素确定。 年终对高级管理人员履行职责情况和年度实际业绩进行考评。</w:t>
      </w:r>
    </w:p>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6"/>
        <w:ind w:right="1360"/>
        <w:jc w:val="left"/>
        <w:rPr>
          <w:b w:val="0"/>
          <w:bCs w:val="0"/>
        </w:rPr>
      </w:pPr>
      <w:bookmarkStart w:name="3、培训计划" w:id="139"/>
      <w:bookmarkEnd w:id="139"/>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spacing w:line="316" w:lineRule="auto" w:before="0"/>
        <w:ind w:left="154" w:right="1139" w:firstLine="73"/>
        <w:jc w:val="left"/>
        <w:rPr>
          <w:rFonts w:ascii="宋体" w:hAnsi="宋体" w:cs="宋体" w:eastAsia="宋体" w:hint="default"/>
          <w:sz w:val="18"/>
          <w:szCs w:val="18"/>
        </w:rPr>
      </w:pPr>
      <w:r>
        <w:rPr>
          <w:rFonts w:ascii="宋体" w:hAnsi="宋体" w:cs="宋体" w:eastAsia="宋体" w:hint="default"/>
          <w:sz w:val="18"/>
          <w:szCs w:val="18"/>
        </w:rPr>
        <w:t>公司管理层高度重视特定工作岗位所需的用途能力水平的设定，以及对达到该水平所必需的知识和能力的要求。根据实际 工作的需要，针对不同岗位展开多种形式的后期培训教育，使员工都能胜任目前所处的工作岗位。</w:t>
      </w:r>
    </w:p>
    <w:p>
      <w:pPr>
        <w:spacing w:line="240" w:lineRule="auto" w:before="7"/>
        <w:rPr>
          <w:rFonts w:ascii="宋体" w:hAnsi="宋体" w:cs="宋体" w:eastAsia="宋体" w:hint="default"/>
          <w:sz w:val="22"/>
          <w:szCs w:val="22"/>
        </w:rPr>
      </w:pPr>
    </w:p>
    <w:p>
      <w:pPr>
        <w:pStyle w:val="Heading4"/>
        <w:spacing w:line="240" w:lineRule="auto"/>
        <w:ind w:right="1360"/>
        <w:jc w:val="left"/>
        <w:rPr>
          <w:b w:val="0"/>
          <w:bCs w:val="0"/>
        </w:rPr>
      </w:pPr>
      <w:bookmarkStart w:name="4、劳务外包情况" w:id="140"/>
      <w:bookmarkEnd w:id="140"/>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785" w:right="3763"/>
        <w:jc w:val="center"/>
        <w:rPr>
          <w:b w:val="0"/>
          <w:bCs w:val="0"/>
        </w:rPr>
      </w:pPr>
      <w:bookmarkStart w:name="第九节 公司治理" w:id="141"/>
      <w:bookmarkEnd w:id="141"/>
      <w:r>
        <w:rPr>
          <w:b w:val="0"/>
          <w:bCs w:val="0"/>
        </w:rPr>
      </w:r>
      <w:bookmarkStart w:name="_bookmark8" w:id="142"/>
      <w:bookmarkEnd w:id="142"/>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360"/>
        <w:jc w:val="left"/>
        <w:rPr>
          <w:b w:val="0"/>
          <w:bCs w:val="0"/>
        </w:rPr>
      </w:pPr>
      <w:bookmarkStart w:name="一、公司治理的基本状况" w:id="143"/>
      <w:bookmarkEnd w:id="143"/>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spacing w:line="319" w:lineRule="auto" w:before="0"/>
        <w:ind w:left="154" w:right="0" w:firstLine="217"/>
        <w:jc w:val="left"/>
        <w:rPr>
          <w:rFonts w:ascii="宋体" w:hAnsi="宋体" w:cs="宋体" w:eastAsia="宋体" w:hint="default"/>
          <w:sz w:val="18"/>
          <w:szCs w:val="18"/>
        </w:rPr>
      </w:pPr>
      <w:r>
        <w:rPr>
          <w:rFonts w:ascii="宋体" w:hAnsi="宋体" w:cs="宋体" w:eastAsia="宋体" w:hint="default"/>
          <w:sz w:val="18"/>
          <w:szCs w:val="18"/>
        </w:rPr>
        <w:t>报告期内，公司严格按照《公司法》、《证券法》、《上市公司治理准则》、《深圳证券交易所股票上市规则》、《中 </w:t>
      </w:r>
      <w:r>
        <w:rPr>
          <w:rFonts w:ascii="宋体" w:hAnsi="宋体" w:cs="宋体" w:eastAsia="宋体" w:hint="default"/>
          <w:spacing w:val="-2"/>
          <w:sz w:val="18"/>
          <w:szCs w:val="18"/>
        </w:rPr>
        <w:t>小板企业上市公司规范运作指引》及其他相关法律、法规的要求，不断完善公司治理结构，建立健全内部控制制度，不断加</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强信息披露工作，积极开展投资者关系管理，不断提高公司治理水平。</w:t>
      </w:r>
    </w:p>
    <w:p>
      <w:pPr>
        <w:spacing w:line="357" w:lineRule="auto" w:before="58"/>
        <w:ind w:left="154" w:right="3012" w:firstLine="0"/>
        <w:jc w:val="left"/>
        <w:rPr>
          <w:rFonts w:ascii="宋体" w:hAnsi="宋体" w:cs="宋体" w:eastAsia="宋体" w:hint="default"/>
          <w:sz w:val="18"/>
          <w:szCs w:val="18"/>
        </w:rPr>
      </w:pPr>
      <w:r>
        <w:rPr>
          <w:rFonts w:ascii="宋体" w:hAnsi="宋体" w:cs="宋体" w:eastAsia="宋体" w:hint="default"/>
          <w:sz w:val="18"/>
          <w:szCs w:val="18"/>
        </w:rPr>
        <w:t>截止报告期末，公司治理的实际状况基本符合中国证监会发布的有关上市公司治理的规范性文件。 公司已建立的各项制度名称和公开信息披露情况：</w:t>
      </w:r>
    </w:p>
    <w:tbl>
      <w:tblPr>
        <w:tblW w:w="0" w:type="auto"/>
        <w:jc w:val="left"/>
        <w:tblInd w:w="146" w:type="dxa"/>
        <w:tblLayout w:type="fixed"/>
        <w:tblCellMar>
          <w:top w:w="0" w:type="dxa"/>
          <w:left w:w="0" w:type="dxa"/>
          <w:bottom w:w="0" w:type="dxa"/>
          <w:right w:w="0" w:type="dxa"/>
        </w:tblCellMar>
        <w:tblLook w:val="01E0"/>
      </w:tblPr>
      <w:tblGrid>
        <w:gridCol w:w="4262"/>
        <w:gridCol w:w="4262"/>
      </w:tblGrid>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公司已建立的制度</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公开信息披露情况</w:t>
            </w:r>
          </w:p>
        </w:tc>
      </w:tr>
      <w:tr>
        <w:trPr>
          <w:trHeight w:val="739"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pacing w:val="-4"/>
                <w:sz w:val="18"/>
                <w:szCs w:val="18"/>
              </w:rPr>
              <w:t>董事、监事、高级管理人员及有关人员所持本公司股份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及其变动管理制度（</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c>
          <w:tcPr>
            <w:tcW w:w="4262" w:type="dxa"/>
            <w:vMerge w:val="restart"/>
            <w:tcBorders>
              <w:top w:val="single" w:sz="6" w:space="0" w:color="000000"/>
              <w:left w:val="single" w:sz="6" w:space="0" w:color="000000"/>
              <w:right w:val="single" w:sz="6" w:space="0" w:color="000000"/>
            </w:tcBorders>
          </w:tcPr>
          <w:p>
            <w:pPr>
              <w:pStyle w:val="TableParagraph"/>
              <w:spacing w:line="300" w:lineRule="auto" w:before="62"/>
              <w:ind w:left="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日，刊登于公司指定信息披露媒体巨潮资 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内幕知情人管理制度（</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c>
          <w:tcPr>
            <w:tcW w:w="4262" w:type="dxa"/>
            <w:vMerge/>
            <w:tcBorders>
              <w:left w:val="single" w:sz="6" w:space="0" w:color="000000"/>
              <w:right w:val="single" w:sz="6" w:space="0" w:color="000000"/>
            </w:tcBorders>
          </w:tcPr>
          <w:p>
            <w:pP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接待特定对象直接沟通相关活动管理制</w:t>
            </w:r>
            <w:r>
              <w:rPr>
                <w:rFonts w:ascii="宋体" w:hAnsi="宋体" w:cs="宋体" w:eastAsia="宋体" w:hint="default"/>
                <w:spacing w:val="-80"/>
                <w:sz w:val="18"/>
                <w:szCs w:val="18"/>
              </w:rPr>
              <w:t>度</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c>
          <w:tcPr>
            <w:tcW w:w="4262" w:type="dxa"/>
            <w:vMerge/>
            <w:tcBorders>
              <w:left w:val="single" w:sz="6" w:space="0" w:color="000000"/>
              <w:bottom w:val="single" w:sz="6" w:space="0" w:color="000000"/>
              <w:right w:val="single" w:sz="6" w:space="0" w:color="000000"/>
            </w:tcBorders>
          </w:tcPr>
          <w:p>
            <w:pPr/>
          </w:p>
        </w:tc>
      </w:tr>
      <w:tr>
        <w:trPr>
          <w:trHeight w:val="738"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1"/>
              <w:ind w:left="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日，刊登于公司指定信息披露媒体巨潮资 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董事会各专门委员会工作细则</w:t>
            </w:r>
          </w:p>
        </w:tc>
        <w:tc>
          <w:tcPr>
            <w:tcW w:w="4262" w:type="dxa"/>
            <w:vMerge w:val="restart"/>
            <w:tcBorders>
              <w:top w:val="single" w:sz="6" w:space="0" w:color="000000"/>
              <w:left w:val="single" w:sz="6" w:space="0" w:color="000000"/>
              <w:right w:val="single" w:sz="6" w:space="0" w:color="000000"/>
            </w:tcBorders>
          </w:tcPr>
          <w:p>
            <w:pPr>
              <w:pStyle w:val="TableParagraph"/>
              <w:spacing w:line="302" w:lineRule="auto" w:before="62"/>
              <w:ind w:left="2" w:right="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2010</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日，经公司第一届董事会第一次会议审议通</w:t>
            </w:r>
            <w:r>
              <w:rPr>
                <w:rFonts w:ascii="宋体" w:hAnsi="宋体" w:cs="宋体" w:eastAsia="宋体" w:hint="default"/>
                <w:sz w:val="18"/>
                <w:szCs w:val="18"/>
              </w:rPr>
              <w:t> 过。</w:t>
            </w:r>
          </w:p>
        </w:tc>
      </w:tr>
      <w:tr>
        <w:trPr>
          <w:trHeight w:val="428"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总经理工作细则</w:t>
            </w:r>
          </w:p>
        </w:tc>
        <w:tc>
          <w:tcPr>
            <w:tcW w:w="4262" w:type="dxa"/>
            <w:vMerge/>
            <w:tcBorders>
              <w:left w:val="single" w:sz="6" w:space="0" w:color="000000"/>
              <w:right w:val="single" w:sz="6" w:space="0" w:color="000000"/>
            </w:tcBorders>
          </w:tcPr>
          <w:p>
            <w:pP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董事会秘书工作细则</w:t>
            </w:r>
          </w:p>
        </w:tc>
        <w:tc>
          <w:tcPr>
            <w:tcW w:w="4262" w:type="dxa"/>
            <w:vMerge/>
            <w:tcBorders>
              <w:left w:val="single" w:sz="6" w:space="0" w:color="000000"/>
              <w:right w:val="single" w:sz="6" w:space="0" w:color="000000"/>
            </w:tcBorders>
          </w:tcPr>
          <w:p>
            <w:pP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内部审计制度</w:t>
            </w:r>
          </w:p>
        </w:tc>
        <w:tc>
          <w:tcPr>
            <w:tcW w:w="4262" w:type="dxa"/>
            <w:vMerge/>
            <w:tcBorders>
              <w:left w:val="single" w:sz="6" w:space="0" w:color="000000"/>
              <w:bottom w:val="single" w:sz="6" w:space="0" w:color="000000"/>
              <w:right w:val="single" w:sz="6" w:space="0" w:color="000000"/>
            </w:tcBorders>
          </w:tcPr>
          <w:p>
            <w:pP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募集资金专项存储及使用管理制度</w:t>
            </w:r>
          </w:p>
        </w:tc>
        <w:tc>
          <w:tcPr>
            <w:tcW w:w="4262" w:type="dxa"/>
            <w:vMerge w:val="restart"/>
            <w:tcBorders>
              <w:top w:val="single" w:sz="6" w:space="0" w:color="000000"/>
              <w:left w:val="single" w:sz="6" w:space="0" w:color="000000"/>
              <w:right w:val="single" w:sz="6" w:space="0" w:color="000000"/>
            </w:tcBorders>
          </w:tcPr>
          <w:p>
            <w:pPr>
              <w:pStyle w:val="TableParagraph"/>
              <w:spacing w:line="300" w:lineRule="auto" w:before="62"/>
              <w:ind w:left="2" w:right="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日，经公司第一届董事会第六次会议审议通</w:t>
            </w:r>
            <w:r>
              <w:rPr>
                <w:rFonts w:ascii="宋体" w:hAnsi="宋体" w:cs="宋体" w:eastAsia="宋体" w:hint="default"/>
                <w:sz w:val="18"/>
                <w:szCs w:val="18"/>
              </w:rPr>
              <w:t> 过。</w:t>
            </w:r>
          </w:p>
        </w:tc>
      </w:tr>
      <w:tr>
        <w:trPr>
          <w:trHeight w:val="426"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信息披露管理制度</w:t>
            </w:r>
          </w:p>
        </w:tc>
        <w:tc>
          <w:tcPr>
            <w:tcW w:w="4262" w:type="dxa"/>
            <w:vMerge/>
            <w:tcBorders>
              <w:left w:val="single" w:sz="6" w:space="0" w:color="000000"/>
              <w:bottom w:val="single" w:sz="6" w:space="0" w:color="000000"/>
              <w:right w:val="single" w:sz="6" w:space="0" w:color="000000"/>
            </w:tcBorders>
          </w:tcPr>
          <w:p>
            <w:pPr/>
          </w:p>
        </w:tc>
      </w:tr>
      <w:tr>
        <w:trPr>
          <w:trHeight w:val="739"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远期外汇交易业务内控管理制度</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2"/>
              <w:ind w:left="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日，经公司第一届董事会第七次会议审议 通过。</w:t>
            </w: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股东大会议事规则</w:t>
            </w:r>
          </w:p>
        </w:tc>
        <w:tc>
          <w:tcPr>
            <w:tcW w:w="4262" w:type="dxa"/>
            <w:vMerge w:val="restart"/>
            <w:tcBorders>
              <w:top w:val="single" w:sz="6" w:space="0" w:color="000000"/>
              <w:left w:val="single" w:sz="6" w:space="0" w:color="000000"/>
              <w:right w:val="single" w:sz="6" w:space="0" w:color="000000"/>
            </w:tcBorders>
          </w:tcPr>
          <w:p>
            <w:pPr>
              <w:pStyle w:val="TableParagraph"/>
              <w:spacing w:line="300" w:lineRule="auto" w:before="62"/>
              <w:ind w:left="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日，经公司创立大会审议通过。</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日，经公司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年第二次临时股东大会审议通过修 改股东大会议事规则。</w:t>
            </w: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监事会议事规则</w:t>
            </w:r>
          </w:p>
        </w:tc>
        <w:tc>
          <w:tcPr>
            <w:tcW w:w="4262" w:type="dxa"/>
            <w:vMerge/>
            <w:tcBorders>
              <w:left w:val="single" w:sz="6" w:space="0" w:color="000000"/>
              <w:right w:val="single" w:sz="6" w:space="0" w:color="000000"/>
            </w:tcBorders>
          </w:tcPr>
          <w:p>
            <w:pP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董事会议事规则</w:t>
            </w:r>
          </w:p>
        </w:tc>
        <w:tc>
          <w:tcPr>
            <w:tcW w:w="4262" w:type="dxa"/>
            <w:vMerge/>
            <w:tcBorders>
              <w:left w:val="single" w:sz="6" w:space="0" w:color="000000"/>
              <w:right w:val="single" w:sz="6" w:space="0" w:color="000000"/>
            </w:tcBorders>
          </w:tcPr>
          <w:p>
            <w:pP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对外投资管理制度</w:t>
            </w:r>
          </w:p>
        </w:tc>
        <w:tc>
          <w:tcPr>
            <w:tcW w:w="4262" w:type="dxa"/>
            <w:vMerge/>
            <w:tcBorders>
              <w:left w:val="single" w:sz="6" w:space="0" w:color="000000"/>
              <w:right w:val="single" w:sz="6" w:space="0" w:color="000000"/>
            </w:tcBorders>
          </w:tcPr>
          <w:p>
            <w:pPr/>
          </w:p>
        </w:tc>
      </w:tr>
      <w:tr>
        <w:trPr>
          <w:trHeight w:val="426"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独立董事工作制度</w:t>
            </w:r>
          </w:p>
        </w:tc>
        <w:tc>
          <w:tcPr>
            <w:tcW w:w="4262" w:type="dxa"/>
            <w:vMerge/>
            <w:tcBorders>
              <w:left w:val="single" w:sz="6" w:space="0" w:color="000000"/>
              <w:right w:val="single" w:sz="6" w:space="0" w:color="000000"/>
            </w:tcBorders>
          </w:tcPr>
          <w:p>
            <w:pPr/>
          </w:p>
        </w:tc>
      </w:tr>
      <w:tr>
        <w:trPr>
          <w:trHeight w:val="428"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对外担保管理制度</w:t>
            </w:r>
          </w:p>
        </w:tc>
        <w:tc>
          <w:tcPr>
            <w:tcW w:w="4262" w:type="dxa"/>
            <w:vMerge/>
            <w:tcBorders>
              <w:left w:val="single" w:sz="6" w:space="0" w:color="000000"/>
              <w:bottom w:val="single" w:sz="6" w:space="0" w:color="000000"/>
              <w:right w:val="single" w:sz="6" w:space="0" w:color="000000"/>
            </w:tcBorders>
          </w:tcPr>
          <w:p>
            <w:pPr/>
          </w:p>
        </w:tc>
      </w:tr>
    </w:tbl>
    <w:p>
      <w:pPr>
        <w:spacing w:line="338" w:lineRule="auto" w:before="67"/>
        <w:ind w:left="444" w:right="0" w:firstLine="21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、关于股东与股东大会 </w:t>
      </w:r>
      <w:r>
        <w:rPr>
          <w:rFonts w:ascii="宋体" w:hAnsi="宋体" w:cs="宋体" w:eastAsia="宋体" w:hint="default"/>
          <w:spacing w:val="-1"/>
          <w:sz w:val="18"/>
          <w:szCs w:val="18"/>
        </w:rPr>
        <w:t>公司严格遵守法律法规，按程序召集、召开股东大会。股东大会的召集、召开程序、出席股东大会的人员资格及股东大</w:t>
      </w:r>
    </w:p>
    <w:p>
      <w:pPr>
        <w:spacing w:line="319" w:lineRule="auto" w:before="2"/>
        <w:ind w:left="154" w:right="1032" w:firstLine="0"/>
        <w:jc w:val="left"/>
        <w:rPr>
          <w:rFonts w:ascii="宋体" w:hAnsi="宋体" w:cs="宋体" w:eastAsia="宋体" w:hint="default"/>
          <w:sz w:val="18"/>
          <w:szCs w:val="18"/>
        </w:rPr>
      </w:pPr>
      <w:r>
        <w:rPr>
          <w:rFonts w:ascii="宋体" w:hAnsi="宋体" w:cs="宋体" w:eastAsia="宋体" w:hint="default"/>
          <w:sz w:val="18"/>
          <w:szCs w:val="18"/>
        </w:rPr>
        <w:t>会的表决程序均符合《公司法》、《公司章程》及其他法律法规的规定，能够确保全体股东尤其是中小股东享有平等地位， 充分行使自己的权利。报告期内召开的股东大会均由公司董事会召集召开，并邀请律师进行现场见证。</w:t>
      </w:r>
    </w:p>
    <w:p>
      <w:pPr>
        <w:spacing w:before="58"/>
        <w:ind w:left="660"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、关于公司与控股股东</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9" w:lineRule="auto" w:before="44"/>
        <w:ind w:left="154" w:right="1132" w:firstLine="290"/>
        <w:jc w:val="both"/>
        <w:rPr>
          <w:rFonts w:ascii="宋体" w:hAnsi="宋体" w:cs="宋体" w:eastAsia="宋体" w:hint="default"/>
          <w:sz w:val="18"/>
          <w:szCs w:val="18"/>
        </w:rPr>
      </w:pPr>
      <w:r>
        <w:rPr>
          <w:rFonts w:ascii="宋体" w:hAnsi="宋体" w:cs="宋体" w:eastAsia="宋体" w:hint="default"/>
          <w:spacing w:val="-1"/>
          <w:sz w:val="18"/>
          <w:szCs w:val="18"/>
        </w:rPr>
        <w:t>公司在业务、人员、资产、机构、财务等方面与控股股东相互独立，公司董事会、监事会和内部机构独立运作，公司的</w:t>
      </w:r>
      <w:r>
        <w:rPr>
          <w:rFonts w:ascii="宋体" w:hAnsi="宋体" w:cs="宋体" w:eastAsia="宋体" w:hint="default"/>
          <w:sz w:val="18"/>
          <w:szCs w:val="18"/>
        </w:rPr>
        <w:t> </w:t>
      </w:r>
      <w:r>
        <w:rPr>
          <w:rFonts w:ascii="宋体" w:hAnsi="宋体" w:cs="宋体" w:eastAsia="宋体" w:hint="default"/>
          <w:spacing w:val="-2"/>
          <w:sz w:val="18"/>
          <w:szCs w:val="18"/>
        </w:rPr>
        <w:t>重大决策由股东大会依法做出，控股股东依法行使股东权利，没有超越公司股东大会直接或者间接干预公司的决策和经营活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动行为。本报告期内，不存在控股股东占用公司资金的现象，也不存在公司为控股股东及其子公司提供担保的行为。</w:t>
      </w:r>
    </w:p>
    <w:p>
      <w:pPr>
        <w:spacing w:line="319" w:lineRule="auto" w:before="56"/>
        <w:ind w:left="154" w:right="0" w:firstLine="43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、关于董事与董事会 </w:t>
      </w:r>
      <w:r>
        <w:rPr>
          <w:rFonts w:ascii="宋体" w:hAnsi="宋体" w:cs="宋体" w:eastAsia="宋体" w:hint="default"/>
          <w:spacing w:val="-2"/>
          <w:sz w:val="18"/>
          <w:szCs w:val="18"/>
        </w:rPr>
        <w:t>公司严格按照法律法规和《公司章程》规定选举董事：董事会目前人数</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人，其中独立董事</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人，人数和人员构成符合法律法</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规和《公司章程》的要求。公司董事会设立了审计委员会、提名委员会、薪酬与考核委员会和发展战略委员会，为董事会的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决策提供专业意见。公司全体董事能够依据《董事会议事规则》、《独立董事制度》等制度开展工作。公司三名独立董事在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工作中保持充分的独立性，认真审议各项议案，对有关事项发表了独立意见，切实维护了公司和中小股东的利益。</w:t>
      </w:r>
    </w:p>
    <w:p>
      <w:pPr>
        <w:spacing w:line="319" w:lineRule="auto" w:before="55"/>
        <w:ind w:left="154" w:right="0" w:firstLine="217"/>
        <w:jc w:val="left"/>
        <w:rPr>
          <w:rFonts w:ascii="宋体" w:hAnsi="宋体" w:cs="宋体" w:eastAsia="宋体" w:hint="default"/>
          <w:sz w:val="18"/>
          <w:szCs w:val="18"/>
        </w:rPr>
      </w:pPr>
      <w:r>
        <w:rPr>
          <w:rFonts w:ascii="宋体" w:hAnsi="宋体" w:cs="宋体" w:eastAsia="宋体" w:hint="default"/>
          <w:sz w:val="18"/>
          <w:szCs w:val="18"/>
        </w:rPr>
        <w:t>报告期内，公司严格按照《公司法》、《证券法》、《上市公司治理准则》、《深圳证券交易所股票上市规则》、《中 </w:t>
      </w:r>
      <w:r>
        <w:rPr>
          <w:rFonts w:ascii="宋体" w:hAnsi="宋体" w:cs="宋体" w:eastAsia="宋体" w:hint="default"/>
          <w:spacing w:val="-2"/>
          <w:sz w:val="18"/>
          <w:szCs w:val="18"/>
        </w:rPr>
        <w:t>小板企业上市公司规范运作指引》及其他相关法律、法规的要求，不断完善公司治理结构，建立健全内部控制制度，不断加</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强信息披露工作，积极开展投资者关系管理，不断提高公司治理水平。</w:t>
      </w:r>
    </w:p>
    <w:p>
      <w:pPr>
        <w:spacing w:line="360" w:lineRule="auto" w:before="56"/>
        <w:ind w:left="154" w:right="3012" w:firstLine="0"/>
        <w:jc w:val="left"/>
        <w:rPr>
          <w:rFonts w:ascii="宋体" w:hAnsi="宋体" w:cs="宋体" w:eastAsia="宋体" w:hint="default"/>
          <w:sz w:val="18"/>
          <w:szCs w:val="18"/>
        </w:rPr>
      </w:pPr>
      <w:r>
        <w:rPr>
          <w:rFonts w:ascii="宋体" w:hAnsi="宋体" w:cs="宋体" w:eastAsia="宋体" w:hint="default"/>
          <w:sz w:val="18"/>
          <w:szCs w:val="18"/>
        </w:rPr>
        <w:t>截止报告期末，公司治理的实际状况基本符合中国证监会发布的有关上市公司治理的规范性文件。 公司已建立的各项制度名称和公开信息披露情况：</w:t>
      </w:r>
    </w:p>
    <w:tbl>
      <w:tblPr>
        <w:tblW w:w="0" w:type="auto"/>
        <w:jc w:val="left"/>
        <w:tblInd w:w="146" w:type="dxa"/>
        <w:tblLayout w:type="fixed"/>
        <w:tblCellMar>
          <w:top w:w="0" w:type="dxa"/>
          <w:left w:w="0" w:type="dxa"/>
          <w:bottom w:w="0" w:type="dxa"/>
          <w:right w:w="0" w:type="dxa"/>
        </w:tblCellMar>
        <w:tblLook w:val="01E0"/>
      </w:tblPr>
      <w:tblGrid>
        <w:gridCol w:w="4262"/>
        <w:gridCol w:w="4262"/>
      </w:tblGrid>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公司已建立的制度</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公开信息披露情况</w:t>
            </w:r>
          </w:p>
        </w:tc>
      </w:tr>
      <w:tr>
        <w:trPr>
          <w:trHeight w:val="739"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pacing w:val="-4"/>
                <w:sz w:val="18"/>
                <w:szCs w:val="18"/>
              </w:rPr>
              <w:t>董事、监事、高级管理人员及有关人员所持本公司股份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及其变动管理制度（</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c>
          <w:tcPr>
            <w:tcW w:w="4262" w:type="dxa"/>
            <w:vMerge w:val="restart"/>
            <w:tcBorders>
              <w:top w:val="single" w:sz="6" w:space="0" w:color="000000"/>
              <w:left w:val="single" w:sz="6" w:space="0" w:color="000000"/>
              <w:right w:val="single" w:sz="6" w:space="0" w:color="000000"/>
            </w:tcBorders>
          </w:tcPr>
          <w:p>
            <w:pPr>
              <w:pStyle w:val="TableParagraph"/>
              <w:spacing w:line="300" w:lineRule="auto" w:before="62"/>
              <w:ind w:left="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日，刊登于公司指定信息披露媒体巨潮资 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26"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内幕知情人管理制度（</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c>
          <w:tcPr>
            <w:tcW w:w="4262" w:type="dxa"/>
            <w:vMerge/>
            <w:tcBorders>
              <w:left w:val="single" w:sz="6" w:space="0" w:color="000000"/>
              <w:right w:val="single" w:sz="6" w:space="0" w:color="000000"/>
            </w:tcBorders>
          </w:tcPr>
          <w:p>
            <w:pP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接待特定对象直接沟通相关活动管理制</w:t>
            </w:r>
            <w:r>
              <w:rPr>
                <w:rFonts w:ascii="宋体" w:hAnsi="宋体" w:cs="宋体" w:eastAsia="宋体" w:hint="default"/>
                <w:spacing w:val="-80"/>
                <w:sz w:val="18"/>
                <w:szCs w:val="18"/>
              </w:rPr>
              <w:t>度</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c>
          <w:tcPr>
            <w:tcW w:w="4262" w:type="dxa"/>
            <w:vMerge/>
            <w:tcBorders>
              <w:left w:val="single" w:sz="6" w:space="0" w:color="000000"/>
              <w:bottom w:val="single" w:sz="6" w:space="0" w:color="000000"/>
              <w:right w:val="single" w:sz="6" w:space="0" w:color="000000"/>
            </w:tcBorders>
          </w:tcPr>
          <w:p>
            <w:pPr/>
          </w:p>
        </w:tc>
      </w:tr>
      <w:tr>
        <w:trPr>
          <w:trHeight w:val="740"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日，刊登于公司指定信息披露媒体巨潮资 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董事会各专门委员会工作细则</w:t>
            </w:r>
          </w:p>
        </w:tc>
        <w:tc>
          <w:tcPr>
            <w:tcW w:w="4262" w:type="dxa"/>
            <w:vMerge w:val="restart"/>
            <w:tcBorders>
              <w:top w:val="single" w:sz="6" w:space="0" w:color="000000"/>
              <w:left w:val="single" w:sz="6" w:space="0" w:color="000000"/>
              <w:right w:val="single" w:sz="6" w:space="0" w:color="000000"/>
            </w:tcBorders>
          </w:tcPr>
          <w:p>
            <w:pPr>
              <w:pStyle w:val="TableParagraph"/>
              <w:spacing w:line="300" w:lineRule="auto" w:before="62"/>
              <w:ind w:left="2" w:right="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2010</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日，经公司第一届董事会第一次会议审议通</w:t>
            </w:r>
            <w:r>
              <w:rPr>
                <w:rFonts w:ascii="宋体" w:hAnsi="宋体" w:cs="宋体" w:eastAsia="宋体" w:hint="default"/>
                <w:sz w:val="18"/>
                <w:szCs w:val="18"/>
              </w:rPr>
              <w:t> 过。</w:t>
            </w: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总经理工作细则</w:t>
            </w:r>
          </w:p>
        </w:tc>
        <w:tc>
          <w:tcPr>
            <w:tcW w:w="4262" w:type="dxa"/>
            <w:vMerge/>
            <w:tcBorders>
              <w:left w:val="single" w:sz="6" w:space="0" w:color="000000"/>
              <w:right w:val="single" w:sz="6" w:space="0" w:color="000000"/>
            </w:tcBorders>
          </w:tcPr>
          <w:p>
            <w:pP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董事会秘书工作细则</w:t>
            </w:r>
          </w:p>
        </w:tc>
        <w:tc>
          <w:tcPr>
            <w:tcW w:w="4262" w:type="dxa"/>
            <w:vMerge/>
            <w:tcBorders>
              <w:left w:val="single" w:sz="6" w:space="0" w:color="000000"/>
              <w:right w:val="single" w:sz="6" w:space="0" w:color="000000"/>
            </w:tcBorders>
          </w:tcPr>
          <w:p>
            <w:pPr/>
          </w:p>
        </w:tc>
      </w:tr>
      <w:tr>
        <w:trPr>
          <w:trHeight w:val="426"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内部审计制度</w:t>
            </w:r>
          </w:p>
        </w:tc>
        <w:tc>
          <w:tcPr>
            <w:tcW w:w="4262" w:type="dxa"/>
            <w:vMerge/>
            <w:tcBorders>
              <w:left w:val="single" w:sz="6" w:space="0" w:color="000000"/>
              <w:bottom w:val="single" w:sz="6" w:space="0" w:color="000000"/>
              <w:right w:val="single" w:sz="6" w:space="0" w:color="000000"/>
            </w:tcBorders>
          </w:tcPr>
          <w:p>
            <w:pP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募集资金专项存储及使用管理制度</w:t>
            </w:r>
          </w:p>
        </w:tc>
        <w:tc>
          <w:tcPr>
            <w:tcW w:w="4262" w:type="dxa"/>
            <w:vMerge w:val="restart"/>
            <w:tcBorders>
              <w:top w:val="single" w:sz="6" w:space="0" w:color="000000"/>
              <w:left w:val="single" w:sz="6" w:space="0" w:color="000000"/>
              <w:right w:val="single" w:sz="6" w:space="0" w:color="000000"/>
            </w:tcBorders>
          </w:tcPr>
          <w:p>
            <w:pPr>
              <w:pStyle w:val="TableParagraph"/>
              <w:spacing w:line="302" w:lineRule="auto" w:before="62"/>
              <w:ind w:left="2" w:right="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日，经公司第一届董事会第六次会议审议通</w:t>
            </w:r>
            <w:r>
              <w:rPr>
                <w:rFonts w:ascii="宋体" w:hAnsi="宋体" w:cs="宋体" w:eastAsia="宋体" w:hint="default"/>
                <w:sz w:val="18"/>
                <w:szCs w:val="18"/>
              </w:rPr>
              <w:t> 过。</w:t>
            </w: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信息披露管理制度</w:t>
            </w:r>
          </w:p>
        </w:tc>
        <w:tc>
          <w:tcPr>
            <w:tcW w:w="4262" w:type="dxa"/>
            <w:vMerge/>
            <w:tcBorders>
              <w:left w:val="single" w:sz="6" w:space="0" w:color="000000"/>
              <w:bottom w:val="single" w:sz="6" w:space="0" w:color="000000"/>
              <w:right w:val="single" w:sz="6" w:space="0" w:color="000000"/>
            </w:tcBorders>
          </w:tcPr>
          <w:p>
            <w:pPr/>
          </w:p>
        </w:tc>
      </w:tr>
      <w:tr>
        <w:trPr>
          <w:trHeight w:val="739"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远期外汇交易业务内控管理制度</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日，经公司第一届董事会第七次会议审议 通过。</w:t>
            </w: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股东大会议事规则</w:t>
            </w:r>
          </w:p>
        </w:tc>
        <w:tc>
          <w:tcPr>
            <w:tcW w:w="4262" w:type="dxa"/>
            <w:vMerge w:val="restart"/>
            <w:tcBorders>
              <w:top w:val="single" w:sz="6" w:space="0" w:color="000000"/>
              <w:left w:val="single" w:sz="6" w:space="0" w:color="000000"/>
              <w:right w:val="single" w:sz="6" w:space="0" w:color="000000"/>
            </w:tcBorders>
          </w:tcPr>
          <w:p>
            <w:pPr>
              <w:pStyle w:val="TableParagraph"/>
              <w:spacing w:line="300" w:lineRule="auto" w:before="62"/>
              <w:ind w:left="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日，经公司创立大会审议通过。</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日，经公司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年第二次临时股东大会审议通过修 改股东大会议事规则。</w:t>
            </w: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监事会议事规则</w:t>
            </w:r>
          </w:p>
        </w:tc>
        <w:tc>
          <w:tcPr>
            <w:tcW w:w="4262" w:type="dxa"/>
            <w:vMerge/>
            <w:tcBorders>
              <w:left w:val="single" w:sz="6" w:space="0" w:color="000000"/>
              <w:right w:val="single" w:sz="6" w:space="0" w:color="000000"/>
            </w:tcBorders>
          </w:tcPr>
          <w:p>
            <w:pPr/>
          </w:p>
        </w:tc>
      </w:tr>
      <w:tr>
        <w:trPr>
          <w:trHeight w:val="426"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董事会议事规则</w:t>
            </w:r>
          </w:p>
        </w:tc>
        <w:tc>
          <w:tcPr>
            <w:tcW w:w="4262" w:type="dxa"/>
            <w:vMerge/>
            <w:tcBorders>
              <w:left w:val="single" w:sz="6" w:space="0" w:color="000000"/>
              <w:right w:val="single" w:sz="6" w:space="0" w:color="000000"/>
            </w:tcBorders>
          </w:tcPr>
          <w:p>
            <w:pP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对外投资管理制度</w:t>
            </w:r>
          </w:p>
        </w:tc>
        <w:tc>
          <w:tcPr>
            <w:tcW w:w="4262" w:type="dxa"/>
            <w:vMerge/>
            <w:tcBorders>
              <w:left w:val="single" w:sz="6" w:space="0" w:color="000000"/>
              <w:right w:val="single" w:sz="6" w:space="0" w:color="000000"/>
            </w:tcBorders>
          </w:tcPr>
          <w:p>
            <w:pP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独立董事工作制度</w:t>
            </w:r>
          </w:p>
        </w:tc>
        <w:tc>
          <w:tcPr>
            <w:tcW w:w="4262" w:type="dxa"/>
            <w:vMerge/>
            <w:tcBorders>
              <w:left w:val="single" w:sz="6" w:space="0" w:color="000000"/>
              <w:right w:val="single" w:sz="6" w:space="0" w:color="000000"/>
            </w:tcBorders>
          </w:tcPr>
          <w:p>
            <w:pPr/>
          </w:p>
        </w:tc>
      </w:tr>
      <w:tr>
        <w:trPr>
          <w:trHeight w:val="428"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对外担保管理制度</w:t>
            </w:r>
          </w:p>
        </w:tc>
        <w:tc>
          <w:tcPr>
            <w:tcW w:w="4262" w:type="dxa"/>
            <w:vMerge/>
            <w:tcBorders>
              <w:left w:val="single" w:sz="6" w:space="0" w:color="000000"/>
              <w:bottom w:val="single" w:sz="6" w:space="0" w:color="000000"/>
              <w:right w:val="single" w:sz="6" w:space="0" w:color="000000"/>
            </w:tcBorders>
          </w:tcPr>
          <w:p>
            <w:pPr/>
          </w:p>
        </w:tc>
      </w:tr>
    </w:tbl>
    <w:p>
      <w:pPr>
        <w:spacing w:line="338" w:lineRule="auto" w:before="65"/>
        <w:ind w:left="444" w:right="0" w:firstLine="21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、关于股东与股东大会 </w:t>
      </w:r>
      <w:r>
        <w:rPr>
          <w:rFonts w:ascii="宋体" w:hAnsi="宋体" w:cs="宋体" w:eastAsia="宋体" w:hint="default"/>
          <w:spacing w:val="-1"/>
          <w:sz w:val="18"/>
          <w:szCs w:val="18"/>
        </w:rPr>
        <w:t>公司严格遵守法律法规，按程序召集、召开股东大会。股东大会的召集、召开程序、出席股东大会的人员资格及股东大</w:t>
      </w:r>
    </w:p>
    <w:p>
      <w:pPr>
        <w:spacing w:before="2"/>
        <w:ind w:left="154" w:right="0" w:firstLine="0"/>
        <w:jc w:val="left"/>
        <w:rPr>
          <w:rFonts w:ascii="宋体" w:hAnsi="宋体" w:cs="宋体" w:eastAsia="宋体" w:hint="default"/>
          <w:sz w:val="18"/>
          <w:szCs w:val="18"/>
        </w:rPr>
      </w:pPr>
      <w:r>
        <w:rPr>
          <w:rFonts w:ascii="宋体" w:hAnsi="宋体" w:cs="宋体" w:eastAsia="宋体" w:hint="default"/>
          <w:sz w:val="18"/>
          <w:szCs w:val="18"/>
        </w:rPr>
        <w:t>会的表决程序均符合《公司法》、《公司章程》及其他法律法规的规定，能够确保全体股东尤其是中小股东享有平等地位，</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1360" w:firstLine="0"/>
        <w:jc w:val="left"/>
        <w:rPr>
          <w:rFonts w:ascii="宋体" w:hAnsi="宋体" w:cs="宋体" w:eastAsia="宋体" w:hint="default"/>
          <w:sz w:val="18"/>
          <w:szCs w:val="18"/>
        </w:rPr>
      </w:pPr>
      <w:r>
        <w:rPr>
          <w:rFonts w:ascii="宋体" w:hAnsi="宋体" w:cs="宋体" w:eastAsia="宋体" w:hint="default"/>
          <w:sz w:val="18"/>
          <w:szCs w:val="18"/>
        </w:rPr>
        <w:t>充分行使自己的权利。报告期内召开的股东大会均由公司董事会召集召开，并邀请律师进行现场见证。</w:t>
      </w:r>
    </w:p>
    <w:p>
      <w:pPr>
        <w:spacing w:line="338" w:lineRule="auto" w:before="116"/>
        <w:ind w:left="444" w:right="0" w:firstLine="21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、关于公司与控股股东 </w:t>
      </w:r>
      <w:r>
        <w:rPr>
          <w:rFonts w:ascii="宋体" w:hAnsi="宋体" w:cs="宋体" w:eastAsia="宋体" w:hint="default"/>
          <w:spacing w:val="-1"/>
          <w:sz w:val="18"/>
          <w:szCs w:val="18"/>
        </w:rPr>
        <w:t>公司在业务、人员、资产、机构、财务等方面与控股股东相互独立，公司董事会、监事会和内部机构独立运作，公司的</w:t>
      </w:r>
    </w:p>
    <w:p>
      <w:pPr>
        <w:spacing w:line="319" w:lineRule="auto" w:before="2"/>
        <w:ind w:left="154" w:right="1118" w:firstLine="0"/>
        <w:jc w:val="left"/>
        <w:rPr>
          <w:rFonts w:ascii="宋体" w:hAnsi="宋体" w:cs="宋体" w:eastAsia="宋体" w:hint="default"/>
          <w:sz w:val="18"/>
          <w:szCs w:val="18"/>
        </w:rPr>
      </w:pPr>
      <w:r>
        <w:rPr>
          <w:rFonts w:ascii="宋体" w:hAnsi="宋体" w:cs="宋体" w:eastAsia="宋体" w:hint="default"/>
          <w:spacing w:val="-2"/>
          <w:sz w:val="18"/>
          <w:szCs w:val="18"/>
        </w:rPr>
        <w:t>重大决策由股东大会依法做出，控股股东依法行使股东权利，没有超越公司股东大会直接或者间接干预公司的决策和经营活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动行为。</w:t>
      </w:r>
    </w:p>
    <w:p>
      <w:pPr>
        <w:spacing w:line="338" w:lineRule="auto" w:before="56"/>
        <w:ind w:left="154" w:right="3552" w:firstLine="43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、关于董事与董事会 公司治理的实际状况与中国证监会发布的有关上市公司治理的规范性文件是否存在重大差异</w:t>
      </w:r>
    </w:p>
    <w:p>
      <w:pPr>
        <w:spacing w:line="338" w:lineRule="auto" w:before="43"/>
        <w:ind w:left="154" w:right="35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1360"/>
        <w:jc w:val="left"/>
        <w:rPr>
          <w:b w:val="0"/>
          <w:bCs w:val="0"/>
        </w:rPr>
      </w:pPr>
      <w:bookmarkStart w:name="二、公司相对于控股股东在业务、人员、资产、机构、财务等方面的独立情况" w:id="144"/>
      <w:bookmarkEnd w:id="144"/>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spacing w:line="316" w:lineRule="auto" w:before="0"/>
        <w:ind w:left="154" w:right="1032" w:firstLine="217"/>
        <w:jc w:val="left"/>
        <w:rPr>
          <w:rFonts w:ascii="宋体" w:hAnsi="宋体" w:cs="宋体" w:eastAsia="宋体" w:hint="default"/>
          <w:sz w:val="18"/>
          <w:szCs w:val="18"/>
        </w:rPr>
      </w:pPr>
      <w:r>
        <w:rPr>
          <w:rFonts w:ascii="宋体" w:hAnsi="宋体" w:cs="宋体" w:eastAsia="宋体" w:hint="default"/>
          <w:sz w:val="18"/>
          <w:szCs w:val="18"/>
        </w:rPr>
        <w:t>公司自设立以来，严格按照《公司法》、《证券法》等有关法律、法规和公司章程的要求规范运作，公司与控股股东在 </w:t>
      </w:r>
      <w:r>
        <w:rPr>
          <w:rFonts w:ascii="宋体" w:hAnsi="宋体" w:cs="宋体" w:eastAsia="宋体" w:hint="default"/>
          <w:spacing w:val="-2"/>
          <w:sz w:val="18"/>
          <w:szCs w:val="18"/>
        </w:rPr>
        <w:t>业务、人员、资产、机构、财务等方面完全分开，具有独立完整的自主经营能力。（一）业务独立情况，公司拥有完整的供</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应、研发、生产和销售体系，具有独立面向市场自主经营的能力，独立开展业务，独立核算和决策，独立承担责任与风险。</w:t>
      </w:r>
    </w:p>
    <w:p>
      <w:pPr>
        <w:spacing w:line="316" w:lineRule="auto" w:before="19"/>
        <w:ind w:left="154" w:right="1032" w:firstLine="0"/>
        <w:jc w:val="left"/>
        <w:rPr>
          <w:rFonts w:ascii="宋体" w:hAnsi="宋体" w:cs="宋体" w:eastAsia="宋体" w:hint="default"/>
          <w:sz w:val="18"/>
          <w:szCs w:val="18"/>
        </w:rPr>
      </w:pPr>
      <w:r>
        <w:rPr>
          <w:rFonts w:ascii="宋体" w:hAnsi="宋体" w:cs="宋体" w:eastAsia="宋体" w:hint="default"/>
          <w:spacing w:val="-2"/>
          <w:sz w:val="18"/>
          <w:szCs w:val="18"/>
        </w:rPr>
        <w:t>（二）资产完整情况，公司与控股股东产权关系明晰，公司对所有资产有完全的控制支配权，不存在资产、资金被控股股东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占用而损害公司利益的情况。（三）人员独立情况，公司董事、监事、高级管理人员均严格按照《公司法》、《公司章程》 </w:t>
      </w:r>
      <w:r>
        <w:rPr>
          <w:rFonts w:ascii="宋体" w:hAnsi="宋体" w:cs="宋体" w:eastAsia="宋体" w:hint="default"/>
          <w:spacing w:val="-2"/>
          <w:sz w:val="18"/>
          <w:szCs w:val="18"/>
        </w:rPr>
        <w:t>的有关规定产生，不存在在股东公司或下属企业兼任除董事、监事以外的执行职务的情况。（四）机构独立情况，公司拥有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独立完整的组织机构，建立健全了股东大会、董事会、监事会和总经理等相互约束的法人治理结构。不存在股东公司及其它</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关联公司干预公司机构设置的情况。（五）财务独立情况，公司设有独立的财务会计部门和内部审计部门，建立了独立的会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计核算体系和规范的财务管理制度，独立进行财务决策。不存在与股东共用银行账户或者混合纳税现象。</w:t>
      </w:r>
    </w:p>
    <w:p>
      <w:pPr>
        <w:spacing w:line="240" w:lineRule="auto" w:before="10"/>
        <w:rPr>
          <w:rFonts w:ascii="宋体" w:hAnsi="宋体" w:cs="宋体" w:eastAsia="宋体" w:hint="default"/>
          <w:sz w:val="20"/>
          <w:szCs w:val="20"/>
        </w:rPr>
      </w:pPr>
    </w:p>
    <w:p>
      <w:pPr>
        <w:pStyle w:val="Heading2"/>
        <w:spacing w:line="240" w:lineRule="auto"/>
        <w:ind w:right="1360"/>
        <w:jc w:val="left"/>
        <w:rPr>
          <w:b w:val="0"/>
          <w:bCs w:val="0"/>
        </w:rPr>
      </w:pPr>
      <w:bookmarkStart w:name="三、同业竞争情况" w:id="145"/>
      <w:bookmarkEnd w:id="145"/>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360"/>
        <w:jc w:val="left"/>
        <w:rPr>
          <w:b w:val="0"/>
          <w:bCs w:val="0"/>
        </w:rPr>
      </w:pPr>
      <w:bookmarkStart w:name="四、报告期内召开的年度股东大会和临时股东大会的有关情况" w:id="146"/>
      <w:bookmarkEnd w:id="146"/>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360"/>
        <w:jc w:val="left"/>
        <w:rPr>
          <w:b w:val="0"/>
          <w:bCs w:val="0"/>
        </w:rPr>
      </w:pPr>
      <w:bookmarkStart w:name="1、本报告期股东大会情况" w:id="147"/>
      <w:bookmarkEnd w:id="147"/>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2018-010</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2018-051</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2018-056</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2018-068</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2018-077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2018-100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4"/>
        <w:spacing w:line="240" w:lineRule="auto" w:before="35"/>
        <w:ind w:right="1360"/>
        <w:jc w:val="left"/>
        <w:rPr>
          <w:b w:val="0"/>
          <w:bCs w:val="0"/>
        </w:rPr>
      </w:pPr>
      <w:bookmarkStart w:name="2、表决权恢复的优先股股东请求召开临时股东大会" w:id="148"/>
      <w:bookmarkEnd w:id="148"/>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360"/>
        <w:jc w:val="left"/>
        <w:rPr>
          <w:b w:val="0"/>
          <w:bCs w:val="0"/>
        </w:rPr>
      </w:pPr>
      <w:bookmarkStart w:name="五、报告期内独立董事履行职责的情况" w:id="149"/>
      <w:bookmarkEnd w:id="149"/>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360"/>
        <w:jc w:val="left"/>
        <w:rPr>
          <w:b w:val="0"/>
          <w:bCs w:val="0"/>
        </w:rPr>
      </w:pPr>
      <w:bookmarkStart w:name="1、独立董事出席董事会及股东大会的情况" w:id="150"/>
      <w:bookmarkEnd w:id="150"/>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李茂生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雷新途</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2、独立董事对公司有关事项提出异议的情况" w:id="151"/>
      <w:bookmarkEnd w:id="151"/>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6"/>
        <w:ind w:left="15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2"/>
        <w:rPr>
          <w:rFonts w:ascii="宋体" w:hAnsi="宋体" w:cs="宋体" w:eastAsia="宋体" w:hint="default"/>
          <w:sz w:val="20"/>
          <w:szCs w:val="20"/>
        </w:rPr>
      </w:pPr>
    </w:p>
    <w:p>
      <w:pPr>
        <w:pStyle w:val="Heading4"/>
        <w:spacing w:line="240" w:lineRule="auto"/>
        <w:ind w:right="1360"/>
        <w:jc w:val="left"/>
        <w:rPr>
          <w:b w:val="0"/>
          <w:bCs w:val="0"/>
        </w:rPr>
      </w:pPr>
      <w:bookmarkStart w:name="3、独立董事履行职责的其他说明" w:id="152"/>
      <w:bookmarkEnd w:id="152"/>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6"/>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spacing w:line="309" w:lineRule="auto" w:before="42"/>
        <w:ind w:left="154" w:right="10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年度，独立董事利用参加董事会、股东大会和业务交流的机会对公司进行了多次现场考察，了解公司的生产经营情况、 </w:t>
      </w:r>
      <w:r>
        <w:rPr>
          <w:rFonts w:ascii="宋体" w:hAnsi="宋体" w:cs="宋体" w:eastAsia="宋体" w:hint="default"/>
          <w:spacing w:val="-2"/>
          <w:sz w:val="18"/>
          <w:szCs w:val="18"/>
        </w:rPr>
        <w:t>内部控制和财务状况；与公司其他董事、高管人员及相关工作人员保持密切联系，及时获悉公司各重大事项的进展情况，时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刻关注外部环境及市场变化对公司的美盛文化创意股份有限公司</w:t>
      </w:r>
      <w:r>
        <w:rPr>
          <w:rFonts w:ascii="宋体" w:hAnsi="宋体" w:cs="宋体" w:eastAsia="宋体" w:hint="default"/>
          <w:spacing w:val="-18"/>
          <w:sz w:val="18"/>
          <w:szCs w:val="18"/>
        </w:rPr>
        <w:t> </w:t>
      </w:r>
      <w:r>
        <w:rPr>
          <w:rFonts w:ascii="宋体" w:hAnsi="宋体" w:cs="宋体" w:eastAsia="宋体" w:hint="default"/>
          <w:sz w:val="18"/>
          <w:szCs w:val="18"/>
        </w:rPr>
        <w:t>影响，对公司经营管理提出积极有益的建议。</w:t>
      </w:r>
    </w:p>
    <w:p>
      <w:pPr>
        <w:spacing w:line="240" w:lineRule="auto" w:before="2"/>
        <w:rPr>
          <w:rFonts w:ascii="宋体" w:hAnsi="宋体" w:cs="宋体" w:eastAsia="宋体" w:hint="default"/>
          <w:sz w:val="21"/>
          <w:szCs w:val="21"/>
        </w:rPr>
      </w:pPr>
    </w:p>
    <w:p>
      <w:pPr>
        <w:pStyle w:val="Heading2"/>
        <w:spacing w:line="240" w:lineRule="auto"/>
        <w:ind w:right="1360"/>
        <w:jc w:val="left"/>
        <w:rPr>
          <w:b w:val="0"/>
          <w:bCs w:val="0"/>
        </w:rPr>
      </w:pPr>
      <w:bookmarkStart w:name="六、董事会下设专门委员会在报告期内履行职责情况" w:id="153"/>
      <w:bookmarkEnd w:id="153"/>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报告期内，董事会下设专门委员会，各委员在报告期内恪尽职守、诚实守信地履行职责，积极参加董事会和股东大会，召开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相关会议，发挥各自的专业特长、技能和经验，积极地履行职责，切实维护公司及股东特别是社会公众股股东的权益。</w:t>
      </w:r>
    </w:p>
    <w:p>
      <w:pPr>
        <w:spacing w:line="240" w:lineRule="auto" w:before="10"/>
        <w:rPr>
          <w:rFonts w:ascii="宋体" w:hAnsi="宋体" w:cs="宋体" w:eastAsia="宋体" w:hint="default"/>
          <w:sz w:val="20"/>
          <w:szCs w:val="20"/>
        </w:rPr>
      </w:pPr>
    </w:p>
    <w:p>
      <w:pPr>
        <w:pStyle w:val="Heading2"/>
        <w:spacing w:line="240" w:lineRule="auto"/>
        <w:ind w:right="1360"/>
        <w:jc w:val="left"/>
        <w:rPr>
          <w:b w:val="0"/>
          <w:bCs w:val="0"/>
        </w:rPr>
      </w:pPr>
      <w:bookmarkStart w:name="七、监事会工作情况" w:id="154"/>
      <w:bookmarkEnd w:id="154"/>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38" w:lineRule="auto" w:before="44"/>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1360"/>
        <w:jc w:val="left"/>
        <w:rPr>
          <w:b w:val="0"/>
          <w:bCs w:val="0"/>
        </w:rPr>
      </w:pPr>
      <w:bookmarkStart w:name="八、高级管理人员的考评及激励情况" w:id="155"/>
      <w:bookmarkEnd w:id="155"/>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spacing w:line="316" w:lineRule="auto" w:before="0"/>
        <w:ind w:left="154" w:right="1120" w:firstLine="145"/>
        <w:jc w:val="left"/>
        <w:rPr>
          <w:rFonts w:ascii="宋体" w:hAnsi="宋体" w:cs="宋体" w:eastAsia="宋体" w:hint="default"/>
          <w:sz w:val="18"/>
          <w:szCs w:val="18"/>
        </w:rPr>
      </w:pPr>
      <w:r>
        <w:rPr>
          <w:rFonts w:ascii="宋体" w:hAnsi="宋体" w:cs="宋体" w:eastAsia="宋体" w:hint="default"/>
          <w:spacing w:val="-1"/>
          <w:sz w:val="18"/>
          <w:szCs w:val="18"/>
        </w:rPr>
        <w:t>高级管理人员实行年薪制，根据行业薪酬水平，结合经营效益、岗位情况等因素确定。年终对高级管理人员履行职责情况</w:t>
      </w:r>
      <w:r>
        <w:rPr>
          <w:rFonts w:ascii="宋体" w:hAnsi="宋体" w:cs="宋体" w:eastAsia="宋体" w:hint="default"/>
          <w:sz w:val="18"/>
          <w:szCs w:val="18"/>
        </w:rPr>
        <w:t> 和年度实际业绩进行考评。</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年度公司未实行股权激励等事项。</w:t>
      </w:r>
    </w:p>
    <w:p>
      <w:pPr>
        <w:spacing w:line="240" w:lineRule="auto" w:before="3"/>
        <w:rPr>
          <w:rFonts w:ascii="宋体" w:hAnsi="宋体" w:cs="宋体" w:eastAsia="宋体" w:hint="default"/>
          <w:sz w:val="19"/>
          <w:szCs w:val="19"/>
        </w:rPr>
      </w:pPr>
    </w:p>
    <w:p>
      <w:pPr>
        <w:pStyle w:val="Heading2"/>
        <w:spacing w:line="240" w:lineRule="auto"/>
        <w:ind w:right="1360"/>
        <w:jc w:val="left"/>
        <w:rPr>
          <w:b w:val="0"/>
          <w:bCs w:val="0"/>
        </w:rPr>
      </w:pPr>
      <w:bookmarkStart w:name="九、内部控制评价报告" w:id="156"/>
      <w:bookmarkEnd w:id="156"/>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1、报告期内发现的内部控制重大缺陷的具体情况" w:id="157"/>
      <w:bookmarkEnd w:id="157"/>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9"/>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78" w:right="0"/>
              <w:jc w:val="left"/>
              <w:rPr>
                <w:rFonts w:ascii="宋体" w:hAnsi="宋体" w:cs="宋体" w:eastAsia="宋体" w:hint="default"/>
                <w:sz w:val="18"/>
                <w:szCs w:val="18"/>
              </w:rPr>
            </w:pPr>
            <w:r>
              <w:rPr>
                <w:rFonts w:ascii="宋体" w:hAnsi="宋体" w:cs="宋体" w:eastAsia="宋体" w:hint="default"/>
                <w:sz w:val="18"/>
                <w:szCs w:val="18"/>
              </w:rPr>
              <w:t>报告期内发现的内部控制重大缺陷的具体情况</w:t>
            </w:r>
          </w:p>
        </w:tc>
      </w:tr>
      <w:tr>
        <w:trPr>
          <w:trHeight w:val="4458"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在内部控制鉴证过程中，公司内审部门识别出公司在财务报告内部控制存在以下重大缺陷：（一）</w:t>
            </w:r>
            <w:r>
              <w:rPr>
                <w:rFonts w:ascii="Times New Roman" w:hAnsi="Times New Roman" w:cs="Times New Roman" w:eastAsia="Times New Roman" w:hint="default"/>
                <w:spacing w:val="-2"/>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年内公司控股股东 美盛控股集团有限公司（以下简称美盛控股）违规占用上市公司资金，</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日余额为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151,195.88</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万元。该事项</w:t>
            </w:r>
            <w:r>
              <w:rPr>
                <w:rFonts w:ascii="宋体" w:hAnsi="宋体" w:cs="宋体" w:eastAsia="宋体" w:hint="default"/>
                <w:sz w:val="18"/>
                <w:szCs w:val="18"/>
              </w:rPr>
              <w:t> </w:t>
            </w:r>
            <w:r>
              <w:rPr>
                <w:rFonts w:ascii="宋体" w:hAnsi="宋体" w:cs="宋体" w:eastAsia="宋体" w:hint="default"/>
                <w:spacing w:val="-2"/>
                <w:sz w:val="18"/>
                <w:szCs w:val="18"/>
              </w:rPr>
              <w:t>违反了中国证券监督管理委员会《关于规范上市公司与关联方资金往来及上市公司对外担保若干问题的通知》（证监会公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告〔</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号）以及公司防止控股股东及关联方占用上市公司资金专项制度及其他相关规定。（二）</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月，公</w:t>
            </w:r>
            <w:r>
              <w:rPr>
                <w:rFonts w:ascii="宋体" w:hAnsi="宋体" w:cs="宋体" w:eastAsia="宋体" w:hint="default"/>
                <w:spacing w:val="-78"/>
                <w:sz w:val="18"/>
                <w:szCs w:val="18"/>
              </w:rPr>
              <w:t> </w:t>
            </w:r>
            <w:r>
              <w:rPr>
                <w:rFonts w:ascii="宋体" w:hAnsi="宋体" w:cs="宋体" w:eastAsia="宋体" w:hint="default"/>
                <w:sz w:val="18"/>
                <w:szCs w:val="18"/>
              </w:rPr>
              <w:t>司与美盛控股签订深圳市同道大叔文化传播有限公司（以下简称同道大叔公司）股权转让协议，约定美盛文化公司以 </w:t>
            </w:r>
            <w:r>
              <w:rPr>
                <w:rFonts w:ascii="Times New Roman" w:hAnsi="Times New Roman" w:cs="Times New Roman" w:eastAsia="Times New Roman" w:hint="default"/>
                <w:spacing w:val="-1"/>
                <w:sz w:val="18"/>
                <w:szCs w:val="18"/>
              </w:rPr>
              <w:t>217,500,000.00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元的价格向美盛控股购买其持有的同道大叔公司</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72.50%</w:t>
            </w:r>
            <w:r>
              <w:rPr>
                <w:rFonts w:ascii="宋体" w:hAnsi="宋体" w:cs="宋体" w:eastAsia="宋体" w:hint="default"/>
                <w:spacing w:val="-5"/>
                <w:sz w:val="18"/>
                <w:szCs w:val="18"/>
              </w:rPr>
              <w:t>的股权，款项应于协议签订后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个工作日内支付全</w:t>
            </w:r>
          </w:p>
          <w:p>
            <w:pPr>
              <w:pStyle w:val="TableParagraph"/>
              <w:spacing w:line="309" w:lineRule="auto" w:before="7"/>
              <w:ind w:left="22" w:right="22"/>
              <w:jc w:val="both"/>
              <w:rPr>
                <w:rFonts w:ascii="宋体" w:hAnsi="宋体" w:cs="宋体" w:eastAsia="宋体" w:hint="default"/>
                <w:sz w:val="18"/>
                <w:szCs w:val="18"/>
              </w:rPr>
            </w:pPr>
            <w:r>
              <w:rPr>
                <w:rFonts w:ascii="宋体" w:hAnsi="宋体" w:cs="宋体" w:eastAsia="宋体" w:hint="default"/>
                <w:sz w:val="18"/>
                <w:szCs w:val="18"/>
              </w:rPr>
              <w:t>部款项。美盛文化公司于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年支付全部交易对价。公司未经审议决策程序即执行上述关联方交易，违反了《深圳证券 </w:t>
            </w:r>
            <w:r>
              <w:rPr>
                <w:rFonts w:ascii="宋体" w:hAnsi="宋体" w:cs="宋体" w:eastAsia="宋体" w:hint="default"/>
                <w:spacing w:val="-2"/>
                <w:sz w:val="18"/>
                <w:szCs w:val="18"/>
              </w:rPr>
              <w:t>交易所股票上市规则》和美盛文化公司关联交易决策制度及与投资相关的内部控制。（三）公司未经董事会审议决策违规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使用募集资金，</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日尚未归还的余额为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217,026.02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万元。该事项违反了《深圳证券交易所中小企业板上市公</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司规范运作指引</w:t>
            </w:r>
            <w:r>
              <w:rPr>
                <w:rFonts w:ascii="宋体" w:hAnsi="宋体" w:cs="宋体" w:eastAsia="宋体" w:hint="default"/>
                <w:spacing w:val="-15"/>
                <w:sz w:val="18"/>
                <w:szCs w:val="18"/>
              </w:rPr>
              <w:t>》</w:t>
            </w:r>
            <w:r>
              <w:rPr>
                <w:rFonts w:ascii="宋体" w:hAnsi="宋体" w:cs="宋体" w:eastAsia="宋体" w:hint="default"/>
                <w:sz w:val="18"/>
                <w:szCs w:val="18"/>
              </w:rPr>
              <w:t>和美盛文化公</w:t>
            </w:r>
            <w:r>
              <w:rPr>
                <w:rFonts w:ascii="宋体" w:hAnsi="宋体" w:cs="宋体" w:eastAsia="宋体" w:hint="default"/>
                <w:spacing w:val="-15"/>
                <w:sz w:val="18"/>
                <w:szCs w:val="18"/>
              </w:rPr>
              <w:t>司</w:t>
            </w:r>
            <w:r>
              <w:rPr>
                <w:rFonts w:ascii="宋体" w:hAnsi="宋体" w:cs="宋体" w:eastAsia="宋体" w:hint="default"/>
                <w:sz w:val="18"/>
                <w:szCs w:val="18"/>
              </w:rPr>
              <w:t>《募集资金专项存储及使用管理制度</w:t>
            </w:r>
            <w:r>
              <w:rPr>
                <w:rFonts w:ascii="宋体" w:hAnsi="宋体" w:cs="宋体" w:eastAsia="宋体" w:hint="default"/>
                <w:spacing w:val="-90"/>
                <w:sz w:val="18"/>
                <w:szCs w:val="18"/>
              </w:rPr>
              <w:t>》</w:t>
            </w:r>
            <w:r>
              <w:rPr>
                <w:rFonts w:ascii="宋体" w:hAnsi="宋体" w:cs="宋体" w:eastAsia="宋体" w:hint="default"/>
                <w:spacing w:val="-105"/>
                <w:sz w:val="18"/>
                <w:szCs w:val="18"/>
              </w:rPr>
              <w:t>。</w:t>
            </w:r>
            <w:r>
              <w:rPr>
                <w:rFonts w:ascii="宋体" w:hAnsi="宋体" w:cs="宋体" w:eastAsia="宋体" w:hint="default"/>
                <w:sz w:val="18"/>
                <w:szCs w:val="18"/>
              </w:rPr>
              <w:t>（四</w:t>
            </w:r>
            <w:r>
              <w:rPr>
                <w:rFonts w:ascii="宋体" w:hAnsi="宋体" w:cs="宋体" w:eastAsia="宋体" w:hint="default"/>
                <w:spacing w:val="-14"/>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pacing w:val="-15"/>
                <w:sz w:val="18"/>
                <w:szCs w:val="18"/>
              </w:rPr>
              <w:t>，</w:t>
            </w:r>
            <w:r>
              <w:rPr>
                <w:rFonts w:ascii="宋体" w:hAnsi="宋体" w:cs="宋体" w:eastAsia="宋体" w:hint="default"/>
                <w:sz w:val="18"/>
                <w:szCs w:val="18"/>
              </w:rPr>
              <w:t>美盛文化公司公布三</w:t>
            </w:r>
          </w:p>
          <w:p>
            <w:pPr>
              <w:pStyle w:val="TableParagraph"/>
              <w:spacing w:line="307"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季度报告，预计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年度全年归属于上市公司母公司的净利润为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亿元。公司经审计的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年度归属于 母公司的净利润为</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1"/>
                <w:sz w:val="18"/>
                <w:szCs w:val="18"/>
              </w:rPr>
              <w:t> </w:t>
            </w:r>
            <w:r>
              <w:rPr>
                <w:rFonts w:ascii="宋体" w:hAnsi="宋体" w:cs="宋体" w:eastAsia="宋体" w:hint="default"/>
                <w:spacing w:val="-4"/>
                <w:sz w:val="18"/>
                <w:szCs w:val="18"/>
              </w:rPr>
              <w:t>亿元，业绩预告与美盛文化公司</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年度实际利润存在重大差异。该事项表明在美盛文化公司在与 </w:t>
            </w:r>
            <w:r>
              <w:rPr>
                <w:rFonts w:ascii="宋体" w:hAnsi="宋体" w:cs="宋体" w:eastAsia="宋体" w:hint="default"/>
                <w:spacing w:val="-1"/>
                <w:sz w:val="18"/>
                <w:szCs w:val="18"/>
              </w:rPr>
              <w:t>经营业绩预测相关的内部控制存在重大缺陷。有效的内部控制能够为财务报告及相关信息的真实完整提供合理保证，而上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述重大缺陷使公司的内部控制失去这一功能。</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2、内控自我评价报告" w:id="158"/>
      <w:bookmarkEnd w:id="158"/>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7"/>
        <w:gridCol w:w="3329"/>
        <w:gridCol w:w="3051"/>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详见公司在巨潮资讯网上披露的公告</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99.27%</w:t>
            </w:r>
          </w:p>
        </w:tc>
      </w:tr>
      <w:tr>
        <w:trPr>
          <w:trHeight w:val="715"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35.45%</w:t>
            </w:r>
          </w:p>
        </w:tc>
      </w:tr>
      <w:tr>
        <w:trPr>
          <w:trHeight w:val="402"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98"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财务报告内部控制重大缺陷的迹象包括：</w:t>
            </w:r>
          </w:p>
          <w:p>
            <w:pPr>
              <w:pStyle w:val="TableParagraph"/>
              <w:spacing w:line="316" w:lineRule="auto" w:before="75"/>
              <w:ind w:left="22" w:right="48"/>
              <w:jc w:val="left"/>
              <w:rPr>
                <w:rFonts w:ascii="宋体" w:hAnsi="宋体" w:cs="宋体" w:eastAsia="宋体" w:hint="default"/>
                <w:sz w:val="18"/>
                <w:szCs w:val="18"/>
              </w:rPr>
            </w:pPr>
            <w:r>
              <w:rPr>
                <w:rFonts w:ascii="宋体" w:hAnsi="宋体" w:cs="宋体" w:eastAsia="宋体" w:hint="default"/>
                <w:sz w:val="18"/>
                <w:szCs w:val="18"/>
              </w:rPr>
              <w:t>①公司董事、监事和高级管理人员的舞弊 行为；②公司更正已公布的财务报告；③</w:t>
            </w:r>
          </w:p>
        </w:tc>
        <w:tc>
          <w:tcPr>
            <w:tcW w:w="3051"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36"/>
              <w:jc w:val="both"/>
              <w:rPr>
                <w:rFonts w:ascii="宋体" w:hAnsi="宋体" w:cs="宋体" w:eastAsia="宋体" w:hint="default"/>
                <w:sz w:val="18"/>
                <w:szCs w:val="18"/>
              </w:rPr>
            </w:pPr>
            <w:r>
              <w:rPr>
                <w:rFonts w:ascii="宋体" w:hAnsi="宋体" w:cs="宋体" w:eastAsia="宋体" w:hint="default"/>
                <w:sz w:val="18"/>
                <w:szCs w:val="18"/>
              </w:rPr>
              <w:t>公司确定的非财务报告内部控制缺陷 评价的定性标准以缺陷对业务流程有 效性的影响程度、发生的可能性作判</w:t>
            </w:r>
          </w:p>
        </w:tc>
      </w:tr>
      <w:tr>
        <w:trPr>
          <w:trHeight w:val="392"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96"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r>
        <w:rPr/>
        <w:pict>
          <v:shape style="position:absolute;margin-left:277.634003pt;margin-top:261.739990pt;width:257.3pt;height:31.2pt;mso-position-horizontal-relative:page;mso-position-vertical-relative:page;z-index:-991120" type="#_x0000_t202" filled="false" stroked="false">
            <v:textbox inset="0,0,0,0">
              <w:txbxContent>
                <w:p>
                  <w:pPr>
                    <w:spacing w:line="240" w:lineRule="auto" w:before="8"/>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缺陷之外的其他控制缺陷。</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441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48"/>
              <w:jc w:val="both"/>
              <w:rPr>
                <w:rFonts w:ascii="宋体" w:hAnsi="宋体" w:cs="宋体" w:eastAsia="宋体" w:hint="default"/>
                <w:sz w:val="18"/>
                <w:szCs w:val="18"/>
              </w:rPr>
            </w:pPr>
            <w:r>
              <w:rPr>
                <w:rFonts w:ascii="宋体" w:hAnsi="宋体" w:cs="宋体" w:eastAsia="宋体" w:hint="default"/>
                <w:sz w:val="18"/>
                <w:szCs w:val="18"/>
              </w:rPr>
              <w:t>注册会计师发现的却未被公司内部控制识 别的当期财务报告中的重大错报；④审计 委员会和审计部门对公司的对外财务报告 和财务报告内部控制监督无效。财务报告 内部控制重要缺陷的迹象包括：①未依照 公认会计准则选择和应用会计政策；②未 建立反舞弊程序和控制措施；③对于非常 规或特殊交易的账务处理没有建立相应的 控制机制或没有实施且没有相应的补偿性 控制；④对于期末财务报告过程的控制存 在一项或多项缺陷且不能合理保证编制的 财务报表达到真实、完整的目标。财务报 告内部控制一般缺陷的迹象包括：除上述 </w:t>
            </w:r>
            <w:r>
              <w:rPr>
                <w:rFonts w:ascii="宋体" w:hAnsi="宋体" w:cs="宋体" w:eastAsia="宋体" w:hint="default"/>
                <w:spacing w:val="-9"/>
                <w:sz w:val="18"/>
                <w:szCs w:val="18"/>
              </w:rPr>
              <w:t>重大缺陷、重要</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2"/>
              <w:jc w:val="left"/>
              <w:rPr>
                <w:rFonts w:ascii="宋体" w:hAnsi="宋体" w:cs="宋体" w:eastAsia="宋体" w:hint="default"/>
                <w:sz w:val="18"/>
                <w:szCs w:val="18"/>
              </w:rPr>
            </w:pPr>
            <w:r>
              <w:rPr>
                <w:rFonts w:ascii="宋体" w:hAnsi="宋体" w:cs="宋体" w:eastAsia="宋体" w:hint="default"/>
                <w:spacing w:val="-4"/>
                <w:sz w:val="18"/>
                <w:szCs w:val="18"/>
              </w:rPr>
              <w:t>定，认定标准如下：①非财务报告内部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控制的重大缺陷包括：缺陷发生的可能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性高，会严重降低工作效率或效果、或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严重加大效果的不确定性、或使之严重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偏离预期目标。②非财务报告内部控制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的重要缺陷包括：缺陷发生的可能性较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高，会显著降低工作效率或效果、或显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离预期目标。③非财务报告内部控制的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一般缺陷包括：缺陷发生的可能性较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果的不确定性、或使之偏离预期目标。</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9"/>
                <w:szCs w:val="29"/>
              </w:rPr>
            </w:pPr>
          </w:p>
          <w:p>
            <w:pPr>
              <w:pStyle w:val="TableParagraph"/>
              <w:spacing w:line="624" w:lineRule="exact"/>
              <w:ind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152.1pt;height:31.2pt;mso-position-horizontal-relative:char;mso-position-vertical-relative:line" coordorigin="0,0" coordsize="3042,624">
                  <v:group style="position:absolute;left:0;top:0;width:3042;height:624" coordorigin="0,0" coordsize="3042,624">
                    <v:shape style="position:absolute;left:0;top:0;width:3042;height:624" coordorigin="0,0" coordsize="3042,624" path="m0,624l3041,624,3041,0,0,0,0,624xe" filled="true" fillcolor="#ffffff" stroked="false">
                      <v:path arrowok="t"/>
                      <v:fill type="solid"/>
                    </v:shape>
                  </v:group>
                </v:group>
              </w:pict>
            </w:r>
            <w:r>
              <w:rPr>
                <w:rFonts w:ascii="宋体" w:hAnsi="宋体" w:cs="宋体" w:eastAsia="宋体" w:hint="default"/>
                <w:position w:val="-11"/>
                <w:sz w:val="20"/>
                <w:szCs w:val="20"/>
              </w:rPr>
            </w:r>
          </w:p>
        </w:tc>
      </w:tr>
      <w:tr>
        <w:trPr>
          <w:trHeight w:val="227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）错报金额</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资产总额的</w:t>
            </w:r>
          </w:p>
          <w:p>
            <w:pPr>
              <w:pStyle w:val="TableParagraph"/>
              <w:spacing w:line="240" w:lineRule="auto" w:before="61"/>
              <w:ind w:left="23" w:right="-39"/>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1%</w:t>
            </w:r>
            <w:r>
              <w:rPr>
                <w:rFonts w:ascii="宋体" w:hAnsi="宋体" w:cs="宋体" w:eastAsia="宋体" w:hint="default"/>
                <w:spacing w:val="-90"/>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w w:val="99"/>
                <w:sz w:val="18"/>
                <w:szCs w:val="18"/>
              </w:rPr>
              <w:t>2</w:t>
            </w:r>
            <w:r>
              <w:rPr>
                <w:rFonts w:ascii="宋体" w:hAnsi="宋体" w:cs="宋体" w:eastAsia="宋体" w:hint="default"/>
                <w:w w:val="99"/>
                <w:sz w:val="18"/>
                <w:szCs w:val="18"/>
              </w:rPr>
              <w:t>）错报金额</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300" w:lineRule="auto" w:before="63"/>
              <w:ind w:left="23" w:right="-39"/>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、重要缺陷：（</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）资产总额的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1"/>
                <w:w w:val="100"/>
                <w:sz w:val="18"/>
                <w:szCs w:val="18"/>
              </w:rPr>
              <w:t>0.5%</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错报</w:t>
            </w:r>
            <w:r>
              <w:rPr>
                <w:rFonts w:ascii="宋体" w:hAnsi="宋体" w:cs="宋体" w:eastAsia="宋体" w:hint="default"/>
                <w:spacing w:val="-86"/>
                <w:w w:val="100"/>
                <w:sz w:val="18"/>
                <w:szCs w:val="18"/>
              </w:rPr>
              <w:t> </w:t>
            </w:r>
            <w:r>
              <w:rPr>
                <w:rFonts w:ascii="宋体" w:hAnsi="宋体" w:cs="宋体" w:eastAsia="宋体" w:hint="default"/>
                <w:sz w:val="18"/>
                <w:szCs w:val="18"/>
              </w:rPr>
              <w:t>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）营业收入总额</w:t>
            </w:r>
            <w:r>
              <w:rPr>
                <w:rFonts w:ascii="宋体" w:hAnsi="宋体" w:cs="宋体" w:eastAsia="宋体" w:hint="default"/>
                <w:spacing w:val="-87"/>
                <w:sz w:val="18"/>
                <w:szCs w:val="18"/>
              </w:rPr>
              <w:t> </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w:t>
            </w:r>
            <w:r>
              <w:rPr>
                <w:rFonts w:ascii="宋体" w:hAnsi="宋体" w:cs="宋体" w:eastAsia="宋体" w:hint="default"/>
                <w:spacing w:val="-35"/>
                <w:sz w:val="18"/>
                <w:szCs w:val="18"/>
              </w:rPr>
              <w:t> </w:t>
            </w:r>
            <w:r>
              <w:rPr>
                <w:rFonts w:ascii="宋体" w:hAnsi="宋体" w:cs="宋体" w:eastAsia="宋体" w:hint="default"/>
                <w:spacing w:val="-5"/>
                <w:sz w:val="18"/>
                <w:szCs w:val="18"/>
              </w:rPr>
              <w:t>一般缺陷：（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）错报金额</w:t>
            </w:r>
            <w:r>
              <w:rPr>
                <w:rFonts w:ascii="Times New Roman" w:hAnsi="Times New Roman" w:cs="Times New Roman" w:eastAsia="Times New Roman" w:hint="default"/>
                <w:spacing w:val="-5"/>
                <w:sz w:val="18"/>
                <w:szCs w:val="18"/>
              </w:rPr>
              <w:t>&lt;</w:t>
            </w:r>
            <w:r>
              <w:rPr>
                <w:rFonts w:ascii="宋体" w:hAnsi="宋体" w:cs="宋体" w:eastAsia="宋体" w:hint="default"/>
                <w:spacing w:val="-5"/>
                <w:sz w:val="18"/>
                <w:szCs w:val="18"/>
              </w:rPr>
              <w:t>资产总额的</w:t>
            </w:r>
            <w:r>
              <w:rPr>
                <w:rFonts w:ascii="宋体" w:hAnsi="宋体" w:cs="宋体" w:eastAsia="宋体" w:hint="default"/>
                <w:sz w:val="18"/>
                <w:szCs w:val="18"/>
              </w:rPr>
              <w:t> </w:t>
            </w:r>
            <w:r>
              <w:rPr>
                <w:rFonts w:ascii="Times New Roman" w:hAnsi="Times New Roman" w:cs="Times New Roman" w:eastAsia="Times New Roman" w:hint="default"/>
                <w:spacing w:val="-10"/>
                <w:sz w:val="18"/>
                <w:szCs w:val="18"/>
              </w:rPr>
              <w:t>0.5%</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）错报金额</w:t>
            </w:r>
            <w:r>
              <w:rPr>
                <w:rFonts w:ascii="Times New Roman" w:hAnsi="Times New Roman" w:cs="Times New Roman" w:eastAsia="Times New Roman" w:hint="default"/>
                <w:spacing w:val="-10"/>
                <w:sz w:val="18"/>
                <w:szCs w:val="18"/>
              </w:rPr>
              <w:t>&lt;</w:t>
            </w:r>
            <w:r>
              <w:rPr>
                <w:rFonts w:ascii="宋体" w:hAnsi="宋体" w:cs="宋体" w:eastAsia="宋体" w:hint="default"/>
                <w:spacing w:val="-10"/>
                <w:sz w:val="18"/>
                <w:szCs w:val="18"/>
              </w:rPr>
              <w:t>营业收入总额的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w:t>
            </w:r>
            <w:r>
              <w:rPr>
                <w:rFonts w:ascii="宋体" w:hAnsi="宋体" w:cs="宋体" w:eastAsia="宋体" w:hint="default"/>
                <w:sz w:val="18"/>
                <w:szCs w:val="18"/>
              </w:rPr>
            </w:r>
          </w:p>
        </w:tc>
        <w:tc>
          <w:tcPr>
            <w:tcW w:w="3051" w:type="dxa"/>
            <w:tcBorders>
              <w:top w:val="single" w:sz="4" w:space="0" w:color="000000"/>
              <w:left w:val="single" w:sz="9" w:space="0" w:color="FFFFFF"/>
              <w:bottom w:val="single" w:sz="4" w:space="0" w:color="000000"/>
              <w:right w:val="single" w:sz="4" w:space="0" w:color="000000"/>
            </w:tcBorders>
          </w:tcPr>
          <w:p>
            <w:pPr>
              <w:pStyle w:val="TableParagraph"/>
              <w:spacing w:line="300" w:lineRule="auto" w:before="51"/>
              <w:ind w:left="16"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、重大缺陷：非财务报告内部控制缺 陷导致的直接经济损失金额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 </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、重要缺陷：</w:t>
            </w:r>
            <w:r>
              <w:rPr>
                <w:rFonts w:ascii="Times New Roman" w:hAnsi="Times New Roman" w:cs="Times New Roman" w:eastAsia="Times New Roman" w:hint="default"/>
                <w:spacing w:val="-8"/>
                <w:sz w:val="18"/>
                <w:szCs w:val="18"/>
              </w:rPr>
              <w:t>100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非财务报告内 部控制缺陷导致的直接经济损失</w:t>
            </w:r>
            <w:r>
              <w:rPr>
                <w:rFonts w:ascii="Times New Roman" w:hAnsi="Times New Roman" w:cs="Times New Roman" w:eastAsia="Times New Roman" w:hint="default"/>
                <w:sz w:val="18"/>
                <w:szCs w:val="18"/>
              </w:rPr>
              <w:t>&lt;200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、一般缺陷：非财务报告内部 控制缺陷导致的直接经济损失金额</w:t>
            </w:r>
          </w:p>
          <w:p>
            <w:pPr>
              <w:pStyle w:val="TableParagraph"/>
              <w:spacing w:line="240" w:lineRule="auto" w:before="3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&lt;100  </w:t>
            </w:r>
            <w:r>
              <w:rPr>
                <w:rFonts w:ascii="宋体" w:hAnsi="宋体" w:cs="宋体" w:eastAsia="宋体" w:hint="default"/>
                <w:sz w:val="18"/>
                <w:szCs w:val="18"/>
              </w:rPr>
              <w:t>万元。</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312" w:lineRule="exact"/>
              <w:ind w:left="16" w:right="-28"/>
              <w:jc w:val="left"/>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11"/>
              <w:ind w:right="0"/>
              <w:jc w:val="left"/>
              <w:rPr>
                <w:rFonts w:ascii="宋体" w:hAnsi="宋体" w:cs="宋体" w:eastAsia="宋体" w:hint="default"/>
                <w:b/>
                <w:bCs/>
                <w:sz w:val="23"/>
                <w:szCs w:val="23"/>
              </w:rPr>
            </w:pPr>
          </w:p>
          <w:p>
            <w:pPr>
              <w:pStyle w:val="TableParagraph"/>
              <w:spacing w:line="352" w:lineRule="exact"/>
              <w:ind w:left="16" w:right="-28"/>
              <w:jc w:val="left"/>
              <w:rPr>
                <w:rFonts w:ascii="宋体" w:hAnsi="宋体" w:cs="宋体" w:eastAsia="宋体" w:hint="default"/>
                <w:sz w:val="20"/>
                <w:szCs w:val="20"/>
              </w:rPr>
            </w:pPr>
            <w:r>
              <w:rPr>
                <w:rFonts w:ascii="宋体" w:hAnsi="宋体" w:cs="宋体" w:eastAsia="宋体" w:hint="default"/>
                <w:position w:val="-6"/>
                <w:sz w:val="20"/>
                <w:szCs w:val="20"/>
              </w:rPr>
              <w:pict>
                <v:group style="width:149.8pt;height:17.650pt;mso-position-horizontal-relative:char;mso-position-vertical-relative:line" coordorigin="0,0" coordsize="2996,353">
                  <v:group style="position:absolute;left:0;top:0;width:2996;height:353" coordorigin="0,0" coordsize="2996,353">
                    <v:shape style="position:absolute;left:0;top:0;width:2996;height:353" coordorigin="0,0" coordsize="2996,353" path="m0,353l2996,353,2996,0,0,0,0,353xe" filled="true" fillcolor="#ffffff" stroked="false">
                      <v:path arrowok="t"/>
                      <v:fill type="solid"/>
                    </v:shape>
                  </v:group>
                </v:group>
              </w:pict>
            </w:r>
            <w:r>
              <w:rPr>
                <w:rFonts w:ascii="宋体" w:hAnsi="宋体" w:cs="宋体" w:eastAsia="宋体" w:hint="default"/>
                <w:position w:val="-6"/>
                <w:sz w:val="20"/>
                <w:szCs w:val="20"/>
              </w:rPr>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1360"/>
        <w:jc w:val="left"/>
        <w:rPr>
          <w:b w:val="0"/>
          <w:bCs w:val="0"/>
        </w:rPr>
      </w:pPr>
      <w:bookmarkStart w:name="十、内部控制审计报告或鉴证报告" w:id="159"/>
      <w:bookmarkEnd w:id="159"/>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1026"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3"/>
              <w:jc w:val="left"/>
              <w:rPr>
                <w:rFonts w:ascii="宋体" w:hAnsi="宋体" w:cs="宋体" w:eastAsia="宋体" w:hint="default"/>
                <w:sz w:val="18"/>
                <w:szCs w:val="18"/>
              </w:rPr>
            </w:pPr>
            <w:r>
              <w:rPr>
                <w:rFonts w:ascii="宋体" w:hAnsi="宋体" w:cs="宋体" w:eastAsia="宋体" w:hint="default"/>
                <w:spacing w:val="-1"/>
                <w:sz w:val="18"/>
                <w:szCs w:val="18"/>
              </w:rPr>
              <w:t>天健会计师认为，由于公司存在重大缺陷及其对实现控制目标的影响，美盛文化公司未能按照深圳证券交易所《中小企业</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板上市公司规范运作指引</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年修订</w:t>
            </w:r>
            <w:r>
              <w:rPr>
                <w:rFonts w:ascii="Times New Roman" w:hAnsi="Times New Roman" w:cs="Times New Roman" w:eastAsia="Times New Roman" w:hint="default"/>
                <w:sz w:val="18"/>
                <w:szCs w:val="18"/>
              </w:rPr>
              <w:t>)</w:t>
            </w:r>
            <w:r>
              <w:rPr>
                <w:rFonts w:ascii="宋体" w:hAnsi="宋体" w:cs="宋体" w:eastAsia="宋体" w:hint="default"/>
                <w:sz w:val="18"/>
                <w:szCs w:val="18"/>
              </w:rPr>
              <w:t>》规定于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日在所有重大方面保持有效的财务报告内部控制。本结 论是在受到鉴证报告中指出的固有限制的条件下形成的。</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详见公司于巨潮资讯网披露的公告。</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否定意见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before="116"/>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57" w:lineRule="auto" w:before="44"/>
        <w:ind w:left="514" w:right="0" w:hanging="360"/>
        <w:jc w:val="left"/>
        <w:rPr>
          <w:rFonts w:ascii="宋体" w:hAnsi="宋体" w:cs="宋体" w:eastAsia="宋体" w:hint="default"/>
          <w:sz w:val="18"/>
          <w:szCs w:val="18"/>
        </w:rPr>
      </w:pPr>
      <w:r>
        <w:rPr>
          <w:rFonts w:ascii="宋体" w:hAnsi="宋体" w:cs="宋体" w:eastAsia="宋体" w:hint="default"/>
          <w:sz w:val="18"/>
          <w:szCs w:val="18"/>
        </w:rPr>
        <w:t>会计师事务所出具非标准意见的内部控制鉴证报告的说明 </w:t>
      </w:r>
      <w:r>
        <w:rPr>
          <w:rFonts w:ascii="宋体" w:hAnsi="宋体" w:cs="宋体" w:eastAsia="宋体" w:hint="default"/>
          <w:spacing w:val="-2"/>
          <w:sz w:val="18"/>
          <w:szCs w:val="18"/>
        </w:rPr>
        <w:t>重大缺陷是内部控制中存在的、可能导致不能及时防止或发现并纠正财务报表出现重大错报的一项控制缺陷或多项控制</w:t>
      </w:r>
    </w:p>
    <w:p>
      <w:pPr>
        <w:spacing w:line="224" w:lineRule="exact" w:before="0"/>
        <w:ind w:left="154" w:right="1360" w:firstLine="0"/>
        <w:jc w:val="left"/>
        <w:rPr>
          <w:rFonts w:ascii="宋体" w:hAnsi="宋体" w:cs="宋体" w:eastAsia="宋体" w:hint="default"/>
          <w:sz w:val="18"/>
          <w:szCs w:val="18"/>
        </w:rPr>
      </w:pPr>
      <w:r>
        <w:rPr>
          <w:rFonts w:ascii="宋体" w:hAnsi="宋体" w:cs="宋体" w:eastAsia="宋体" w:hint="default"/>
          <w:sz w:val="18"/>
          <w:szCs w:val="18"/>
        </w:rPr>
        <w:t>缺陷的组合。</w:t>
      </w:r>
    </w:p>
    <w:p>
      <w:pPr>
        <w:spacing w:before="76"/>
        <w:ind w:left="514" w:right="1360" w:firstLine="0"/>
        <w:jc w:val="left"/>
        <w:rPr>
          <w:rFonts w:ascii="宋体" w:hAnsi="宋体" w:cs="宋体" w:eastAsia="宋体" w:hint="default"/>
          <w:sz w:val="18"/>
          <w:szCs w:val="18"/>
        </w:rPr>
      </w:pPr>
      <w:r>
        <w:rPr>
          <w:rFonts w:ascii="宋体" w:hAnsi="宋体" w:cs="宋体" w:eastAsia="宋体" w:hint="default"/>
          <w:sz w:val="18"/>
          <w:szCs w:val="18"/>
        </w:rPr>
        <w:t>在内部控制鉴证过程中，我们识别出美盛文化公司的财务报告内部控制存在以下重大缺陷：</w:t>
      </w:r>
    </w:p>
    <w:p>
      <w:pPr>
        <w:spacing w:line="300" w:lineRule="auto" w:before="77"/>
        <w:ind w:left="154" w:right="1130" w:firstLine="360"/>
        <w:jc w:val="both"/>
        <w:rPr>
          <w:rFonts w:ascii="宋体" w:hAnsi="宋体" w:cs="宋体" w:eastAsia="宋体" w:hint="default"/>
          <w:sz w:val="18"/>
          <w:szCs w:val="18"/>
        </w:rPr>
      </w:pPr>
      <w:r>
        <w:rPr>
          <w:rFonts w:ascii="宋体" w:hAnsi="宋体" w:cs="宋体" w:eastAsia="宋体" w:hint="default"/>
          <w:spacing w:val="-2"/>
          <w:sz w:val="18"/>
          <w:szCs w:val="18"/>
        </w:rPr>
        <w:t>（一）</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年内美盛文化公司控股股东美盛控股集团有限公司（以下简称美盛控股）违规占用美盛文化公司资金，</w:t>
      </w:r>
      <w:r>
        <w:rPr>
          <w:rFonts w:ascii="Times New Roman" w:hAnsi="Times New Roman" w:cs="Times New Roman" w:eastAsia="Times New Roman" w:hint="default"/>
          <w:spacing w:val="-2"/>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日余额为</w:t>
      </w:r>
      <w:r>
        <w:rPr>
          <w:rFonts w:ascii="Times New Roman" w:hAnsi="Times New Roman" w:cs="Times New Roman" w:eastAsia="Times New Roman" w:hint="default"/>
          <w:sz w:val="18"/>
          <w:szCs w:val="18"/>
        </w:rPr>
        <w:t>151,195.88</w:t>
      </w:r>
      <w:r>
        <w:rPr>
          <w:rFonts w:ascii="宋体" w:hAnsi="宋体" w:cs="宋体" w:eastAsia="宋体" w:hint="default"/>
          <w:sz w:val="18"/>
          <w:szCs w:val="18"/>
        </w:rPr>
        <w:t>万元。该事项违反了中国证券监督管理委员会《关于规范上市公司与关联方资金往来及上市公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司对外担保若干问题的通知》（证监会公告〔</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号）以及美盛文化公司防止控股股东及关联方占用上市公司资金专项</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制度及其他相关规定。</w:t>
      </w:r>
    </w:p>
    <w:p>
      <w:pPr>
        <w:spacing w:line="300" w:lineRule="auto" w:before="31"/>
        <w:ind w:left="154" w:right="1131" w:firstLine="360"/>
        <w:jc w:val="both"/>
        <w:rPr>
          <w:rFonts w:ascii="宋体" w:hAnsi="宋体" w:cs="宋体" w:eastAsia="宋体" w:hint="default"/>
          <w:sz w:val="18"/>
          <w:szCs w:val="18"/>
        </w:rPr>
      </w:pPr>
      <w:r>
        <w:rPr>
          <w:rFonts w:ascii="宋体" w:hAnsi="宋体" w:cs="宋体" w:eastAsia="宋体" w:hint="default"/>
          <w:spacing w:val="-2"/>
          <w:sz w:val="18"/>
          <w:szCs w:val="18"/>
        </w:rPr>
        <w:t>（二）</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月，美盛文化公司与美盛控股签订深圳市同道大叔文化传播有限公司（以下简称同道大叔公司）股权转</w:t>
      </w:r>
      <w:r>
        <w:rPr>
          <w:rFonts w:ascii="宋体" w:hAnsi="宋体" w:cs="宋体" w:eastAsia="宋体" w:hint="default"/>
          <w:sz w:val="18"/>
          <w:szCs w:val="18"/>
        </w:rPr>
        <w:t> 让协议，约定美盛文化公司以</w:t>
      </w:r>
      <w:r>
        <w:rPr>
          <w:rFonts w:ascii="Times New Roman" w:hAnsi="Times New Roman" w:cs="Times New Roman" w:eastAsia="Times New Roman" w:hint="default"/>
          <w:sz w:val="18"/>
          <w:szCs w:val="18"/>
        </w:rPr>
        <w:t>217,500,000.00</w:t>
      </w:r>
      <w:r>
        <w:rPr>
          <w:rFonts w:ascii="宋体" w:hAnsi="宋体" w:cs="宋体" w:eastAsia="宋体" w:hint="default"/>
          <w:sz w:val="18"/>
          <w:szCs w:val="18"/>
        </w:rPr>
        <w:t>元的价格向美盛控股购买其持有的同道大叔公司</w:t>
      </w:r>
      <w:r>
        <w:rPr>
          <w:rFonts w:ascii="Times New Roman" w:hAnsi="Times New Roman" w:cs="Times New Roman" w:eastAsia="Times New Roman" w:hint="default"/>
          <w:sz w:val="18"/>
          <w:szCs w:val="18"/>
        </w:rPr>
        <w:t>72.50%</w:t>
      </w:r>
      <w:r>
        <w:rPr>
          <w:rFonts w:ascii="宋体" w:hAnsi="宋体" w:cs="宋体" w:eastAsia="宋体" w:hint="default"/>
          <w:sz w:val="18"/>
          <w:szCs w:val="18"/>
        </w:rPr>
        <w:t>的股权，款项应于协议</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签订后</w:t>
      </w:r>
      <w:r>
        <w:rPr>
          <w:rFonts w:ascii="Times New Roman" w:hAnsi="Times New Roman" w:cs="Times New Roman" w:eastAsia="Times New Roman" w:hint="default"/>
          <w:sz w:val="18"/>
          <w:szCs w:val="18"/>
        </w:rPr>
        <w:t>10</w:t>
      </w:r>
      <w:r>
        <w:rPr>
          <w:rFonts w:ascii="宋体" w:hAnsi="宋体" w:cs="宋体" w:eastAsia="宋体" w:hint="default"/>
          <w:sz w:val="18"/>
          <w:szCs w:val="18"/>
        </w:rPr>
        <w:t>个工作日内支付全部款项。美盛文化公司于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年支付全部交易对价。</w:t>
      </w:r>
    </w:p>
    <w:p>
      <w:pPr>
        <w:spacing w:line="316" w:lineRule="auto" w:before="13"/>
        <w:ind w:left="154" w:right="1133" w:firstLine="360"/>
        <w:jc w:val="both"/>
        <w:rPr>
          <w:rFonts w:ascii="宋体" w:hAnsi="宋体" w:cs="宋体" w:eastAsia="宋体" w:hint="default"/>
          <w:sz w:val="18"/>
          <w:szCs w:val="18"/>
        </w:rPr>
      </w:pPr>
      <w:r>
        <w:rPr>
          <w:rFonts w:ascii="宋体" w:hAnsi="宋体" w:cs="宋体" w:eastAsia="宋体" w:hint="default"/>
          <w:spacing w:val="-2"/>
          <w:sz w:val="18"/>
          <w:szCs w:val="18"/>
        </w:rPr>
        <w:t>美盛文化公司未经审议决策程序即执行上述关联方交易，违反了《深圳证券交易所股票上市规则》和美盛文化公司关联</w:t>
      </w:r>
      <w:r>
        <w:rPr>
          <w:rFonts w:ascii="宋体" w:hAnsi="宋体" w:cs="宋体" w:eastAsia="宋体" w:hint="default"/>
          <w:sz w:val="18"/>
          <w:szCs w:val="18"/>
        </w:rPr>
        <w:t> 交易决策制度及与投资相关的内部控制。</w:t>
      </w:r>
    </w:p>
    <w:p>
      <w:pPr>
        <w:spacing w:line="300" w:lineRule="auto" w:before="19"/>
        <w:ind w:left="154" w:right="1130" w:firstLine="360"/>
        <w:jc w:val="both"/>
        <w:rPr>
          <w:rFonts w:ascii="宋体" w:hAnsi="宋体" w:cs="宋体" w:eastAsia="宋体" w:hint="default"/>
          <w:sz w:val="18"/>
          <w:szCs w:val="18"/>
        </w:rPr>
      </w:pPr>
      <w:r>
        <w:rPr>
          <w:rFonts w:ascii="宋体" w:hAnsi="宋体" w:cs="宋体" w:eastAsia="宋体" w:hint="default"/>
          <w:sz w:val="18"/>
          <w:szCs w:val="18"/>
        </w:rPr>
        <w:t>（三）美盛文化公司未经董事会审议决策违规使用募集资金，</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日尚未归还的余额为</w:t>
      </w:r>
      <w:r>
        <w:rPr>
          <w:rFonts w:ascii="Times New Roman" w:hAnsi="Times New Roman" w:cs="Times New Roman" w:eastAsia="Times New Roman" w:hint="default"/>
          <w:sz w:val="18"/>
          <w:szCs w:val="18"/>
        </w:rPr>
        <w:t>217,026.02</w:t>
      </w:r>
      <w:r>
        <w:rPr>
          <w:rFonts w:ascii="宋体" w:hAnsi="宋体" w:cs="宋体" w:eastAsia="宋体" w:hint="default"/>
          <w:sz w:val="18"/>
          <w:szCs w:val="18"/>
        </w:rPr>
        <w:t>万元。该事 项违反了《深圳证券交易所中小企业板上市公司规范运作指引》和美盛文化公司《募集资金专项存储及使用管理制度》。</w:t>
      </w:r>
    </w:p>
    <w:p>
      <w:pPr>
        <w:spacing w:line="300" w:lineRule="auto" w:before="31"/>
        <w:ind w:left="154" w:right="1130" w:firstLine="360"/>
        <w:jc w:val="both"/>
        <w:rPr>
          <w:rFonts w:ascii="宋体" w:hAnsi="宋体" w:cs="宋体" w:eastAsia="宋体" w:hint="default"/>
          <w:sz w:val="18"/>
          <w:szCs w:val="18"/>
        </w:rPr>
      </w:pPr>
      <w:r>
        <w:rPr>
          <w:rFonts w:ascii="宋体" w:hAnsi="宋体" w:cs="宋体" w:eastAsia="宋体" w:hint="default"/>
          <w:spacing w:val="-1"/>
          <w:sz w:val="18"/>
          <w:szCs w:val="18"/>
        </w:rPr>
        <w:t>（四）</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27</w:t>
      </w:r>
      <w:r>
        <w:rPr>
          <w:rFonts w:ascii="宋体" w:hAnsi="宋体" w:cs="宋体" w:eastAsia="宋体" w:hint="default"/>
          <w:spacing w:val="-1"/>
          <w:sz w:val="18"/>
          <w:szCs w:val="18"/>
        </w:rPr>
        <w:t>日，美盛文化公司公布三季度报告，预计</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年度全年归属于上市公司母公司的净利润为</w:t>
      </w:r>
      <w:r>
        <w:rPr>
          <w:rFonts w:ascii="Times New Roman" w:hAnsi="Times New Roman" w:cs="Times New Roman" w:eastAsia="Times New Roman" w:hint="default"/>
          <w:spacing w:val="-1"/>
          <w:sz w:val="18"/>
          <w:szCs w:val="18"/>
        </w:rPr>
        <w:t>1.34</w:t>
      </w:r>
      <w:r>
        <w:rPr>
          <w:rFonts w:ascii="宋体" w:hAnsi="宋体" w:cs="宋体" w:eastAsia="宋体" w:hint="default"/>
          <w:spacing w:val="-1"/>
          <w:sz w:val="18"/>
          <w:szCs w:val="18"/>
        </w:rPr>
        <w:t>亿元</w:t>
      </w:r>
      <w:r>
        <w:rPr>
          <w:rFonts w:ascii="宋体" w:hAnsi="宋体" w:cs="宋体" w:eastAsia="宋体" w:hint="default"/>
          <w:sz w:val="18"/>
          <w:szCs w:val="18"/>
        </w:rPr>
        <w:t> </w:t>
      </w:r>
      <w:r>
        <w:rPr>
          <w:rFonts w:ascii="宋体" w:hAnsi="宋体" w:cs="宋体" w:eastAsia="宋体" w:hint="default"/>
          <w:spacing w:val="-1"/>
          <w:sz w:val="18"/>
          <w:szCs w:val="18"/>
        </w:rPr>
        <w:t>至</w:t>
      </w:r>
      <w:r>
        <w:rPr>
          <w:rFonts w:ascii="Times New Roman" w:hAnsi="Times New Roman" w:cs="Times New Roman" w:eastAsia="Times New Roman" w:hint="default"/>
          <w:spacing w:val="-1"/>
          <w:sz w:val="18"/>
          <w:szCs w:val="18"/>
        </w:rPr>
        <w:t>1.91</w:t>
      </w:r>
      <w:r>
        <w:rPr>
          <w:rFonts w:ascii="宋体" w:hAnsi="宋体" w:cs="宋体" w:eastAsia="宋体" w:hint="default"/>
          <w:spacing w:val="-1"/>
          <w:sz w:val="18"/>
          <w:szCs w:val="18"/>
        </w:rPr>
        <w:t>亿元。美盛文化公司经审计的</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年度归属于母公司的净利润为</w:t>
      </w:r>
      <w:r>
        <w:rPr>
          <w:rFonts w:ascii="Times New Roman" w:hAnsi="Times New Roman" w:cs="Times New Roman" w:eastAsia="Times New Roman" w:hint="default"/>
          <w:spacing w:val="-1"/>
          <w:sz w:val="18"/>
          <w:szCs w:val="18"/>
        </w:rPr>
        <w:t>-2.29</w:t>
      </w:r>
      <w:r>
        <w:rPr>
          <w:rFonts w:ascii="宋体" w:hAnsi="宋体" w:cs="宋体" w:eastAsia="宋体" w:hint="default"/>
          <w:spacing w:val="-1"/>
          <w:sz w:val="18"/>
          <w:szCs w:val="18"/>
        </w:rPr>
        <w:t>亿元，业绩预告与美盛文化公司</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年度实际利</w:t>
      </w:r>
      <w:r>
        <w:rPr>
          <w:rFonts w:ascii="宋体" w:hAnsi="宋体" w:cs="宋体" w:eastAsia="宋体" w:hint="default"/>
          <w:spacing w:val="-81"/>
          <w:sz w:val="18"/>
          <w:szCs w:val="18"/>
        </w:rPr>
        <w:t> </w:t>
      </w:r>
      <w:r>
        <w:rPr>
          <w:rFonts w:ascii="宋体" w:hAnsi="宋体" w:cs="宋体" w:eastAsia="宋体" w:hint="default"/>
          <w:sz w:val="18"/>
          <w:szCs w:val="18"/>
        </w:rPr>
        <w:t>润存在重大差异。该事项表明在美盛文化公司在与经营业绩预测相关的内部控制存在重大缺陷。</w:t>
      </w:r>
    </w:p>
    <w:p>
      <w:pPr>
        <w:spacing w:line="316" w:lineRule="auto" w:before="31"/>
        <w:ind w:left="154" w:right="1131" w:firstLine="360"/>
        <w:jc w:val="both"/>
        <w:rPr>
          <w:rFonts w:ascii="宋体" w:hAnsi="宋体" w:cs="宋体" w:eastAsia="宋体" w:hint="default"/>
          <w:sz w:val="18"/>
          <w:szCs w:val="18"/>
        </w:rPr>
      </w:pPr>
      <w:r>
        <w:rPr>
          <w:rFonts w:ascii="宋体" w:hAnsi="宋体" w:cs="宋体" w:eastAsia="宋体" w:hint="default"/>
          <w:spacing w:val="-2"/>
          <w:sz w:val="18"/>
          <w:szCs w:val="18"/>
        </w:rPr>
        <w:t>有效的内部控制能够为财务报告及相关信息的真实完整提供合理保证，而上述重大缺陷使美盛文化公司的内部控制失去</w:t>
      </w:r>
      <w:r>
        <w:rPr>
          <w:rFonts w:ascii="宋体" w:hAnsi="宋体" w:cs="宋体" w:eastAsia="宋体" w:hint="default"/>
          <w:sz w:val="18"/>
          <w:szCs w:val="18"/>
        </w:rPr>
        <w:t> 这一功能。</w:t>
      </w:r>
    </w:p>
    <w:p>
      <w:pPr>
        <w:spacing w:before="59"/>
        <w:ind w:left="154" w:right="1360" w:firstLine="0"/>
        <w:jc w:val="left"/>
        <w:rPr>
          <w:rFonts w:ascii="宋体" w:hAnsi="宋体" w:cs="宋体" w:eastAsia="宋体" w:hint="default"/>
          <w:sz w:val="18"/>
          <w:szCs w:val="18"/>
        </w:rPr>
      </w:pPr>
      <w:r>
        <w:rPr>
          <w:rFonts w:ascii="宋体" w:hAnsi="宋体" w:cs="宋体" w:eastAsia="宋体" w:hint="default"/>
          <w:sz w:val="18"/>
          <w:szCs w:val="18"/>
        </w:rPr>
        <w:t>会计师事务所出具的内部控制鉴证报告与董事会的自我评价报告意见是否一致</w:t>
      </w:r>
    </w:p>
    <w:p>
      <w:pPr>
        <w:spacing w:before="117"/>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1360"/>
        <w:jc w:val="left"/>
        <w:rPr>
          <w:b w:val="0"/>
          <w:bCs w:val="0"/>
        </w:rPr>
      </w:pPr>
      <w:bookmarkStart w:name="第十节 公司债券相关情况" w:id="160"/>
      <w:bookmarkEnd w:id="160"/>
      <w:r>
        <w:rPr>
          <w:b w:val="0"/>
          <w:bCs w:val="0"/>
        </w:rPr>
      </w:r>
      <w:bookmarkStart w:name="_bookmark9" w:id="161"/>
      <w:bookmarkEnd w:id="161"/>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spacing w:line="357" w:lineRule="auto" w:before="0"/>
        <w:ind w:left="154" w:right="2112"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line="240" w:lineRule="auto" w:before="4"/>
        <w:rPr>
          <w:rFonts w:ascii="宋体" w:hAnsi="宋体" w:cs="宋体" w:eastAsia="宋体" w:hint="default"/>
          <w:sz w:val="18"/>
          <w:szCs w:val="18"/>
        </w:rPr>
      </w:pPr>
    </w:p>
    <w:p>
      <w:pPr>
        <w:pStyle w:val="Heading2"/>
        <w:spacing w:line="240" w:lineRule="auto"/>
        <w:ind w:right="1360"/>
        <w:jc w:val="left"/>
        <w:rPr>
          <w:b w:val="0"/>
          <w:bCs w:val="0"/>
        </w:rPr>
      </w:pPr>
      <w:bookmarkStart w:name="一、公司债券基本信息" w:id="162"/>
      <w:bookmarkEnd w:id="162"/>
      <w:r>
        <w:rPr>
          <w:b w:val="0"/>
          <w:bCs w:val="0"/>
        </w:rPr>
      </w:r>
      <w:r>
        <w:rPr/>
        <w:t>一、公司债券基本信息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债券余额（万 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利率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bl>
    <w:p>
      <w:pPr>
        <w:spacing w:line="240" w:lineRule="auto" w:before="2"/>
        <w:rPr>
          <w:rFonts w:ascii="宋体" w:hAnsi="宋体" w:cs="宋体" w:eastAsia="宋体" w:hint="default"/>
          <w:b/>
          <w:bCs/>
          <w:sz w:val="18"/>
          <w:szCs w:val="18"/>
        </w:rPr>
      </w:pPr>
    </w:p>
    <w:p>
      <w:pPr>
        <w:pStyle w:val="Heading2"/>
        <w:spacing w:line="240" w:lineRule="auto" w:before="26"/>
        <w:ind w:right="1360"/>
        <w:jc w:val="left"/>
        <w:rPr>
          <w:b w:val="0"/>
          <w:bCs w:val="0"/>
        </w:rPr>
      </w:pPr>
      <w:bookmarkStart w:name="二、债券受托管理人和资信评级机构信息" w:id="163"/>
      <w:bookmarkEnd w:id="163"/>
      <w:r>
        <w:rPr>
          <w:b w:val="0"/>
          <w:bCs w:val="0"/>
        </w:rPr>
      </w:r>
      <w:r>
        <w:rPr/>
        <w:t>二、债券受托管理人和资信评级机构信息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bl>
    <w:p>
      <w:pPr>
        <w:spacing w:line="240" w:lineRule="auto" w:before="2"/>
        <w:rPr>
          <w:rFonts w:ascii="宋体" w:hAnsi="宋体" w:cs="宋体" w:eastAsia="宋体" w:hint="default"/>
          <w:b/>
          <w:bCs/>
          <w:sz w:val="18"/>
          <w:szCs w:val="18"/>
        </w:rPr>
      </w:pPr>
    </w:p>
    <w:p>
      <w:pPr>
        <w:pStyle w:val="Heading2"/>
        <w:spacing w:line="468" w:lineRule="auto" w:before="26"/>
        <w:ind w:right="6792"/>
        <w:jc w:val="left"/>
        <w:rPr>
          <w:b w:val="0"/>
          <w:bCs w:val="0"/>
        </w:rPr>
      </w:pPr>
      <w:bookmarkStart w:name="三、公司债券募集资金使用情况" w:id="164"/>
      <w:bookmarkEnd w:id="164"/>
      <w:r>
        <w:rPr>
          <w:b w:val="0"/>
          <w:bCs w:val="0"/>
        </w:rPr>
      </w:r>
      <w:r>
        <w:rPr>
          <w:w w:val="95"/>
        </w:rPr>
        <w:t>三、公司债券募集资金使用情况</w:t>
      </w:r>
      <w:r>
        <w:rPr>
          <w:spacing w:val="40"/>
          <w:w w:val="95"/>
        </w:rPr>
        <w:t> </w:t>
      </w:r>
      <w:bookmarkStart w:name="四、公司债券信息评级情况" w:id="165"/>
      <w:bookmarkEnd w:id="165"/>
      <w:r>
        <w:rPr/>
        <w:t>四、公司债券信息评级情况</w:t>
      </w:r>
      <w:r>
        <w:rPr>
          <w:b w:val="0"/>
          <w:bCs w:val="0"/>
        </w:rPr>
      </w:r>
    </w:p>
    <w:p>
      <w:pPr>
        <w:pStyle w:val="Heading2"/>
        <w:spacing w:line="468" w:lineRule="auto" w:before="71"/>
        <w:ind w:right="4272"/>
        <w:jc w:val="left"/>
        <w:rPr>
          <w:b w:val="0"/>
          <w:bCs w:val="0"/>
        </w:rPr>
      </w:pPr>
      <w:bookmarkStart w:name="五、 公司债券增信机制、偿债计划及其他偿债保障措施" w:id="166"/>
      <w:bookmarkEnd w:id="166"/>
      <w:r>
        <w:rPr>
          <w:b w:val="0"/>
          <w:bCs w:val="0"/>
        </w:rPr>
      </w:r>
      <w:r>
        <w:rPr/>
        <w:t>五、</w:t>
      </w:r>
      <w:r>
        <w:rPr>
          <w:spacing w:val="-9"/>
        </w:rPr>
        <w:t> </w:t>
      </w:r>
      <w:r>
        <w:rPr/>
        <w:t>公司债券增信机制、偿债计划及其他偿债保障措施</w:t>
      </w:r>
      <w:r>
        <w:rPr>
          <w:w w:val="99"/>
        </w:rPr>
        <w:t> </w:t>
      </w:r>
      <w:bookmarkStart w:name="六、报告期内债券持有人会议的召开情况" w:id="167"/>
      <w:bookmarkEnd w:id="167"/>
      <w:r>
        <w:rPr/>
        <w:t>六、报告期内债券持有人会议的召开情况</w:t>
      </w:r>
      <w:r>
        <w:rPr>
          <w:w w:val="99"/>
        </w:rPr>
        <w:t> </w:t>
      </w:r>
      <w:bookmarkStart w:name="七、报告期内债券受托管理人履行职责的情况" w:id="168"/>
      <w:bookmarkEnd w:id="168"/>
      <w:r>
        <w:rPr/>
        <w:t>七、报告期内债券受托管理人履行职责的情况</w:t>
      </w:r>
      <w:r>
        <w:rPr>
          <w:w w:val="99"/>
        </w:rPr>
        <w:t> </w:t>
      </w:r>
      <w:bookmarkStart w:name="八、截至报告期末公司近2年的主要会计数据和财务指标" w:id="169"/>
      <w:bookmarkEnd w:id="169"/>
      <w:r>
        <w:rPr/>
        <w:t>八、截至报告期末公司近</w:t>
      </w:r>
      <w:r>
        <w:rPr>
          <w:spacing w:val="-70"/>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年的主要会计数据和财务指标</w:t>
      </w:r>
      <w:r>
        <w:rPr>
          <w:b w:val="0"/>
          <w:bCs w:val="0"/>
        </w:rPr>
      </w:r>
    </w:p>
    <w:p>
      <w:pPr>
        <w:spacing w:before="7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上述会计数据和财务指标同比变动超过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的主要原因</w:t>
      </w:r>
    </w:p>
    <w:p>
      <w:pPr>
        <w:spacing w:before="103"/>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468" w:lineRule="auto" w:before="26"/>
        <w:ind w:right="1360"/>
        <w:jc w:val="left"/>
        <w:rPr>
          <w:b w:val="0"/>
          <w:bCs w:val="0"/>
        </w:rPr>
      </w:pPr>
      <w:bookmarkStart w:name="九、报告期内对其他债券和债务融资工具的付息兑付情况" w:id="170"/>
      <w:bookmarkEnd w:id="170"/>
      <w:r>
        <w:rPr>
          <w:b w:val="0"/>
          <w:bCs w:val="0"/>
        </w:rPr>
      </w:r>
      <w:r>
        <w:rPr/>
        <w:t>九、报告期内对其他债券和债务融资工具的付息兑付情况</w:t>
      </w:r>
      <w:r>
        <w:rPr>
          <w:w w:val="99"/>
        </w:rPr>
        <w:t> </w:t>
      </w:r>
      <w:bookmarkStart w:name="十、报告期内获得的银行授信情况、使用情况以及偿还银行贷款的情况" w:id="171"/>
      <w:bookmarkEnd w:id="171"/>
      <w:r>
        <w:rPr>
          <w:w w:val="95"/>
        </w:rPr>
        <w:t>十、报告期内获得的银行授信情况、使用情况以及偿还银行贷款的情况</w:t>
      </w:r>
      <w:r>
        <w:rPr>
          <w:spacing w:val="114"/>
          <w:w w:val="95"/>
        </w:rPr>
        <w:t> </w:t>
      </w:r>
      <w:r>
        <w:rPr>
          <w:spacing w:val="114"/>
          <w:w w:val="95"/>
        </w:rPr>
      </w:r>
      <w:bookmarkStart w:name="十一、报告期内执行公司债券募集说明书相关约定或承诺的情况" w:id="172"/>
      <w:bookmarkEnd w:id="172"/>
      <w:r>
        <w:rPr/>
        <w:t>十一、报告期内执行公司债券募集说明书相关约定或承诺的情况</w:t>
      </w:r>
      <w:r>
        <w:rPr>
          <w:w w:val="99"/>
        </w:rPr>
        <w:t> </w:t>
      </w:r>
      <w:bookmarkStart w:name="十二、报告期内发生的重大事项" w:id="173"/>
      <w:bookmarkEnd w:id="173"/>
      <w:r>
        <w:rPr/>
        <w:t>十二、报告期内发生的重大事项</w:t>
      </w:r>
      <w:r>
        <w:rPr>
          <w:b w:val="0"/>
          <w:bCs w:val="0"/>
        </w:rPr>
      </w:r>
    </w:p>
    <w:p>
      <w:pPr>
        <w:pStyle w:val="Heading2"/>
        <w:spacing w:line="240" w:lineRule="auto" w:before="71"/>
        <w:ind w:right="1360"/>
        <w:jc w:val="left"/>
        <w:rPr>
          <w:b w:val="0"/>
          <w:bCs w:val="0"/>
        </w:rPr>
      </w:pPr>
      <w:bookmarkStart w:name="十三、公司债券是否存在保证人" w:id="174"/>
      <w:bookmarkEnd w:id="174"/>
      <w:r>
        <w:rPr>
          <w:b w:val="0"/>
          <w:bCs w:val="0"/>
        </w:rPr>
      </w:r>
      <w:r>
        <w:rPr/>
        <w:t>十三、公司债券是否存在保证人</w:t>
      </w:r>
      <w:r>
        <w:rPr>
          <w:b w:val="0"/>
          <w:bCs w:val="0"/>
        </w:rPr>
      </w:r>
    </w:p>
    <w:p>
      <w:pPr>
        <w:spacing w:line="240" w:lineRule="auto" w:before="7"/>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1360"/>
        <w:jc w:val="left"/>
        <w:rPr>
          <w:b w:val="0"/>
          <w:bCs w:val="0"/>
        </w:rPr>
      </w:pPr>
      <w:bookmarkStart w:name="第十一节 财务报告" w:id="175"/>
      <w:bookmarkEnd w:id="175"/>
      <w:r>
        <w:rPr>
          <w:b w:val="0"/>
          <w:bCs w:val="0"/>
        </w:rPr>
      </w:r>
      <w:bookmarkStart w:name="_bookmark10" w:id="176"/>
      <w:bookmarkEnd w:id="176"/>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360"/>
        <w:jc w:val="left"/>
        <w:rPr>
          <w:b w:val="0"/>
          <w:bCs w:val="0"/>
        </w:rPr>
      </w:pPr>
      <w:bookmarkStart w:name="一、审计报告" w:id="177"/>
      <w:bookmarkEnd w:id="177"/>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5008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赵海荣、陈艳</w:t>
            </w:r>
          </w:p>
        </w:tc>
      </w:tr>
    </w:tbl>
    <w:p>
      <w:pPr>
        <w:spacing w:before="51"/>
        <w:ind w:left="2786" w:right="3762"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73" w:lineRule="auto" w:before="89"/>
        <w:ind w:left="3924" w:right="4900" w:hanging="3"/>
        <w:jc w:val="center"/>
        <w:rPr>
          <w:rFonts w:ascii="宋体" w:hAnsi="宋体" w:cs="宋体" w:eastAsia="宋体" w:hint="default"/>
          <w:sz w:val="21"/>
          <w:szCs w:val="21"/>
        </w:rPr>
      </w:pPr>
      <w:r>
        <w:rPr>
          <w:rFonts w:ascii="宋体" w:hAnsi="宋体" w:cs="宋体" w:eastAsia="宋体" w:hint="default"/>
          <w:b/>
          <w:bCs/>
          <w:sz w:val="21"/>
          <w:szCs w:val="21"/>
        </w:rPr>
        <w:t>审 计 报</w:t>
      </w:r>
      <w:r>
        <w:rPr>
          <w:rFonts w:ascii="宋体" w:hAnsi="宋体" w:cs="宋体" w:eastAsia="宋体" w:hint="default"/>
          <w:b/>
          <w:bCs/>
          <w:spacing w:val="7"/>
          <w:sz w:val="21"/>
          <w:szCs w:val="21"/>
        </w:rPr>
        <w:t> </w:t>
      </w:r>
      <w:r>
        <w:rPr>
          <w:rFonts w:ascii="宋体" w:hAnsi="宋体" w:cs="宋体" w:eastAsia="宋体" w:hint="default"/>
          <w:b/>
          <w:bCs/>
          <w:sz w:val="21"/>
          <w:szCs w:val="21"/>
        </w:rPr>
        <w:t>告</w:t>
      </w:r>
      <w:r>
        <w:rPr>
          <w:rFonts w:ascii="宋体" w:hAnsi="宋体" w:cs="宋体" w:eastAsia="宋体" w:hint="default"/>
          <w:b/>
          <w:bCs/>
          <w:w w:val="99"/>
          <w:sz w:val="21"/>
          <w:szCs w:val="21"/>
        </w:rPr>
        <w:t> </w:t>
      </w:r>
      <w:r>
        <w:rPr>
          <w:rFonts w:ascii="宋体" w:hAnsi="宋体" w:cs="宋体" w:eastAsia="宋体" w:hint="default"/>
          <w:sz w:val="21"/>
          <w:szCs w:val="21"/>
        </w:rPr>
        <w:t>天健审〔</w:t>
      </w:r>
      <w:r>
        <w:rPr>
          <w:rFonts w:ascii="Times New Roman" w:hAnsi="Times New Roman" w:cs="Times New Roman" w:eastAsia="Times New Roman" w:hint="default"/>
          <w:sz w:val="21"/>
          <w:szCs w:val="21"/>
        </w:rPr>
        <w:t>2019</w:t>
      </w:r>
      <w:r>
        <w:rPr>
          <w:rFonts w:ascii="宋体" w:hAnsi="宋体" w:cs="宋体" w:eastAsia="宋体" w:hint="default"/>
          <w:sz w:val="21"/>
          <w:szCs w:val="21"/>
        </w:rPr>
        <w:t>〕</w:t>
      </w:r>
      <w:r>
        <w:rPr>
          <w:rFonts w:ascii="Times New Roman" w:hAnsi="Times New Roman" w:cs="Times New Roman" w:eastAsia="Times New Roman" w:hint="default"/>
          <w:sz w:val="21"/>
          <w:szCs w:val="21"/>
        </w:rPr>
        <w:t>5008</w:t>
      </w:r>
      <w:r>
        <w:rPr>
          <w:rFonts w:ascii="宋体" w:hAnsi="宋体" w:cs="宋体" w:eastAsia="宋体" w:hint="default"/>
          <w:sz w:val="21"/>
          <w:szCs w:val="21"/>
        </w:rPr>
        <w:t>号</w:t>
      </w:r>
    </w:p>
    <w:p>
      <w:pPr>
        <w:spacing w:line="240" w:lineRule="auto" w:before="4"/>
        <w:rPr>
          <w:rFonts w:ascii="宋体" w:hAnsi="宋体" w:cs="宋体" w:eastAsia="宋体" w:hint="default"/>
          <w:sz w:val="20"/>
          <w:szCs w:val="20"/>
        </w:rPr>
      </w:pPr>
    </w:p>
    <w:p>
      <w:pPr>
        <w:pStyle w:val="BodyText"/>
        <w:spacing w:line="240" w:lineRule="auto" w:before="35"/>
        <w:ind w:right="0"/>
        <w:jc w:val="both"/>
      </w:pPr>
      <w:r>
        <w:rPr/>
        <w:t>美盛文化创意股份有限公司全体股东：</w:t>
      </w:r>
    </w:p>
    <w:p>
      <w:pPr>
        <w:spacing w:line="240" w:lineRule="auto" w:before="9"/>
        <w:rPr>
          <w:rFonts w:ascii="宋体" w:hAnsi="宋体" w:cs="宋体" w:eastAsia="宋体" w:hint="default"/>
          <w:sz w:val="26"/>
          <w:szCs w:val="26"/>
        </w:rPr>
      </w:pPr>
    </w:p>
    <w:p>
      <w:pPr>
        <w:pStyle w:val="BodyText"/>
        <w:spacing w:line="273" w:lineRule="auto"/>
        <w:ind w:left="574" w:right="0" w:firstLine="2"/>
        <w:jc w:val="left"/>
      </w:pPr>
      <w:r>
        <w:rPr>
          <w:rFonts w:ascii="宋体" w:hAnsi="宋体" w:cs="宋体" w:eastAsia="宋体" w:hint="default"/>
          <w:b/>
          <w:bCs/>
        </w:rPr>
        <w:t>一、保留意见</w:t>
      </w:r>
      <w:r>
        <w:rPr>
          <w:rFonts w:ascii="宋体" w:hAnsi="宋体" w:cs="宋体" w:eastAsia="宋体" w:hint="default"/>
          <w:b/>
          <w:bCs/>
          <w:w w:val="99"/>
        </w:rPr>
        <w:t> </w:t>
      </w:r>
      <w:r>
        <w:rPr>
          <w:spacing w:val="-1"/>
        </w:rPr>
        <w:t>我们审计了美盛文化创意股份有限公司（以下简称美盛文化公司）财务报表，包括</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w:t>
      </w:r>
    </w:p>
    <w:p>
      <w:pPr>
        <w:pStyle w:val="BodyText"/>
        <w:spacing w:line="256" w:lineRule="auto"/>
        <w:ind w:right="1131"/>
        <w:jc w:val="both"/>
      </w:pPr>
      <w:r>
        <w:rPr>
          <w:spacing w:val="-1"/>
        </w:rPr>
        <w:t>合并及母公司资产负债表，</w:t>
      </w:r>
      <w:r>
        <w:rPr>
          <w:rFonts w:ascii="Times New Roman" w:hAnsi="Times New Roman" w:cs="Times New Roman" w:eastAsia="Times New Roman" w:hint="default"/>
          <w:spacing w:val="-1"/>
        </w:rPr>
        <w:t>2018</w:t>
      </w:r>
      <w:r>
        <w:rPr>
          <w:spacing w:val="-1"/>
        </w:rPr>
        <w:t>年度的合并及母公司利润表、合并及母公司现金流量表、合并及母公司所</w:t>
      </w:r>
      <w:r>
        <w:rPr>
          <w:spacing w:val="-81"/>
        </w:rPr>
        <w:t> </w:t>
      </w:r>
      <w:r>
        <w:rPr>
          <w:spacing w:val="-81"/>
        </w:rPr>
      </w:r>
      <w:r>
        <w:rPr/>
        <w:t>有者权益变动表，以及相关财务报表附注。</w:t>
      </w:r>
    </w:p>
    <w:p>
      <w:pPr>
        <w:pStyle w:val="Heading3"/>
        <w:spacing w:line="247" w:lineRule="auto" w:before="11"/>
        <w:ind w:right="1131"/>
        <w:jc w:val="both"/>
        <w:rPr>
          <w:i w:val="0"/>
        </w:rPr>
      </w:pPr>
      <w:r>
        <w:rPr>
          <w:spacing w:val="-2"/>
          <w:w w:val="95"/>
        </w:rPr>
        <w:t>我们认为，除</w:t>
      </w:r>
      <w:r>
        <w:rPr>
          <w:rFonts w:ascii="Times New Roman" w:hAnsi="Times New Roman" w:cs="Times New Roman" w:eastAsia="Times New Roman" w:hint="default"/>
          <w:i/>
          <w:spacing w:val="-2"/>
          <w:w w:val="95"/>
          <w:sz w:val="21"/>
          <w:szCs w:val="21"/>
        </w:rPr>
        <w:t>“</w:t>
      </w:r>
      <w:r>
        <w:rPr>
          <w:spacing w:val="-2"/>
          <w:w w:val="95"/>
        </w:rPr>
        <w:t>形成保留意见的基础</w:t>
      </w:r>
      <w:r>
        <w:rPr>
          <w:rFonts w:ascii="Times New Roman" w:hAnsi="Times New Roman" w:cs="Times New Roman" w:eastAsia="Times New Roman" w:hint="default"/>
          <w:i/>
          <w:spacing w:val="-2"/>
          <w:w w:val="95"/>
          <w:sz w:val="21"/>
          <w:szCs w:val="21"/>
        </w:rPr>
        <w:t>”</w:t>
      </w:r>
      <w:r>
        <w:rPr>
          <w:spacing w:val="-2"/>
          <w:w w:val="95"/>
        </w:rPr>
        <w:t>部分所述事项可能产生的影响外，后附的财务报表在所有重大方</w:t>
      </w:r>
      <w:r>
        <w:rPr>
          <w:w w:val="95"/>
        </w:rPr>
        <w:t> </w:t>
      </w:r>
      <w:r>
        <w:rPr>
          <w:spacing w:val="-1"/>
          <w:w w:val="95"/>
        </w:rPr>
        <w:t>面按照企业会计准则的规定编制，公允反映了美盛文化公司</w:t>
      </w:r>
      <w:r>
        <w:rPr>
          <w:rFonts w:ascii="Times New Roman" w:hAnsi="Times New Roman" w:cs="Times New Roman" w:eastAsia="Times New Roman" w:hint="default"/>
          <w:i/>
          <w:spacing w:val="-1"/>
          <w:w w:val="95"/>
          <w:sz w:val="21"/>
          <w:szCs w:val="21"/>
        </w:rPr>
        <w:t>2018</w:t>
      </w:r>
      <w:r>
        <w:rPr>
          <w:spacing w:val="-1"/>
          <w:w w:val="95"/>
        </w:rPr>
        <w:t>年</w:t>
      </w:r>
      <w:r>
        <w:rPr>
          <w:rFonts w:ascii="Times New Roman" w:hAnsi="Times New Roman" w:cs="Times New Roman" w:eastAsia="Times New Roman" w:hint="default"/>
          <w:i/>
          <w:spacing w:val="-1"/>
          <w:w w:val="95"/>
          <w:sz w:val="21"/>
          <w:szCs w:val="21"/>
        </w:rPr>
        <w:t>12</w:t>
      </w:r>
      <w:r>
        <w:rPr>
          <w:spacing w:val="-1"/>
          <w:w w:val="95"/>
        </w:rPr>
        <w:t>月</w:t>
      </w:r>
      <w:r>
        <w:rPr>
          <w:rFonts w:ascii="Times New Roman" w:hAnsi="Times New Roman" w:cs="Times New Roman" w:eastAsia="Times New Roman" w:hint="default"/>
          <w:i/>
          <w:spacing w:val="-1"/>
          <w:w w:val="95"/>
          <w:sz w:val="21"/>
          <w:szCs w:val="21"/>
        </w:rPr>
        <w:t>31</w:t>
      </w:r>
      <w:r>
        <w:rPr>
          <w:spacing w:val="-1"/>
          <w:w w:val="95"/>
        </w:rPr>
        <w:t>日的合并及母公司财务状况，以</w:t>
      </w:r>
      <w:r>
        <w:rPr>
          <w:spacing w:val="3"/>
          <w:w w:val="95"/>
        </w:rPr>
        <w:t> </w:t>
      </w:r>
      <w:r>
        <w:rPr>
          <w:spacing w:val="3"/>
          <w:w w:val="95"/>
        </w:rPr>
      </w:r>
      <w:r>
        <w:rPr/>
        <w:t>及</w:t>
      </w:r>
      <w:r>
        <w:rPr>
          <w:rFonts w:ascii="Times New Roman" w:hAnsi="Times New Roman" w:cs="Times New Roman" w:eastAsia="Times New Roman" w:hint="default"/>
          <w:i/>
          <w:sz w:val="21"/>
          <w:szCs w:val="21"/>
        </w:rPr>
        <w:t>2018</w:t>
      </w:r>
      <w:r>
        <w:rPr/>
        <w:t>年度的合并及母公司经营成果和现金流量。</w:t>
      </w:r>
      <w:r>
        <w:rPr>
          <w:i w:val="0"/>
        </w:rPr>
      </w:r>
    </w:p>
    <w:p>
      <w:pPr>
        <w:spacing w:line="240" w:lineRule="auto" w:before="12"/>
        <w:rPr>
          <w:rFonts w:ascii="宋体" w:hAnsi="宋体" w:cs="宋体" w:eastAsia="宋体" w:hint="default"/>
          <w:i/>
          <w:sz w:val="24"/>
          <w:szCs w:val="24"/>
        </w:rPr>
      </w:pPr>
    </w:p>
    <w:p>
      <w:pPr>
        <w:pStyle w:val="BodyText"/>
        <w:spacing w:line="273" w:lineRule="auto"/>
        <w:ind w:left="574" w:right="0" w:firstLine="2"/>
        <w:jc w:val="left"/>
      </w:pPr>
      <w:r>
        <w:rPr>
          <w:rFonts w:ascii="宋体" w:hAnsi="宋体" w:cs="宋体" w:eastAsia="宋体" w:hint="default"/>
          <w:b/>
          <w:bCs/>
        </w:rPr>
        <w:t>二、形成保留意见的基础</w:t>
      </w:r>
      <w:r>
        <w:rPr>
          <w:rFonts w:ascii="宋体" w:hAnsi="宋体" w:cs="宋体" w:eastAsia="宋体" w:hint="default"/>
          <w:b/>
          <w:bCs/>
          <w:w w:val="99"/>
        </w:rPr>
        <w:t> </w:t>
      </w:r>
      <w:r>
        <w:rPr>
          <w:spacing w:val="-1"/>
        </w:rPr>
        <w:t>如财务报表附注五（一）</w:t>
      </w:r>
      <w:r>
        <w:rPr>
          <w:rFonts w:ascii="Times New Roman" w:hAnsi="Times New Roman" w:cs="Times New Roman" w:eastAsia="Times New Roman" w:hint="default"/>
          <w:spacing w:val="-1"/>
        </w:rPr>
        <w:t>18</w:t>
      </w:r>
      <w:r>
        <w:rPr>
          <w:spacing w:val="-1"/>
        </w:rPr>
        <w:t>其他非流动资产所述，</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月，美盛文化公司与控股股东美盛控股集</w:t>
      </w:r>
    </w:p>
    <w:p>
      <w:pPr>
        <w:pStyle w:val="BodyText"/>
        <w:spacing w:line="261" w:lineRule="auto"/>
        <w:ind w:right="1129"/>
        <w:jc w:val="both"/>
      </w:pPr>
      <w:r>
        <w:rPr>
          <w:spacing w:val="-1"/>
        </w:rPr>
        <w:t>团有限公司（以下简称美盛控股）签订深圳市同道大叔文化传播有限公司（以下简称同道大叔公司）股权</w:t>
      </w:r>
      <w:r>
        <w:rPr>
          <w:spacing w:val="-86"/>
        </w:rPr>
        <w:t> </w:t>
      </w:r>
      <w:r>
        <w:rPr>
          <w:spacing w:val="-86"/>
        </w:rPr>
      </w:r>
      <w:r>
        <w:rPr>
          <w:spacing w:val="-2"/>
        </w:rPr>
        <w:t>转让协议，约定美盛文化公司以</w:t>
      </w:r>
      <w:r>
        <w:rPr>
          <w:rFonts w:ascii="Times New Roman" w:hAnsi="Times New Roman" w:cs="Times New Roman" w:eastAsia="Times New Roman" w:hint="default"/>
          <w:spacing w:val="-2"/>
        </w:rPr>
        <w:t>217,500,000.00</w:t>
      </w:r>
      <w:r>
        <w:rPr>
          <w:spacing w:val="-2"/>
        </w:rPr>
        <w:t>元的价格向美盛控股购买其持有的同道大叔公司</w:t>
      </w:r>
      <w:r>
        <w:rPr>
          <w:rFonts w:ascii="Times New Roman" w:hAnsi="Times New Roman" w:cs="Times New Roman" w:eastAsia="Times New Roman" w:hint="default"/>
          <w:spacing w:val="-2"/>
        </w:rPr>
        <w:t>72.50%</w:t>
      </w:r>
      <w:r>
        <w:rPr>
          <w:spacing w:val="-2"/>
        </w:rPr>
        <w:t>的股</w:t>
      </w:r>
      <w:r>
        <w:rPr>
          <w:spacing w:val="-86"/>
        </w:rPr>
        <w:t> </w:t>
      </w:r>
      <w:r>
        <w:rPr>
          <w:spacing w:val="-1"/>
        </w:rPr>
        <w:t>权，款项应于协议签订后</w:t>
      </w:r>
      <w:r>
        <w:rPr>
          <w:rFonts w:ascii="Times New Roman" w:hAnsi="Times New Roman" w:cs="Times New Roman" w:eastAsia="Times New Roman" w:hint="default"/>
          <w:spacing w:val="-1"/>
        </w:rPr>
        <w:t>10</w:t>
      </w:r>
      <w:r>
        <w:rPr>
          <w:spacing w:val="-1"/>
        </w:rPr>
        <w:t>个工作日内支付全部款项。美盛文化公司于</w:t>
      </w:r>
      <w:r>
        <w:rPr>
          <w:rFonts w:ascii="Times New Roman" w:hAnsi="Times New Roman" w:cs="Times New Roman" w:eastAsia="Times New Roman" w:hint="default"/>
          <w:spacing w:val="-1"/>
        </w:rPr>
        <w:t>2018</w:t>
      </w:r>
      <w:r>
        <w:rPr>
          <w:spacing w:val="-1"/>
        </w:rPr>
        <w:t>年已支付全部交易对价，同道</w:t>
      </w:r>
      <w:r>
        <w:rPr>
          <w:spacing w:val="-83"/>
        </w:rPr>
        <w:t> </w:t>
      </w:r>
      <w:r>
        <w:rPr>
          <w:spacing w:val="-83"/>
        </w:rPr>
      </w:r>
      <w:r>
        <w:rPr/>
        <w:t>大叔公司于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月完成本次股权交易的工商变更登记手续。</w:t>
      </w:r>
    </w:p>
    <w:p>
      <w:pPr>
        <w:pStyle w:val="BodyText"/>
        <w:spacing w:line="273" w:lineRule="auto"/>
        <w:ind w:right="1132" w:firstLine="420"/>
        <w:jc w:val="both"/>
      </w:pPr>
      <w:r>
        <w:rPr>
          <w:spacing w:val="-1"/>
        </w:rPr>
        <w:t>上述交易属于关联交易，根据《深圳证券交易所股票上市规则》，本次交易需经董事会、股东大会审</w:t>
      </w:r>
      <w:r>
        <w:rPr/>
        <w:t> 批方可实施。截至本报告日，美盛文化公司仍未就上述事项执行相关决策审议程序。</w:t>
      </w:r>
    </w:p>
    <w:p>
      <w:pPr>
        <w:pStyle w:val="BodyText"/>
        <w:spacing w:line="273" w:lineRule="auto" w:before="7"/>
        <w:ind w:right="1131" w:firstLine="420"/>
        <w:jc w:val="both"/>
      </w:pPr>
      <w:r>
        <w:rPr>
          <w:spacing w:val="-1"/>
        </w:rPr>
        <w:t>我们无法就上述交易是否可以完成获取充分适当的审计证据，不能判断将已支付股权转让款列示于其</w:t>
      </w:r>
      <w:r>
        <w:rPr/>
        <w:t> </w:t>
      </w:r>
      <w:r>
        <w:rPr>
          <w:spacing w:val="-1"/>
        </w:rPr>
        <w:t>他非流动资产是否恰当，若该交易不能完成，已支付的款项应予收回，我们也无法就该款项的可收回性获</w:t>
      </w:r>
      <w:r>
        <w:rPr>
          <w:spacing w:val="-83"/>
        </w:rPr>
        <w:t> </w:t>
      </w:r>
      <w:r>
        <w:rPr>
          <w:spacing w:val="-83"/>
        </w:rPr>
      </w:r>
      <w:r>
        <w:rPr/>
        <w:t>取充分适当的审计证据，从而无法确定是否需计提相应的减值准备。</w:t>
      </w:r>
    </w:p>
    <w:p>
      <w:pPr>
        <w:pStyle w:val="BodyText"/>
        <w:spacing w:line="261" w:lineRule="auto" w:before="7"/>
        <w:ind w:right="1129" w:firstLine="420"/>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 </w:t>
      </w:r>
      <w:r>
        <w:rPr/>
        <w:t>的责任</w:t>
      </w:r>
      <w:r>
        <w:rPr>
          <w:rFonts w:ascii="Times New Roman" w:hAnsi="Times New Roman" w:cs="Times New Roman" w:eastAsia="Times New Roman" w:hint="default"/>
        </w:rPr>
        <w:t>”</w:t>
      </w:r>
      <w:r>
        <w:rPr/>
        <w:t>部分进一步阐述了我们在这些准则下的责任。按照中国注册会计师职业道德守则，我们独立于美</w:t>
      </w:r>
      <w:r>
        <w:rPr>
          <w:spacing w:val="-25"/>
        </w:rPr>
        <w:t> </w:t>
      </w:r>
      <w:r>
        <w:rPr>
          <w:spacing w:val="-25"/>
        </w:rPr>
      </w:r>
      <w:r>
        <w:rPr>
          <w:spacing w:val="-1"/>
        </w:rPr>
        <w:t>盛文化公司，并履行了职业道德方面的其他责任。我们相信，我们获取的审计证据是充分、适当的，为发</w:t>
      </w:r>
      <w:r>
        <w:rPr>
          <w:spacing w:val="-83"/>
        </w:rPr>
        <w:t> </w:t>
      </w:r>
      <w:r>
        <w:rPr>
          <w:spacing w:val="-83"/>
        </w:rPr>
      </w:r>
      <w:r>
        <w:rPr/>
        <w:t>表保留意见提供了基础。</w:t>
      </w:r>
    </w:p>
    <w:p>
      <w:pPr>
        <w:spacing w:line="240" w:lineRule="auto" w:before="3"/>
        <w:rPr>
          <w:rFonts w:ascii="宋体" w:hAnsi="宋体" w:cs="宋体" w:eastAsia="宋体" w:hint="default"/>
          <w:sz w:val="25"/>
          <w:szCs w:val="25"/>
        </w:rPr>
      </w:pPr>
    </w:p>
    <w:p>
      <w:pPr>
        <w:pStyle w:val="Heading4"/>
        <w:spacing w:line="240" w:lineRule="auto"/>
        <w:ind w:left="576" w:right="1360"/>
        <w:jc w:val="left"/>
        <w:rPr>
          <w:b w:val="0"/>
          <w:bCs w:val="0"/>
        </w:rPr>
      </w:pPr>
      <w:r>
        <w:rPr/>
        <w:t>三、强调事项</w:t>
      </w:r>
      <w:r>
        <w:rPr>
          <w:b w:val="0"/>
          <w:bCs w:val="0"/>
        </w:rPr>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b/>
          <w:bCs/>
          <w:sz w:val="24"/>
          <w:szCs w:val="24"/>
        </w:rPr>
      </w:pPr>
    </w:p>
    <w:p>
      <w:pPr>
        <w:pStyle w:val="BodyText"/>
        <w:spacing w:line="256" w:lineRule="auto" w:before="35"/>
        <w:ind w:right="1129" w:firstLine="420"/>
        <w:jc w:val="both"/>
      </w:pPr>
      <w:r>
        <w:rPr/>
        <w:t>我们提醒财务报表使用者关注，如财务报表附注五</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rFonts w:ascii="Times New Roman" w:hAnsi="Times New Roman" w:cs="Times New Roman" w:eastAsia="Times New Roman" w:hint="default"/>
        </w:rPr>
        <w:t>5</w:t>
      </w:r>
      <w:r>
        <w:rPr/>
        <w:t>其他应收款所述，截至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 收美盛控股资金余额</w:t>
      </w:r>
      <w:r>
        <w:rPr>
          <w:rFonts w:ascii="Times New Roman" w:hAnsi="Times New Roman" w:cs="Times New Roman" w:eastAsia="Times New Roman" w:hint="default"/>
        </w:rPr>
        <w:t>1,511,958,817.28</w:t>
      </w:r>
      <w:r>
        <w:rPr/>
        <w:t>元，形成原因如下：</w:t>
      </w:r>
    </w:p>
    <w:p>
      <w:pPr>
        <w:pStyle w:val="BodyText"/>
        <w:tabs>
          <w:tab w:pos="1163" w:val="left" w:leader="none"/>
        </w:tabs>
        <w:spacing w:line="240" w:lineRule="auto" w:before="5"/>
        <w:ind w:left="574"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spacing w:val="9"/>
        </w:rPr>
        <w:t>一</w:t>
      </w:r>
      <w:r>
        <w:rPr>
          <w:rFonts w:ascii="Times New Roman" w:hAnsi="Times New Roman" w:cs="Times New Roman" w:eastAsia="Times New Roman" w:hint="default"/>
          <w:spacing w:val="9"/>
        </w:rPr>
        <w:t>)</w:t>
        <w:tab/>
      </w:r>
      <w:r>
        <w:rPr>
          <w:rFonts w:ascii="Times New Roman" w:hAnsi="Times New Roman" w:cs="Times New Roman" w:eastAsia="Times New Roman" w:hint="default"/>
          <w:spacing w:val="16"/>
        </w:rPr>
        <w:t>2018</w:t>
      </w:r>
      <w:r>
        <w:rPr>
          <w:spacing w:val="16"/>
        </w:rPr>
        <w:t>年美盛控股通过由美盛文化公司间接划转款项方式形成违规资金占用，期末余额为</w:t>
      </w:r>
      <w:r>
        <w:rPr/>
      </w:r>
    </w:p>
    <w:p>
      <w:pPr>
        <w:pStyle w:val="BodyText"/>
        <w:spacing w:line="240" w:lineRule="auto" w:before="21"/>
        <w:ind w:right="1360"/>
        <w:jc w:val="left"/>
      </w:pPr>
      <w:r>
        <w:rPr>
          <w:rFonts w:ascii="Times New Roman" w:hAnsi="Times New Roman" w:cs="Times New Roman" w:eastAsia="Times New Roman" w:hint="default"/>
        </w:rPr>
        <w:t>1,245,189,427.78</w:t>
      </w:r>
      <w:r>
        <w:rPr/>
        <w:t>元。截至本报告日，美盛文化公司已收到美盛控股归还的上述款项。</w:t>
      </w:r>
    </w:p>
    <w:p>
      <w:pPr>
        <w:pStyle w:val="BodyText"/>
        <w:spacing w:line="256" w:lineRule="auto" w:before="21"/>
        <w:ind w:right="1129" w:firstLine="420"/>
        <w:jc w:val="both"/>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月，美盛文化公司与美盛控股签订股权转让协议，约定美盛文化公司以</w:t>
      </w:r>
      <w:r>
        <w:rPr>
          <w:rFonts w:ascii="Times New Roman" w:hAnsi="Times New Roman" w:cs="Times New Roman" w:eastAsia="Times New Roman" w:hint="default"/>
          <w:spacing w:val="2"/>
        </w:rPr>
        <w:t>356,584,673.89</w:t>
      </w:r>
      <w:r>
        <w:rPr>
          <w:rFonts w:ascii="Times New Roman" w:hAnsi="Times New Roman" w:cs="Times New Roman" w:eastAsia="Times New Roman" w:hint="default"/>
          <w:w w:val="99"/>
        </w:rPr>
        <w:t> </w:t>
      </w:r>
      <w:r>
        <w:rPr/>
        <w:t>元的价格向美盛控股购买其持有的杭州捷木股权投资管理有限公司</w:t>
      </w:r>
      <w:r>
        <w:rPr>
          <w:rFonts w:ascii="Times New Roman" w:hAnsi="Times New Roman" w:cs="Times New Roman" w:eastAsia="Times New Roman" w:hint="default"/>
        </w:rPr>
        <w:t>(</w:t>
      </w:r>
      <w:r>
        <w:rPr/>
        <w:t>以下简称捷木投资</w:t>
      </w:r>
      <w:r>
        <w:rPr>
          <w:rFonts w:ascii="Times New Roman" w:hAnsi="Times New Roman" w:cs="Times New Roman" w:eastAsia="Times New Roman" w:hint="default"/>
        </w:rPr>
        <w:t>)50%</w:t>
      </w:r>
      <w:r>
        <w:rPr/>
        <w:t>的股权和其对</w:t>
      </w:r>
      <w:r>
        <w:rPr>
          <w:spacing w:val="-27"/>
        </w:rPr>
        <w:t> </w:t>
      </w:r>
      <w:r>
        <w:rPr>
          <w:spacing w:val="-27"/>
        </w:rPr>
      </w:r>
      <w:r>
        <w:rPr>
          <w:spacing w:val="-2"/>
        </w:rPr>
        <w:t>捷木投资的债权。该事项经</w:t>
      </w:r>
      <w:r>
        <w:rPr>
          <w:rFonts w:ascii="Times New Roman" w:hAnsi="Times New Roman" w:cs="Times New Roman" w:eastAsia="Times New Roman" w:hint="default"/>
          <w:spacing w:val="-2"/>
        </w:rPr>
        <w:t>2017</w:t>
      </w:r>
      <w:r>
        <w:rPr>
          <w:spacing w:val="-2"/>
        </w:rPr>
        <w:t>年度股东大会审议通过后，美盛文化公司支付了股权转让款</w:t>
      </w:r>
      <w:r>
        <w:rPr>
          <w:rFonts w:ascii="Times New Roman" w:hAnsi="Times New Roman" w:cs="Times New Roman" w:eastAsia="Times New Roman" w:hint="default"/>
          <w:spacing w:val="-2"/>
        </w:rPr>
        <w:t>350,000,000.00</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另向捷木投资支付项目其他款项</w:t>
      </w:r>
      <w:r>
        <w:rPr>
          <w:rFonts w:ascii="Times New Roman" w:hAnsi="Times New Roman" w:cs="Times New Roman" w:eastAsia="Times New Roman" w:hint="default"/>
        </w:rPr>
        <w:t>16,769,389.50</w:t>
      </w:r>
      <w:r>
        <w:rPr/>
        <w:t>元。</w:t>
      </w:r>
    </w:p>
    <w:p>
      <w:pPr>
        <w:pStyle w:val="BodyText"/>
        <w:spacing w:line="261" w:lineRule="auto" w:before="5"/>
        <w:ind w:right="1131" w:firstLine="420"/>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20</w:t>
      </w:r>
      <w:r>
        <w:rPr>
          <w:spacing w:val="-1"/>
        </w:rPr>
        <w:t>日，美盛文化公司与美盛控股及其实际控制人赵小强签订补充协议，约定终止收购杭州</w:t>
      </w:r>
      <w:r>
        <w:rPr/>
        <w:t> 捷木股权的交易。截至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日，美盛控股共归还交易金额</w:t>
      </w:r>
      <w:r>
        <w:rPr>
          <w:rFonts w:ascii="Times New Roman" w:hAnsi="Times New Roman" w:cs="Times New Roman" w:eastAsia="Times New Roman" w:hint="default"/>
        </w:rPr>
        <w:t>1</w:t>
      </w:r>
      <w:r>
        <w:rPr/>
        <w:t>亿元，剩余未归还款项</w:t>
      </w:r>
      <w:r>
        <w:rPr>
          <w:rFonts w:ascii="Times New Roman" w:hAnsi="Times New Roman" w:cs="Times New Roman" w:eastAsia="Times New Roman" w:hint="default"/>
        </w:rPr>
        <w:t>266,769,389.50</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spacing w:val="-1"/>
        </w:rPr>
        <w:t>元形成美盛控股对美盛文化公司的非经营性资金占用。截至本报告日，美盛文化公司已收到美盛控股归还</w:t>
      </w:r>
      <w:r>
        <w:rPr>
          <w:spacing w:val="-81"/>
        </w:rPr>
        <w:t> </w:t>
      </w:r>
      <w:r>
        <w:rPr>
          <w:spacing w:val="-81"/>
        </w:rPr>
      </w:r>
      <w:r>
        <w:rPr/>
        <w:t>的上述款项。</w:t>
      </w:r>
    </w:p>
    <w:p>
      <w:pPr>
        <w:pStyle w:val="BodyText"/>
        <w:spacing w:line="240" w:lineRule="auto" w:before="18"/>
        <w:ind w:left="574" w:right="1360"/>
        <w:jc w:val="left"/>
      </w:pPr>
      <w:r>
        <w:rPr/>
        <w:t>本段内容不影响已发表的审计意见。</w:t>
      </w:r>
    </w:p>
    <w:p>
      <w:pPr>
        <w:spacing w:line="240" w:lineRule="auto" w:before="9"/>
        <w:rPr>
          <w:rFonts w:ascii="宋体" w:hAnsi="宋体" w:cs="宋体" w:eastAsia="宋体" w:hint="default"/>
          <w:sz w:val="26"/>
          <w:szCs w:val="26"/>
        </w:rPr>
      </w:pPr>
    </w:p>
    <w:p>
      <w:pPr>
        <w:pStyle w:val="BodyText"/>
        <w:spacing w:line="273" w:lineRule="auto"/>
        <w:ind w:left="574" w:right="0" w:firstLine="2"/>
        <w:jc w:val="left"/>
      </w:pPr>
      <w:r>
        <w:rPr>
          <w:rFonts w:ascii="宋体" w:hAnsi="宋体" w:cs="宋体" w:eastAsia="宋体" w:hint="default"/>
          <w:b/>
          <w:bCs/>
        </w:rPr>
        <w:t>四、其他信息</w:t>
      </w:r>
      <w:r>
        <w:rPr>
          <w:rFonts w:ascii="宋体" w:hAnsi="宋体" w:cs="宋体" w:eastAsia="宋体" w:hint="default"/>
          <w:b/>
          <w:bCs/>
          <w:w w:val="99"/>
        </w:rPr>
        <w:t> </w:t>
      </w:r>
      <w:r>
        <w:rPr>
          <w:spacing w:val="-1"/>
        </w:rPr>
        <w:t>美盛文化公司管理层（以下简称管理层）对其他信息负责。其他信息包括年度报告中涵盖的信息，但</w:t>
      </w:r>
    </w:p>
    <w:p>
      <w:pPr>
        <w:pStyle w:val="BodyText"/>
        <w:spacing w:line="273" w:lineRule="auto" w:before="7"/>
        <w:ind w:left="574" w:right="0" w:hanging="420"/>
        <w:jc w:val="left"/>
      </w:pPr>
      <w:r>
        <w:rPr/>
        <w:t>不包括财务报表和我们的审计报告。 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w:t>
      </w:r>
    </w:p>
    <w:p>
      <w:pPr>
        <w:pStyle w:val="BodyText"/>
        <w:spacing w:line="273" w:lineRule="auto" w:before="7"/>
        <w:ind w:left="574" w:right="1121" w:hanging="420"/>
        <w:jc w:val="left"/>
      </w:pPr>
      <w:r>
        <w:rPr/>
        <w:t>表或我们在审计过程中了解到的情况存在重大不一致或者似乎存在重大错报。 </w:t>
      </w:r>
      <w:r>
        <w:rPr>
          <w:spacing w:val="2"/>
        </w:rPr>
        <w:t>基于我们已执行的工作，如果我们确定其他信息存在重大错报，我们应当报告该事实。如上述</w:t>
      </w:r>
      <w:r>
        <w:rPr>
          <w:rFonts w:ascii="Times New Roman" w:hAnsi="Times New Roman" w:cs="Times New Roman" w:eastAsia="Times New Roman" w:hint="default"/>
          <w:spacing w:val="2"/>
        </w:rPr>
        <w:t>“</w:t>
      </w:r>
      <w:r>
        <w:rPr>
          <w:spacing w:val="2"/>
        </w:rPr>
        <w:t>形成</w:t>
      </w:r>
      <w:r>
        <w:rPr/>
      </w:r>
    </w:p>
    <w:p>
      <w:pPr>
        <w:pStyle w:val="BodyText"/>
        <w:spacing w:line="268" w:lineRule="auto"/>
        <w:ind w:right="1131"/>
        <w:jc w:val="both"/>
      </w:pPr>
      <w:r>
        <w:rPr/>
        <w:t>保留意见的基础</w:t>
      </w:r>
      <w:r>
        <w:rPr>
          <w:rFonts w:ascii="Times New Roman" w:hAnsi="Times New Roman" w:cs="Times New Roman" w:eastAsia="Times New Roman" w:hint="default"/>
        </w:rPr>
        <w:t>”</w:t>
      </w:r>
      <w:r>
        <w:rPr/>
        <w:t>部分所述，由于对美盛文化公司与美盛控股之间关于同道大叔公司的股权交易是否可以</w:t>
      </w:r>
      <w:r>
        <w:rPr>
          <w:spacing w:val="-23"/>
        </w:rPr>
        <w:t> </w:t>
      </w:r>
      <w:r>
        <w:rPr>
          <w:spacing w:val="-23"/>
        </w:rPr>
      </w:r>
      <w:r>
        <w:rPr>
          <w:spacing w:val="-1"/>
        </w:rPr>
        <w:t>完成获取充分适当的审计证据，不能判断将已支付股权转让款列示于其他非流动资产是否恰当，若该交易</w:t>
      </w:r>
      <w:r>
        <w:rPr>
          <w:spacing w:val="-81"/>
        </w:rPr>
        <w:t> </w:t>
      </w:r>
      <w:r>
        <w:rPr>
          <w:spacing w:val="-81"/>
        </w:rPr>
      </w:r>
      <w:r>
        <w:rPr>
          <w:spacing w:val="-1"/>
        </w:rPr>
        <w:t>无法完成，已支付的款项应予收回，我们也无法就相关款项的可收回性获取充分适当的审计证据，从而无</w:t>
      </w:r>
      <w:r>
        <w:rPr>
          <w:spacing w:val="-83"/>
        </w:rPr>
        <w:t> </w:t>
      </w:r>
      <w:r>
        <w:rPr>
          <w:spacing w:val="-83"/>
        </w:rPr>
      </w:r>
      <w:r>
        <w:rPr/>
        <w:t>法确定是否需计提相应的减值准备。因此，我们无法确定与该事项相关的其他信息是否存在重大错报。</w:t>
      </w:r>
    </w:p>
    <w:p>
      <w:pPr>
        <w:spacing w:line="240" w:lineRule="auto" w:before="10"/>
        <w:rPr>
          <w:rFonts w:ascii="宋体" w:hAnsi="宋体" w:cs="宋体" w:eastAsia="宋体" w:hint="default"/>
          <w:sz w:val="24"/>
          <w:szCs w:val="24"/>
        </w:rPr>
      </w:pPr>
    </w:p>
    <w:p>
      <w:pPr>
        <w:pStyle w:val="BodyText"/>
        <w:spacing w:line="273" w:lineRule="auto"/>
        <w:ind w:left="574" w:right="0" w:firstLine="2"/>
        <w:jc w:val="left"/>
      </w:pPr>
      <w:r>
        <w:rPr>
          <w:rFonts w:ascii="宋体" w:hAnsi="宋体" w:cs="宋体" w:eastAsia="宋体" w:hint="default"/>
          <w:b/>
          <w:bCs/>
        </w:rPr>
        <w:t>五、关键审计事项</w:t>
      </w:r>
      <w:r>
        <w:rPr>
          <w:rFonts w:ascii="宋体" w:hAnsi="宋体" w:cs="宋体" w:eastAsia="宋体" w:hint="default"/>
          <w:b/>
          <w:bCs/>
          <w:w w:val="99"/>
        </w:rPr>
        <w:t> </w:t>
      </w:r>
      <w:r>
        <w:rPr>
          <w:spacing w:val="-1"/>
        </w:rPr>
        <w:t>关键审计事项是我们根据职业判断，认为对本期财务报表审计最为重要的事项。这些事项的应对以对</w:t>
      </w:r>
    </w:p>
    <w:p>
      <w:pPr>
        <w:pStyle w:val="BodyText"/>
        <w:spacing w:line="256" w:lineRule="auto" w:before="7"/>
        <w:ind w:right="1130"/>
        <w:jc w:val="both"/>
      </w:pPr>
      <w:r>
        <w:rPr/>
        <w:t>财务报表整体进行审计并形成审计意见为背景，我们不对这些事项单独发表意见。除</w:t>
      </w:r>
      <w:r>
        <w:rPr>
          <w:rFonts w:ascii="Times New Roman" w:hAnsi="Times New Roman" w:cs="Times New Roman" w:eastAsia="Times New Roman" w:hint="default"/>
        </w:rPr>
        <w:t>“</w:t>
      </w:r>
      <w:r>
        <w:rPr/>
        <w:t>形成保留意见的基</w:t>
      </w:r>
      <w:r>
        <w:rPr>
          <w:spacing w:val="-14"/>
        </w:rPr>
        <w:t> </w:t>
      </w:r>
      <w:r>
        <w:rPr>
          <w:spacing w:val="-14"/>
        </w:rPr>
      </w:r>
      <w:r>
        <w:rPr/>
        <w:t>础</w:t>
      </w:r>
      <w:r>
        <w:rPr>
          <w:rFonts w:ascii="Times New Roman" w:hAnsi="Times New Roman" w:cs="Times New Roman" w:eastAsia="Times New Roman" w:hint="default"/>
        </w:rPr>
        <w:t>”</w:t>
      </w:r>
      <w:r>
        <w:rPr/>
        <w:t>部分所述事项外，我们确定下列事项是需要在审计报告中沟通的关键审计事项。</w:t>
      </w:r>
    </w:p>
    <w:p>
      <w:pPr>
        <w:pStyle w:val="BodyText"/>
        <w:spacing w:line="240" w:lineRule="auto" w:before="5"/>
        <w:ind w:left="574" w:right="136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收入确认</w:t>
      </w:r>
    </w:p>
    <w:p>
      <w:pPr>
        <w:pStyle w:val="BodyText"/>
        <w:spacing w:line="256" w:lineRule="auto" w:before="21"/>
        <w:ind w:left="574" w:right="350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事项描述 相关信息披露详见财务报表附注三（二十二）、五（二）</w:t>
      </w:r>
      <w:r>
        <w:rPr>
          <w:rFonts w:ascii="Times New Roman" w:hAnsi="Times New Roman" w:cs="Times New Roman" w:eastAsia="Times New Roman" w:hint="default"/>
        </w:rPr>
        <w:t>1</w:t>
      </w:r>
      <w:r>
        <w:rPr/>
        <w:t>及十三（一）。</w:t>
      </w:r>
    </w:p>
    <w:p>
      <w:pPr>
        <w:pStyle w:val="BodyText"/>
        <w:spacing w:line="256" w:lineRule="auto" w:before="5"/>
        <w:ind w:right="1130" w:firstLine="420"/>
        <w:jc w:val="both"/>
      </w:pPr>
      <w:r>
        <w:rPr>
          <w:spacing w:val="-1"/>
        </w:rPr>
        <w:t>美盛文化公司的营业收入主要来自于服饰销售和游戏服务平台的运营。</w:t>
      </w:r>
      <w:r>
        <w:rPr>
          <w:rFonts w:ascii="Times New Roman" w:hAnsi="Times New Roman" w:cs="Times New Roman" w:eastAsia="Times New Roman" w:hint="default"/>
          <w:spacing w:val="-1"/>
        </w:rPr>
        <w:t>2018</w:t>
      </w:r>
      <w:r>
        <w:rPr>
          <w:spacing w:val="-1"/>
        </w:rPr>
        <w:t>年度，美盛文化公司财务</w:t>
      </w:r>
      <w:r>
        <w:rPr/>
        <w:t> 报表所示营业收入项目金额为人民币</w:t>
      </w:r>
      <w:r>
        <w:rPr>
          <w:rFonts w:ascii="Times New Roman" w:hAnsi="Times New Roman" w:cs="Times New Roman" w:eastAsia="Times New Roman" w:hint="default"/>
        </w:rPr>
        <w:t>777,805,656.58</w:t>
      </w:r>
      <w:r>
        <w:rPr/>
        <w:t>元。</w:t>
      </w:r>
    </w:p>
    <w:p>
      <w:pPr>
        <w:pStyle w:val="BodyText"/>
        <w:spacing w:line="273" w:lineRule="auto" w:before="5"/>
        <w:ind w:right="1131" w:firstLine="420"/>
        <w:jc w:val="both"/>
      </w:pPr>
      <w:r>
        <w:rPr>
          <w:spacing w:val="-1"/>
        </w:rPr>
        <w:t>美盛文化公司服饰销售分为内销与外销，内销业务在根据合同约定将产品交付给购货方、产品销售收</w:t>
      </w:r>
      <w:r>
        <w:rPr/>
        <w:t> </w:t>
      </w:r>
      <w:r>
        <w:rPr>
          <w:spacing w:val="-1"/>
        </w:rPr>
        <w:t>入金额已确定、已经收回货款或取得了收款凭证且相关的经济利益很可能流入、产品相关的成本能够可靠</w:t>
      </w:r>
      <w:r>
        <w:rPr>
          <w:spacing w:val="-81"/>
        </w:rPr>
        <w:t> </w:t>
      </w:r>
      <w:r>
        <w:rPr>
          <w:spacing w:val="-81"/>
        </w:rPr>
      </w:r>
      <w:r>
        <w:rPr>
          <w:spacing w:val="-1"/>
        </w:rPr>
        <w:t>地计量时确认销售收入。外销业务在产品发货并取得承运人签发的货运提单、销售收入金额已确定、已经</w:t>
      </w:r>
      <w:r>
        <w:rPr>
          <w:spacing w:val="-83"/>
        </w:rPr>
        <w:t> </w:t>
      </w:r>
      <w:r>
        <w:rPr>
          <w:spacing w:val="-83"/>
        </w:rPr>
      </w:r>
      <w:r>
        <w:rPr>
          <w:spacing w:val="-1"/>
        </w:rPr>
        <w:t>收回货款或取得了收款凭证且相关的经济利益很可能流入、产品相关的成本能够可靠地计量时确认销售收</w:t>
      </w:r>
      <w:r>
        <w:rPr>
          <w:spacing w:val="-81"/>
        </w:rPr>
        <w:t> </w:t>
      </w:r>
      <w:r>
        <w:rPr>
          <w:spacing w:val="-81"/>
        </w:rPr>
      </w:r>
      <w:r>
        <w:rPr/>
        <w:t>入。</w:t>
      </w:r>
    </w:p>
    <w:p>
      <w:pPr>
        <w:pStyle w:val="BodyText"/>
        <w:spacing w:line="273" w:lineRule="auto" w:before="8"/>
        <w:ind w:right="1131" w:firstLine="420"/>
        <w:jc w:val="both"/>
      </w:pPr>
      <w:r>
        <w:rPr>
          <w:spacing w:val="-1"/>
        </w:rPr>
        <w:t>美盛文化公司游戏服务平台运营收入根据运营商、服务商、程序开发商或广告主提供的后台数据并经</w:t>
      </w:r>
      <w:r>
        <w:rPr/>
        <w:t> </w:t>
      </w:r>
      <w:r>
        <w:rPr>
          <w:spacing w:val="-1"/>
        </w:rPr>
        <w:t>公司相关部门核对确认、收入金额能够可靠地计量、相关经济利益很可能流入、交易成本能够可靠地计量</w:t>
      </w:r>
      <w:r>
        <w:rPr>
          <w:spacing w:val="-83"/>
        </w:rPr>
        <w:t> </w:t>
      </w:r>
      <w:r>
        <w:rPr>
          <w:spacing w:val="-83"/>
        </w:rPr>
      </w:r>
      <w:r>
        <w:rPr/>
        <w:t>时确认收入。</w:t>
      </w:r>
    </w:p>
    <w:p>
      <w:pPr>
        <w:pStyle w:val="BodyText"/>
        <w:spacing w:line="240" w:lineRule="auto" w:before="7"/>
        <w:ind w:left="574" w:right="0"/>
        <w:jc w:val="left"/>
      </w:pPr>
      <w:r>
        <w:rPr/>
        <w:t>营业收入是美盛文化公司关键业绩指标之一，可能存在管理层通过不恰当的收入确认以达到特定目标</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或预期的固有风险，同时游戏服务平台运营收入的确认一定程度上依赖公司的信息系统，因此，我们将收</w:t>
      </w:r>
      <w:r>
        <w:rPr>
          <w:spacing w:val="-83"/>
        </w:rPr>
        <w:t> </w:t>
      </w:r>
      <w:r>
        <w:rPr>
          <w:spacing w:val="-83"/>
        </w:rPr>
      </w:r>
      <w:r>
        <w:rPr/>
        <w:t>入确认确定为关键审计事项。</w:t>
      </w:r>
    </w:p>
    <w:p>
      <w:pPr>
        <w:pStyle w:val="BodyText"/>
        <w:spacing w:line="256" w:lineRule="auto" w:before="7"/>
        <w:ind w:left="574" w:right="592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审计应对 针对收入确认，我们实施的审计程序主要包括：</w:t>
      </w:r>
    </w:p>
    <w:p>
      <w:pPr>
        <w:pStyle w:val="BodyText"/>
        <w:spacing w:line="256" w:lineRule="auto" w:before="23"/>
        <w:ind w:right="0"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了解与收入确认相关的关键内部控制，评价这些控制的设计，确定是否得到执行，并测试相关内</w:t>
      </w:r>
      <w:r>
        <w:rPr>
          <w:w w:val="99"/>
        </w:rPr>
        <w:t> </w:t>
      </w:r>
      <w:r>
        <w:rPr/>
        <w:t>部控制的运行有效性；</w:t>
      </w:r>
    </w:p>
    <w:p>
      <w:pPr>
        <w:pStyle w:val="BodyText"/>
        <w:spacing w:line="240" w:lineRule="auto" w:before="22"/>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利用本所内部信息技术专家的工作，测试信息系统一般控制、与收入确认流程相关的应用控制；</w:t>
      </w:r>
    </w:p>
    <w:p>
      <w:pPr>
        <w:pStyle w:val="BodyText"/>
        <w:spacing w:line="256" w:lineRule="auto" w:before="21"/>
        <w:ind w:right="0" w:firstLine="42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检查主要的销售合同，识别与商品所有权上的主要风险和报酬转移相关的条款，评价收入确认政</w:t>
      </w:r>
      <w:r>
        <w:rPr>
          <w:w w:val="99"/>
        </w:rPr>
        <w:t> </w:t>
      </w:r>
      <w:r>
        <w:rPr/>
        <w:t>策是否符合企业会计准则的规定；</w:t>
      </w:r>
    </w:p>
    <w:p>
      <w:pPr>
        <w:pStyle w:val="BodyText"/>
        <w:spacing w:line="256" w:lineRule="auto" w:before="22"/>
        <w:ind w:right="0" w:firstLine="42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1"/>
        </w:rPr>
        <w:t> </w:t>
      </w:r>
      <w:r>
        <w:rPr/>
        <w:t>对营业收入及毛利率按月度、产品等实施实质性分析程序，识别是否存在重大或异常波动，并查</w:t>
      </w:r>
      <w:r>
        <w:rPr>
          <w:w w:val="99"/>
        </w:rPr>
        <w:t> </w:t>
      </w:r>
      <w:r>
        <w:rPr/>
        <w:t>明波动原因；</w:t>
      </w:r>
    </w:p>
    <w:p>
      <w:pPr>
        <w:pStyle w:val="BodyText"/>
        <w:spacing w:line="264" w:lineRule="auto" w:before="22"/>
        <w:ind w:right="1009" w:firstLine="42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对于内销收入，以抽样方式检查与收入确认相关的支持性文件，包括销售合同、订单、销售发票、</w:t>
      </w:r>
      <w:r>
        <w:rPr>
          <w:w w:val="99"/>
        </w:rPr>
        <w:t> </w:t>
      </w:r>
      <w:r>
        <w:rPr/>
        <w:t>发货单、运输单及客户签收单等；对于出口收入，获取电子口岸信息并与账面记录核对，并以抽样方式检</w:t>
      </w:r>
      <w:r>
        <w:rPr>
          <w:w w:val="99"/>
        </w:rPr>
        <w:t> </w:t>
      </w:r>
      <w:r>
        <w:rPr/>
        <w:t>查销售合同、出口报关单、货运提单、销售发票等支持性文件；</w:t>
      </w:r>
    </w:p>
    <w:p>
      <w:pPr>
        <w:pStyle w:val="BodyText"/>
        <w:spacing w:line="240" w:lineRule="auto" w:before="16"/>
        <w:ind w:left="574" w:right="136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31"/>
        </w:rPr>
        <w:t> </w:t>
      </w:r>
      <w:r>
        <w:rPr/>
        <w:t>结合应收账款函证，以抽样方式向主要客户函证本期销售额；</w:t>
      </w:r>
    </w:p>
    <w:p>
      <w:pPr>
        <w:pStyle w:val="BodyText"/>
        <w:spacing w:line="256" w:lineRule="auto" w:before="21"/>
        <w:ind w:right="0" w:firstLine="420"/>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31"/>
        </w:rPr>
        <w:t> </w:t>
      </w:r>
      <w:r>
        <w:rPr/>
        <w:t>以抽样方式对资产负债表日前后确认的营业收入核对至出库单、发货单、客户签收单、货运提单</w:t>
      </w:r>
      <w:r>
        <w:rPr>
          <w:w w:val="99"/>
        </w:rPr>
        <w:t> </w:t>
      </w:r>
      <w:r>
        <w:rPr/>
        <w:t>等支持性文件，评价营业收入是否在恰当期间确认；</w:t>
      </w:r>
    </w:p>
    <w:p>
      <w:pPr>
        <w:pStyle w:val="BodyText"/>
        <w:spacing w:line="240" w:lineRule="auto" w:before="22"/>
        <w:ind w:left="574" w:right="0"/>
        <w:jc w:val="left"/>
      </w:pPr>
      <w:r>
        <w:rPr>
          <w:rFonts w:ascii="Times New Roman" w:hAnsi="Times New Roman" w:cs="Times New Roman" w:eastAsia="Times New Roman" w:hint="default"/>
        </w:rPr>
        <w:t>(8)</w:t>
      </w:r>
      <w:r>
        <w:rPr>
          <w:rFonts w:ascii="Times New Roman" w:hAnsi="Times New Roman" w:cs="Times New Roman" w:eastAsia="Times New Roman" w:hint="default"/>
          <w:spacing w:val="31"/>
        </w:rPr>
        <w:t> </w:t>
      </w:r>
      <w:r>
        <w:rPr/>
        <w:t>获取资产负债表日后的销售退回记录，检查是否存在资产负债表日不满足收入确认条件的情况；</w:t>
      </w:r>
    </w:p>
    <w:p>
      <w:pPr>
        <w:pStyle w:val="BodyText"/>
        <w:spacing w:line="240" w:lineRule="auto" w:before="21"/>
        <w:ind w:left="574" w:right="1360"/>
        <w:jc w:val="left"/>
      </w:pPr>
      <w:r>
        <w:rPr>
          <w:rFonts w:ascii="Times New Roman" w:hAnsi="Times New Roman" w:cs="Times New Roman" w:eastAsia="Times New Roman" w:hint="default"/>
        </w:rPr>
        <w:t>(9)</w:t>
      </w:r>
      <w:r>
        <w:rPr>
          <w:rFonts w:ascii="Times New Roman" w:hAnsi="Times New Roman" w:cs="Times New Roman" w:eastAsia="Times New Roman" w:hint="default"/>
          <w:spacing w:val="31"/>
        </w:rPr>
        <w:t> </w:t>
      </w:r>
      <w:r>
        <w:rPr/>
        <w:t>检查与营业收入相关的信息是否已在财务报表中作出恰当列报和披露。</w:t>
      </w:r>
    </w:p>
    <w:p>
      <w:pPr>
        <w:pStyle w:val="BodyText"/>
        <w:spacing w:line="240" w:lineRule="auto" w:before="21"/>
        <w:ind w:left="574" w:right="136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商誉减值</w:t>
      </w:r>
    </w:p>
    <w:p>
      <w:pPr>
        <w:pStyle w:val="BodyText"/>
        <w:spacing w:line="256" w:lineRule="auto" w:before="21"/>
        <w:ind w:left="574" w:right="487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事项描述 相关信息披露详见财务报表附注三（十九）及五（一）</w:t>
      </w:r>
      <w:r>
        <w:rPr>
          <w:rFonts w:ascii="Times New Roman" w:hAnsi="Times New Roman" w:cs="Times New Roman" w:eastAsia="Times New Roman" w:hint="default"/>
        </w:rPr>
        <w:t>15</w:t>
      </w:r>
      <w:r>
        <w:rPr/>
        <w:t>。</w:t>
      </w:r>
    </w:p>
    <w:p>
      <w:pPr>
        <w:pStyle w:val="BodyText"/>
        <w:spacing w:line="240" w:lineRule="auto" w:before="5"/>
        <w:ind w:left="574" w:right="0"/>
        <w:jc w:val="left"/>
      </w:pPr>
      <w:r>
        <w:rPr>
          <w:spacing w:val="2"/>
        </w:rPr>
        <w:t>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日，美盛文化公司商誉账面原值为人民币</w:t>
      </w:r>
      <w:r>
        <w:rPr>
          <w:rFonts w:ascii="Times New Roman" w:hAnsi="Times New Roman" w:cs="Times New Roman" w:eastAsia="Times New Roman" w:hint="default"/>
          <w:spacing w:val="2"/>
        </w:rPr>
        <w:t>1,090,558,693.51</w:t>
      </w:r>
      <w:r>
        <w:rPr>
          <w:spacing w:val="2"/>
        </w:rPr>
        <w:t>元，减值准备为人民币</w:t>
      </w:r>
    </w:p>
    <w:p>
      <w:pPr>
        <w:pStyle w:val="BodyText"/>
        <w:spacing w:line="256" w:lineRule="auto" w:before="21"/>
        <w:ind w:left="574" w:right="0" w:hanging="420"/>
        <w:jc w:val="left"/>
      </w:pPr>
      <w:r>
        <w:rPr>
          <w:rFonts w:ascii="Times New Roman" w:hAnsi="Times New Roman" w:cs="Times New Roman" w:eastAsia="Times New Roman" w:hint="default"/>
        </w:rPr>
        <w:t>277,254,081.16</w:t>
      </w:r>
      <w:r>
        <w:rPr/>
        <w:t>元，账面价值为人民币</w:t>
      </w:r>
      <w:r>
        <w:rPr>
          <w:rFonts w:ascii="Times New Roman" w:hAnsi="Times New Roman" w:cs="Times New Roman" w:eastAsia="Times New Roman" w:hint="default"/>
        </w:rPr>
        <w:t>813,304,612.35</w:t>
      </w:r>
      <w:r>
        <w:rPr/>
        <w:t>元。 </w:t>
      </w:r>
      <w:r>
        <w:rPr>
          <w:spacing w:val="-1"/>
        </w:rPr>
        <w:t>管理层于每年年度终了对企业合并所形成的商誉进行减值测试。管理层将商誉结合与其相关的资产组</w:t>
      </w:r>
    </w:p>
    <w:p>
      <w:pPr>
        <w:pStyle w:val="BodyText"/>
        <w:spacing w:line="273" w:lineRule="auto" w:before="22"/>
        <w:ind w:right="1131"/>
        <w:jc w:val="both"/>
      </w:pPr>
      <w:r>
        <w:rPr>
          <w:spacing w:val="-1"/>
        </w:rPr>
        <w:t>或者资产组组合进行减值测试，相关资产组或资产组组合的可收回金额按照预计未来现金流量现值和公允</w:t>
      </w:r>
      <w:r>
        <w:rPr>
          <w:spacing w:val="-81"/>
        </w:rPr>
        <w:t> </w:t>
      </w:r>
      <w:r>
        <w:rPr>
          <w:spacing w:val="-81"/>
        </w:rPr>
      </w:r>
      <w:r>
        <w:rPr>
          <w:spacing w:val="-1"/>
        </w:rPr>
        <w:t>价值减去处置费用后的净额孰高确定。减值测试中采用的关键假设包括：详细预测期收入增长率、永续预</w:t>
      </w:r>
      <w:r>
        <w:rPr>
          <w:spacing w:val="-83"/>
        </w:rPr>
        <w:t> </w:t>
      </w:r>
      <w:r>
        <w:rPr>
          <w:spacing w:val="-83"/>
        </w:rPr>
      </w:r>
      <w:r>
        <w:rPr/>
        <w:t>测期增长率、毛利率、折现率等。</w:t>
      </w:r>
    </w:p>
    <w:p>
      <w:pPr>
        <w:pStyle w:val="BodyText"/>
        <w:spacing w:line="240" w:lineRule="auto" w:before="7"/>
        <w:ind w:left="574" w:right="0"/>
        <w:jc w:val="left"/>
      </w:pPr>
      <w:r>
        <w:rPr/>
        <w:t>由于商誉金额重大，且商誉减值测试涉及管理层重大判断，我们将商誉减值确定为关键审计事项。</w:t>
      </w:r>
    </w:p>
    <w:p>
      <w:pPr>
        <w:pStyle w:val="BodyText"/>
        <w:spacing w:line="256" w:lineRule="auto" w:before="37"/>
        <w:ind w:left="574" w:right="592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审计应对 针对商誉减值，我们实施的审计程序主要包括：</w:t>
      </w:r>
    </w:p>
    <w:p>
      <w:pPr>
        <w:pStyle w:val="BodyText"/>
        <w:spacing w:line="256" w:lineRule="auto" w:before="22"/>
        <w:ind w:right="0"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了解与商誉减值相关的关键内部控制，评价这些控制的设计，确定是否得到执行，并测试相关内</w:t>
      </w:r>
      <w:r>
        <w:rPr>
          <w:w w:val="99"/>
        </w:rPr>
        <w:t> </w:t>
      </w:r>
      <w:r>
        <w:rPr/>
        <w:t>部控制的运行有效性；</w:t>
      </w:r>
    </w:p>
    <w:p>
      <w:pPr>
        <w:pStyle w:val="BodyText"/>
        <w:spacing w:line="240" w:lineRule="auto" w:before="22"/>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复核管理层以前年度对未来现金流量现值的预测和实际经营结果，评价管理层过往预测的准确性；</w:t>
      </w:r>
    </w:p>
    <w:p>
      <w:pPr>
        <w:pStyle w:val="BodyText"/>
        <w:spacing w:line="240" w:lineRule="auto" w:before="21"/>
        <w:ind w:left="574" w:right="13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了解并评价管理层聘用的外部估值专家的胜任能力、专业素质和客观性；</w:t>
      </w:r>
    </w:p>
    <w:p>
      <w:pPr>
        <w:pStyle w:val="BodyText"/>
        <w:spacing w:line="240" w:lineRule="auto" w:before="21"/>
        <w:ind w:left="574" w:right="136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1"/>
        </w:rPr>
        <w:t> </w:t>
      </w:r>
      <w:r>
        <w:rPr/>
        <w:t>评价管理层在减值测试中使用方法的合理性和一致性；</w:t>
      </w:r>
    </w:p>
    <w:p>
      <w:pPr>
        <w:pStyle w:val="BodyText"/>
        <w:spacing w:line="256" w:lineRule="auto" w:before="21"/>
        <w:ind w:right="0" w:firstLine="42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6"/>
        </w:rPr>
        <w:t> </w:t>
      </w:r>
      <w:r>
        <w:rPr/>
        <w:t>评价管理层在减值测试中采用的关键假设的合理性，复核相关假设是否与总体经济环境、行业状</w:t>
      </w:r>
      <w:r>
        <w:rPr>
          <w:w w:val="99"/>
        </w:rPr>
        <w:t> </w:t>
      </w:r>
      <w:r>
        <w:rPr/>
        <w:t>况、经营情况、历史经验、运营计划、管理层使用的与财务报表相关的其他假设等相符；</w:t>
      </w:r>
    </w:p>
    <w:p>
      <w:pPr>
        <w:pStyle w:val="BodyText"/>
        <w:spacing w:line="256" w:lineRule="auto" w:before="22"/>
        <w:ind w:right="1118" w:firstLine="42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31"/>
        </w:rPr>
        <w:t> </w:t>
      </w:r>
      <w:r>
        <w:rPr/>
        <w:t>测试管理层在减值测试中使用数据的准确性、完整性和相关性，并复核减值测试中有关信息的内</w:t>
      </w:r>
      <w:r>
        <w:rPr>
          <w:w w:val="99"/>
        </w:rPr>
        <w:t> </w:t>
      </w:r>
      <w:r>
        <w:rPr/>
        <w:t>在一致性；</w:t>
      </w:r>
    </w:p>
    <w:p>
      <w:pPr>
        <w:pStyle w:val="BodyText"/>
        <w:spacing w:line="240" w:lineRule="auto" w:before="23"/>
        <w:ind w:left="574" w:right="1360"/>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31"/>
        </w:rPr>
        <w:t> </w:t>
      </w:r>
      <w:r>
        <w:rPr/>
        <w:t>测试管理层对预计未来现金流量现值的计算是否准确；</w:t>
      </w:r>
    </w:p>
    <w:p>
      <w:pPr>
        <w:spacing w:line="516" w:lineRule="auto" w:before="21"/>
        <w:ind w:left="576" w:right="3495" w:hanging="3"/>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检查与商誉减值相关的信息是否已在财务报表中作出恰当列报和披露。</w:t>
      </w:r>
      <w:r>
        <w:rPr>
          <w:rFonts w:ascii="宋体" w:hAnsi="宋体" w:cs="宋体" w:eastAsia="宋体" w:hint="default"/>
          <w:w w:val="99"/>
          <w:sz w:val="21"/>
          <w:szCs w:val="21"/>
        </w:rPr>
        <w:t> </w:t>
      </w:r>
      <w:r>
        <w:rPr>
          <w:rFonts w:ascii="宋体" w:hAnsi="宋体" w:cs="宋体" w:eastAsia="宋体" w:hint="default"/>
          <w:b/>
          <w:bCs/>
          <w:sz w:val="21"/>
          <w:szCs w:val="21"/>
        </w:rPr>
        <w:t>六、管理层和治理层对财务报表的责任</w:t>
      </w:r>
      <w:r>
        <w:rPr>
          <w:rFonts w:ascii="宋体" w:hAnsi="宋体" w:cs="宋体" w:eastAsia="宋体" w:hint="default"/>
          <w:sz w:val="21"/>
          <w:szCs w:val="21"/>
        </w:rPr>
      </w:r>
    </w:p>
    <w:p>
      <w:pPr>
        <w:spacing w:after="0" w:line="516"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b/>
          <w:bCs/>
          <w:sz w:val="24"/>
          <w:szCs w:val="24"/>
        </w:rPr>
      </w:pPr>
    </w:p>
    <w:p>
      <w:pPr>
        <w:pStyle w:val="BodyText"/>
        <w:spacing w:line="273" w:lineRule="auto" w:before="35"/>
        <w:ind w:right="0" w:firstLine="420"/>
        <w:jc w:val="left"/>
      </w:pPr>
      <w:r>
        <w:rPr>
          <w:spacing w:val="-1"/>
        </w:rPr>
        <w:t>管理层负责按照企业会计准则的规定编制财务报表，使其实现公允反映，并设计、执行和维护必要的</w:t>
      </w:r>
      <w:r>
        <w:rPr/>
        <w:t> 内部控制，以使财务报表不存在由于舞弊或错误导致的重大错报。</w:t>
      </w:r>
    </w:p>
    <w:p>
      <w:pPr>
        <w:pStyle w:val="BodyText"/>
        <w:spacing w:line="273" w:lineRule="auto" w:before="7"/>
        <w:ind w:right="0" w:firstLine="420"/>
        <w:jc w:val="left"/>
      </w:pPr>
      <w:r>
        <w:rPr>
          <w:spacing w:val="-1"/>
        </w:rPr>
        <w:t>在编制财务报表时，管理层负责评估美盛文化公司的持续经营能力，披露与持续经营相关的事项（如</w:t>
      </w:r>
      <w:r>
        <w:rPr/>
        <w:t> 适用），并运用持续经营假设，除非计划进行清算、终止运营或别无其他现实的选择。</w:t>
      </w:r>
    </w:p>
    <w:p>
      <w:pPr>
        <w:pStyle w:val="BodyText"/>
        <w:spacing w:line="240" w:lineRule="auto" w:before="8"/>
        <w:ind w:left="574" w:right="1360"/>
        <w:jc w:val="left"/>
      </w:pPr>
      <w:r>
        <w:rPr/>
        <w:t>美盛文化公司治理层（以下简称治理层）负责监督美盛文化公司的财务报告过程。</w:t>
      </w:r>
    </w:p>
    <w:p>
      <w:pPr>
        <w:spacing w:line="240" w:lineRule="auto" w:before="9"/>
        <w:rPr>
          <w:rFonts w:ascii="宋体" w:hAnsi="宋体" w:cs="宋体" w:eastAsia="宋体" w:hint="default"/>
          <w:sz w:val="26"/>
          <w:szCs w:val="26"/>
        </w:rPr>
      </w:pPr>
    </w:p>
    <w:p>
      <w:pPr>
        <w:spacing w:line="273" w:lineRule="auto" w:before="0"/>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七、注册会计师对财务报表审计的责任</w:t>
      </w:r>
      <w:r>
        <w:rPr>
          <w:rFonts w:ascii="宋体" w:hAnsi="宋体" w:cs="宋体" w:eastAsia="宋体" w:hint="default"/>
          <w:b/>
          <w:bCs/>
          <w:w w:val="99"/>
          <w:sz w:val="21"/>
          <w:szCs w:val="21"/>
        </w:rPr>
        <w:t> </w:t>
      </w:r>
      <w:r>
        <w:rPr>
          <w:rFonts w:ascii="宋体" w:hAnsi="宋体" w:cs="宋体" w:eastAsia="宋体" w:hint="default"/>
          <w:spacing w:val="-1"/>
          <w:sz w:val="21"/>
          <w:szCs w:val="21"/>
        </w:rPr>
        <w:t>我们的目标是对财务报表整体是否不存在由于舞弊或错误导致的重大错报获取合理保证，并出具包含</w:t>
      </w:r>
    </w:p>
    <w:p>
      <w:pPr>
        <w:pStyle w:val="BodyText"/>
        <w:spacing w:line="273" w:lineRule="auto" w:before="7"/>
        <w:ind w:right="1131"/>
        <w:jc w:val="both"/>
      </w:pPr>
      <w:r>
        <w:rPr>
          <w:spacing w:val="-1"/>
        </w:rPr>
        <w:t>审计意见的审计报告。合理保证是高水平的保证，但并不能保证按照审计准则执行的审计在某一重大错报</w:t>
      </w:r>
      <w:r>
        <w:rPr>
          <w:spacing w:val="-81"/>
        </w:rPr>
        <w:t> </w:t>
      </w:r>
      <w:r>
        <w:rPr>
          <w:spacing w:val="-81"/>
        </w:rPr>
      </w:r>
      <w:r>
        <w:rPr>
          <w:spacing w:val="-1"/>
        </w:rPr>
        <w:t>存在时总能发现。错报可能由于舞弊或错误导致，如果合理预期错报单独或汇总起来可能影响财务报表使</w:t>
      </w:r>
      <w:r>
        <w:rPr>
          <w:spacing w:val="-81"/>
        </w:rPr>
        <w:t> </w:t>
      </w:r>
      <w:r>
        <w:rPr>
          <w:spacing w:val="-81"/>
        </w:rPr>
      </w:r>
      <w:r>
        <w:rPr/>
        <w:t>用者依据财务报表作出的经济决策，则通常认为错报是重大的。</w:t>
      </w:r>
    </w:p>
    <w:p>
      <w:pPr>
        <w:pStyle w:val="BodyText"/>
        <w:spacing w:line="273" w:lineRule="auto" w:before="7"/>
        <w:ind w:right="1118" w:firstLine="420"/>
        <w:jc w:val="left"/>
      </w:pPr>
      <w:r>
        <w:rPr>
          <w:spacing w:val="-1"/>
        </w:rPr>
        <w:t>在按照审计准则执行审计工作的过程中，我们运用职业判断，并保持职业怀疑。同时，我们也执行以</w:t>
      </w:r>
      <w:r>
        <w:rPr/>
        <w:t> 下工作：</w:t>
      </w:r>
    </w:p>
    <w:p>
      <w:pPr>
        <w:pStyle w:val="BodyText"/>
        <w:spacing w:line="266" w:lineRule="auto" w:before="7"/>
        <w:ind w:right="1023" w:firstLine="42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spacing w:val="3"/>
        </w:rPr>
        <w:t>识别和评估由于舞弊或错误导致的财务报表重大错报风险，设计和实施审计程序以应对这些风</w:t>
      </w:r>
      <w:r>
        <w:rPr>
          <w:w w:val="99"/>
        </w:rPr>
        <w:t> </w:t>
      </w:r>
      <w:r>
        <w:rPr>
          <w:spacing w:val="-3"/>
        </w:rPr>
        <w:t>险，并获取充分、适当的审计证据，作为发表审计意见的基础。由于舞弊可能涉及串通、伪造、故意遗漏、</w:t>
      </w:r>
      <w:r>
        <w:rPr>
          <w:spacing w:val="-95"/>
        </w:rPr>
        <w:t> </w:t>
      </w:r>
      <w:r>
        <w:rPr>
          <w:spacing w:val="-95"/>
        </w:rPr>
      </w:r>
      <w:r>
        <w:rPr/>
        <w:t>虚假陈述或凌驾于内部控制之上，未能发现由于舞弊导致的重大错报的风险高于未能发现由于错误导致的</w:t>
      </w:r>
      <w:r>
        <w:rPr>
          <w:w w:val="99"/>
        </w:rPr>
        <w:t> </w:t>
      </w:r>
      <w:r>
        <w:rPr/>
        <w:t>重大错报的风险。</w:t>
      </w:r>
    </w:p>
    <w:p>
      <w:pPr>
        <w:pStyle w:val="BodyText"/>
        <w:spacing w:line="240" w:lineRule="auto" w:before="14"/>
        <w:ind w:left="574" w:right="136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了解与审计相关的内部控制，以设计恰当的审计程序。</w:t>
      </w:r>
    </w:p>
    <w:p>
      <w:pPr>
        <w:pStyle w:val="BodyText"/>
        <w:spacing w:line="240" w:lineRule="auto" w:before="21"/>
        <w:ind w:left="574" w:right="136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评价管理层选用会计政策的恰当性和作出会计估计及相关披露的合理性。</w:t>
      </w:r>
    </w:p>
    <w:p>
      <w:pPr>
        <w:pStyle w:val="BodyText"/>
        <w:spacing w:line="268" w:lineRule="auto" w:before="21"/>
        <w:ind w:right="1131" w:firstLine="420"/>
        <w:jc w:val="both"/>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对管理层使用持续经营假设的恰当性得出结论。同时，根据获取的审计证据，就可能导致对美盛</w:t>
      </w:r>
      <w:r>
        <w:rPr>
          <w:w w:val="99"/>
        </w:rPr>
        <w:t> </w:t>
      </w:r>
      <w:r>
        <w:rPr>
          <w:spacing w:val="-1"/>
        </w:rPr>
        <w:t>文化公司持续经营能力产生重大疑虑的事项或情况是否存在重大不确定性得出结论。如果我们得出结论认</w:t>
      </w:r>
      <w:r>
        <w:rPr>
          <w:spacing w:val="-82"/>
        </w:rPr>
        <w:t> </w:t>
      </w:r>
      <w:r>
        <w:rPr>
          <w:spacing w:val="-82"/>
        </w:rPr>
      </w:r>
      <w:r>
        <w:rPr>
          <w:spacing w:val="-1"/>
        </w:rPr>
        <w:t>为存在重大不确定性，审计准则要求我们在审计报告中提请报表使用者注意财务报表中的相关披露；如果</w:t>
      </w:r>
      <w:r>
        <w:rPr>
          <w:spacing w:val="-82"/>
        </w:rPr>
        <w:t> </w:t>
      </w:r>
      <w:r>
        <w:rPr>
          <w:spacing w:val="-82"/>
        </w:rPr>
      </w:r>
      <w:r>
        <w:rPr>
          <w:spacing w:val="-1"/>
        </w:rPr>
        <w:t>披露不充分，我们应当发表非无保留意见。我们的结论基于截至审计报告日可获得的信息。然而，未来的</w:t>
      </w:r>
      <w:r>
        <w:rPr>
          <w:spacing w:val="-87"/>
        </w:rPr>
        <w:t> </w:t>
      </w:r>
      <w:r>
        <w:rPr>
          <w:spacing w:val="-87"/>
        </w:rPr>
      </w:r>
      <w:r>
        <w:rPr/>
        <w:t>事项或情况可能导致美盛文化公司不能持续经营。</w:t>
      </w:r>
    </w:p>
    <w:p>
      <w:pPr>
        <w:pStyle w:val="BodyText"/>
        <w:spacing w:line="256" w:lineRule="auto" w:before="12"/>
        <w:ind w:right="1115" w:firstLine="42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评价财务报表的总体列报、结构和内容（包括披露），并评价财务报表是否公允反映相关交易和</w:t>
      </w:r>
      <w:r>
        <w:rPr>
          <w:w w:val="99"/>
        </w:rPr>
        <w:t> </w:t>
      </w:r>
      <w:r>
        <w:rPr/>
        <w:t>事项。</w:t>
      </w:r>
    </w:p>
    <w:p>
      <w:pPr>
        <w:pStyle w:val="BodyText"/>
        <w:spacing w:line="256" w:lineRule="auto" w:before="22"/>
        <w:ind w:right="1113" w:firstLine="420"/>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t>就美盛文化公司中实体或业务活动的财务信息获取充分、适当的审计证据，以对财务报表发表审</w:t>
      </w:r>
      <w:r>
        <w:rPr>
          <w:w w:val="99"/>
        </w:rPr>
        <w:t> </w:t>
      </w:r>
      <w:r>
        <w:rPr/>
        <w:t>计意见。我们负责指导、监督和执行集团审计，并对审计意见承担全部责任。</w:t>
      </w:r>
    </w:p>
    <w:p>
      <w:pPr>
        <w:pStyle w:val="BodyText"/>
        <w:spacing w:line="273" w:lineRule="auto" w:before="22"/>
        <w:ind w:right="0" w:firstLine="420"/>
        <w:jc w:val="left"/>
      </w:pPr>
      <w:r>
        <w:rPr>
          <w:spacing w:val="-1"/>
        </w:rPr>
        <w:t>我们与治理层就计划的审计范围、时间安排和重大审计发现等事项进行沟通，包括沟通我们在审计中</w:t>
      </w:r>
      <w:r>
        <w:rPr/>
        <w:t> 识别出的值得关注的内部控制缺陷。</w:t>
      </w:r>
    </w:p>
    <w:p>
      <w:pPr>
        <w:pStyle w:val="BodyText"/>
        <w:spacing w:line="273" w:lineRule="auto" w:before="7"/>
        <w:ind w:right="0" w:firstLine="420"/>
        <w:jc w:val="left"/>
      </w:pPr>
      <w:r>
        <w:rPr>
          <w:spacing w:val="-1"/>
        </w:rPr>
        <w:t>我们还就已遵守与独立性相关的职业道德要求向治理层提供声明，并与治理层沟通可能被合理认为影</w:t>
      </w:r>
      <w:r>
        <w:rPr/>
        <w:t> 响我们独立性的所有关系和其他事项，以及相关的防范措施（如适用）。</w:t>
      </w:r>
    </w:p>
    <w:p>
      <w:pPr>
        <w:pStyle w:val="BodyText"/>
        <w:spacing w:line="273" w:lineRule="auto" w:before="7"/>
        <w:ind w:right="1131" w:firstLine="420"/>
        <w:jc w:val="both"/>
      </w:pPr>
      <w:r>
        <w:rPr>
          <w:spacing w:val="-1"/>
        </w:rPr>
        <w:t>从与治理层沟通过的事项中，我们确定哪些事项对本期财务报表审计最为重要，因而构成关键审计事</w:t>
      </w:r>
      <w:r>
        <w:rPr/>
        <w:t> </w:t>
      </w:r>
      <w:r>
        <w:rPr>
          <w:spacing w:val="-1"/>
        </w:rPr>
        <w:t>项。我们在审计报告中描述这些事项，除非法律法规禁止公开披露这些事项，或在极少数情形下，如果合</w:t>
      </w:r>
      <w:r>
        <w:rPr>
          <w:spacing w:val="-86"/>
        </w:rPr>
        <w:t> </w:t>
      </w:r>
      <w:r>
        <w:rPr>
          <w:spacing w:val="-86"/>
        </w:rPr>
      </w:r>
      <w:r>
        <w:rPr>
          <w:spacing w:val="-1"/>
        </w:rPr>
        <w:t>理预期在审计报告中沟通某事项造成的负面后果超过在公众利益方面产生的益处，我们确定不应在审计报</w:t>
      </w:r>
      <w:r>
        <w:rPr>
          <w:spacing w:val="-81"/>
        </w:rPr>
        <w:t> </w:t>
      </w:r>
      <w:r>
        <w:rPr>
          <w:spacing w:val="-81"/>
        </w:rPr>
      </w:r>
      <w:r>
        <w:rPr/>
        <w:t>告中沟通该事项。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ind w:right="0"/>
        <w:jc w:val="both"/>
      </w:pPr>
      <w:r>
        <w:rPr/>
        <w:t>天健会计师事务所（特殊普通合伙）    中国注册会计师：</w:t>
      </w:r>
    </w:p>
    <w:p>
      <w:pPr>
        <w:pStyle w:val="BodyText"/>
        <w:spacing w:line="240" w:lineRule="auto" w:before="37"/>
        <w:ind w:left="574" w:right="1360"/>
        <w:jc w:val="left"/>
      </w:pPr>
      <w:r>
        <w:rPr/>
        <w:t>（项目合伙人）</w:t>
      </w:r>
    </w:p>
    <w:p>
      <w:pPr>
        <w:spacing w:line="240" w:lineRule="auto" w:before="9"/>
        <w:rPr>
          <w:rFonts w:ascii="宋体" w:hAnsi="宋体" w:cs="宋体" w:eastAsia="宋体" w:hint="default"/>
          <w:sz w:val="26"/>
          <w:szCs w:val="26"/>
        </w:rPr>
      </w:pPr>
    </w:p>
    <w:p>
      <w:pPr>
        <w:pStyle w:val="BodyText"/>
        <w:tabs>
          <w:tab w:pos="1834" w:val="left" w:leader="none"/>
        </w:tabs>
        <w:spacing w:line="516" w:lineRule="auto"/>
        <w:ind w:left="574" w:right="7410"/>
        <w:jc w:val="left"/>
      </w:pPr>
      <w:r>
        <w:rPr>
          <w:spacing w:val="-1"/>
        </w:rPr>
        <w:t>中国</w:t>
      </w:r>
      <w:r>
        <w:rPr>
          <w:rFonts w:ascii="Times New Roman" w:hAnsi="Times New Roman" w:cs="Times New Roman" w:eastAsia="Times New Roman" w:hint="default"/>
          <w:spacing w:val="-1"/>
        </w:rPr>
        <w:t>·</w:t>
      </w:r>
      <w:r>
        <w:rPr>
          <w:spacing w:val="-1"/>
        </w:rPr>
        <w:t>杭州</w:t>
        <w:tab/>
      </w:r>
      <w:r>
        <w:rPr/>
        <w:t>中国注册会计师： 二〇一九年四月二十九日</w:t>
      </w:r>
    </w:p>
    <w:p>
      <w:pPr>
        <w:spacing w:after="0" w:line="516"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360"/>
        <w:jc w:val="left"/>
        <w:rPr>
          <w:b w:val="0"/>
          <w:bCs w:val="0"/>
        </w:rPr>
      </w:pPr>
      <w:bookmarkStart w:name="二、财务报表" w:id="178"/>
      <w:bookmarkEnd w:id="178"/>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1、合并资产负债表" w:id="179"/>
      <w:bookmarkEnd w:id="17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编制单位：美盛文化创意股份有限公司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215" w:space="86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355,846,621.86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321,383,890.44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206,838,764.25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233,516,343.77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241,982,425.20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233,516,343.77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241,982,425.20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28,092,026.57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22,052,412.76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1,522,788,534.94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16,899,297.96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64,824.65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9,699,030.68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124,466,183.50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149,172,968.08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40,759,821.52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1,744,020,839.38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2,305,469,532.16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2,702,350,598.07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217,075,151.95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187,814,485.41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141,830,524.53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214,076,471.59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91,857,137.26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95,086,613.62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267,129,867.50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261,740,364.17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12,033,584.50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41,288,524.05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56,879,958.51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5,164,717.41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813,304,612.35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1,042,941,876.43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4,455,096.39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6,960,408.50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283,076.30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2,842,653.77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241,000,000.00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1,818,223,990.33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1,885,541,133.91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4,123,693,522.49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4,587,891,731.98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488,905,600.00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138,619,274.22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135,168,933.27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9,939,621.27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11,447,131.52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11,369,808.75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11,310,505.51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21,563,541.63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44,945,101.45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32,285,289.25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225,987,014.11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652,858.89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894,390.41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702,683,135.12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916,858,685.86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22,334,273.92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23,226,579.45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7,313,519.91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7,313,519.91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99,647,793.83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150,540,099.36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802,330,928.95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1,067,398,785.22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909,572,725.00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909,572,725.00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2,028,859,387.64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2,006,580,399.85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-11,655,422.01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-23,298,264.96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64,026,557.90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64,026,557.90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298,453,599.33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527,969,718.81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3,289,256,847.86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3,484,851,136.60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32,105,745.68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35,641,810.16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7"/>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3,321,362,593.54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3,520,492,946.76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4,123,693,522.49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4,587,891,731.98</w:t>
            </w:r>
          </w:p>
        </w:tc>
      </w:tr>
    </w:tbl>
    <w:p>
      <w:pPr>
        <w:spacing w:line="240" w:lineRule="auto" w:before="3"/>
        <w:rPr>
          <w:rFonts w:ascii="Times New Roman" w:hAnsi="Times New Roman" w:cs="Times New Roman" w:eastAsia="Times New Roman" w:hint="default"/>
          <w:sz w:val="23"/>
          <w:szCs w:val="23"/>
        </w:rPr>
      </w:pPr>
    </w:p>
    <w:p>
      <w:pPr>
        <w:tabs>
          <w:tab w:pos="342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法定代表人：赵小强</w:t>
        <w:tab/>
        <w:t>主管会计工作负责人：赵小强</w:t>
        <w:tab/>
        <w:t>会计机构负责人：石军龙</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2、母公司资产负债表" w:id="180"/>
      <w:bookmarkEnd w:id="18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131,051,644.17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79,954,915.20</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201,183,561.64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66,963,327.61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80,353,576.52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66,963,327.61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80,353,576.52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3,606,481.55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1,843,817.96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1,384,864,233.83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11,192,157.31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64,824.65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9,699,030.68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56,535,942.63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48,203,246.30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36,371,239.36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1,739,300,000.00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1,679,392,869.15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2,162,031,274.93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158,917,542.02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1,652,440,914.27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1,849,776,424.40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91,857,137.26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95,086,613.62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256,474,711.60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249,595,116.21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12,033,584.50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10,783,834.76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11,122,742.32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3,015,606.48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4,564,456.68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1,407,291.24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241,000,000.00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2,414,489,746.39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2,343,586,228.97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4,093,882,615.54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4,505,617,503.90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488,905,600.00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450,000,000.00</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69,286,577.67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35,354,787.18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443,041.43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240,797.77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4,654,111.74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5,085,213.49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5,445,175.06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17,859,842.44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218,406,737.92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448,539,101.77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787,141,243.82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969,079,742.65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21,806,489.93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22,644,550.43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7,313,519.91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7,313,519.91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99,120,009.84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149,958,070.34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886,261,253.66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1,119,037,812.99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909,572,725.00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909,572,725.00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2,042,065,932.24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2,035,065,932.24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-1,082,457.98</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64,026,557.90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64,026,557.90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193,038,604.72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377,914,475.77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3,207,621,361.88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3,386,579,690.91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4,093,882,615.54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4,505,617,503.90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360"/>
        <w:jc w:val="left"/>
        <w:rPr>
          <w:b w:val="0"/>
          <w:bCs w:val="0"/>
        </w:rPr>
      </w:pPr>
      <w:bookmarkStart w:name="3、合并利润表" w:id="181"/>
      <w:bookmarkEnd w:id="18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777,805,656.58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912,207,963.04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777,805,656.58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912,207,963.04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1,002,445,182.81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765,975,872.18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524,496,931.84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535,429,557.25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7,035,797.08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6,999,051.33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24,339,483.55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40,515,198.13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88,011,575.63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88,464,860.65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29,588,301.00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29,839,993.45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19,091,653.60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19,186,007.14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32,944,920.44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16,062,824.25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4,600,551.94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3,466,886.24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309,881,440.11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45,541,204.23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9,785,665.04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13,274,540.73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787,381.03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63,269,193.44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-50,016,404.58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-65,499,589.50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-6,838,764.25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-1,301,044.80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49,467.13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1,886,792.43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-220,855,777.28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223,361,572.66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867,790.33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85,562.65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247,361.62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-220,941,339.93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223,982,001.37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17,201,306.71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42,437,812.20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-238,142,646.64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181,544,189.17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-238,142,646.64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181,544,189.17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-229,516,119.48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190,785,271.54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-8,626,527.16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-9,241,082.37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12,159,827.13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-13,386,175.13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12,010,486.69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-14,232,667.70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8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12,010,486.69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-14,232,667.70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-485,696.62</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-3,883,650.89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-1,344,701.05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4,505.41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13,840,884.36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-10,353,522.22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149,340.44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846,492.57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-225,982,819.51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168,158,014.04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-217,505,632.79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176,552,603.84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-8,477,186.72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-8,394,589.80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-0.25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-0.25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r>
    </w:tbl>
    <w:p>
      <w:pPr>
        <w:tabs>
          <w:tab w:pos="3574" w:val="left" w:leader="none"/>
          <w:tab w:pos="7715" w:val="left" w:leader="none"/>
        </w:tabs>
        <w:spacing w:line="624" w:lineRule="auto" w:before="51"/>
        <w:ind w:left="154" w:right="1229"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法定代表人：赵小强</w:t>
        <w:tab/>
        <w:t>主管会计工作负责人：赵小强</w:t>
        <w:tab/>
        <w:t>会计机构负责人：石军龙</w:t>
      </w:r>
    </w:p>
    <w:p>
      <w:pPr>
        <w:pStyle w:val="Heading4"/>
        <w:spacing w:line="240" w:lineRule="auto" w:before="63"/>
        <w:ind w:right="1360"/>
        <w:jc w:val="left"/>
        <w:rPr>
          <w:b w:val="0"/>
          <w:bCs w:val="0"/>
        </w:rPr>
      </w:pPr>
      <w:bookmarkStart w:name="4、母公司利润表" w:id="182"/>
      <w:bookmarkEnd w:id="182"/>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5"/>
              <w:jc w:val="right"/>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275,699,323.42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362,997,088.32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201,214,144.82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208,443,272.65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1"/>
              <w:jc w:val="righ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5,063,590.70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4,648,305.90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4,193,941.39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7,086,969.98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33,181,402.12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32,739,782.08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10,844,260.80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11,909,911.93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27,016,694.75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20,243,394.44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38,414,945.20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15,753,722.48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1,733,868.35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1,982,944.20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215,335,162.72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13,508,768.01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7,416,900.50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9,309,493.84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36,705,611.17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102,018,979.76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-782,818.66</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1,249,072.01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-1,183,561.64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-6,956,247.41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-178,210,923.85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168,788,909.52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14,124.32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125,743.86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-178,225,048.17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168,663,444.32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6,650,822.88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27,159,603.08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-184,875,871.05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141,503,841.24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-184,875,871.05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141,503,841.24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-1,082,457.98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-1,082,457.98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-1,082,457.98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-185,958,329.03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141,503,841.24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360"/>
        <w:jc w:val="left"/>
        <w:rPr>
          <w:b w:val="0"/>
          <w:bCs w:val="0"/>
        </w:rPr>
      </w:pPr>
      <w:bookmarkStart w:name="5、合并现金流量表" w:id="183"/>
      <w:bookmarkEnd w:id="18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840,062,911.66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921,628,462.87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24,989,910.63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23,463,883.08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30,384,441.27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50,555,590.67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895,437,263.56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995,647,936.62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490,913,666.09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530,997,999.75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126,655,256.67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126,439,058.72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55,923,936.50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74,033,228.59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85,374,013.80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63,455,842.59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758,866,873.06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794,926,129.65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136,570,390.50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200,721,806.97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3,093,164.53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47,320,406.75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67,610,144.92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230,329.45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4,893,550.10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7,547,915.42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8,626,915,040.00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11,825,147,576.17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8,677,598,940.73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11,983,399,186.61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13,704,378.50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29,990,345.16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214,983,251.97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1,018,722,873.94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8,410,083,492.52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11,543,080,000.00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8,737,787,871.02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12,806,776,471.07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-60,188,930.29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-823,377,284.46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839,165,600.00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578,400,000.00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839,165,600.00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578,400,000.00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33,186,451.96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141,421,434.54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883,186,451.96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154,031,434.54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-44,020,851.96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424,368,565.46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2,502,123.17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-5,908,754.22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34,862,731.42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-204,195,666.25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320,983,890.44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525,179,556.69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355,846,621.86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320,983,890.44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360"/>
        <w:jc w:val="left"/>
        <w:rPr>
          <w:b w:val="0"/>
          <w:bCs w:val="0"/>
        </w:rPr>
      </w:pPr>
      <w:bookmarkStart w:name="6、母公司现金流量表" w:id="184"/>
      <w:bookmarkEnd w:id="18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291,759,710.15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332,756,220.86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23,670,249.06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22,352,742.85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8,253,868.35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198,649,289.19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323,683,827.56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553,758,252.90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156,562,479.35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161,809,845.01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59,957,651.46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63,011,751.75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23,039,751.81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43,328,141.23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421,942,320.44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21,260,699.83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661,502,203.06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289,410,437.82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-337,818,375.50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264,347,815.08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47,122,635.86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66,992,361.60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处置固定资产、无形资产和其他</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8,624,670,000.00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11,700,947,576.17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8,671,797,235.86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11,803,019,937.77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6,940,496.18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20,239,641.81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1,177,448,660.00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8,024,818,817.28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11,493,080,000.00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8,344,259,313.46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12,715,768,301.81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327,537,922.40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-912,748,364.04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839,165,600.00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949,165,600.00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33,118,740.85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141,188,877.32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888,988,740.85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143,798,877.32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60,176,859.15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426,201,122.68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1,200,322.92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-2,757,619.39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51,096,728.97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-224,957,045.67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79,954,915.20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304,911,960.87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131,051,644.17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79,954,915.20</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7、合并所有者权益变动表" w:id="185"/>
      <w:bookmarkEnd w:id="18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136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8122"/>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251"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91"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909,57</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2,725.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2,006,5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80,399.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-23,298,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264.96</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64,026,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557.90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527,969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,718.81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35,641,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810.16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92,946.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76</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909,57</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2,725.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2,006,5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80,399.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-23,298,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264.96</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64,026,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557.90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527,969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,718.81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35,641,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810.16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92,946.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76</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22,278,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987.79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11,642,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842.95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2"/>
                <w:sz w:val="18"/>
              </w:rPr>
              <w:t>6,119.4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-3,536,0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64.48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0,353.2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12,010,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486.69</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2"/>
                <w:sz w:val="18"/>
              </w:rPr>
              <w:t>6,119.4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-8,477,1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86.72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-225,98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2,819.5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70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22,278,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987.79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4,941,1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22.24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27,220,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110.03</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22,278,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987.79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4,941,1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22.24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27,220,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110.03</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-367,64</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3.74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-367,64</w:t>
            </w:r>
          </w:p>
          <w:p>
            <w:pPr>
              <w:pStyle w:val="TableParagraph"/>
              <w:spacing w:line="240" w:lineRule="auto" w:before="106"/>
              <w:ind w:left="310" w:right="0"/>
              <w:jc w:val="left"/>
              <w:rPr>
                <w:rFonts w:ascii="Times New Roman" w:hAnsi="Times New Roman" w:cs="Times New Roman" w:eastAsia="Times New Roman" w:hint="default"/>
                <w:sz w:val="18"/>
                <w:szCs w:val="18"/>
              </w:rPr>
            </w:pPr>
            <w:r>
              <w:rPr>
                <w:rFonts w:ascii="Times New Roman"/>
                <w:sz w:val="18"/>
              </w:rPr>
              <w:t>3.74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909,57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2,725.</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2,028,8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59,387.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-11,655,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422.01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64,026,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557.90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298,453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,599.33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32,105,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745.68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62,593.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54</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505,31</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8,181.</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2,405,0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57,028.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-9,065,5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97.26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49,876,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173.78</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477,664</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,376.64</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54,039,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341.08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3,482,8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89,504.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31" w:right="0"/>
              <w:jc w:val="left"/>
              <w:rPr>
                <w:rFonts w:ascii="宋体" w:hAnsi="宋体" w:cs="宋体" w:eastAsia="宋体" w:hint="default"/>
                <w:sz w:val="18"/>
                <w:szCs w:val="18"/>
              </w:rPr>
            </w:pPr>
            <w:r>
              <w:rPr>
                <w:rFonts w:ascii="宋体" w:hAnsi="宋体" w:cs="宋体" w:eastAsia="宋体" w:hint="default"/>
                <w:sz w:val="18"/>
                <w:szCs w:val="18"/>
              </w:rPr>
              <w:t>同一控</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505,31</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8,181.</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2,405,0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57,028.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-9,065,5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97.26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49,876,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173.78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477,664</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,376.64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54,039,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341.08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3,482,8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89,504.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404,25</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4,544.</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-398,47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6,629.0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-14,232,</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667.70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14,150,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384.12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50,305,</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342.17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-18,397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,530.92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37,603,</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442.64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-14,232,</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667.70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190,785</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,271.54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-8,394,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589.80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168,158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,014.04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5,777,9</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14.97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-10,002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,941.12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-4,225,0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26.15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-10,002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,941.12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-10,002,</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941.12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5,777,9</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14.97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5,777,9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14.97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14,150,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384.12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-140,47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9,929.3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-126,32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9,545.2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14,150,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384.12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-14,150,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384.12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-126,32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9,545.2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-126,32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9,545.2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404,25</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4,544.</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-404,25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4,544.0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404,25</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4,544.</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-404,25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4,544.0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909,57</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2,725.</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2,006,5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80,399.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-23,298,</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264.96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64,026,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557.90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527,969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,718.81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35,641,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810.16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3,520,4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92,946.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360"/>
        <w:jc w:val="left"/>
        <w:rPr>
          <w:b w:val="0"/>
          <w:bCs w:val="0"/>
        </w:rPr>
      </w:pPr>
      <w:bookmarkStart w:name="8、母公司所有者权益变动表" w:id="186"/>
      <w:bookmarkEnd w:id="18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136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8"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909,572,</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725.00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2,035,065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,932.24</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64,026,55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7.90</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377,914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,475.77</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3,386,579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,690.91</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909,572,</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725.00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2,035,065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,932.24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64,026,55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7.90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377,914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,475.77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3,386,579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,690.91</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-1,082,45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-184,87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5,871.0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-178,958,</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329.03</w:t>
            </w: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-1,082,45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7.98</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-184,87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5,871.0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-185,958,</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329.03</w:t>
            </w:r>
          </w:p>
        </w:tc>
      </w:tr>
      <w:tr>
        <w:trPr>
          <w:trHeight w:val="705"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（二）所有者投入</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7,000,000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7,000,000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909,572,</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725.00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2,042,065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,932.24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-1,082,45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64,026,55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7.90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193,038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,604.72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3,207,621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,361.88</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199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4" w:right="0"/>
              <w:jc w:val="left"/>
              <w:rPr>
                <w:rFonts w:ascii="宋体" w:hAnsi="宋体" w:cs="宋体" w:eastAsia="宋体" w:hint="default"/>
                <w:sz w:val="18"/>
                <w:szCs w:val="18"/>
              </w:rPr>
            </w:pPr>
            <w:r>
              <w:rPr>
                <w:rFonts w:ascii="宋体" w:hAnsi="宋体" w:cs="宋体" w:eastAsia="宋体" w:hint="default"/>
                <w:sz w:val="18"/>
                <w:szCs w:val="18"/>
              </w:rPr>
              <w:t>减：库存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4"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2"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5" w:right="0"/>
              <w:jc w:val="left"/>
              <w:rPr>
                <w:rFonts w:ascii="宋体" w:hAnsi="宋体" w:cs="宋体" w:eastAsia="宋体" w:hint="default"/>
                <w:sz w:val="18"/>
                <w:szCs w:val="18"/>
              </w:rPr>
            </w:pPr>
            <w:r>
              <w:rPr>
                <w:rFonts w:ascii="宋体" w:hAnsi="宋体" w:cs="宋体" w:eastAsia="宋体" w:hint="default"/>
                <w:sz w:val="18"/>
                <w:szCs w:val="18"/>
              </w:rPr>
              <w:t>所有者权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4"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2"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5"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505,318,</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181.00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2,438,808</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,772.99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49,876,17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3.78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376,890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,563.90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3,370,893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,691.67</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505,318,</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181.00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2,438,808</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,772.99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49,876,17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3.78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376,890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,563.90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3,370,893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,691.67</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404,254,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544.00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-403,742,</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840.75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14,150,38</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4.12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1,023,9</w:t>
            </w:r>
          </w:p>
          <w:p>
            <w:pPr>
              <w:pStyle w:val="TableParagraph"/>
              <w:spacing w:line="240" w:lineRule="auto" w:before="106"/>
              <w:ind w:left="221" w:right="0"/>
              <w:jc w:val="center"/>
              <w:rPr>
                <w:rFonts w:ascii="Times New Roman" w:hAnsi="Times New Roman" w:cs="Times New Roman" w:eastAsia="Times New Roman" w:hint="default"/>
                <w:sz w:val="18"/>
                <w:szCs w:val="18"/>
              </w:rPr>
            </w:pPr>
            <w:r>
              <w:rPr>
                <w:rFonts w:ascii="Times New Roman"/>
                <w:sz w:val="18"/>
              </w:rPr>
              <w:t>11.87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15,685,99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9.24</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141,503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,841.24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141,503,8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41.24</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511,703.2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14,150,38</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4.12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9,929.3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-125,817,</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842.00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14,150,38</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4.12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-14,150,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384.12</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9,545.2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-126,329,</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545.25</w:t>
            </w:r>
          </w:p>
        </w:tc>
      </w:tr>
      <w:tr>
        <w:trPr>
          <w:trHeight w:val="704"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511,703.2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511,703.2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404,254,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544.00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-404,254,</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544.00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404,254,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544.00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-404,254,</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544.00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909,572,</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725.00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2,035,065</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,932.24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64,026,55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7.90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377,914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,475.77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3,386,579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,690.91</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1360"/>
        <w:jc w:val="left"/>
        <w:rPr>
          <w:b w:val="0"/>
          <w:bCs w:val="0"/>
        </w:rPr>
      </w:pPr>
      <w:bookmarkStart w:name="三、公司基本情况" w:id="187"/>
      <w:bookmarkEnd w:id="187"/>
      <w:r>
        <w:rPr>
          <w:b w:val="0"/>
          <w:bCs w:val="0"/>
        </w:rPr>
      </w:r>
      <w:r>
        <w:rPr/>
        <w:t>三、公司基本情况</w:t>
      </w:r>
      <w:r>
        <w:rPr>
          <w:b w:val="0"/>
          <w:bCs w:val="0"/>
        </w:rPr>
      </w: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24"/>
          <w:szCs w:val="24"/>
        </w:rPr>
      </w:pPr>
    </w:p>
    <w:p>
      <w:pPr>
        <w:pStyle w:val="BodyText"/>
        <w:spacing w:line="256" w:lineRule="auto"/>
        <w:ind w:right="1014" w:firstLine="420"/>
        <w:jc w:val="left"/>
      </w:pPr>
      <w:r>
        <w:rPr>
          <w:spacing w:val="-5"/>
        </w:rPr>
        <w:t>美盛文化创意股份有限公司（以下简称公司或本公司）系由原新昌美盛饰品有限公司发起设立，于</w:t>
      </w:r>
      <w:r>
        <w:rPr>
          <w:rFonts w:ascii="Times New Roman" w:hAnsi="Times New Roman" w:cs="Times New Roman" w:eastAsia="Times New Roman" w:hint="default"/>
          <w:spacing w:val="-5"/>
        </w:rPr>
        <w:t>2012</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日在浙江省工商行政管理局重新登记注册，总部位于浙江省绍兴市新昌县。公司现持有统一社会</w:t>
      </w:r>
      <w:r>
        <w:rPr>
          <w:spacing w:val="-32"/>
        </w:rPr>
        <w:t> </w:t>
      </w:r>
      <w:r>
        <w:rPr>
          <w:spacing w:val="-32"/>
        </w:rPr>
      </w:r>
      <w:r>
        <w:rPr/>
        <w:t>信用代码为</w:t>
      </w:r>
      <w:r>
        <w:rPr>
          <w:rFonts w:ascii="Times New Roman" w:hAnsi="Times New Roman" w:cs="Times New Roman" w:eastAsia="Times New Roman" w:hint="default"/>
        </w:rPr>
        <w:t>913300007384284925 </w:t>
      </w:r>
      <w:r>
        <w:rPr/>
        <w:t>的营业执照，注册资本</w:t>
      </w:r>
      <w:r>
        <w:rPr>
          <w:rFonts w:ascii="Times New Roman" w:hAnsi="Times New Roman" w:cs="Times New Roman" w:eastAsia="Times New Roman" w:hint="default"/>
        </w:rPr>
        <w:t>909,572,725.00</w:t>
      </w:r>
      <w:r>
        <w:rPr/>
        <w:t>元，股份总数</w:t>
      </w:r>
      <w:r>
        <w:rPr>
          <w:rFonts w:ascii="Times New Roman" w:hAnsi="Times New Roman" w:cs="Times New Roman" w:eastAsia="Times New Roman" w:hint="default"/>
        </w:rPr>
        <w:t>909,572,725</w:t>
      </w:r>
      <w:r>
        <w:rPr/>
        <w:t>股（每股</w:t>
      </w:r>
      <w:r>
        <w:rPr>
          <w:spacing w:val="-82"/>
        </w:rPr>
        <w:t> </w:t>
      </w:r>
      <w:r>
        <w:rPr>
          <w:spacing w:val="-82"/>
        </w:rPr>
      </w:r>
      <w:r>
        <w:rPr>
          <w:spacing w:val="-2"/>
        </w:rPr>
        <w:t>面值</w:t>
      </w:r>
      <w:r>
        <w:rPr>
          <w:rFonts w:ascii="Times New Roman" w:hAnsi="Times New Roman" w:cs="Times New Roman" w:eastAsia="Times New Roman" w:hint="default"/>
          <w:spacing w:val="-2"/>
        </w:rPr>
        <w:t>1</w:t>
      </w:r>
      <w:r>
        <w:rPr>
          <w:spacing w:val="-2"/>
        </w:rPr>
        <w:t>元）。其中，有限售条件的流通股份：</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159,469,346</w:t>
      </w:r>
      <w:r>
        <w:rPr>
          <w:spacing w:val="-2"/>
        </w:rPr>
        <w:t>股；无限售条件的流通股份</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750,103,379</w:t>
      </w:r>
      <w:r>
        <w:rPr>
          <w:spacing w:val="-2"/>
        </w:rPr>
        <w:t>股。 </w:t>
      </w:r>
      <w:r>
        <w:rPr/>
        <w:t>公司股票已于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日在深圳证券交易所挂牌交易。</w:t>
      </w:r>
    </w:p>
    <w:p>
      <w:pPr>
        <w:pStyle w:val="BodyText"/>
        <w:spacing w:line="273" w:lineRule="auto" w:before="5"/>
        <w:ind w:right="1092" w:firstLine="420"/>
        <w:jc w:val="left"/>
      </w:pPr>
      <w:r>
        <w:rPr/>
        <w:t>本公司属文化行业。涉足动漫原创、影视制作、动画制作、动漫衍生品研发生产和销售、媒体广告、 网络游戏、手机游戏、演艺等领域。</w:t>
      </w:r>
    </w:p>
    <w:p>
      <w:pPr>
        <w:pStyle w:val="BodyText"/>
        <w:spacing w:line="256" w:lineRule="auto" w:before="7"/>
        <w:ind w:left="405" w:right="2521" w:firstLine="168"/>
        <w:jc w:val="left"/>
      </w:pPr>
      <w:r>
        <w:rPr/>
        <w:t>本财务报表业经公司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日第三届第三十三次董事会批准对外报出。 本公司将杭州真趣网络科技有限公司、杭州美盛游戏技术开发有限公司、香港美盛文化</w:t>
      </w:r>
    </w:p>
    <w:p>
      <w:pPr>
        <w:pStyle w:val="BodyText"/>
        <w:spacing w:line="256" w:lineRule="auto" w:before="22"/>
        <w:ind w:right="0"/>
        <w:jc w:val="left"/>
      </w:pPr>
      <w:r>
        <w:rPr>
          <w:spacing w:val="-1"/>
        </w:rPr>
        <w:t>有限公司、杭州美盛电子商务有限公司等</w:t>
      </w:r>
      <w:r>
        <w:rPr>
          <w:rFonts w:ascii="Times New Roman" w:hAnsi="Times New Roman" w:cs="Times New Roman" w:eastAsia="Times New Roman" w:hint="default"/>
          <w:spacing w:val="-1"/>
        </w:rPr>
        <w:t>42</w:t>
      </w:r>
      <w:r>
        <w:rPr>
          <w:spacing w:val="-1"/>
        </w:rPr>
        <w:t>家子公司纳入合并财务报表范围。部分子公司与联营企业全称</w:t>
      </w:r>
      <w:r>
        <w:rPr>
          <w:spacing w:val="-82"/>
        </w:rPr>
        <w:t> </w:t>
      </w:r>
      <w:r>
        <w:rPr>
          <w:spacing w:val="-82"/>
        </w:rPr>
      </w:r>
      <w:r>
        <w:rPr/>
        <w:t>及简称如下表所示：</w:t>
      </w:r>
    </w:p>
    <w:p>
      <w:pPr>
        <w:spacing w:line="240" w:lineRule="auto" w:before="1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4504"/>
        <w:gridCol w:w="4019"/>
      </w:tblGrid>
      <w:tr>
        <w:trPr>
          <w:trHeight w:val="348" w:hRule="exact"/>
        </w:trPr>
        <w:tc>
          <w:tcPr>
            <w:tcW w:w="45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40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公司简称</w:t>
            </w:r>
          </w:p>
        </w:tc>
      </w:tr>
      <w:tr>
        <w:trPr>
          <w:trHeight w:val="347" w:hRule="exact"/>
        </w:trPr>
        <w:tc>
          <w:tcPr>
            <w:tcW w:w="450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杭州真趣网络科技有限公司</w:t>
            </w:r>
          </w:p>
        </w:tc>
        <w:tc>
          <w:tcPr>
            <w:tcW w:w="401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真趣网络</w:t>
            </w:r>
          </w:p>
        </w:tc>
      </w:tr>
      <w:tr>
        <w:trPr>
          <w:trHeight w:val="347" w:hRule="exact"/>
        </w:trPr>
        <w:tc>
          <w:tcPr>
            <w:tcW w:w="45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杭州美盛游戏技术开发有限公司</w:t>
            </w:r>
          </w:p>
        </w:tc>
        <w:tc>
          <w:tcPr>
            <w:tcW w:w="40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美盛游戏</w:t>
            </w:r>
          </w:p>
        </w:tc>
      </w:tr>
      <w:tr>
        <w:trPr>
          <w:trHeight w:val="347" w:hRule="exact"/>
        </w:trPr>
        <w:tc>
          <w:tcPr>
            <w:tcW w:w="45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杭州美盛动漫有限公司</w:t>
            </w:r>
          </w:p>
        </w:tc>
        <w:tc>
          <w:tcPr>
            <w:tcW w:w="40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美盛动漫</w:t>
            </w:r>
          </w:p>
        </w:tc>
      </w:tr>
      <w:tr>
        <w:trPr>
          <w:trHeight w:val="347" w:hRule="exact"/>
        </w:trPr>
        <w:tc>
          <w:tcPr>
            <w:tcW w:w="45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杭州美盛电子商务有限公司</w:t>
            </w:r>
          </w:p>
        </w:tc>
        <w:tc>
          <w:tcPr>
            <w:tcW w:w="40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美盛电商</w:t>
            </w:r>
          </w:p>
        </w:tc>
      </w:tr>
      <w:tr>
        <w:trPr>
          <w:trHeight w:val="347" w:hRule="exact"/>
        </w:trPr>
        <w:tc>
          <w:tcPr>
            <w:tcW w:w="45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杭州美盛二次元文化发展有限公司</w:t>
            </w:r>
          </w:p>
        </w:tc>
        <w:tc>
          <w:tcPr>
            <w:tcW w:w="40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美盛二次元</w:t>
            </w:r>
          </w:p>
        </w:tc>
      </w:tr>
      <w:tr>
        <w:trPr>
          <w:trHeight w:val="347" w:hRule="exact"/>
        </w:trPr>
        <w:tc>
          <w:tcPr>
            <w:tcW w:w="45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杭州美盛爱彼文化发展有限公司</w:t>
            </w:r>
          </w:p>
        </w:tc>
        <w:tc>
          <w:tcPr>
            <w:tcW w:w="40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美盛爱彼</w:t>
            </w:r>
          </w:p>
        </w:tc>
      </w:tr>
      <w:tr>
        <w:trPr>
          <w:trHeight w:val="348" w:hRule="exact"/>
        </w:trPr>
        <w:tc>
          <w:tcPr>
            <w:tcW w:w="45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杭州星梦工坊文化创意有限公司</w:t>
            </w:r>
          </w:p>
        </w:tc>
        <w:tc>
          <w:tcPr>
            <w:tcW w:w="40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星梦工坊</w:t>
            </w:r>
          </w:p>
        </w:tc>
      </w:tr>
      <w:tr>
        <w:trPr>
          <w:trHeight w:val="347" w:hRule="exact"/>
        </w:trPr>
        <w:tc>
          <w:tcPr>
            <w:tcW w:w="450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嵊州市美源饰品有限公司</w:t>
            </w:r>
          </w:p>
        </w:tc>
        <w:tc>
          <w:tcPr>
            <w:tcW w:w="401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美源饰品</w:t>
            </w:r>
          </w:p>
        </w:tc>
      </w:tr>
      <w:tr>
        <w:trPr>
          <w:trHeight w:val="347" w:hRule="exact"/>
        </w:trPr>
        <w:tc>
          <w:tcPr>
            <w:tcW w:w="45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天津酷米网络科技有限公司</w:t>
            </w:r>
          </w:p>
        </w:tc>
        <w:tc>
          <w:tcPr>
            <w:tcW w:w="40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天津酷米</w:t>
            </w:r>
          </w:p>
        </w:tc>
      </w:tr>
      <w:tr>
        <w:trPr>
          <w:trHeight w:val="348" w:hRule="exact"/>
        </w:trPr>
        <w:tc>
          <w:tcPr>
            <w:tcW w:w="45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香港美盛文化有限公司</w:t>
            </w:r>
          </w:p>
        </w:tc>
        <w:tc>
          <w:tcPr>
            <w:tcW w:w="40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香港美盛</w:t>
            </w:r>
          </w:p>
        </w:tc>
      </w:tr>
    </w:tbl>
    <w:p>
      <w:pPr>
        <w:spacing w:after="0" w:line="271" w:lineRule="exact"/>
        <w:jc w:val="center"/>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504"/>
        <w:gridCol w:w="4019"/>
      </w:tblGrid>
      <w:tr>
        <w:trPr>
          <w:trHeight w:val="347" w:hRule="exact"/>
        </w:trPr>
        <w:tc>
          <w:tcPr>
            <w:tcW w:w="4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Meisheng.USA.INC</w:t>
            </w:r>
          </w:p>
        </w:tc>
        <w:tc>
          <w:tcPr>
            <w:tcW w:w="40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美国美盛</w:t>
            </w:r>
          </w:p>
        </w:tc>
      </w:tr>
      <w:tr>
        <w:trPr>
          <w:trHeight w:val="347" w:hRule="exact"/>
        </w:trPr>
        <w:tc>
          <w:tcPr>
            <w:tcW w:w="45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杭州业盛实业有限公司</w:t>
            </w:r>
          </w:p>
        </w:tc>
        <w:tc>
          <w:tcPr>
            <w:tcW w:w="40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杭州业盛</w:t>
            </w:r>
          </w:p>
        </w:tc>
      </w:tr>
      <w:tr>
        <w:trPr>
          <w:trHeight w:val="347" w:hRule="exact"/>
        </w:trPr>
        <w:tc>
          <w:tcPr>
            <w:tcW w:w="4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Agenturen en Handelsmij Scheepers B.</w:t>
            </w:r>
            <w:r>
              <w:rPr>
                <w:rFonts w:ascii="Times New Roman"/>
                <w:spacing w:val="-10"/>
                <w:sz w:val="21"/>
              </w:rPr>
              <w:t> </w:t>
            </w:r>
            <w:r>
              <w:rPr>
                <w:rFonts w:ascii="Times New Roman"/>
                <w:sz w:val="21"/>
              </w:rPr>
              <w:t>V.</w:t>
            </w:r>
          </w:p>
        </w:tc>
        <w:tc>
          <w:tcPr>
            <w:tcW w:w="40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荷兰公司</w:t>
            </w:r>
          </w:p>
        </w:tc>
      </w:tr>
      <w:tr>
        <w:trPr>
          <w:trHeight w:val="348" w:hRule="exact"/>
        </w:trPr>
        <w:tc>
          <w:tcPr>
            <w:tcW w:w="45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401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Jakks</w:t>
            </w:r>
            <w:r>
              <w:rPr>
                <w:rFonts w:ascii="Times New Roman"/>
                <w:spacing w:val="-6"/>
                <w:sz w:val="21"/>
              </w:rPr>
              <w:t> </w:t>
            </w:r>
            <w:r>
              <w:rPr>
                <w:rFonts w:ascii="Times New Roman"/>
                <w:sz w:val="21"/>
              </w:rPr>
              <w:t>Pacific,Inc</w:t>
            </w:r>
          </w:p>
        </w:tc>
        <w:tc>
          <w:tcPr>
            <w:tcW w:w="4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Jakks</w:t>
            </w:r>
            <w:r>
              <w:rPr>
                <w:rFonts w:ascii="Times New Roman"/>
                <w:spacing w:val="-4"/>
                <w:sz w:val="21"/>
              </w:rPr>
              <w:t> </w:t>
            </w:r>
            <w:r>
              <w:rPr>
                <w:rFonts w:ascii="Times New Roman"/>
                <w:sz w:val="21"/>
              </w:rPr>
              <w:t>Pacific</w:t>
            </w:r>
          </w:p>
        </w:tc>
      </w:tr>
      <w:tr>
        <w:trPr>
          <w:trHeight w:val="347" w:hRule="exact"/>
        </w:trPr>
        <w:tc>
          <w:tcPr>
            <w:tcW w:w="45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上海瑾馨商贸有限公司</w:t>
            </w:r>
          </w:p>
        </w:tc>
        <w:tc>
          <w:tcPr>
            <w:tcW w:w="40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上海瑾馨</w:t>
            </w:r>
          </w:p>
        </w:tc>
      </w:tr>
      <w:tr>
        <w:trPr>
          <w:trHeight w:val="347" w:hRule="exact"/>
        </w:trPr>
        <w:tc>
          <w:tcPr>
            <w:tcW w:w="45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北京微媒互动科技有限公司</w:t>
            </w:r>
          </w:p>
        </w:tc>
        <w:tc>
          <w:tcPr>
            <w:tcW w:w="40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微媒互动</w:t>
            </w:r>
          </w:p>
        </w:tc>
      </w:tr>
      <w:tr>
        <w:trPr>
          <w:trHeight w:val="347" w:hRule="exact"/>
        </w:trPr>
        <w:tc>
          <w:tcPr>
            <w:tcW w:w="45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广州创幻数码科技有限公司</w:t>
            </w:r>
          </w:p>
        </w:tc>
        <w:tc>
          <w:tcPr>
            <w:tcW w:w="40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广州创幻</w:t>
            </w:r>
          </w:p>
        </w:tc>
      </w:tr>
      <w:tr>
        <w:trPr>
          <w:trHeight w:val="347" w:hRule="exact"/>
        </w:trPr>
        <w:tc>
          <w:tcPr>
            <w:tcW w:w="45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杭州幻趣网络科技有限公司</w:t>
            </w:r>
          </w:p>
        </w:tc>
        <w:tc>
          <w:tcPr>
            <w:tcW w:w="40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杭州幻趣</w:t>
            </w:r>
          </w:p>
        </w:tc>
      </w:tr>
      <w:tr>
        <w:trPr>
          <w:trHeight w:val="348" w:hRule="exact"/>
        </w:trPr>
        <w:tc>
          <w:tcPr>
            <w:tcW w:w="45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苏州梅酒网络科技有限公司</w:t>
            </w:r>
          </w:p>
        </w:tc>
        <w:tc>
          <w:tcPr>
            <w:tcW w:w="40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苏州梅酒</w:t>
            </w:r>
          </w:p>
        </w:tc>
      </w:tr>
    </w:tbl>
    <w:p>
      <w:pPr>
        <w:spacing w:line="240" w:lineRule="auto" w:before="2"/>
        <w:rPr>
          <w:rFonts w:ascii="宋体" w:hAnsi="宋体" w:cs="宋体" w:eastAsia="宋体" w:hint="default"/>
          <w:sz w:val="18"/>
          <w:szCs w:val="18"/>
        </w:rPr>
      </w:pPr>
    </w:p>
    <w:p>
      <w:pPr>
        <w:pStyle w:val="Heading2"/>
        <w:spacing w:line="240" w:lineRule="auto" w:before="26"/>
        <w:ind w:right="1360"/>
        <w:jc w:val="left"/>
        <w:rPr>
          <w:b w:val="0"/>
          <w:bCs w:val="0"/>
        </w:rPr>
      </w:pPr>
      <w:bookmarkStart w:name="四、财务报表的编制基础" w:id="188"/>
      <w:bookmarkEnd w:id="188"/>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1、编制基础" w:id="189"/>
      <w:bookmarkEnd w:id="18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4" w:right="1360"/>
        <w:jc w:val="left"/>
      </w:pPr>
      <w:r>
        <w:rPr/>
        <w:t>本公司财务报表以持续经营为编制基础。</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right="1360"/>
        <w:jc w:val="left"/>
        <w:rPr>
          <w:b w:val="0"/>
          <w:bCs w:val="0"/>
        </w:rPr>
      </w:pPr>
      <w:bookmarkStart w:name="2、持续经营" w:id="190"/>
      <w:bookmarkEnd w:id="19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4" w:right="1360"/>
        <w:jc w:val="left"/>
      </w:pPr>
      <w:r>
        <w:rPr/>
        <w:t>本公司不存在导致对报告期末起</w:t>
      </w:r>
      <w:r>
        <w:rPr>
          <w:rFonts w:ascii="Times New Roman" w:hAnsi="Times New Roman" w:cs="Times New Roman" w:eastAsia="Times New Roman" w:hint="default"/>
        </w:rPr>
        <w:t>12</w:t>
      </w:r>
      <w:r>
        <w:rPr/>
        <w:t>个月内的持续经营能力产生重大疑虑的事项或情况。</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4"/>
          <w:szCs w:val="24"/>
        </w:rPr>
      </w:pPr>
    </w:p>
    <w:p>
      <w:pPr>
        <w:pStyle w:val="Heading2"/>
        <w:spacing w:line="240" w:lineRule="auto"/>
        <w:ind w:right="1360"/>
        <w:jc w:val="left"/>
        <w:rPr>
          <w:b w:val="0"/>
          <w:bCs w:val="0"/>
        </w:rPr>
      </w:pPr>
      <w:bookmarkStart w:name="五、重要会计政策及会计估计" w:id="191"/>
      <w:bookmarkEnd w:id="191"/>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before="26"/>
        <w:ind w:left="154" w:right="136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273" w:lineRule="auto" w:before="89"/>
        <w:ind w:right="1017" w:firstLine="420"/>
        <w:jc w:val="left"/>
      </w:pPr>
      <w:r>
        <w:rPr>
          <w:spacing w:val="-3"/>
        </w:rPr>
        <w:t>重要提示：本公司根据实际生产经营特点针对应收款项坏账准备计提、固定资产折旧、无形资产摊销、</w:t>
      </w:r>
      <w:r>
        <w:rPr/>
        <w:t> 收入确认等交易或事项制定了具体会计政策和会计估计。</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1360"/>
        <w:jc w:val="left"/>
        <w:rPr>
          <w:b w:val="0"/>
          <w:bCs w:val="0"/>
        </w:rPr>
      </w:pPr>
      <w:bookmarkStart w:name="1、遵循企业会计准则的声明" w:id="192"/>
      <w:bookmarkEnd w:id="192"/>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6"/>
          <w:szCs w:val="26"/>
        </w:rPr>
      </w:pPr>
    </w:p>
    <w:p>
      <w:pPr>
        <w:pStyle w:val="BodyText"/>
        <w:spacing w:line="273" w:lineRule="auto"/>
        <w:ind w:right="0" w:firstLine="420"/>
        <w:jc w:val="left"/>
      </w:pPr>
      <w:r>
        <w:rPr>
          <w:spacing w:val="-1"/>
        </w:rPr>
        <w:t>本公司所编制的财务报表符合企业会计准则的要求，真实、完整地反映了公司的财务状况、经营成果</w:t>
      </w:r>
      <w:r>
        <w:rPr/>
        <w:t> 和现金流量等有关信息。</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1360"/>
        <w:jc w:val="left"/>
        <w:rPr>
          <w:b w:val="0"/>
          <w:bCs w:val="0"/>
        </w:rPr>
      </w:pPr>
      <w:bookmarkStart w:name="2、会计期间" w:id="193"/>
      <w:bookmarkEnd w:id="193"/>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4" w:right="1360"/>
        <w:jc w:val="left"/>
      </w:pPr>
      <w:r>
        <w:rPr/>
        <w:t>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both"/>
        <w:rPr>
          <w:b w:val="0"/>
          <w:bCs w:val="0"/>
        </w:rPr>
      </w:pPr>
      <w:bookmarkStart w:name="3、营业周期" w:id="194"/>
      <w:bookmarkEnd w:id="194"/>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4" w:right="1360"/>
        <w:jc w:val="left"/>
      </w:pPr>
      <w:r>
        <w:rPr/>
        <w:t>公司经营业务的营业周期较短，以</w:t>
      </w:r>
      <w:r>
        <w:rPr>
          <w:rFonts w:ascii="Times New Roman" w:hAnsi="Times New Roman" w:cs="Times New Roman" w:eastAsia="Times New Roman" w:hint="default"/>
        </w:rPr>
        <w:t>12</w:t>
      </w:r>
      <w:r>
        <w:rPr/>
        <w:t>个月作为资产和负债的流动性划分标准。</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6"/>
          <w:szCs w:val="26"/>
        </w:rPr>
      </w:pPr>
    </w:p>
    <w:p>
      <w:pPr>
        <w:spacing w:line="506" w:lineRule="auto" w:before="0"/>
        <w:ind w:left="154" w:right="8232" w:firstLine="0"/>
        <w:jc w:val="left"/>
        <w:rPr>
          <w:rFonts w:ascii="宋体" w:hAnsi="宋体" w:cs="宋体" w:eastAsia="宋体" w:hint="default"/>
          <w:sz w:val="21"/>
          <w:szCs w:val="21"/>
        </w:rPr>
      </w:pPr>
      <w:bookmarkStart w:name="4、记账本位币" w:id="195"/>
      <w:bookmarkEnd w:id="19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采用人民币为记账本位币。</w:t>
      </w:r>
    </w:p>
    <w:p>
      <w:pPr>
        <w:pStyle w:val="Heading4"/>
        <w:spacing w:line="240" w:lineRule="auto" w:before="105"/>
        <w:ind w:right="0"/>
        <w:jc w:val="both"/>
        <w:rPr>
          <w:b w:val="0"/>
          <w:bCs w:val="0"/>
        </w:rPr>
      </w:pPr>
      <w:bookmarkStart w:name="5、同一控制下和非同一控制下企业合并的会计处理方法" w:id="196"/>
      <w:bookmarkEnd w:id="19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同一控制下企业合并的会计处理方法 </w:t>
      </w:r>
      <w:r>
        <w:rPr>
          <w:spacing w:val="-1"/>
        </w:rPr>
        <w:t>公司在企业合并中取得的资产和负债，按照合并日被合并方在最终控制方合并财务报表中的账面价值</w:t>
      </w:r>
    </w:p>
    <w:p>
      <w:pPr>
        <w:pStyle w:val="BodyText"/>
        <w:spacing w:line="273" w:lineRule="auto" w:before="22"/>
        <w:ind w:right="0"/>
        <w:jc w:val="left"/>
      </w:pPr>
      <w:r>
        <w:rPr>
          <w:spacing w:val="-1"/>
        </w:rPr>
        <w:t>计量。公司按照被合并方所有者权益在最终控制方合并财务报表中的账面价值份额与支付的合并对价账面</w:t>
      </w:r>
      <w:r>
        <w:rPr>
          <w:spacing w:val="-81"/>
        </w:rPr>
        <w:t> </w:t>
      </w:r>
      <w:r>
        <w:rPr>
          <w:spacing w:val="-81"/>
        </w:rPr>
      </w:r>
      <w:r>
        <w:rPr/>
        <w:t>价值或发行股份面值总额的差额，调整资本公积；资本公积不足冲减的，调整留存收益。</w:t>
      </w:r>
    </w:p>
    <w:p>
      <w:pPr>
        <w:pStyle w:val="BodyText"/>
        <w:spacing w:line="256" w:lineRule="auto" w:before="7"/>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非同一控制下企业合并的会计处理方法 </w:t>
      </w:r>
      <w:r>
        <w:rPr>
          <w:spacing w:val="3"/>
        </w:rPr>
        <w:t>公司在购买日对合并成本大于合并中取得的被购买方可辨认净资产公允价值份额的差额，确认为商</w:t>
      </w:r>
    </w:p>
    <w:p>
      <w:pPr>
        <w:pStyle w:val="BodyText"/>
        <w:spacing w:line="273" w:lineRule="auto" w:before="22"/>
        <w:ind w:right="1131"/>
        <w:jc w:val="both"/>
      </w:pPr>
      <w:r>
        <w:rPr>
          <w:spacing w:val="-1"/>
        </w:rPr>
        <w:t>誉；如果合并成本小于合并中取得的被购买方可辨认净资产公允价值份额，首先对取得的被购买方各项可</w:t>
      </w:r>
      <w:r>
        <w:rPr>
          <w:spacing w:val="-81"/>
        </w:rPr>
        <w:t> </w:t>
      </w:r>
      <w:r>
        <w:rPr>
          <w:spacing w:val="-81"/>
        </w:rPr>
      </w:r>
      <w:r>
        <w:rPr>
          <w:spacing w:val="-1"/>
        </w:rPr>
        <w:t>辨认资产、负债及或有负债的公允价值以及合并成本的计量进行复核，经复核后合并成本仍小于合并中取</w:t>
      </w:r>
      <w:r>
        <w:rPr>
          <w:spacing w:val="-81"/>
        </w:rPr>
        <w:t> </w:t>
      </w:r>
      <w:r>
        <w:rPr>
          <w:spacing w:val="-81"/>
        </w:rPr>
      </w:r>
      <w:r>
        <w:rPr/>
        <w:t>得的被购买方可辨认净资产公允价值份额的，其差额计入当期损益。</w:t>
      </w:r>
    </w:p>
    <w:p>
      <w:pPr>
        <w:spacing w:line="240" w:lineRule="auto" w:before="8"/>
        <w:rPr>
          <w:rFonts w:ascii="宋体" w:hAnsi="宋体" w:cs="宋体" w:eastAsia="宋体" w:hint="default"/>
          <w:sz w:val="24"/>
          <w:szCs w:val="24"/>
        </w:rPr>
      </w:pPr>
    </w:p>
    <w:p>
      <w:pPr>
        <w:spacing w:line="590" w:lineRule="atLeast" w:before="0"/>
        <w:ind w:left="574" w:right="0" w:hanging="420"/>
        <w:jc w:val="left"/>
        <w:rPr>
          <w:rFonts w:ascii="宋体" w:hAnsi="宋体" w:cs="宋体" w:eastAsia="宋体" w:hint="default"/>
          <w:sz w:val="21"/>
          <w:szCs w:val="21"/>
        </w:rPr>
      </w:pPr>
      <w:bookmarkStart w:name="6、合并财务报表的编制方法" w:id="197"/>
      <w:bookmarkEnd w:id="197"/>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b/>
          <w:bCs/>
          <w:w w:val="99"/>
          <w:sz w:val="21"/>
          <w:szCs w:val="21"/>
        </w:rPr>
        <w:t> </w:t>
      </w:r>
      <w:r>
        <w:rPr>
          <w:rFonts w:ascii="宋体" w:hAnsi="宋体" w:cs="宋体" w:eastAsia="宋体" w:hint="default"/>
          <w:spacing w:val="-1"/>
          <w:sz w:val="21"/>
          <w:szCs w:val="21"/>
        </w:rPr>
        <w:t>母公司将其控制的所有子公司纳入合并财务报表的合并范围。合并财务报表以母公司及其子公司的财</w:t>
      </w:r>
    </w:p>
    <w:p>
      <w:pPr>
        <w:pStyle w:val="BodyText"/>
        <w:spacing w:line="240" w:lineRule="auto" w:before="37"/>
        <w:ind w:right="0"/>
        <w:jc w:val="both"/>
      </w:pPr>
      <w:r>
        <w:rPr/>
        <w:t>务报表为基础，根据其他有关资料，由母公司按照《企业会计准则第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8"/>
          <w:szCs w:val="28"/>
        </w:rPr>
      </w:pPr>
    </w:p>
    <w:p>
      <w:pPr>
        <w:pStyle w:val="Heading4"/>
        <w:spacing w:line="240" w:lineRule="auto"/>
        <w:ind w:right="0"/>
        <w:jc w:val="both"/>
        <w:rPr>
          <w:b w:val="0"/>
          <w:bCs w:val="0"/>
        </w:rPr>
      </w:pPr>
      <w:bookmarkStart w:name="7、合营安排分类及共同经营会计处理方法" w:id="198"/>
      <w:bookmarkEnd w:id="198"/>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8、现金及现金等价物的确定标准" w:id="199"/>
      <w:bookmarkEnd w:id="199"/>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spacing w:val="-1"/>
        </w:rPr>
        <w:t>列示于现金流量表中的现金是指库存现金以及可以随时用于支付的存款。现金等价物是指企业持有的期限</w:t>
      </w:r>
      <w:r>
        <w:rPr>
          <w:spacing w:val="-81"/>
        </w:rPr>
        <w:t> </w:t>
      </w:r>
      <w:r>
        <w:rPr>
          <w:spacing w:val="-81"/>
        </w:rPr>
      </w:r>
      <w:r>
        <w:rPr/>
        <w:t>短、流动性强、易于转换为已知金额现金、价值变动风险很小的投资。</w:t>
      </w:r>
    </w:p>
    <w:p>
      <w:pPr>
        <w:spacing w:line="240" w:lineRule="auto" w:before="8"/>
        <w:rPr>
          <w:rFonts w:ascii="宋体" w:hAnsi="宋体" w:cs="宋体" w:eastAsia="宋体" w:hint="default"/>
          <w:sz w:val="23"/>
          <w:szCs w:val="23"/>
        </w:rPr>
      </w:pPr>
    </w:p>
    <w:p>
      <w:pPr>
        <w:pStyle w:val="Heading4"/>
        <w:spacing w:line="240" w:lineRule="auto"/>
        <w:ind w:right="0"/>
        <w:jc w:val="both"/>
        <w:rPr>
          <w:b w:val="0"/>
          <w:bCs w:val="0"/>
        </w:rPr>
      </w:pPr>
      <w:bookmarkStart w:name="9、外币业务和外币报表折算" w:id="200"/>
      <w:bookmarkEnd w:id="200"/>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24"/>
          <w:szCs w:val="24"/>
        </w:rPr>
      </w:pPr>
    </w:p>
    <w:p>
      <w:pPr>
        <w:pStyle w:val="BodyText"/>
        <w:spacing w:line="256" w:lineRule="auto"/>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外币业务折算 </w:t>
      </w:r>
      <w:r>
        <w:rPr>
          <w:spacing w:val="-1"/>
        </w:rPr>
        <w:t>外币交易在初始确认时，采用交易发生日的即期汇率折算为人民币金额。资产负债表日，外币货币性</w:t>
      </w:r>
    </w:p>
    <w:p>
      <w:pPr>
        <w:pStyle w:val="BodyText"/>
        <w:spacing w:line="273" w:lineRule="auto" w:before="22"/>
        <w:ind w:right="1131"/>
        <w:jc w:val="both"/>
      </w:pPr>
      <w:r>
        <w:rPr>
          <w:spacing w:val="-1"/>
        </w:rPr>
        <w:t>项目采用资产负债表日即期汇率折算，因汇率不同而产生的汇兑差额，除与购建符合资本化条件资产有关</w:t>
      </w:r>
      <w:r>
        <w:rPr>
          <w:spacing w:val="-81"/>
        </w:rPr>
        <w:t> </w:t>
      </w:r>
      <w:r>
        <w:rPr>
          <w:spacing w:val="-81"/>
        </w:rPr>
      </w:r>
      <w:r>
        <w:rPr>
          <w:spacing w:val="-1"/>
        </w:rPr>
        <w:t>的外币专门借款本金及利息的汇兑差额外，计入当期损益；以历史成本计量的外币非货币性项目仍采用交</w:t>
      </w:r>
      <w:r>
        <w:rPr>
          <w:spacing w:val="-81"/>
        </w:rPr>
        <w:t> </w:t>
      </w:r>
      <w:r>
        <w:rPr>
          <w:spacing w:val="-81"/>
        </w:rPr>
      </w:r>
      <w:r>
        <w:rPr>
          <w:spacing w:val="-1"/>
        </w:rPr>
        <w:t>易发生日的即期汇率折算，不改变其人民币金额；以公允价值计量的外币非货币性项目，采用公允价值确</w:t>
      </w:r>
      <w:r>
        <w:rPr>
          <w:spacing w:val="-83"/>
        </w:rPr>
        <w:t> </w:t>
      </w:r>
      <w:r>
        <w:rPr>
          <w:spacing w:val="-83"/>
        </w:rPr>
      </w:r>
      <w:r>
        <w:rPr/>
        <w:t>定日的即期汇率折算，差额计入当期损益或其他综合收益。</w:t>
      </w:r>
    </w:p>
    <w:p>
      <w:pPr>
        <w:pStyle w:val="BodyText"/>
        <w:spacing w:line="240" w:lineRule="auto" w:before="6"/>
        <w:ind w:left="574" w:right="1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外币财务报表折算</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129" w:firstLine="420"/>
        <w:jc w:val="both"/>
      </w:pP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 </w:t>
      </w:r>
      <w:r>
        <w:rPr/>
        <w:t>润</w:t>
      </w:r>
      <w:r>
        <w:rPr>
          <w:rFonts w:ascii="Times New Roman" w:hAnsi="Times New Roman" w:cs="Times New Roman" w:eastAsia="Times New Roman" w:hint="default"/>
        </w:rPr>
        <w:t>”</w:t>
      </w:r>
      <w:r>
        <w:rPr/>
        <w:t>项目外，其他项目采用交易发生日的即期汇率折算；利润表中的收入和费用项目，采用交易发生日即</w:t>
      </w:r>
      <w:r>
        <w:rPr>
          <w:spacing w:val="-25"/>
        </w:rPr>
        <w:t> </w:t>
      </w:r>
      <w:r>
        <w:rPr>
          <w:spacing w:val="-25"/>
        </w:rPr>
      </w:r>
      <w:r>
        <w:rPr/>
        <w:t>期汇率的近似汇率折算。按照上述折算产生的外币财务报表折算差额，计入其他综合收益。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3"/>
        <w:ind w:right="1360"/>
        <w:jc w:val="left"/>
        <w:rPr>
          <w:b w:val="0"/>
          <w:bCs w:val="0"/>
        </w:rPr>
      </w:pPr>
      <w:bookmarkStart w:name="10、金融工具" w:id="201"/>
      <w:bookmarkEnd w:id="201"/>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金融资产和金融负债的分类 </w:t>
      </w:r>
      <w:r>
        <w:rPr>
          <w:spacing w:val="-1"/>
        </w:rPr>
        <w:t>金融资产在初始确认时划分为以下四类：以公允价值计量且其变动计入当期损益的金融资产（包括交</w:t>
      </w:r>
    </w:p>
    <w:p>
      <w:pPr>
        <w:pStyle w:val="BodyText"/>
        <w:spacing w:line="273" w:lineRule="auto" w:before="22"/>
        <w:ind w:right="0"/>
        <w:jc w:val="left"/>
      </w:pPr>
      <w:r>
        <w:rPr>
          <w:spacing w:val="-1"/>
        </w:rPr>
        <w:t>易性金融资产和在初始确认时指定为以公允价值计量且其变动计入当期损益的金融资产）、持有至到期投</w:t>
      </w:r>
      <w:r>
        <w:rPr>
          <w:spacing w:val="-81"/>
        </w:rPr>
        <w:t> </w:t>
      </w:r>
      <w:r>
        <w:rPr>
          <w:spacing w:val="-81"/>
        </w:rPr>
      </w:r>
      <w:r>
        <w:rPr/>
        <w:t>资、贷款和应收款项、可供出售金融资产。</w:t>
      </w:r>
    </w:p>
    <w:p>
      <w:pPr>
        <w:pStyle w:val="BodyText"/>
        <w:spacing w:line="273" w:lineRule="auto" w:before="7"/>
        <w:ind w:right="1027" w:firstLine="420"/>
        <w:jc w:val="both"/>
      </w:pPr>
      <w:r>
        <w:rPr/>
        <w:t>金融负债在初始确认时划分为以下两类：以公允价值计量且其变动计入当期损益的金融负债（包括交 </w:t>
      </w:r>
      <w:r>
        <w:rPr>
          <w:spacing w:val="-3"/>
        </w:rPr>
        <w:t>易性金融负债和在初始确认时指定为以公允价值计量且其变动计入当期损益的金融负债）、其他金融负债。</w:t>
      </w:r>
    </w:p>
    <w:p>
      <w:pPr>
        <w:pStyle w:val="BodyText"/>
        <w:spacing w:line="256" w:lineRule="auto" w:before="7"/>
        <w:ind w:left="574" w:right="109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金融资产和金融负债的确认依据、计量方法和终止确认条件 公司成为金融工具合同的一方时，确认一项金融资产或金融负债。初始确认金融资产或金融负债时，</w:t>
      </w:r>
    </w:p>
    <w:p>
      <w:pPr>
        <w:pStyle w:val="BodyText"/>
        <w:spacing w:line="273" w:lineRule="auto" w:before="22"/>
        <w:ind w:right="0"/>
        <w:jc w:val="left"/>
      </w:pPr>
      <w:r>
        <w:rPr>
          <w:spacing w:val="-1"/>
        </w:rPr>
        <w:t>按照公允价值计量；对于以公允价值计量且其变动计入当期损益的金融资产和金融负债，相关交易费用直</w:t>
      </w:r>
      <w:r>
        <w:rPr>
          <w:spacing w:val="-81"/>
        </w:rPr>
        <w:t> </w:t>
      </w:r>
      <w:r>
        <w:rPr>
          <w:spacing w:val="-81"/>
        </w:rPr>
      </w:r>
      <w:r>
        <w:rPr/>
        <w:t>接计入当期损益；对于其他类别的金融资产或金融负债，相关交易费用计入初始确认金额。</w:t>
      </w:r>
    </w:p>
    <w:p>
      <w:pPr>
        <w:pStyle w:val="BodyText"/>
        <w:spacing w:line="266" w:lineRule="auto" w:before="7"/>
        <w:ind w:right="1109" w:firstLine="420"/>
        <w:jc w:val="both"/>
      </w:pPr>
      <w:r>
        <w:rPr/>
        <w:t>公司按照公允价值对金融资产进行后续计量，且不扣除将来处置该金融资产时可能发生的交易费用， 但下列情况除外：</w:t>
      </w:r>
      <w:r>
        <w:rPr>
          <w:rFonts w:ascii="Times New Roman" w:hAnsi="Times New Roman" w:cs="Times New Roman" w:eastAsia="Times New Roman" w:hint="default"/>
        </w:rPr>
        <w:t>(1) </w:t>
      </w:r>
      <w:r>
        <w:rPr/>
        <w:t>持有至到期投资以及贷款和应收款项采用实际利率法，按摊余成本计量；</w:t>
      </w: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在活跃 </w:t>
      </w:r>
      <w:r>
        <w:rPr>
          <w:spacing w:val="-1"/>
        </w:rPr>
        <w:t>市场中没有报价且其公允价值不能可靠计量的权益工具投资，以及与该权益工具挂钩并须通过交付该权益</w:t>
      </w:r>
      <w:r>
        <w:rPr>
          <w:spacing w:val="-81"/>
        </w:rPr>
        <w:t> </w:t>
      </w:r>
      <w:r>
        <w:rPr>
          <w:spacing w:val="-81"/>
        </w:rPr>
      </w:r>
      <w:r>
        <w:rPr/>
        <w:t>工具结算的衍生金融资产，按照成本计量。</w:t>
      </w:r>
    </w:p>
    <w:p>
      <w:pPr>
        <w:pStyle w:val="BodyText"/>
        <w:spacing w:line="261" w:lineRule="auto" w:before="14"/>
        <w:ind w:right="1129" w:firstLine="420"/>
        <w:jc w:val="both"/>
      </w:pPr>
      <w:r>
        <w:rPr/>
        <w:t>公司采用实际利率法，按摊余成本对金融负债进行后续计量，但下列情况除外：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35"/>
        </w:rPr>
        <w:t> </w:t>
      </w:r>
      <w:r>
        <w:rPr/>
        <w:t>以公允价值计量 </w:t>
      </w:r>
      <w:r>
        <w:rPr>
          <w:spacing w:val="-1"/>
        </w:rPr>
        <w:t>且其变动计入当期损益的金融负债，按照公允价值计量，且不扣除将来结清金融负债时可能发生的交易费</w:t>
      </w:r>
      <w:r>
        <w:rPr>
          <w:spacing w:val="-81"/>
        </w:rPr>
        <w:t> </w:t>
      </w:r>
      <w:r>
        <w:rPr>
          <w:spacing w:val="-81"/>
        </w:rPr>
      </w:r>
      <w:r>
        <w:rPr/>
        <w:t>用；</w:t>
      </w: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与在活跃市场中没有报价、公允价值不能可靠计量的权益工具挂钩并须通过交付该权益工具结算</w:t>
      </w:r>
      <w:r>
        <w:rPr>
          <w:spacing w:val="-96"/>
        </w:rPr>
        <w:t> </w:t>
      </w:r>
      <w:r>
        <w:rPr>
          <w:spacing w:val="-96"/>
        </w:rPr>
      </w:r>
      <w:r>
        <w:rPr/>
        <w:t>的衍生金融负债，按照成本计量；</w:t>
      </w: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不属于指定为以公允价值计量且其变动计入当期损益的金融负债的</w:t>
      </w:r>
      <w:r>
        <w:rPr>
          <w:spacing w:val="-95"/>
        </w:rPr>
        <w:t> </w:t>
      </w:r>
      <w:r>
        <w:rPr>
          <w:spacing w:val="-95"/>
        </w:rPr>
      </w:r>
      <w:r>
        <w:rPr>
          <w:spacing w:val="3"/>
        </w:rPr>
        <w:t>财务担保合同，或没有指定为以公允价值计量且其变动计入当期损益并将以低于市场利率贷款的贷款承</w:t>
      </w:r>
      <w:r>
        <w:rPr>
          <w:spacing w:val="-82"/>
        </w:rPr>
        <w:t> </w:t>
      </w:r>
      <w:r>
        <w:rPr>
          <w:spacing w:val="-82"/>
        </w:rPr>
      </w:r>
      <w:r>
        <w:rPr>
          <w:spacing w:val="-2"/>
        </w:rPr>
        <w:t>诺，在初始确认后按照下列两项金额之中的较高者进行后续计量：</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spacing w:val="-2"/>
        </w:rPr>
        <w:t>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w:t>
      </w:r>
      <w:r>
        <w:rPr>
          <w:spacing w:val="-101"/>
        </w:rPr>
        <w:t> </w:t>
      </w:r>
      <w:r>
        <w:rPr>
          <w:spacing w:val="-4"/>
        </w:rPr>
        <w:t>事项》确定的金额；</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3"/>
        </w:rPr>
        <w:t> </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收入》的原则确定的累积摊销额 后的余额。</w:t>
      </w:r>
    </w:p>
    <w:p>
      <w:pPr>
        <w:pStyle w:val="BodyText"/>
        <w:spacing w:line="266" w:lineRule="auto" w:before="18"/>
        <w:ind w:right="1131" w:firstLine="420"/>
        <w:jc w:val="both"/>
      </w:pPr>
      <w:r>
        <w:rPr>
          <w:spacing w:val="-2"/>
        </w:rPr>
        <w:t>金融资产或金融负债公允价值变动形成的利得或损失，除与套期保值有关外，按照如下方法处理：</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spacing w:val="-1"/>
        </w:rPr>
        <w:t>以公允价值计量且其变动计入当期损益的金融资产或金融负债公允价值变动形成的利得或损失，计入公允</w:t>
      </w:r>
      <w:r>
        <w:rPr>
          <w:spacing w:val="-81"/>
        </w:rPr>
        <w:t> </w:t>
      </w:r>
      <w:r>
        <w:rPr>
          <w:spacing w:val="-81"/>
        </w:rPr>
      </w:r>
      <w:r>
        <w:rPr>
          <w:spacing w:val="-1"/>
        </w:rPr>
        <w:t>价值变动收益；在资产持有期间所取得的利息或现金股利，确认为投资收益；处置时，将实际收到的金额</w:t>
      </w:r>
      <w:r>
        <w:rPr>
          <w:spacing w:val="-86"/>
        </w:rPr>
        <w:t> </w:t>
      </w:r>
      <w:r>
        <w:rPr>
          <w:spacing w:val="-86"/>
        </w:rPr>
      </w:r>
      <w:r>
        <w:rPr/>
        <w:t>与初始入账金额之间的差额确认为投资收益，同时调整公允价值变动收益。</w:t>
      </w: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可供出售金融资产的公允</w:t>
      </w:r>
      <w:r>
        <w:rPr>
          <w:spacing w:val="-97"/>
        </w:rPr>
        <w:t> </w:t>
      </w:r>
      <w:r>
        <w:rPr>
          <w:spacing w:val="-97"/>
        </w:rPr>
      </w:r>
      <w:r>
        <w:rPr>
          <w:spacing w:val="-1"/>
        </w:rPr>
        <w:t>价值变动计入其他综合收益；持有期间按实际利率法计算的利息，计入投资收益；可供出售权益工具投资</w:t>
      </w:r>
      <w:r>
        <w:rPr>
          <w:spacing w:val="-83"/>
        </w:rPr>
        <w:t> </w:t>
      </w:r>
      <w:r>
        <w:rPr>
          <w:spacing w:val="-83"/>
        </w:rPr>
      </w:r>
      <w:r>
        <w:rPr>
          <w:spacing w:val="-1"/>
        </w:rPr>
        <w:t>的现金股利，于被投资单位宣告发放股利时计入投资收益；处置时，将实际收到的金额与账面价值扣除原</w:t>
      </w:r>
      <w:r>
        <w:rPr>
          <w:spacing w:val="-83"/>
        </w:rPr>
        <w:t> </w:t>
      </w:r>
      <w:r>
        <w:rPr>
          <w:spacing w:val="-83"/>
        </w:rPr>
      </w:r>
      <w:r>
        <w:rPr/>
        <w:t>直接计入其他综合收益的公允价值变动累计额之后的差额确认为投资收益。</w:t>
      </w:r>
    </w:p>
    <w:p>
      <w:pPr>
        <w:pStyle w:val="BodyText"/>
        <w:spacing w:line="273" w:lineRule="auto" w:before="14"/>
        <w:ind w:right="1131" w:firstLine="420"/>
        <w:jc w:val="both"/>
      </w:pPr>
      <w:r>
        <w:rPr>
          <w:spacing w:val="3"/>
        </w:rPr>
        <w:t>当收取某项金融资产现金流量的合同权利已终止或该金融资产所有权上几乎所有的风险和报酬已转</w:t>
      </w:r>
      <w:r>
        <w:rPr/>
        <w:t> </w:t>
      </w:r>
      <w:r>
        <w:rPr>
          <w:spacing w:val="-1"/>
        </w:rPr>
        <w:t>移时，终止确认该金融资产；当金融负债的现时义务全部或部分解除时，相应终止确认该金融负债或其一</w:t>
      </w:r>
      <w:r>
        <w:rPr>
          <w:spacing w:val="-83"/>
        </w:rPr>
        <w:t> </w:t>
      </w:r>
      <w:r>
        <w:rPr>
          <w:spacing w:val="-83"/>
        </w:rPr>
      </w:r>
      <w:r>
        <w:rPr/>
        <w:t>部分。</w:t>
      </w:r>
    </w:p>
    <w:p>
      <w:pPr>
        <w:pStyle w:val="BodyText"/>
        <w:spacing w:line="256" w:lineRule="auto" w:before="8"/>
        <w:ind w:left="57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2"/>
        </w:rPr>
        <w:t> </w:t>
      </w:r>
      <w:r>
        <w:rPr/>
        <w:t>金融资产转移的确认依据和计量方法 </w:t>
      </w:r>
      <w:r>
        <w:rPr>
          <w:spacing w:val="-1"/>
        </w:rPr>
        <w:t>公司已将金融资产所有权上几乎所有的风险和报酬转移给了转入方的，终止确认该金融资产；保留了</w:t>
      </w:r>
    </w:p>
    <w:p>
      <w:pPr>
        <w:pStyle w:val="BodyText"/>
        <w:spacing w:line="273" w:lineRule="auto" w:before="22"/>
        <w:ind w:right="0"/>
        <w:jc w:val="left"/>
        <w:rPr>
          <w:rFonts w:ascii="Times New Roman" w:hAnsi="Times New Roman" w:cs="Times New Roman" w:eastAsia="Times New Roman" w:hint="default"/>
        </w:rPr>
      </w:pPr>
      <w:r>
        <w:rPr>
          <w:spacing w:val="-1"/>
        </w:rPr>
        <w:t>金融资产所有权上几乎所有的风险和报酬的，继续确认所转移的金融资产，并将收到的对价确认为一项金</w:t>
      </w:r>
      <w:r>
        <w:rPr>
          <w:spacing w:val="-81"/>
        </w:rPr>
        <w:t> </w:t>
      </w:r>
      <w:r>
        <w:rPr>
          <w:spacing w:val="-81"/>
        </w:rPr>
      </w:r>
      <w:r>
        <w:rPr>
          <w:spacing w:val="-2"/>
        </w:rPr>
        <w:t>融负债。公司既没有转移也没有保留金融资产所有权上几乎所有的风险和报酬的，分别下列情况处理：</w:t>
      </w:r>
      <w:r>
        <w:rPr>
          <w:rFonts w:ascii="Times New Roman" w:hAnsi="Times New Roman" w:cs="Times New Roman" w:eastAsia="Times New Roman" w:hint="default"/>
          <w:spacing w:val="-2"/>
        </w:rPr>
        <w:t>(1)</w:t>
      </w:r>
    </w:p>
    <w:p>
      <w:pPr>
        <w:spacing w:after="0" w:line="273"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1"/>
        <w:rPr>
          <w:rFonts w:ascii="Times New Roman" w:hAnsi="Times New Roman" w:cs="Times New Roman" w:eastAsia="Times New Roman" w:hint="default"/>
          <w:sz w:val="28"/>
          <w:szCs w:val="28"/>
        </w:rPr>
      </w:pPr>
    </w:p>
    <w:p>
      <w:pPr>
        <w:pStyle w:val="BodyText"/>
        <w:spacing w:line="256" w:lineRule="auto" w:before="35"/>
        <w:ind w:right="1137"/>
        <w:jc w:val="both"/>
      </w:pPr>
      <w:r>
        <w:rPr/>
        <w:t>放弃了对该金融资产控制的，终止确认该金融资产；</w:t>
      </w: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未放弃对该金融资产控制的，按照继续涉入所转</w:t>
      </w:r>
      <w:r>
        <w:rPr>
          <w:spacing w:val="-99"/>
        </w:rPr>
        <w:t> </w:t>
      </w:r>
      <w:r>
        <w:rPr>
          <w:spacing w:val="-99"/>
        </w:rPr>
      </w:r>
      <w:r>
        <w:rPr/>
        <w:t>移金融资产的程度确认有关金融资产，并相应确认有关负债。</w:t>
      </w:r>
    </w:p>
    <w:p>
      <w:pPr>
        <w:pStyle w:val="BodyText"/>
        <w:spacing w:line="261" w:lineRule="auto" w:before="22"/>
        <w:ind w:right="1131" w:firstLine="420"/>
        <w:jc w:val="both"/>
      </w:pPr>
      <w:r>
        <w:rPr/>
        <w:t>金融资产整体转移满足终止确认条件的，将下列两项金额的差额计入当期损益：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所转移金融资产 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因转移而收到的对价，与原直接计入所有者权益的公允价值变动累计额之和。金融资产</w:t>
      </w:r>
      <w:r>
        <w:rPr>
          <w:spacing w:val="-95"/>
        </w:rPr>
        <w:t> </w:t>
      </w:r>
      <w:r>
        <w:rPr>
          <w:spacing w:val="-95"/>
        </w:rPr>
      </w:r>
      <w:r>
        <w:rPr>
          <w:spacing w:val="-1"/>
        </w:rPr>
        <w:t>部分转移满足终止确认条件的，将所转移金融资产整体的账面价值，在终止确认部分和未终止确认部分之</w:t>
      </w:r>
      <w:r>
        <w:rPr>
          <w:spacing w:val="-81"/>
        </w:rPr>
        <w:t> </w:t>
      </w:r>
      <w:r>
        <w:rPr>
          <w:spacing w:val="-81"/>
        </w:rPr>
      </w:r>
      <w:r>
        <w:rPr/>
        <w:t>间，按照各自的相对公允价值进行分摊，并将下列两项金额的差额计入当期损益：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终止确认部分的账</w:t>
      </w:r>
      <w:r>
        <w:rPr>
          <w:spacing w:val="-97"/>
        </w:rPr>
        <w:t> </w:t>
      </w:r>
      <w:r>
        <w:rPr>
          <w:spacing w:val="-97"/>
        </w:rPr>
      </w:r>
      <w:r>
        <w:rPr/>
        <w:t>面价值；</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终止确认部分的对价，与原直接计入所有者权益的公允价值变动累计额中对应终止确认部分</w:t>
      </w:r>
      <w:r>
        <w:rPr>
          <w:spacing w:val="-95"/>
        </w:rPr>
        <w:t> </w:t>
      </w:r>
      <w:r>
        <w:rPr>
          <w:spacing w:val="-95"/>
        </w:rPr>
      </w:r>
      <w:r>
        <w:rPr/>
        <w:t>的金额之和。</w:t>
      </w:r>
    </w:p>
    <w:p>
      <w:pPr>
        <w:pStyle w:val="BodyText"/>
        <w:spacing w:line="256" w:lineRule="auto" w:before="18"/>
        <w:ind w:left="574"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2"/>
        </w:rPr>
        <w:t> </w:t>
      </w:r>
      <w:r>
        <w:rPr/>
        <w:t>金融资产和金融负债的公允价值确定方法 </w:t>
      </w:r>
      <w:r>
        <w:rPr>
          <w:spacing w:val="3"/>
        </w:rPr>
        <w:t>公司采用在当前情况下适用并且有足够可利用数据和其他信息支持的估值技术确定相关金融资产和</w:t>
      </w:r>
    </w:p>
    <w:p>
      <w:pPr>
        <w:pStyle w:val="BodyText"/>
        <w:spacing w:line="240" w:lineRule="auto" w:before="22"/>
        <w:ind w:right="0"/>
        <w:jc w:val="both"/>
      </w:pPr>
      <w:r>
        <w:rPr/>
        <w:t>金融负债的公允价值。公司将估值技术使用的输入值分以下层级，并依次使用：</w:t>
      </w:r>
    </w:p>
    <w:p>
      <w:pPr>
        <w:pStyle w:val="BodyText"/>
        <w:spacing w:line="240" w:lineRule="auto" w:before="37"/>
        <w:ind w:left="574" w:right="1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第一层次输入值是在计量日能够取得的相同资产或负债在活跃市场上未经调整的报价；</w:t>
      </w:r>
    </w:p>
    <w:p>
      <w:pPr>
        <w:pStyle w:val="BodyText"/>
        <w:spacing w:line="264" w:lineRule="auto" w:before="21"/>
        <w:ind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7"/>
        </w:rPr>
        <w:t> </w:t>
      </w:r>
      <w:r>
        <w:rPr/>
        <w:t>第二层次输入值是除第一层次输入值外相关资产或负债直接或间接可观察的输入值，包括：活跃</w:t>
      </w:r>
      <w:r>
        <w:rPr>
          <w:w w:val="99"/>
        </w:rPr>
        <w:t> </w:t>
      </w:r>
      <w:r>
        <w:rPr>
          <w:spacing w:val="-1"/>
        </w:rPr>
        <w:t>市场中类似资产或负债的报价；非活跃市场中相同或类似资产或负债的报价；除报价以外的其他可观察输</w:t>
      </w:r>
      <w:r>
        <w:rPr>
          <w:spacing w:val="-82"/>
        </w:rPr>
        <w:t> </w:t>
      </w:r>
      <w:r>
        <w:rPr>
          <w:spacing w:val="-82"/>
        </w:rPr>
      </w:r>
      <w:r>
        <w:rPr/>
        <w:t>入值，如在正常报价间隔期间可观察的利率和收益率曲线等；市场验证的输入值等；</w:t>
      </w:r>
    </w:p>
    <w:p>
      <w:pPr>
        <w:pStyle w:val="BodyText"/>
        <w:spacing w:line="264" w:lineRule="auto" w:before="16"/>
        <w:ind w:right="1131"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第三层次输入值是相关资产或负债的不可观察输入值，包括不能直接观察或无法由可观察市场数</w:t>
      </w:r>
      <w:r>
        <w:rPr>
          <w:w w:val="99"/>
        </w:rPr>
        <w:t> </w:t>
      </w:r>
      <w:r>
        <w:rPr>
          <w:spacing w:val="-1"/>
        </w:rPr>
        <w:t>据验证的利率、股票波动率、企业合并中承担的弃置义务的未来现金流量、使用自身数据作出的财务预测</w:t>
      </w:r>
      <w:r>
        <w:rPr>
          <w:spacing w:val="-84"/>
        </w:rPr>
        <w:t> </w:t>
      </w:r>
      <w:r>
        <w:rPr>
          <w:spacing w:val="-84"/>
        </w:rPr>
      </w:r>
      <w:r>
        <w:rPr/>
        <w:t>等。</w:t>
      </w:r>
    </w:p>
    <w:p>
      <w:pPr>
        <w:pStyle w:val="BodyText"/>
        <w:spacing w:line="240" w:lineRule="auto" w:before="16"/>
        <w:ind w:left="574" w:right="136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金融资产的减值测试和减值准备计提方法</w:t>
      </w:r>
    </w:p>
    <w:p>
      <w:pPr>
        <w:pStyle w:val="BodyText"/>
        <w:spacing w:line="256" w:lineRule="auto" w:before="21"/>
        <w:ind w:right="114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资产负债表日对以公允价值计量且其变动计入当期损益的金融资产以外的金融资产的账面价值进</w:t>
      </w:r>
      <w:r>
        <w:rPr>
          <w:w w:val="99"/>
        </w:rPr>
        <w:t> </w:t>
      </w:r>
      <w:r>
        <w:rPr/>
        <w:t>行检查，如有客观证据表明该金融资产发生减值的，计提减值准备。</w:t>
      </w:r>
    </w:p>
    <w:p>
      <w:pPr>
        <w:pStyle w:val="BodyText"/>
        <w:spacing w:line="268" w:lineRule="auto" w:before="22"/>
        <w:ind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对于持有至到期投资、贷款和应收款，先将单项金额重大的金融资产区分开来，单独进行减值测</w:t>
      </w:r>
      <w:r>
        <w:rPr>
          <w:w w:val="99"/>
        </w:rPr>
        <w:t> </w:t>
      </w:r>
      <w:r>
        <w:rPr>
          <w:spacing w:val="-1"/>
        </w:rPr>
        <w:t>试；对单项金额不重大的金融资产，可以单独进行减值测试，或包括在具有类似信用风险特征的金融资产</w:t>
      </w:r>
      <w:r>
        <w:rPr>
          <w:spacing w:val="-84"/>
        </w:rPr>
        <w:t> </w:t>
      </w:r>
      <w:r>
        <w:rPr>
          <w:spacing w:val="-84"/>
        </w:rPr>
      </w:r>
      <w:r>
        <w:rPr>
          <w:spacing w:val="-1"/>
        </w:rPr>
        <w:t>组合中进行减值测试；单独测试未发生减值的金融资产（包括单项金额重大和不重大的金融资产），包括</w:t>
      </w:r>
      <w:r>
        <w:rPr>
          <w:spacing w:val="-87"/>
        </w:rPr>
        <w:t> </w:t>
      </w:r>
      <w:r>
        <w:rPr>
          <w:spacing w:val="-87"/>
        </w:rPr>
      </w:r>
      <w:r>
        <w:rPr>
          <w:spacing w:val="-1"/>
        </w:rPr>
        <w:t>在具有类似信用风险特征的金融资产组合中再进行减值测试。测试结果表明其发生了减值的，根据其账面</w:t>
      </w:r>
      <w:r>
        <w:rPr>
          <w:spacing w:val="-82"/>
        </w:rPr>
        <w:t> </w:t>
      </w:r>
      <w:r>
        <w:rPr>
          <w:spacing w:val="-82"/>
        </w:rPr>
      </w:r>
      <w:r>
        <w:rPr/>
        <w:t>价值高于预计未来现金流量现值的差额确认减值损失。</w:t>
      </w:r>
    </w:p>
    <w:p>
      <w:pPr>
        <w:pStyle w:val="BodyText"/>
        <w:spacing w:line="240" w:lineRule="auto" w:before="12"/>
        <w:ind w:left="574" w:right="13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可供出售金融资产</w:t>
      </w:r>
    </w:p>
    <w:p>
      <w:pPr>
        <w:pStyle w:val="BodyText"/>
        <w:spacing w:line="240" w:lineRule="auto" w:before="21"/>
        <w:ind w:left="574" w:right="1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表明可供出售债务工具投资发生减值的客观证据包括：</w:t>
      </w:r>
    </w:p>
    <w:p>
      <w:pPr>
        <w:pStyle w:val="BodyText"/>
        <w:spacing w:line="240" w:lineRule="auto" w:before="21"/>
        <w:ind w:left="574" w:right="1360"/>
        <w:jc w:val="left"/>
      </w:pPr>
      <w:r>
        <w:rPr/>
        <w:t>①</w:t>
      </w:r>
      <w:r>
        <w:rPr>
          <w:spacing w:val="-21"/>
        </w:rPr>
        <w:t> </w:t>
      </w:r>
      <w:r>
        <w:rPr/>
        <w:t>债务人发生严重财务困难；</w:t>
      </w:r>
    </w:p>
    <w:p>
      <w:pPr>
        <w:pStyle w:val="BodyText"/>
        <w:spacing w:line="240" w:lineRule="auto" w:before="37"/>
        <w:ind w:left="574" w:right="1360"/>
        <w:jc w:val="left"/>
      </w:pPr>
      <w:r>
        <w:rPr/>
        <w:t>②</w:t>
      </w:r>
      <w:r>
        <w:rPr>
          <w:spacing w:val="-21"/>
        </w:rPr>
        <w:t> </w:t>
      </w:r>
      <w:r>
        <w:rPr/>
        <w:t>债务人违反了合同条款，如偿付利息或本金发生违约或逾期；</w:t>
      </w:r>
    </w:p>
    <w:p>
      <w:pPr>
        <w:pStyle w:val="BodyText"/>
        <w:spacing w:line="240" w:lineRule="auto" w:before="37"/>
        <w:ind w:left="574" w:right="1360"/>
        <w:jc w:val="left"/>
      </w:pPr>
      <w:r>
        <w:rPr/>
        <w:t>③</w:t>
      </w:r>
      <w:r>
        <w:rPr>
          <w:spacing w:val="-21"/>
        </w:rPr>
        <w:t> </w:t>
      </w:r>
      <w:r>
        <w:rPr/>
        <w:t>公司出于经济或法律等方面因素的考虑，对发生财务困难的债务人作出让步；</w:t>
      </w:r>
    </w:p>
    <w:p>
      <w:pPr>
        <w:pStyle w:val="BodyText"/>
        <w:spacing w:line="240" w:lineRule="auto" w:before="37"/>
        <w:ind w:left="574" w:right="1360"/>
        <w:jc w:val="left"/>
      </w:pPr>
      <w:r>
        <w:rPr/>
        <w:t>④</w:t>
      </w:r>
      <w:r>
        <w:rPr>
          <w:spacing w:val="-21"/>
        </w:rPr>
        <w:t> </w:t>
      </w:r>
      <w:r>
        <w:rPr/>
        <w:t>债务人很可能倒闭或进行其他财务重组；</w:t>
      </w:r>
    </w:p>
    <w:p>
      <w:pPr>
        <w:pStyle w:val="BodyText"/>
        <w:spacing w:line="240" w:lineRule="auto" w:before="37"/>
        <w:ind w:left="574" w:right="1360"/>
        <w:jc w:val="left"/>
      </w:pPr>
      <w:r>
        <w:rPr/>
        <w:t>⑤</w:t>
      </w:r>
      <w:r>
        <w:rPr>
          <w:spacing w:val="-21"/>
        </w:rPr>
        <w:t> </w:t>
      </w:r>
      <w:r>
        <w:rPr/>
        <w:t>因债务人发生重大财务困难，该债务工具无法在活跃市场继续交易；</w:t>
      </w:r>
    </w:p>
    <w:p>
      <w:pPr>
        <w:pStyle w:val="BodyText"/>
        <w:spacing w:line="240" w:lineRule="auto" w:before="37"/>
        <w:ind w:left="574" w:right="1360"/>
        <w:jc w:val="left"/>
      </w:pPr>
      <w:r>
        <w:rPr/>
        <w:t>⑥</w:t>
      </w:r>
      <w:r>
        <w:rPr>
          <w:spacing w:val="-21"/>
        </w:rPr>
        <w:t> </w:t>
      </w:r>
      <w:r>
        <w:rPr/>
        <w:t>其他表明可供出售债务工具已经发生减值的情况。</w:t>
      </w:r>
    </w:p>
    <w:p>
      <w:pPr>
        <w:pStyle w:val="BodyText"/>
        <w:spacing w:line="264" w:lineRule="auto" w:before="37"/>
        <w:ind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spacing w:val="2"/>
        </w:rPr>
        <w:t>表明可供出售权益工具投资发生减值的客观证据包括权益工具投资的公允价值发生严重或非暂时</w:t>
      </w:r>
      <w:r>
        <w:rPr>
          <w:w w:val="99"/>
        </w:rPr>
        <w:t> </w:t>
      </w:r>
      <w:r>
        <w:rPr>
          <w:spacing w:val="-1"/>
        </w:rPr>
        <w:t>性下跌，以及被投资单位经营所处的技术、市场、经济或法律环境等发生重大不利变化使公司可能无法收</w:t>
      </w:r>
      <w:r>
        <w:rPr>
          <w:spacing w:val="-84"/>
        </w:rPr>
        <w:t> </w:t>
      </w:r>
      <w:r>
        <w:rPr>
          <w:spacing w:val="-84"/>
        </w:rPr>
      </w:r>
      <w:r>
        <w:rPr/>
        <w:t>回投资成本。</w:t>
      </w:r>
    </w:p>
    <w:p>
      <w:pPr>
        <w:pStyle w:val="BodyText"/>
        <w:spacing w:line="273" w:lineRule="auto" w:before="16"/>
        <w:ind w:right="1128" w:firstLine="420"/>
        <w:jc w:val="both"/>
      </w:pPr>
      <w:r>
        <w:rPr>
          <w:spacing w:val="-1"/>
        </w:rPr>
        <w:t>本公司于资产负债表日对各项可供出售权益工具投资单独进行检查。对于以公允价值计量的权益工具</w:t>
      </w:r>
      <w:r>
        <w:rPr/>
        <w:t> 投资，若其于资产负债表日的公允价值低于其成本超过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）或低于其成本持续时间超过</w:t>
      </w:r>
      <w:r>
        <w:rPr>
          <w:rFonts w:ascii="Times New Roman" w:hAnsi="Times New Roman" w:cs="Times New Roman" w:eastAsia="Times New Roman" w:hint="default"/>
        </w:rPr>
        <w:t>12</w:t>
      </w:r>
      <w:r>
        <w:rPr/>
        <w:t>个月</w:t>
      </w:r>
    </w:p>
    <w:p>
      <w:pPr>
        <w:pStyle w:val="BodyText"/>
        <w:spacing w:line="264" w:lineRule="auto"/>
        <w:ind w:right="1109"/>
        <w:jc w:val="both"/>
      </w:pPr>
      <w:r>
        <w:rPr/>
        <w:t>（含</w:t>
      </w:r>
      <w:r>
        <w:rPr>
          <w:rFonts w:ascii="Times New Roman" w:hAnsi="Times New Roman" w:cs="Times New Roman" w:eastAsia="Times New Roman" w:hint="default"/>
        </w:rPr>
        <w:t>12</w:t>
      </w:r>
      <w:r>
        <w:rPr/>
        <w:t>个月）的，则表明其发生减值；若其于资产负债表日的公允价值低于其成本超过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w:t>
      </w:r>
      <w:r>
        <w:rPr>
          <w:spacing w:val="-61"/>
        </w:rPr>
        <w:t> </w:t>
      </w:r>
      <w:r>
        <w:rPr/>
        <w:t>尚未达到</w:t>
      </w:r>
      <w:r>
        <w:rPr>
          <w:rFonts w:ascii="Times New Roman" w:hAnsi="Times New Roman" w:cs="Times New Roman" w:eastAsia="Times New Roman" w:hint="default"/>
        </w:rPr>
        <w:t>50%</w:t>
      </w:r>
      <w:r>
        <w:rPr/>
        <w:t>的，或低于其成本持续时间超过</w:t>
      </w:r>
      <w:r>
        <w:rPr>
          <w:rFonts w:ascii="Times New Roman" w:hAnsi="Times New Roman" w:cs="Times New Roman" w:eastAsia="Times New Roman" w:hint="default"/>
        </w:rPr>
        <w:t>6</w:t>
      </w:r>
      <w:r>
        <w:rPr/>
        <w:t>个月（含</w:t>
      </w:r>
      <w:r>
        <w:rPr>
          <w:rFonts w:ascii="Times New Roman" w:hAnsi="Times New Roman" w:cs="Times New Roman" w:eastAsia="Times New Roman" w:hint="default"/>
        </w:rPr>
        <w:t>6</w:t>
      </w:r>
      <w:r>
        <w:rPr/>
        <w:t>个月）但未超过</w:t>
      </w:r>
      <w:r>
        <w:rPr>
          <w:rFonts w:ascii="Times New Roman" w:hAnsi="Times New Roman" w:cs="Times New Roman" w:eastAsia="Times New Roman" w:hint="default"/>
        </w:rPr>
        <w:t>12</w:t>
      </w:r>
      <w:r>
        <w:rPr>
          <w:rFonts w:ascii="Times New Roman" w:hAnsi="Times New Roman" w:cs="Times New Roman" w:eastAsia="Times New Roman" w:hint="default"/>
          <w:spacing w:val="-24"/>
        </w:rPr>
        <w:t> </w:t>
      </w:r>
      <w:r>
        <w:rPr/>
        <w:t>个月的，本公司会综合考虑其 他相关因素，诸如价格波动率等，判断该权益工具投资是否发生减值。对于以成本计量的权益工具投资， </w:t>
      </w:r>
      <w:r>
        <w:rPr>
          <w:spacing w:val="-1"/>
        </w:rPr>
        <w:t>公司综合考虑被投资单位经营所处的技术、市场、经济或法律环境等是否发生重大不利变化，判断该权益</w:t>
      </w:r>
      <w:r>
        <w:rPr>
          <w:spacing w:val="-83"/>
        </w:rPr>
        <w:t> </w:t>
      </w:r>
      <w:r>
        <w:rPr>
          <w:spacing w:val="-83"/>
        </w:rPr>
      </w:r>
      <w:r>
        <w:rPr/>
        <w:t>工具是否发生减值。</w:t>
      </w:r>
    </w:p>
    <w:p>
      <w:pPr>
        <w:spacing w:after="0" w:line="264"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firstLine="420"/>
        <w:jc w:val="both"/>
      </w:pPr>
      <w:r>
        <w:rPr>
          <w:spacing w:val="-1"/>
        </w:rPr>
        <w:t>以公允价值计量的可供出售金融资产发生减值时，原直接计入其他综合收益的因公允价值下降形成的</w:t>
      </w:r>
      <w:r>
        <w:rPr/>
        <w:t> </w:t>
      </w:r>
      <w:r>
        <w:rPr>
          <w:spacing w:val="-1"/>
        </w:rPr>
        <w:t>累计损失予以转出并计入减值损失。对已确认减值损失的可供出售债务工具投资，在期后公允价值回升且</w:t>
      </w:r>
      <w:r>
        <w:rPr>
          <w:spacing w:val="-81"/>
        </w:rPr>
        <w:t> </w:t>
      </w:r>
      <w:r>
        <w:rPr>
          <w:spacing w:val="-81"/>
        </w:rPr>
      </w:r>
      <w:r>
        <w:rPr>
          <w:spacing w:val="-1"/>
        </w:rPr>
        <w:t>客观上与确认原减值损失后发生的事项有关的，原确认的减值损失予以转回并计入当期损益。对已确认减</w:t>
      </w:r>
      <w:r>
        <w:rPr>
          <w:spacing w:val="-81"/>
        </w:rPr>
        <w:t> </w:t>
      </w:r>
      <w:r>
        <w:rPr>
          <w:spacing w:val="-81"/>
        </w:rPr>
      </w:r>
      <w:r>
        <w:rPr/>
        <w:t>值损失的可供出售权益工具投资，期后公允价值回升直接计入其他综合收益。</w:t>
      </w:r>
    </w:p>
    <w:p>
      <w:pPr>
        <w:pStyle w:val="BodyText"/>
        <w:spacing w:line="273" w:lineRule="auto" w:before="8"/>
        <w:ind w:right="1131" w:firstLine="420"/>
        <w:jc w:val="both"/>
      </w:pPr>
      <w:r>
        <w:rPr>
          <w:spacing w:val="-1"/>
        </w:rPr>
        <w:t>以成本计量的可供出售权益工具发生减值时，将该权益工具投资的账面价值，与按照类似金融资产当</w:t>
      </w:r>
      <w:r>
        <w:rPr/>
        <w:t> </w:t>
      </w:r>
      <w:r>
        <w:rPr>
          <w:spacing w:val="-1"/>
        </w:rPr>
        <w:t>时市场收益率对未来现金流量折现确定的现值之间的差额，确认为减值损失，计入当期损益，发生的减值</w:t>
      </w:r>
      <w:r>
        <w:rPr>
          <w:spacing w:val="-83"/>
        </w:rPr>
        <w:t> </w:t>
      </w:r>
      <w:r>
        <w:rPr>
          <w:spacing w:val="-83"/>
        </w:rPr>
      </w:r>
      <w:r>
        <w:rPr/>
        <w:t>损失一经确认，不予转回。</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1360"/>
        <w:jc w:val="left"/>
        <w:rPr>
          <w:b w:val="0"/>
          <w:bCs w:val="0"/>
        </w:rPr>
      </w:pPr>
      <w:bookmarkStart w:name="11、应收票据及应收账款" w:id="202"/>
      <w:bookmarkEnd w:id="202"/>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1）单项金额重大并单独计提坏账准备的应收款项" w:id="203"/>
      <w:bookmarkEnd w:id="203"/>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万元以上（含）且占应收款项账面余额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 的款项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1360"/>
        <w:jc w:val="left"/>
        <w:rPr>
          <w:b w:val="0"/>
          <w:bCs w:val="0"/>
        </w:rPr>
      </w:pPr>
      <w:bookmarkStart w:name="（2）按信用风险特征组合计提坏账准备的应收款项" w:id="204"/>
      <w:bookmarkEnd w:id="204"/>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4" w:right="75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360"/>
        <w:jc w:val="left"/>
        <w:rPr>
          <w:b w:val="0"/>
          <w:bCs w:val="0"/>
        </w:rPr>
      </w:pPr>
      <w:bookmarkStart w:name="（3）单项金额不重大但单独计提坏账准备的应收款项" w:id="205"/>
      <w:bookmarkEnd w:id="205"/>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其未来现金流量现值与以账龄为信用风险特征的应收款项组 合的未来现金流量现值存在显著差异。</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b/>
          <w:bCs/>
          <w:sz w:val="28"/>
          <w:szCs w:val="28"/>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10;top:14;width:4775;height:353" coordorigin="10,14" coordsize="4775,353">
              <v:shape style="position:absolute;left:10;top:14;width:4775;height:353" coordorigin="10,14" coordsize="4775,353" path="m10,367l4784,367,4784,14,10,14,10,367xe" filled="true" fillcolor="#d2d2d2"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4776;height:2" coordorigin="10,372" coordsize="4776,2">
              <v:shape style="position:absolute;left:10;top:372;width:4776;height:2" coordorigin="10,372" coordsize="4776,0" path="m10,372l4785,372e" filled="false" stroked="true" strokeweight=".48pt" strokecolor="#000000">
                <v:path arrowok="t"/>
              </v:shape>
            </v:group>
            <v:group style="position:absolute;left:4790;top:5;width:2;height:372" coordorigin="4790,5" coordsize="2,372">
              <v:shape style="position:absolute;left:4790;top:5;width:2;height:372" coordorigin="4790,5" coordsize="0,372" path="m4790,5l4790,377e" filled="false" stroked="true" strokeweight=".47998pt" strokecolor="#000000">
                <v:path arrowok="t"/>
              </v:shape>
            </v:group>
            <v:group style="position:absolute;left:4795;top:372;width:4774;height:2" coordorigin="4795,372" coordsize="4774,2">
              <v:shape style="position:absolute;left:4795;top:372;width:4774;height:2" coordorigin="4795,372" coordsize="4774,0" path="m4795,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004pt" strokecolor="#000000">
                <v:path arrowok="t"/>
              </v:shape>
              <v:shape style="position:absolute;left:4789;top:10;width:4785;height:363" type="#_x0000_t202" filled="false" stroked="false">
                <v:textbox inset="0,0,0,0">
                  <w:txbxContent>
                    <w:p>
                      <w:pPr>
                        <w:spacing w:before="16"/>
                        <w:ind w:left="28" w:right="0" w:firstLine="0"/>
                        <w:jc w:val="left"/>
                        <w:rPr>
                          <w:rFonts w:ascii="宋体" w:hAnsi="宋体" w:cs="宋体" w:eastAsia="宋体" w:hint="default"/>
                          <w:sz w:val="18"/>
                          <w:szCs w:val="18"/>
                        </w:rPr>
                      </w:pPr>
                      <w:r>
                        <w:rPr>
                          <w:rFonts w:ascii="宋体" w:hAnsi="宋体" w:cs="宋体" w:eastAsia="宋体" w:hint="default"/>
                          <w:sz w:val="18"/>
                          <w:szCs w:val="18"/>
                        </w:rPr>
                        <w:t>值的差额计提坏账准备。</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b/>
          <w:bCs/>
          <w:sz w:val="18"/>
          <w:szCs w:val="18"/>
        </w:rPr>
      </w:pPr>
    </w:p>
    <w:p>
      <w:pPr>
        <w:pStyle w:val="Heading4"/>
        <w:spacing w:line="240" w:lineRule="auto" w:before="35"/>
        <w:ind w:right="1360"/>
        <w:jc w:val="left"/>
        <w:rPr>
          <w:b w:val="0"/>
          <w:bCs w:val="0"/>
        </w:rPr>
      </w:pPr>
      <w:bookmarkStart w:name="12、存货" w:id="206"/>
      <w:bookmarkEnd w:id="206"/>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56" w:lineRule="auto" w:before="2"/>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存货的分类 </w:t>
      </w:r>
      <w:r>
        <w:rPr>
          <w:spacing w:val="-1"/>
        </w:rPr>
        <w:t>存货包括在日常活动中持有以备出售的产成品或商品、处在生产过程中的在产品、在生产过程或提供</w:t>
      </w:r>
    </w:p>
    <w:p>
      <w:pPr>
        <w:pStyle w:val="BodyText"/>
        <w:spacing w:line="240" w:lineRule="auto" w:before="22"/>
        <w:ind w:right="1360"/>
        <w:jc w:val="left"/>
      </w:pPr>
      <w:r>
        <w:rPr/>
        <w:t>劳务过程中耗用的材料和物料等。</w:t>
      </w:r>
    </w:p>
    <w:p>
      <w:pPr>
        <w:pStyle w:val="BodyText"/>
        <w:spacing w:line="264" w:lineRule="auto" w:before="37"/>
        <w:ind w:left="574" w:right="697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发出存货的计价方法 发出存货采用月末一次加权平均法。 </w:t>
      </w: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存货可变现净值的确定依据</w:t>
      </w:r>
    </w:p>
    <w:p>
      <w:pPr>
        <w:pStyle w:val="BodyText"/>
        <w:spacing w:line="273" w:lineRule="auto"/>
        <w:ind w:right="1023" w:firstLine="420"/>
        <w:jc w:val="left"/>
      </w:pPr>
      <w:r>
        <w:rPr/>
        <w:t>资产负债表日，存货采用成本与可变现净值孰低计量，按照单个存货成本高于可变现净值的差额计提 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w:t>
      </w:r>
      <w:r>
        <w:rPr>
          <w:spacing w:val="-3"/>
        </w:rPr>
        <w:t>产负债表日，同一项存货中一部分有合同价格约定、其他部分不存在合同价格的，分别确定其可变现净值，</w:t>
      </w:r>
      <w:r>
        <w:rPr>
          <w:spacing w:val="-90"/>
        </w:rPr>
        <w:t> </w:t>
      </w:r>
      <w:r>
        <w:rPr>
          <w:spacing w:val="-90"/>
        </w:rPr>
      </w:r>
      <w:r>
        <w:rPr/>
        <w:t>并与其对应的成本进行比较，分别确定存货跌价准备的计提或转回的金额。</w:t>
      </w:r>
    </w:p>
    <w:p>
      <w:pPr>
        <w:pStyle w:val="BodyText"/>
        <w:spacing w:line="256" w:lineRule="auto" w:before="7"/>
        <w:ind w:left="574" w:right="739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2"/>
        </w:rPr>
        <w:t> </w:t>
      </w:r>
      <w:r>
        <w:rPr/>
        <w:t>存货的盘存制度 存货的盘存制度为永续盘存制。</w:t>
      </w:r>
    </w:p>
    <w:p>
      <w:pPr>
        <w:pStyle w:val="BodyText"/>
        <w:spacing w:line="240" w:lineRule="auto" w:before="22"/>
        <w:ind w:left="574" w:right="136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低值易耗品和包装物的摊销方法</w:t>
      </w:r>
    </w:p>
    <w:p>
      <w:pPr>
        <w:pStyle w:val="BodyText"/>
        <w:spacing w:line="264" w:lineRule="auto" w:before="21"/>
        <w:ind w:left="574" w:right="781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低值易耗品</w:t>
      </w:r>
      <w:r>
        <w:rPr>
          <w:w w:val="99"/>
        </w:rPr>
        <w:t> </w:t>
      </w:r>
      <w:r>
        <w:rPr/>
        <w:t>按照一次转销法进行摊销。</w:t>
      </w:r>
      <w:r>
        <w:rPr>
          <w:w w:val="99"/>
        </w:rPr>
        <w:t> </w:t>
      </w: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包装物</w:t>
      </w:r>
      <w:r>
        <w:rPr>
          <w:w w:val="99"/>
        </w:rPr>
        <w:t> </w:t>
      </w:r>
      <w:r>
        <w:rPr/>
        <w:t>按照一次转销法进行摊销。</w:t>
      </w:r>
      <w:r>
        <w:rPr>
          <w:w w:val="99"/>
        </w:rPr>
        <w:t> </w:t>
      </w:r>
      <w:r>
        <w:rPr>
          <w:rFonts w:ascii="Times New Roman" w:hAnsi="Times New Roman" w:cs="Times New Roman" w:eastAsia="Times New Roman" w:hint="default"/>
        </w:rPr>
        <w:t>6.</w:t>
      </w:r>
      <w:r>
        <w:rPr>
          <w:rFonts w:ascii="Times New Roman" w:hAnsi="Times New Roman" w:cs="Times New Roman" w:eastAsia="Times New Roman" w:hint="default"/>
          <w:spacing w:val="30"/>
        </w:rPr>
        <w:t> </w:t>
      </w:r>
      <w:r>
        <w:rPr/>
        <w:t>动漫、影视作品</w:t>
      </w:r>
    </w:p>
    <w:p>
      <w:pPr>
        <w:pStyle w:val="BodyText"/>
        <w:spacing w:line="256" w:lineRule="auto"/>
        <w:ind w:right="120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公司动漫、影视作品按照实际成本进行初始计量。公司从事与境内外其他单位合作摄制影片业务</w:t>
      </w:r>
      <w:r>
        <w:rPr>
          <w:w w:val="99"/>
        </w:rPr>
        <w:t> </w:t>
      </w:r>
      <w:r>
        <w:rPr/>
        <w:t>的，按以下方法执行：</w:t>
      </w:r>
    </w:p>
    <w:p>
      <w:pPr>
        <w:pStyle w:val="BodyText"/>
        <w:spacing w:line="256" w:lineRule="auto" w:before="22"/>
        <w:ind w:right="1176"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公司负责摄制成本核算的，在收到合作方按合同约定预付的制片款项时，先通过</w:t>
      </w:r>
      <w:r>
        <w:rPr>
          <w:rFonts w:ascii="Times New Roman" w:hAnsi="Times New Roman" w:cs="Times New Roman" w:eastAsia="Times New Roman" w:hint="default"/>
        </w:rPr>
        <w:t>“</w:t>
      </w:r>
      <w:r>
        <w:rPr/>
        <w:t>预收款项－预收 制片款</w:t>
      </w:r>
      <w:r>
        <w:rPr>
          <w:rFonts w:ascii="Times New Roman" w:hAnsi="Times New Roman" w:cs="Times New Roman" w:eastAsia="Times New Roman" w:hint="default"/>
        </w:rPr>
        <w:t>”</w:t>
      </w:r>
      <w:r>
        <w:rPr/>
        <w:t>科目进行核算；当动漫、影视作品完成摄制结转入库时，再将该款项转作动漫、影视作品库存成 本的备抵，并在结转销售成本时予以冲抵。</w:t>
      </w:r>
    </w:p>
    <w:p>
      <w:pPr>
        <w:pStyle w:val="BodyText"/>
        <w:spacing w:line="264" w:lineRule="auto" w:before="22"/>
        <w:ind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其他合作方负责摄制成本核算的，公司按合同约定支付合作方的制片款，先通过</w:t>
      </w:r>
      <w:r>
        <w:rPr>
          <w:rFonts w:ascii="Times New Roman" w:hAnsi="Times New Roman" w:cs="Times New Roman" w:eastAsia="Times New Roman" w:hint="default"/>
        </w:rPr>
        <w:t>“</w:t>
      </w:r>
      <w:r>
        <w:rPr/>
        <w:t>预付款项－预付 制片款</w:t>
      </w:r>
      <w:r>
        <w:rPr>
          <w:rFonts w:ascii="Times New Roman" w:hAnsi="Times New Roman" w:cs="Times New Roman" w:eastAsia="Times New Roman" w:hint="default"/>
        </w:rPr>
        <w:t>”</w:t>
      </w:r>
      <w:r>
        <w:rPr/>
        <w:t>科目进行核算，当动漫、影视作品完成摄制并收到其他合作方出具的经审计或双方确认的有关成 </w:t>
      </w:r>
      <w:r>
        <w:rPr>
          <w:spacing w:val="-1"/>
        </w:rPr>
        <w:t>本、费用结算凭据或报表时，按实际结算金额将该款项转作动漫、影视作品库存成本。当动漫、影视作品</w:t>
      </w:r>
      <w:r>
        <w:rPr>
          <w:spacing w:val="-83"/>
        </w:rPr>
        <w:t> </w:t>
      </w:r>
      <w:r>
        <w:rPr>
          <w:spacing w:val="-83"/>
        </w:rPr>
      </w:r>
      <w:r>
        <w:rPr>
          <w:spacing w:val="-1"/>
        </w:rPr>
        <w:t>完成摄制并取得《国产动画片播放许可证》、《电影片公映许可证》或《电视剧发行许可证》时，结转至</w:t>
      </w:r>
      <w:r>
        <w:rPr>
          <w:spacing w:val="-86"/>
        </w:rPr>
        <w:t> </w:t>
      </w:r>
      <w:r>
        <w:rPr>
          <w:spacing w:val="-86"/>
        </w:rPr>
      </w:r>
      <w:r>
        <w:rPr>
          <w:rFonts w:ascii="Times New Roman" w:hAnsi="Times New Roman" w:cs="Times New Roman" w:eastAsia="Times New Roman" w:hint="default"/>
        </w:rPr>
        <w:t>“</w:t>
      </w:r>
      <w:r>
        <w:rPr/>
        <w:t>存货</w:t>
      </w:r>
      <w:r>
        <w:rPr>
          <w:rFonts w:ascii="Times New Roman" w:hAnsi="Times New Roman" w:cs="Times New Roman" w:eastAsia="Times New Roman" w:hint="default"/>
        </w:rPr>
        <w:t>—</w:t>
      </w:r>
      <w:r>
        <w:rPr/>
        <w:t>库存商品</w:t>
      </w:r>
      <w:r>
        <w:rPr>
          <w:rFonts w:ascii="Times New Roman" w:hAnsi="Times New Roman" w:cs="Times New Roman" w:eastAsia="Times New Roman" w:hint="default"/>
        </w:rPr>
        <w:t>”</w:t>
      </w:r>
      <w:r>
        <w:rPr/>
        <w:t>。</w:t>
      </w:r>
    </w:p>
    <w:p>
      <w:pPr>
        <w:pStyle w:val="BodyText"/>
        <w:spacing w:line="289" w:lineRule="exact"/>
        <w:ind w:left="574" w:right="1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发出存货采用个别计价法，自符合收入确认条件之日起，按以下方法和规定结转销售成本：</w:t>
      </w:r>
    </w:p>
    <w:p>
      <w:pPr>
        <w:pStyle w:val="BodyText"/>
        <w:spacing w:line="240" w:lineRule="auto" w:before="21"/>
        <w:ind w:left="574" w:right="1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一次性卖断国内全部著作权的，在确认收入时，将全部实际成本一次性结转销售成本。</w:t>
      </w:r>
    </w:p>
    <w:p>
      <w:pPr>
        <w:pStyle w:val="BodyText"/>
        <w:spacing w:line="268" w:lineRule="auto" w:before="21"/>
        <w:ind w:right="1023"/>
        <w:jc w:val="left"/>
      </w:pPr>
      <w:r>
        <w:rPr>
          <w:rFonts w:ascii="Times New Roman" w:hAnsi="Times New Roman" w:cs="Times New Roman" w:eastAsia="Times New Roman" w:hint="default"/>
        </w:rPr>
        <w:t>2) </w:t>
      </w:r>
      <w:r>
        <w:rPr/>
        <w:t>采用按票款、发行收入等分账结算方式，或采用多次、局部（特定院线或一定区域、一定时期内）将发</w:t>
      </w:r>
      <w:r>
        <w:rPr>
          <w:w w:val="99"/>
        </w:rPr>
        <w:t> </w:t>
      </w:r>
      <w:r>
        <w:rPr>
          <w:spacing w:val="-3"/>
        </w:rPr>
        <w:t>行权、放映权转让给部分电影院线（发行公司）或电视台等，且仍可继续向其他单位发行、销售的影视剧，</w:t>
      </w:r>
      <w:r>
        <w:rPr>
          <w:spacing w:val="-95"/>
        </w:rPr>
        <w:t> </w:t>
      </w:r>
      <w:r>
        <w:rPr>
          <w:spacing w:val="-95"/>
        </w:rPr>
      </w:r>
      <w:r>
        <w:rPr/>
        <w:t>一般在符合收入确认条件之日起，在一定期限内（提供给电视台播映电视剧片可在不超过五年的期间内、</w:t>
      </w:r>
      <w:r>
        <w:rPr>
          <w:w w:val="99"/>
        </w:rPr>
        <w:t> </w:t>
      </w:r>
      <w:r>
        <w:rPr/>
        <w:t>动漫作品可在不超过三年的期间内、电影作品在不超过两年的期间内），采用计划收入比例法将其全部实</w:t>
      </w:r>
      <w:r>
        <w:rPr>
          <w:w w:val="99"/>
        </w:rPr>
        <w:t> </w:t>
      </w:r>
      <w:r>
        <w:rPr/>
        <w:t>际成本逐笔（期）结转销售成本。计划收入比例法具体的计算原则和方法：从符合收入确认条件之日起，</w:t>
      </w:r>
      <w:r>
        <w:rPr>
          <w:w w:val="99"/>
        </w:rPr>
        <w:t> </w:t>
      </w:r>
      <w:r>
        <w:rPr/>
        <w:t>在各收入确认的期间内，以本期确认收入占预计总收入的比例为权数，计算确定本期应结转的销售成本。</w:t>
      </w:r>
    </w:p>
    <w:p>
      <w:pPr>
        <w:spacing w:after="0" w:line="26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1360"/>
        <w:jc w:val="left"/>
      </w:pPr>
      <w:r>
        <w:rPr/>
        <w:t>即当期应结转的销售成本＝总成本</w:t>
      </w:r>
      <w:r>
        <w:rPr>
          <w:rFonts w:ascii="Times New Roman" w:hAnsi="Times New Roman" w:cs="Times New Roman" w:eastAsia="Times New Roman" w:hint="default"/>
        </w:rPr>
        <w:t>×</w:t>
      </w:r>
      <w:r>
        <w:rPr/>
        <w:t>（当期收入</w:t>
      </w:r>
      <w:r>
        <w:rPr>
          <w:rFonts w:ascii="Times New Roman" w:hAnsi="Times New Roman" w:cs="Times New Roman" w:eastAsia="Times New Roman" w:hint="default"/>
        </w:rPr>
        <w:t>÷</w:t>
      </w:r>
      <w:r>
        <w:rPr/>
        <w:t>预计总收入）。</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right="1360"/>
        <w:jc w:val="left"/>
        <w:rPr>
          <w:b w:val="0"/>
          <w:bCs w:val="0"/>
        </w:rPr>
      </w:pPr>
      <w:bookmarkStart w:name="13、持有待售资产" w:id="207"/>
      <w:bookmarkEnd w:id="207"/>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8"/>
        <w:rPr>
          <w:rFonts w:ascii="宋体" w:hAnsi="宋体" w:cs="宋体" w:eastAsia="宋体" w:hint="default"/>
          <w:b/>
          <w:bCs/>
          <w:sz w:val="24"/>
          <w:szCs w:val="24"/>
        </w:rPr>
      </w:pPr>
    </w:p>
    <w:p>
      <w:pPr>
        <w:pStyle w:val="BodyText"/>
        <w:spacing w:line="256" w:lineRule="auto"/>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持有待售的非流动资产或处置组的分类 公司将同时满足下列条件的非流动资产或处置组划分为持有待售类别：（</w:t>
      </w:r>
      <w:r>
        <w:rPr>
          <w:rFonts w:ascii="Times New Roman" w:hAnsi="Times New Roman" w:cs="Times New Roman" w:eastAsia="Times New Roman" w:hint="default"/>
        </w:rPr>
        <w:t>1</w:t>
      </w:r>
      <w:r>
        <w:rPr/>
        <w:t>）根据类似交易中出售此</w:t>
      </w:r>
    </w:p>
    <w:p>
      <w:pPr>
        <w:pStyle w:val="BodyText"/>
        <w:spacing w:line="256" w:lineRule="auto" w:before="5"/>
        <w:ind w:right="0"/>
        <w:jc w:val="left"/>
      </w:pPr>
      <w:r>
        <w:rPr/>
        <w:t>类资产或处置组的惯例，在当前状况下即可立即出售；（</w:t>
      </w:r>
      <w:r>
        <w:rPr>
          <w:rFonts w:ascii="Times New Roman" w:hAnsi="Times New Roman" w:cs="Times New Roman" w:eastAsia="Times New Roman" w:hint="default"/>
        </w:rPr>
        <w:t>2</w:t>
      </w:r>
      <w:r>
        <w:rPr/>
        <w:t>）出售极可能发生，即公司已经就出售计划作</w:t>
      </w:r>
      <w:r>
        <w:rPr>
          <w:spacing w:val="-29"/>
        </w:rPr>
        <w:t> </w:t>
      </w:r>
      <w:r>
        <w:rPr>
          <w:spacing w:val="-29"/>
        </w:rPr>
      </w:r>
      <w:r>
        <w:rPr/>
        <w:t>出决议且获得确定的购买承诺，预计出售将在一年内完成。</w:t>
      </w:r>
    </w:p>
    <w:p>
      <w:pPr>
        <w:pStyle w:val="BodyText"/>
        <w:spacing w:line="256" w:lineRule="auto" w:before="22"/>
        <w:ind w:right="1132" w:firstLine="420"/>
        <w:jc w:val="both"/>
      </w:pPr>
      <w:r>
        <w:rPr/>
        <w:t>公司专为转售而取得的非流动资产或处置组，在取得日满足</w:t>
      </w:r>
      <w:r>
        <w:rPr>
          <w:rFonts w:ascii="Times New Roman" w:hAnsi="Times New Roman" w:cs="Times New Roman" w:eastAsia="Times New Roman" w:hint="default"/>
        </w:rPr>
        <w:t>“</w:t>
      </w:r>
      <w:r>
        <w:rPr/>
        <w:t>预计出售将在一年内完成</w:t>
      </w:r>
      <w:r>
        <w:rPr>
          <w:rFonts w:ascii="Times New Roman" w:hAnsi="Times New Roman" w:cs="Times New Roman" w:eastAsia="Times New Roman" w:hint="default"/>
        </w:rPr>
        <w:t>”</w:t>
      </w:r>
      <w:r>
        <w:rPr/>
        <w:t>的条件，且短 期（通常为</w:t>
      </w:r>
      <w:r>
        <w:rPr>
          <w:rFonts w:ascii="Times New Roman" w:hAnsi="Times New Roman" w:cs="Times New Roman" w:eastAsia="Times New Roman" w:hint="default"/>
        </w:rPr>
        <w:t>3</w:t>
      </w:r>
      <w:r>
        <w:rPr/>
        <w:t>个月）内很可能满足持有待售类别的其他划分条件的，在取得日将其划分为持有待售类别。</w:t>
      </w:r>
    </w:p>
    <w:p>
      <w:pPr>
        <w:pStyle w:val="BodyText"/>
        <w:spacing w:line="264" w:lineRule="auto" w:before="5"/>
        <w:ind w:right="1130" w:firstLine="420"/>
        <w:jc w:val="both"/>
      </w:pPr>
      <w:r>
        <w:rPr>
          <w:spacing w:val="-1"/>
        </w:rPr>
        <w:t>因公司无法控制的下列原因之一，导致非关联方之间的交易未能在一年内完成，且公司仍然承诺出售</w:t>
      </w:r>
      <w:r>
        <w:rPr/>
        <w:t> 非流动资产或处置组的，继续将非流动资产或处置组划分为持有待售类别：（</w:t>
      </w:r>
      <w:r>
        <w:rPr>
          <w:rFonts w:ascii="Times New Roman" w:hAnsi="Times New Roman" w:cs="Times New Roman" w:eastAsia="Times New Roman" w:hint="default"/>
        </w:rPr>
        <w:t>1</w:t>
      </w:r>
      <w:r>
        <w:rPr/>
        <w:t>）买方或其他方意外设定</w:t>
      </w:r>
      <w:r>
        <w:rPr>
          <w:spacing w:val="-25"/>
        </w:rPr>
        <w:t> </w:t>
      </w:r>
      <w:r>
        <w:rPr>
          <w:spacing w:val="-25"/>
        </w:rPr>
      </w:r>
      <w:r>
        <w:rPr>
          <w:spacing w:val="-1"/>
        </w:rPr>
        <w:t>导致出售延期的条件，公司针对这些条件已经及时采取行动，且预计能够自设定导致出售延期的条件起一</w:t>
      </w:r>
      <w:r>
        <w:rPr>
          <w:spacing w:val="-81"/>
        </w:rPr>
        <w:t> </w:t>
      </w:r>
      <w:r>
        <w:rPr>
          <w:spacing w:val="-81"/>
        </w:rPr>
      </w:r>
      <w:r>
        <w:rPr/>
        <w:t>年内顺利化解延期因素；（</w:t>
      </w:r>
      <w:r>
        <w:rPr>
          <w:rFonts w:ascii="Times New Roman" w:hAnsi="Times New Roman" w:cs="Times New Roman" w:eastAsia="Times New Roman" w:hint="default"/>
        </w:rPr>
        <w:t>2</w:t>
      </w:r>
      <w:r>
        <w:rPr/>
        <w:t>）因发生罕见情况，导致持有待售的非流动资产或处置组未能在一年内完成</w:t>
      </w:r>
      <w:r>
        <w:rPr>
          <w:spacing w:val="-27"/>
        </w:rPr>
        <w:t> </w:t>
      </w:r>
      <w:r>
        <w:rPr>
          <w:spacing w:val="-27"/>
        </w:rPr>
      </w:r>
      <w:r>
        <w:rPr/>
        <w:t>出售，公司在最初一年内已经针对这些新情况采取必要措施且重新满足了持有待售类别的划分条件。</w:t>
      </w:r>
    </w:p>
    <w:p>
      <w:pPr>
        <w:pStyle w:val="BodyText"/>
        <w:spacing w:line="240" w:lineRule="auto" w:before="16"/>
        <w:ind w:left="574" w:right="1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持有待售的非流动资产或处置组的计量</w:t>
      </w:r>
    </w:p>
    <w:p>
      <w:pPr>
        <w:pStyle w:val="BodyText"/>
        <w:spacing w:line="256" w:lineRule="auto" w:before="21"/>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初始计量和后续计量</w:t>
      </w:r>
      <w:r>
        <w:rPr>
          <w:w w:val="99"/>
        </w:rPr>
        <w:t> </w:t>
      </w:r>
      <w:r>
        <w:rPr>
          <w:spacing w:val="-1"/>
        </w:rPr>
        <w:t>初始计量和在资产负债表日重新计量持有待售的非流动资产或处置组时，其账面价值高于公允价值减</w:t>
      </w:r>
    </w:p>
    <w:p>
      <w:pPr>
        <w:pStyle w:val="BodyText"/>
        <w:spacing w:line="273" w:lineRule="auto" w:before="22"/>
        <w:ind w:right="0"/>
        <w:jc w:val="left"/>
      </w:pPr>
      <w:r>
        <w:rPr>
          <w:spacing w:val="-1"/>
        </w:rPr>
        <w:t>去出售费用后的净额的，将账面价值减记至公允价值减去出售费用后的净额，减记的金额确认为资产减值</w:t>
      </w:r>
      <w:r>
        <w:rPr>
          <w:spacing w:val="-81"/>
        </w:rPr>
        <w:t> </w:t>
      </w:r>
      <w:r>
        <w:rPr>
          <w:spacing w:val="-81"/>
        </w:rPr>
      </w:r>
      <w:r>
        <w:rPr/>
        <w:t>损失，计入当期损益，同时计提持有待售资产减值准备。</w:t>
      </w:r>
    </w:p>
    <w:p>
      <w:pPr>
        <w:pStyle w:val="BodyText"/>
        <w:spacing w:line="273" w:lineRule="auto" w:before="7"/>
        <w:ind w:right="1130" w:firstLine="420"/>
        <w:jc w:val="both"/>
      </w:pPr>
      <w:r>
        <w:rPr>
          <w:spacing w:val="-1"/>
        </w:rPr>
        <w:t>对于取得日划分为持有待售类别的非流动资产或处置组，在初始计量时比较假定其不划分为持有待售</w:t>
      </w:r>
      <w:r>
        <w:rPr/>
        <w:t> </w:t>
      </w:r>
      <w:r>
        <w:rPr>
          <w:spacing w:val="-1"/>
        </w:rPr>
        <w:t>类别情况下的初始计量金额和公允价值减去出售费用后的净额，以两者孰低计量。除企业合并中取得的非</w:t>
      </w:r>
      <w:r>
        <w:rPr>
          <w:spacing w:val="-81"/>
        </w:rPr>
        <w:t> </w:t>
      </w:r>
      <w:r>
        <w:rPr>
          <w:spacing w:val="-81"/>
        </w:rPr>
      </w:r>
      <w:r>
        <w:rPr>
          <w:spacing w:val="-1"/>
        </w:rPr>
        <w:t>流动资产或处置组外，由非流动资产或处置组以公允价值减去出售费用后的净额作为初始计量金额而产生</w:t>
      </w:r>
      <w:r>
        <w:rPr>
          <w:spacing w:val="-81"/>
        </w:rPr>
        <w:t> </w:t>
      </w:r>
      <w:r>
        <w:rPr>
          <w:spacing w:val="-81"/>
        </w:rPr>
      </w:r>
      <w:r>
        <w:rPr/>
        <w:t>的差额，计入当期损益。</w:t>
      </w:r>
    </w:p>
    <w:p>
      <w:pPr>
        <w:pStyle w:val="BodyText"/>
        <w:spacing w:line="273" w:lineRule="auto" w:before="7"/>
        <w:ind w:right="1131" w:firstLine="420"/>
        <w:jc w:val="both"/>
      </w:pPr>
      <w:r>
        <w:rPr>
          <w:spacing w:val="-1"/>
        </w:rPr>
        <w:t>对于持有待售的处置组确认的资产减值损失金额，先抵减处置组中商誉的账面价值，再根据处置组中</w:t>
      </w:r>
      <w:r>
        <w:rPr/>
        <w:t> 的各项非流动资产账面价值所占比重，按比例抵减其账面价值。</w:t>
      </w:r>
    </w:p>
    <w:p>
      <w:pPr>
        <w:pStyle w:val="BodyText"/>
        <w:spacing w:line="273" w:lineRule="auto" w:before="7"/>
        <w:ind w:right="1132" w:firstLine="420"/>
        <w:jc w:val="both"/>
      </w:pPr>
      <w:r>
        <w:rPr>
          <w:spacing w:val="-1"/>
        </w:rPr>
        <w:t>持有待售的非流动资产或处置组中的非流动资产不计提折旧或摊销，持有待售的处置组中负债的利息</w:t>
      </w:r>
      <w:r>
        <w:rPr/>
        <w:t> 和其他费用继续予以确认。</w:t>
      </w:r>
    </w:p>
    <w:p>
      <w:pPr>
        <w:pStyle w:val="BodyText"/>
        <w:spacing w:line="256" w:lineRule="auto" w:before="7"/>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资产减值损失转回的会计处理</w:t>
      </w:r>
      <w:r>
        <w:rPr>
          <w:w w:val="99"/>
        </w:rPr>
        <w:t> </w:t>
      </w:r>
      <w:r>
        <w:rPr>
          <w:spacing w:val="-1"/>
        </w:rPr>
        <w:t>后续资产负债表日持有待售的非流动资产公允价值减去出售费用后的净额增加的，以前减记的金额予</w:t>
      </w:r>
    </w:p>
    <w:p>
      <w:pPr>
        <w:pStyle w:val="BodyText"/>
        <w:spacing w:line="273" w:lineRule="auto" w:before="22"/>
        <w:ind w:right="0"/>
        <w:jc w:val="left"/>
      </w:pPr>
      <w:r>
        <w:rPr>
          <w:spacing w:val="-1"/>
        </w:rPr>
        <w:t>以恢复，并在划分为持有待售类别后确认的资产减值损失金额内转回，转回金额计入当期损益。划分为持</w:t>
      </w:r>
      <w:r>
        <w:rPr>
          <w:spacing w:val="-83"/>
        </w:rPr>
        <w:t> </w:t>
      </w:r>
      <w:r>
        <w:rPr>
          <w:spacing w:val="-83"/>
        </w:rPr>
      </w:r>
      <w:r>
        <w:rPr/>
        <w:t>有待售类别前确认的资产减值损失不转回。</w:t>
      </w:r>
    </w:p>
    <w:p>
      <w:pPr>
        <w:pStyle w:val="BodyText"/>
        <w:spacing w:line="273" w:lineRule="auto" w:before="7"/>
        <w:ind w:right="1131" w:firstLine="420"/>
        <w:jc w:val="both"/>
      </w:pPr>
      <w:r>
        <w:rPr>
          <w:spacing w:val="-1"/>
        </w:rPr>
        <w:t>后续资产负债表日持有待售的处置组公允价值减去出售费用后的净额增加的，以前减记的金额予以恢</w:t>
      </w:r>
      <w:r>
        <w:rPr/>
        <w:t> </w:t>
      </w:r>
      <w:r>
        <w:rPr>
          <w:spacing w:val="-1"/>
        </w:rPr>
        <w:t>复，并在划分为持有待售类别后非流动资产确认的资产减值损失金额内转回，转回金额计入当期损益。已</w:t>
      </w:r>
      <w:r>
        <w:rPr>
          <w:spacing w:val="-83"/>
        </w:rPr>
        <w:t> </w:t>
      </w:r>
      <w:r>
        <w:rPr>
          <w:spacing w:val="-83"/>
        </w:rPr>
      </w:r>
      <w:r>
        <w:rPr/>
        <w:t>抵减的商誉账面价值，以及非流动资产在划分为持有待售类别前确认的资产减值损失不转回。</w:t>
      </w:r>
    </w:p>
    <w:p>
      <w:pPr>
        <w:pStyle w:val="BodyText"/>
        <w:spacing w:line="273" w:lineRule="auto" w:before="7"/>
        <w:ind w:right="1131" w:firstLine="420"/>
        <w:jc w:val="both"/>
      </w:pPr>
      <w:r>
        <w:rPr>
          <w:spacing w:val="-1"/>
        </w:rPr>
        <w:t>持有待售的处置组确认的资产减值损失后续转回金额，根据处置组中除商誉外各项非流动资产账面价</w:t>
      </w:r>
      <w:r>
        <w:rPr/>
        <w:t> 值所占比重，按比例增加其账面价值。</w:t>
      </w:r>
    </w:p>
    <w:p>
      <w:pPr>
        <w:pStyle w:val="BodyText"/>
        <w:spacing w:line="256" w:lineRule="auto" w:before="7"/>
        <w:ind w:left="57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不再继续划分为持有待售类别以及终止确认的会计处理</w:t>
      </w:r>
      <w:r>
        <w:rPr>
          <w:w w:val="99"/>
        </w:rPr>
        <w:t> </w:t>
      </w:r>
      <w:r>
        <w:rPr>
          <w:spacing w:val="3"/>
        </w:rPr>
        <w:t>非流动资产或处置组因不再满足持有待售类别的划分条件而不再继续划分为持有待售类别或非流动</w:t>
      </w:r>
    </w:p>
    <w:p>
      <w:pPr>
        <w:pStyle w:val="BodyText"/>
        <w:spacing w:line="256" w:lineRule="auto" w:before="23"/>
        <w:ind w:right="1117"/>
        <w:jc w:val="left"/>
      </w:pPr>
      <w:r>
        <w:rPr>
          <w:spacing w:val="-2"/>
        </w:rPr>
        <w:t>资产从持有待售的处置组中移除时，按照以下两者孰低计量：</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51"/>
        </w:rPr>
        <w:t> </w:t>
      </w:r>
      <w:r>
        <w:rPr>
          <w:spacing w:val="-2"/>
        </w:rPr>
        <w:t>划分为持有待售类别前的账面价值，按照</w:t>
      </w:r>
      <w:r>
        <w:rPr/>
        <w:t> 假定不划分为持有待售类别情况下本应确认的折旧、摊销或减值等进行调整后的金额；</w:t>
      </w: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可收回金额。</w:t>
      </w:r>
    </w:p>
    <w:p>
      <w:pPr>
        <w:pStyle w:val="BodyText"/>
        <w:spacing w:line="240" w:lineRule="auto" w:before="5"/>
        <w:ind w:left="574" w:right="1360"/>
        <w:jc w:val="left"/>
      </w:pPr>
      <w:r>
        <w:rPr/>
        <w:t>终止确认持有待售的非流动资产或处置组时，将尚未确认的利得或损失计入当期损益。</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6"/>
        <w:ind w:right="0"/>
        <w:jc w:val="both"/>
        <w:rPr>
          <w:b w:val="0"/>
          <w:bCs w:val="0"/>
        </w:rPr>
      </w:pPr>
      <w:bookmarkStart w:name="14、长期股权投资" w:id="208"/>
      <w:bookmarkEnd w:id="208"/>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4"/>
          <w:szCs w:val="24"/>
        </w:rPr>
      </w:pPr>
    </w:p>
    <w:p>
      <w:pPr>
        <w:pStyle w:val="BodyText"/>
        <w:spacing w:line="256" w:lineRule="auto"/>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共同控制、重要影响的判断 </w:t>
      </w:r>
      <w:r>
        <w:rPr>
          <w:spacing w:val="-1"/>
        </w:rPr>
        <w:t>按照相关约定对某项安排存在共有的控制，并且该安排的相关活动必须经过分享控制权的参与方一致</w:t>
      </w:r>
    </w:p>
    <w:p>
      <w:pPr>
        <w:pStyle w:val="BodyText"/>
        <w:spacing w:line="273" w:lineRule="auto" w:before="22"/>
        <w:ind w:right="1131"/>
        <w:jc w:val="both"/>
      </w:pPr>
      <w:r>
        <w:rPr>
          <w:spacing w:val="-1"/>
        </w:rPr>
        <w:t>同意后才能决策，认定为共同控制。对被投资单位的财务和经营政策有参与决策的权力，但并不能够控制</w:t>
      </w:r>
      <w:r>
        <w:rPr>
          <w:spacing w:val="-83"/>
        </w:rPr>
        <w:t> </w:t>
      </w:r>
      <w:r>
        <w:rPr>
          <w:spacing w:val="-83"/>
        </w:rPr>
      </w:r>
      <w:r>
        <w:rPr/>
        <w:t>或者与其他方一起共同控制这些政策的制定，认定为重大影响。</w:t>
      </w:r>
    </w:p>
    <w:p>
      <w:pPr>
        <w:pStyle w:val="BodyText"/>
        <w:spacing w:line="240" w:lineRule="auto" w:before="7"/>
        <w:ind w:left="574" w:right="1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投资成本的确定</w:t>
      </w:r>
    </w:p>
    <w:p>
      <w:pPr>
        <w:pStyle w:val="BodyText"/>
        <w:spacing w:line="266" w:lineRule="auto" w:before="21"/>
        <w:ind w:right="113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同一控制下的企业合并形成的，合并方以支付现金、转让非现金资产、承担债务或发行权益性证</w:t>
      </w:r>
      <w:r>
        <w:rPr>
          <w:w w:val="99"/>
        </w:rPr>
        <w:t> </w:t>
      </w:r>
      <w:r>
        <w:rPr>
          <w:spacing w:val="-1"/>
        </w:rPr>
        <w:t>券作为合并对价的，在合并日按照取得被合并方所有者权益在最终控制方合并财务报表中的账面价值的份</w:t>
      </w:r>
      <w:r>
        <w:rPr>
          <w:spacing w:val="-82"/>
        </w:rPr>
        <w:t> </w:t>
      </w:r>
      <w:r>
        <w:rPr>
          <w:spacing w:val="-82"/>
        </w:rPr>
      </w:r>
      <w:r>
        <w:rPr>
          <w:spacing w:val="-1"/>
        </w:rPr>
        <w:t>额作为其初始投资成本。长期股权投资初始投资成本与支付的合并对价的账面价值或发行股份的面值总额</w:t>
      </w:r>
      <w:r>
        <w:rPr>
          <w:spacing w:val="-82"/>
        </w:rPr>
        <w:t> </w:t>
      </w:r>
      <w:r>
        <w:rPr>
          <w:spacing w:val="-82"/>
        </w:rPr>
      </w:r>
      <w:r>
        <w:rPr/>
        <w:t>之间的差额调整资本公积；资本公积不足冲减的，调整留存收益。</w:t>
      </w:r>
    </w:p>
    <w:p>
      <w:pPr>
        <w:pStyle w:val="BodyText"/>
        <w:spacing w:line="264" w:lineRule="auto" w:before="14"/>
        <w:ind w:right="1131" w:firstLine="420"/>
        <w:jc w:val="both"/>
      </w:pPr>
      <w:r>
        <w:rPr/>
        <w:t>公司通过多次交易分步实现同一控制下企业合并形成的长期股权投资，判断是否属于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 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w:t>
      </w:r>
      <w:r>
        <w:rPr>
          <w:spacing w:val="-84"/>
        </w:rPr>
        <w:t> </w:t>
      </w:r>
      <w:r>
        <w:rPr>
          <w:spacing w:val="-1"/>
        </w:rPr>
        <w:t>合并日，根据合并后应享有被合并方净资产在最终控制方合并财务报表中的账面价值的份额确定初始投资</w:t>
      </w:r>
      <w:r>
        <w:rPr>
          <w:spacing w:val="-81"/>
        </w:rPr>
        <w:t> </w:t>
      </w:r>
      <w:r>
        <w:rPr>
          <w:spacing w:val="-81"/>
        </w:rPr>
      </w:r>
      <w:r>
        <w:rPr>
          <w:spacing w:val="-1"/>
        </w:rPr>
        <w:t>成本。合并日长期股权投资的初始投资成本，与达到合并前的长期股权投资账面价值加上合并日进一步取</w:t>
      </w:r>
      <w:r>
        <w:rPr>
          <w:spacing w:val="-81"/>
        </w:rPr>
        <w:t> </w:t>
      </w:r>
      <w:r>
        <w:rPr>
          <w:spacing w:val="-81"/>
        </w:rPr>
      </w:r>
      <w:r>
        <w:rPr/>
        <w:t>得股份新支付对价的账面价值之和的差额，调整资本公积；资本公积不足冲减的，调整留存收益。</w:t>
      </w:r>
    </w:p>
    <w:p>
      <w:pPr>
        <w:pStyle w:val="BodyText"/>
        <w:spacing w:line="256" w:lineRule="auto" w:before="16"/>
        <w:ind w:left="574" w:right="100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非同一控制下的企业合并形成的，在购买日按照支付的合并对价的公允价值作为其初始投资成本。</w:t>
      </w:r>
      <w:r>
        <w:rPr>
          <w:w w:val="99"/>
        </w:rPr>
        <w:t> </w:t>
      </w:r>
      <w:r>
        <w:rPr/>
        <w:t>公司通过多次交易分步实现非同一控制下企业合并形成的长期股权投资，区分个别财务报表和合并财</w:t>
      </w:r>
    </w:p>
    <w:p>
      <w:pPr>
        <w:pStyle w:val="BodyText"/>
        <w:spacing w:line="240" w:lineRule="auto" w:before="22"/>
        <w:ind w:right="0"/>
        <w:jc w:val="both"/>
      </w:pPr>
      <w:r>
        <w:rPr/>
        <w:t>务报表进行相关会计处理：</w:t>
      </w:r>
    </w:p>
    <w:p>
      <w:pPr>
        <w:pStyle w:val="BodyText"/>
        <w:spacing w:line="256" w:lineRule="auto" w:before="37"/>
        <w:ind w:right="1132"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spacing w:val="-2"/>
        </w:rPr>
        <w:t>在个别财务报表中，按照原持有的股权投资的账面价值加上新增投资成本之和，作为改按成本法核</w:t>
      </w:r>
      <w:r>
        <w:rPr>
          <w:w w:val="99"/>
        </w:rPr>
        <w:t> </w:t>
      </w:r>
      <w:r>
        <w:rPr/>
        <w:t>算的初始投资成本。</w:t>
      </w:r>
    </w:p>
    <w:p>
      <w:pPr>
        <w:pStyle w:val="BodyText"/>
        <w:spacing w:line="264" w:lineRule="auto" w:before="22"/>
        <w:ind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在合并财务报表中，判断是否属于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 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的，对于购买日之前持有的被购买方的股权，按照该股 </w:t>
      </w:r>
      <w:r>
        <w:rPr>
          <w:spacing w:val="-1"/>
        </w:rPr>
        <w:t>权在购买日的公允价值进行重新计量，公允价值与其账面价值的差额计入当期投资收益；购买日之前持有</w:t>
      </w:r>
      <w:r>
        <w:rPr>
          <w:spacing w:val="-81"/>
        </w:rPr>
        <w:t> </w:t>
      </w:r>
      <w:r>
        <w:rPr>
          <w:spacing w:val="-81"/>
        </w:rPr>
      </w:r>
      <w:r>
        <w:rPr>
          <w:spacing w:val="-1"/>
        </w:rPr>
        <w:t>的被购买方的股权涉及权益法核算下的其他综合收益等的，与其相关的其他综合收益等转为购买日所属当</w:t>
      </w:r>
      <w:r>
        <w:rPr>
          <w:spacing w:val="-81"/>
        </w:rPr>
        <w:t> </w:t>
      </w:r>
      <w:r>
        <w:rPr>
          <w:spacing w:val="-81"/>
        </w:rPr>
      </w:r>
      <w:r>
        <w:rPr/>
        <w:t>期收益。但由于被投资方重新计量设定受益计划净负债或净资产变动而产生的其他综合收益除外。</w:t>
      </w:r>
    </w:p>
    <w:p>
      <w:pPr>
        <w:pStyle w:val="BodyText"/>
        <w:spacing w:line="261" w:lineRule="auto" w:before="16"/>
        <w:ind w:right="1109"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除企业合并形成以外的：以支付现金取得的，按照实际支付的购买价款作为其初始投资成本；以</w:t>
      </w:r>
      <w:r>
        <w:rPr>
          <w:w w:val="99"/>
        </w:rPr>
        <w:t> </w:t>
      </w:r>
      <w:r>
        <w:rPr/>
        <w:t>发行权益性证券取得的，按照发行权益性证券的公允价值作为其初始投资成本；以债务重组方式取得的，</w:t>
      </w:r>
      <w:r>
        <w:rPr>
          <w:w w:val="99"/>
        </w:rPr>
        <w:t> </w:t>
      </w:r>
      <w:r>
        <w:rPr>
          <w:spacing w:val="-1"/>
        </w:rPr>
        <w:t>按《企业会计准则第</w:t>
      </w:r>
      <w:r>
        <w:rPr>
          <w:rFonts w:ascii="Times New Roman" w:hAnsi="Times New Roman" w:cs="Times New Roman" w:eastAsia="Times New Roman" w:hint="default"/>
          <w:spacing w:val="-1"/>
        </w:rPr>
        <w:t>12</w:t>
      </w:r>
      <w:r>
        <w:rPr>
          <w:spacing w:val="-1"/>
        </w:rPr>
        <w:t>号</w:t>
      </w:r>
      <w:r>
        <w:rPr>
          <w:rFonts w:ascii="Times New Roman" w:hAnsi="Times New Roman" w:cs="Times New Roman" w:eastAsia="Times New Roman" w:hint="default"/>
          <w:spacing w:val="-1"/>
        </w:rPr>
        <w:t>——</w:t>
      </w:r>
      <w:r>
        <w:rPr>
          <w:spacing w:val="-1"/>
        </w:rPr>
        <w:t>债务重组》确定其初始投资成本；以非货币性资产交换取得的，按《企业会</w:t>
      </w:r>
      <w:r>
        <w:rPr>
          <w:spacing w:val="-84"/>
        </w:rPr>
        <w:t> </w:t>
      </w:r>
      <w:r>
        <w:rPr>
          <w:spacing w:val="-84"/>
        </w:rPr>
      </w:r>
      <w:r>
        <w:rPr/>
        <w:t>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非货币性资产交换》确定其初始投资成本。</w:t>
      </w:r>
    </w:p>
    <w:p>
      <w:pPr>
        <w:pStyle w:val="BodyText"/>
        <w:spacing w:line="256" w:lineRule="auto"/>
        <w:ind w:left="57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2"/>
        </w:rPr>
        <w:t> </w:t>
      </w:r>
      <w:r>
        <w:rPr/>
        <w:t>后续计量及损益确认方法 </w:t>
      </w:r>
      <w:r>
        <w:rPr>
          <w:spacing w:val="-1"/>
        </w:rPr>
        <w:t>对被投资单位实施控制的长期股权投资采用成本法核算；对联营企业和合营企业的长期股权投资，采</w:t>
      </w:r>
    </w:p>
    <w:p>
      <w:pPr>
        <w:pStyle w:val="BodyText"/>
        <w:spacing w:line="240" w:lineRule="auto" w:before="22"/>
        <w:ind w:right="0"/>
        <w:jc w:val="both"/>
      </w:pPr>
      <w:r>
        <w:rPr/>
        <w:t>用权益法核算。</w:t>
      </w:r>
    </w:p>
    <w:p>
      <w:pPr>
        <w:pStyle w:val="BodyText"/>
        <w:spacing w:line="240" w:lineRule="auto" w:before="37"/>
        <w:ind w:left="574" w:right="136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0"/>
        </w:rPr>
        <w:t> </w:t>
      </w:r>
      <w:r>
        <w:rPr/>
        <w:t>通过多次交易分步处置对子公司投资至丧失控制权的处理方法</w:t>
      </w:r>
    </w:p>
    <w:p>
      <w:pPr>
        <w:pStyle w:val="BodyText"/>
        <w:spacing w:line="256" w:lineRule="auto" w:before="21"/>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个别财务报表</w:t>
      </w:r>
      <w:r>
        <w:rPr>
          <w:w w:val="99"/>
        </w:rPr>
        <w:t> </w:t>
      </w:r>
      <w:r>
        <w:rPr>
          <w:spacing w:val="-1"/>
        </w:rPr>
        <w:t>对处置的股权，其账面价值与实际取得价款之间的差额，计入当期损益。对于剩余股权，对被投资单</w:t>
      </w:r>
    </w:p>
    <w:p>
      <w:pPr>
        <w:pStyle w:val="BodyText"/>
        <w:spacing w:line="266" w:lineRule="auto" w:before="22"/>
        <w:ind w:right="1111"/>
        <w:jc w:val="both"/>
      </w:pPr>
      <w:r>
        <w:rPr/>
        <w:t>位仍具有重大影响或者与其他方一起实施共同控制的，转为权益法核算；不能再对被投资单位实施控制、 </w:t>
      </w:r>
      <w:r>
        <w:rPr>
          <w:spacing w:val="-1"/>
        </w:rPr>
        <w:t>共同控制或重大影响的，确认为金融资产，按照《企业会计准则第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金融工具确认和计量》的相关</w:t>
      </w:r>
      <w:r>
        <w:rPr>
          <w:spacing w:val="-85"/>
        </w:rPr>
        <w:t> </w:t>
      </w:r>
      <w:r>
        <w:rPr>
          <w:spacing w:val="-85"/>
        </w:rPr>
      </w:r>
      <w:r>
        <w:rPr/>
        <w:t>规定进行核算。</w:t>
      </w:r>
    </w:p>
    <w:p>
      <w:pPr>
        <w:pStyle w:val="BodyText"/>
        <w:spacing w:line="240" w:lineRule="auto" w:before="14"/>
        <w:ind w:left="574" w:right="1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合并财务报表</w:t>
      </w:r>
    </w:p>
    <w:p>
      <w:pPr>
        <w:pStyle w:val="BodyText"/>
        <w:spacing w:line="256" w:lineRule="auto" w:before="21"/>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通过多次交易分步处置对子公司投资至丧失控制权，且不属于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w:t>
      </w:r>
      <w:r>
        <w:rPr>
          <w:spacing w:val="-1"/>
        </w:rPr>
        <w:t>在丧失控制权之前，处置价款与处置长期股权投资相对应享有子公司自购买日或合并日开始持续计算</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574" w:right="0" w:hanging="420"/>
        <w:jc w:val="left"/>
      </w:pPr>
      <w:r>
        <w:rPr/>
        <w:t>的净资产份额之间的差额，调整资本公积（资本溢价），资本溢价不足冲减的，冲减留存收益。 </w:t>
      </w:r>
      <w:r>
        <w:rPr>
          <w:spacing w:val="-1"/>
        </w:rPr>
        <w:t>丧失对原子公司控制权时，对于剩余股权，按照其在丧失控制权日的公允价值进行重新计量。处置股</w:t>
      </w:r>
    </w:p>
    <w:p>
      <w:pPr>
        <w:pStyle w:val="BodyText"/>
        <w:spacing w:line="273" w:lineRule="auto" w:before="7"/>
        <w:ind w:right="1131"/>
        <w:jc w:val="both"/>
      </w:pPr>
      <w:r>
        <w:rPr>
          <w:spacing w:val="-1"/>
        </w:rPr>
        <w:t>权取得的对价与剩余股权公允价值之和，减去按原持股比例计算应享有原有子公司自购买日或合并日开始</w:t>
      </w:r>
      <w:r>
        <w:rPr>
          <w:spacing w:val="-81"/>
        </w:rPr>
        <w:t> </w:t>
      </w:r>
      <w:r>
        <w:rPr>
          <w:spacing w:val="-81"/>
        </w:rPr>
      </w:r>
      <w:r>
        <w:rPr>
          <w:spacing w:val="-1"/>
        </w:rPr>
        <w:t>持续计算的净资产的份额之间的差额，计入丧失控制权当期的投资收益，同时冲减商誉。与原有子公司股</w:t>
      </w:r>
      <w:r>
        <w:rPr>
          <w:spacing w:val="-83"/>
        </w:rPr>
        <w:t> </w:t>
      </w:r>
      <w:r>
        <w:rPr>
          <w:spacing w:val="-83"/>
        </w:rPr>
      </w:r>
      <w:r>
        <w:rPr/>
        <w:t>权投资相关的其他综合收益等，应当在丧失控制权时转为当期投资收益。</w:t>
      </w:r>
    </w:p>
    <w:p>
      <w:pPr>
        <w:pStyle w:val="BodyText"/>
        <w:spacing w:line="256" w:lineRule="auto" w:before="7"/>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通过多次交易分步处置对子公司投资至丧失控制权，且属于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w:t>
      </w:r>
      <w:r>
        <w:rPr>
          <w:spacing w:val="-1"/>
        </w:rPr>
        <w:t>将各项交易作为一项处置子公司并丧失控制权的交易进行会计处理。但是，在丧失控制权之前每一次</w:t>
      </w:r>
    </w:p>
    <w:p>
      <w:pPr>
        <w:pStyle w:val="BodyText"/>
        <w:spacing w:line="273" w:lineRule="auto" w:before="22"/>
        <w:ind w:right="0"/>
        <w:jc w:val="left"/>
      </w:pPr>
      <w:r>
        <w:rPr>
          <w:spacing w:val="-1"/>
        </w:rPr>
        <w:t>处置价款与处置投资对应的享有该子公司净资产份额的差额，在合并财务报表中确认为其他综合收益，在</w:t>
      </w:r>
      <w:r>
        <w:rPr>
          <w:spacing w:val="-80"/>
        </w:rPr>
        <w:t> </w:t>
      </w:r>
      <w:r>
        <w:rPr>
          <w:spacing w:val="-80"/>
        </w:rPr>
      </w:r>
      <w:r>
        <w:rPr/>
        <w:t>丧失控制权时一并转入丧失控制权当期的损益。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1360"/>
        <w:jc w:val="left"/>
        <w:rPr>
          <w:b w:val="0"/>
          <w:bCs w:val="0"/>
        </w:rPr>
      </w:pPr>
      <w:bookmarkStart w:name="15、投资性房地产" w:id="209"/>
      <w:bookmarkEnd w:id="209"/>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90" w:lineRule="exact"/>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投资性房地产包括已出租的土地使用权、持有并准备增值后转让的土地使用权和已出租的建筑物。</w:t>
      </w:r>
    </w:p>
    <w:p>
      <w:pPr>
        <w:pStyle w:val="BodyText"/>
        <w:spacing w:line="256" w:lineRule="auto" w:before="21"/>
        <w:ind w:right="0" w:firstLine="33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投资性房地产按照成本进行初始计量，采用成本模式进行后续计量，并采用与固定资产和无形资产 相同的方法计提折旧或进行摊销。</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right="1360"/>
        <w:jc w:val="left"/>
        <w:rPr>
          <w:b w:val="0"/>
          <w:bCs w:val="0"/>
        </w:rPr>
      </w:pPr>
      <w:bookmarkStart w:name="16、固定资产" w:id="210"/>
      <w:bookmarkEnd w:id="210"/>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360"/>
        <w:jc w:val="left"/>
        <w:rPr>
          <w:b w:val="0"/>
          <w:bCs w:val="0"/>
        </w:rPr>
      </w:pPr>
      <w:bookmarkStart w:name="（1）确认条件" w:id="211"/>
      <w:bookmarkEnd w:id="211"/>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固定资产是指为生产商品、提供劳务、出租或经营管理而持有的，使用年限超过一个会计年度的有形资产。固定资产在同时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满足经济利益很可能流入、成本能够可靠计量时予以确认。</w:t>
      </w:r>
    </w:p>
    <w:p>
      <w:pPr>
        <w:spacing w:line="240" w:lineRule="auto" w:before="4"/>
        <w:rPr>
          <w:rFonts w:ascii="宋体" w:hAnsi="宋体" w:cs="宋体" w:eastAsia="宋体" w:hint="default"/>
          <w:sz w:val="22"/>
          <w:szCs w:val="22"/>
        </w:rPr>
      </w:pPr>
    </w:p>
    <w:p>
      <w:pPr>
        <w:pStyle w:val="Heading4"/>
        <w:spacing w:line="240" w:lineRule="auto"/>
        <w:ind w:right="1360"/>
        <w:jc w:val="left"/>
        <w:rPr>
          <w:b w:val="0"/>
          <w:bCs w:val="0"/>
        </w:rPr>
      </w:pPr>
      <w:bookmarkStart w:name="（2）折旧方法" w:id="212"/>
      <w:bookmarkEnd w:id="212"/>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18.00-33.33</w:t>
            </w:r>
          </w:p>
        </w:tc>
      </w:tr>
    </w:tbl>
    <w:p>
      <w:pPr>
        <w:spacing w:line="240" w:lineRule="auto" w:before="2"/>
        <w:rPr>
          <w:rFonts w:ascii="宋体" w:hAnsi="宋体" w:cs="宋体" w:eastAsia="宋体" w:hint="default"/>
          <w:b/>
          <w:bCs/>
          <w:sz w:val="19"/>
          <w:szCs w:val="19"/>
        </w:rPr>
      </w:pPr>
    </w:p>
    <w:p>
      <w:pPr>
        <w:pStyle w:val="Heading4"/>
        <w:spacing w:line="240" w:lineRule="auto" w:before="35"/>
        <w:ind w:right="1360"/>
        <w:jc w:val="left"/>
        <w:rPr>
          <w:b w:val="0"/>
          <w:bCs w:val="0"/>
        </w:rPr>
      </w:pPr>
      <w:bookmarkStart w:name="（3）融资租入固定资产的认定依据、计价和折旧方法" w:id="213"/>
      <w:bookmarkEnd w:id="213"/>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17、在建工程" w:id="214"/>
      <w:bookmarkEnd w:id="214"/>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40" w:lineRule="auto" w:before="1"/>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在建工程同时满足经济利益很可能流入、成本能够可靠计量则予以确认。在建工程按建造该项资产</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达到预定可使用状态前所发生的实际成本计量。</w:t>
      </w:r>
    </w:p>
    <w:p>
      <w:pPr>
        <w:pStyle w:val="BodyText"/>
        <w:spacing w:line="264" w:lineRule="auto" w:before="37"/>
        <w:ind w:right="1131"/>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t>在建工程达到预定可使用状态时，按工程实际成本转入固定资产。已达到预定可使用状态但尚未办理竣 </w:t>
      </w:r>
      <w:r>
        <w:rPr>
          <w:spacing w:val="-1"/>
        </w:rPr>
        <w:t>工决算的，先按估计价值转入固定资产，待办理竣工决算后再按实际成本调整原暂估价值，但不再调整原</w:t>
      </w:r>
      <w:r>
        <w:rPr>
          <w:spacing w:val="-83"/>
        </w:rPr>
        <w:t> </w:t>
      </w:r>
      <w:r>
        <w:rPr>
          <w:spacing w:val="-83"/>
        </w:rPr>
      </w:r>
      <w:r>
        <w:rPr/>
        <w:t>已计提的折旧。</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Heading4"/>
        <w:spacing w:line="240" w:lineRule="auto"/>
        <w:ind w:right="0"/>
        <w:jc w:val="both"/>
        <w:rPr>
          <w:b w:val="0"/>
          <w:bCs w:val="0"/>
        </w:rPr>
      </w:pPr>
      <w:bookmarkStart w:name="18、借款费用" w:id="215"/>
      <w:bookmarkEnd w:id="215"/>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借款费用资本化的确认原则 </w:t>
      </w:r>
      <w:r>
        <w:rPr>
          <w:spacing w:val="-1"/>
        </w:rPr>
        <w:t>公司发生的借款费用，可直接归属于符合资本化条件的资产的购建或者生产的，予以资本化，计入相</w:t>
      </w:r>
    </w:p>
    <w:p>
      <w:pPr>
        <w:pStyle w:val="BodyText"/>
        <w:spacing w:line="240" w:lineRule="auto" w:before="22"/>
        <w:ind w:right="0"/>
        <w:jc w:val="both"/>
      </w:pPr>
      <w:r>
        <w:rPr/>
        <w:t>关资产成本；其他借款费用，在发生时确认为费用，计入当期损益。</w:t>
      </w:r>
    </w:p>
    <w:p>
      <w:pPr>
        <w:pStyle w:val="BodyText"/>
        <w:spacing w:line="240" w:lineRule="auto" w:before="37"/>
        <w:ind w:left="574" w:right="1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借款费用资本化期间</w:t>
      </w:r>
    </w:p>
    <w:p>
      <w:pPr>
        <w:pStyle w:val="BodyText"/>
        <w:spacing w:line="256" w:lineRule="auto" w:before="21"/>
        <w:ind w:right="1130" w:firstLine="420"/>
        <w:jc w:val="both"/>
      </w:pPr>
      <w:r>
        <w:rPr>
          <w:rFonts w:ascii="Times New Roman" w:hAnsi="Times New Roman" w:cs="Times New Roman" w:eastAsia="Times New Roman" w:hint="default"/>
        </w:rPr>
        <w:t>(1) </w:t>
      </w:r>
      <w:r>
        <w:rPr>
          <w:spacing w:val="-7"/>
        </w:rPr>
        <w:t>当借款费用同时满足下列条件时，开始资本化：</w:t>
      </w:r>
      <w:r>
        <w:rPr>
          <w:rFonts w:ascii="Times New Roman" w:hAnsi="Times New Roman" w:cs="Times New Roman" w:eastAsia="Times New Roman" w:hint="default"/>
          <w:spacing w:val="-7"/>
        </w:rPr>
        <w:t>1) </w:t>
      </w:r>
      <w:r>
        <w:rPr>
          <w:spacing w:val="-7"/>
        </w:rPr>
        <w:t>资产支出已经发生；</w:t>
      </w:r>
      <w:r>
        <w:rPr>
          <w:rFonts w:ascii="Times New Roman" w:hAnsi="Times New Roman" w:cs="Times New Roman" w:eastAsia="Times New Roman" w:hint="default"/>
          <w:spacing w:val="-7"/>
        </w:rPr>
        <w:t>2) </w:t>
      </w:r>
      <w:r>
        <w:rPr>
          <w:spacing w:val="-7"/>
        </w:rPr>
        <w:t>借款费用已经发生；</w:t>
      </w:r>
      <w:r>
        <w:rPr>
          <w:rFonts w:ascii="Times New Roman" w:hAnsi="Times New Roman" w:cs="Times New Roman" w:eastAsia="Times New Roman" w:hint="default"/>
          <w:spacing w:val="-7"/>
        </w:rPr>
        <w:t>3)</w:t>
      </w:r>
      <w:r>
        <w:rPr>
          <w:rFonts w:ascii="Times New Roman" w:hAnsi="Times New Roman" w:cs="Times New Roman" w:eastAsia="Times New Roman" w:hint="default"/>
          <w:spacing w:val="21"/>
        </w:rPr>
        <w:t> </w:t>
      </w:r>
      <w:r>
        <w:rPr/>
        <w:t>为</w:t>
      </w:r>
      <w:r>
        <w:rPr>
          <w:w w:val="99"/>
        </w:rPr>
        <w:t> </w:t>
      </w:r>
      <w:r>
        <w:rPr/>
        <w:t>使资产达到预定可使用或可销售状态所必要的购建或者生产活动已经开始。</w:t>
      </w:r>
    </w:p>
    <w:p>
      <w:pPr>
        <w:pStyle w:val="BodyText"/>
        <w:spacing w:line="264" w:lineRule="auto" w:before="22"/>
        <w:ind w:right="1096"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w:t>
      </w:r>
      <w:r>
        <w:rPr>
          <w:w w:val="99"/>
        </w:rPr>
        <w:t> </w:t>
      </w:r>
      <w:r>
        <w:rPr/>
        <w:t>暂停借款费用的资本化；中断期间发生的借款费用确认为当期费用，直至资产的购建或者生产活动重新开</w:t>
      </w:r>
      <w:r>
        <w:rPr>
          <w:w w:val="99"/>
        </w:rPr>
        <w:t> </w:t>
      </w:r>
      <w:r>
        <w:rPr/>
        <w:t>始。</w:t>
      </w:r>
    </w:p>
    <w:p>
      <w:pPr>
        <w:pStyle w:val="BodyText"/>
        <w:spacing w:line="240" w:lineRule="auto" w:before="16"/>
        <w:ind w:left="57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当所购建或者生产符合资本化条件的资产达到预定可使用或可销售状态时，借款费用停止资本化。</w:t>
      </w:r>
    </w:p>
    <w:p>
      <w:pPr>
        <w:pStyle w:val="BodyText"/>
        <w:spacing w:line="256" w:lineRule="auto" w:before="21"/>
        <w:ind w:left="57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2"/>
        </w:rPr>
        <w:t> </w:t>
      </w:r>
      <w:r>
        <w:rPr/>
        <w:t>借款费用资本化率以及资本化金额 </w:t>
      </w:r>
      <w:r>
        <w:rPr>
          <w:spacing w:val="-1"/>
        </w:rPr>
        <w:t>为购建或者生产符合资本化条件的资产而借入专门借款的，以专门借款当期实际发生的利息费用（包</w:t>
      </w:r>
    </w:p>
    <w:p>
      <w:pPr>
        <w:pStyle w:val="BodyText"/>
        <w:spacing w:line="273" w:lineRule="auto" w:before="22"/>
        <w:ind w:right="1131"/>
        <w:jc w:val="both"/>
      </w:pPr>
      <w:r>
        <w:rPr>
          <w:spacing w:val="-1"/>
        </w:rPr>
        <w:t>括按照实际利率法确定的折价或溢价的摊销），减去将尚未动用的借款资金存入银行取得的利息收入或进</w:t>
      </w:r>
      <w:r>
        <w:rPr>
          <w:spacing w:val="-81"/>
        </w:rPr>
        <w:t> </w:t>
      </w:r>
      <w:r>
        <w:rPr>
          <w:spacing w:val="-81"/>
        </w:rPr>
      </w:r>
      <w:r>
        <w:rPr>
          <w:spacing w:val="-1"/>
        </w:rPr>
        <w:t>行暂时性投资取得的投资收益后的金额，确定应予资本化的利息金额；为购建或者生产符合资本化条件的</w:t>
      </w:r>
      <w:r>
        <w:rPr>
          <w:spacing w:val="-81"/>
        </w:rPr>
        <w:t> </w:t>
      </w:r>
      <w:r>
        <w:rPr>
          <w:spacing w:val="-81"/>
        </w:rPr>
      </w:r>
      <w:r>
        <w:rPr>
          <w:spacing w:val="-1"/>
        </w:rPr>
        <w:t>资产占用了一般借款的，根据累计资产支出超过专门借款的资产支出加权平均数乘以占用一般借款的资本</w:t>
      </w:r>
      <w:r>
        <w:rPr>
          <w:spacing w:val="-81"/>
        </w:rPr>
        <w:t> </w:t>
      </w:r>
      <w:r>
        <w:rPr>
          <w:spacing w:val="-81"/>
        </w:rPr>
      </w:r>
      <w:r>
        <w:rPr/>
        <w:t>化率，计算确定一般借款应予资本化的利息金额。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both"/>
        <w:rPr>
          <w:b w:val="0"/>
          <w:bCs w:val="0"/>
        </w:rPr>
      </w:pPr>
      <w:bookmarkStart w:name="19、生物资产" w:id="216"/>
      <w:bookmarkEnd w:id="216"/>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20、油气资产" w:id="217"/>
      <w:bookmarkEnd w:id="217"/>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21、无形资产" w:id="218"/>
      <w:bookmarkEnd w:id="218"/>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计价方法、使用寿命、减值测试" w:id="219"/>
      <w:bookmarkEnd w:id="219"/>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9"/>
        <w:rPr>
          <w:rFonts w:ascii="宋体" w:hAnsi="宋体" w:cs="宋体" w:eastAsia="宋体" w:hint="default"/>
          <w:b/>
          <w:bCs/>
          <w:sz w:val="23"/>
          <w:szCs w:val="23"/>
        </w:rPr>
      </w:pPr>
    </w:p>
    <w:p>
      <w:pPr>
        <w:pStyle w:val="Heading3"/>
        <w:spacing w:line="240" w:lineRule="auto"/>
        <w:ind w:left="574" w:right="1360" w:firstLine="0"/>
        <w:jc w:val="left"/>
        <w:rPr>
          <w:i w:val="0"/>
        </w:rPr>
      </w:pPr>
      <w:r>
        <w:rPr>
          <w:rFonts w:ascii="Times New Roman" w:hAnsi="Times New Roman" w:cs="Times New Roman" w:eastAsia="Times New Roman" w:hint="default"/>
          <w:i/>
          <w:w w:val="95"/>
          <w:sz w:val="21"/>
          <w:szCs w:val="21"/>
        </w:rPr>
        <w:t>1. </w:t>
      </w:r>
      <w:r>
        <w:rPr>
          <w:rFonts w:ascii="Times New Roman" w:hAnsi="Times New Roman" w:cs="Times New Roman" w:eastAsia="Times New Roman" w:hint="default"/>
          <w:i/>
          <w:spacing w:val="25"/>
          <w:w w:val="95"/>
          <w:sz w:val="21"/>
          <w:szCs w:val="21"/>
        </w:rPr>
        <w:t> </w:t>
      </w:r>
      <w:r>
        <w:rPr>
          <w:w w:val="95"/>
        </w:rPr>
        <w:t>无形资产包括土地使用权、专利权及非专利技术等，按成本进行初始计量。</w:t>
      </w:r>
      <w:r>
        <w:rPr>
          <w:i w:val="0"/>
        </w:rPr>
      </w:r>
    </w:p>
    <w:p>
      <w:pPr>
        <w:pStyle w:val="BodyText"/>
        <w:spacing w:line="256" w:lineRule="auto" w:before="21"/>
        <w:ind w:right="1132"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t>使用寿命有限的无形资产，在使用寿命内按照与该项无形资产有关的经济利益的预期实现方式系统 合理地摊销，无法可靠确定预期实现方式的，采用直线法摊销。具体年限如下：</w:t>
      </w:r>
    </w:p>
    <w:p>
      <w:pPr>
        <w:spacing w:line="240" w:lineRule="auto" w:before="11"/>
        <w:rPr>
          <w:rFonts w:ascii="宋体" w:hAnsi="宋体" w:cs="宋体" w:eastAsia="宋体" w:hint="default"/>
          <w:sz w:val="2"/>
          <w:szCs w:val="2"/>
        </w:rPr>
      </w:pPr>
    </w:p>
    <w:tbl>
      <w:tblPr>
        <w:tblW w:w="0" w:type="auto"/>
        <w:jc w:val="left"/>
        <w:tblInd w:w="506" w:type="dxa"/>
        <w:tblLayout w:type="fixed"/>
        <w:tblCellMar>
          <w:top w:w="0" w:type="dxa"/>
          <w:left w:w="0" w:type="dxa"/>
          <w:bottom w:w="0" w:type="dxa"/>
          <w:right w:w="0" w:type="dxa"/>
        </w:tblCellMar>
        <w:tblLook w:val="01E0"/>
      </w:tblPr>
      <w:tblGrid>
        <w:gridCol w:w="2160"/>
        <w:gridCol w:w="2160"/>
      </w:tblGrid>
      <w:tr>
        <w:trPr>
          <w:trHeight w:val="348"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项</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w:t>
            </w:r>
          </w:p>
        </w:tc>
        <w:tc>
          <w:tcPr>
            <w:tcW w:w="2160" w:type="dxa"/>
            <w:tcBorders>
              <w:top w:val="single" w:sz="6" w:space="0" w:color="000000"/>
              <w:left w:val="single" w:sz="6" w:space="0" w:color="000000"/>
              <w:bottom w:val="single" w:sz="6" w:space="0" w:color="000000"/>
              <w:right w:val="nil" w:sz="6" w:space="0" w:color="auto"/>
            </w:tcBorders>
          </w:tcPr>
          <w:p>
            <w:pPr>
              <w:pStyle w:val="TableParagraph"/>
              <w:spacing w:line="287" w:lineRule="exact"/>
              <w:ind w:right="8"/>
              <w:jc w:val="center"/>
              <w:rPr>
                <w:rFonts w:ascii="Times New Roman" w:hAnsi="Times New Roman" w:cs="Times New Roman" w:eastAsia="Times New Roman" w:hint="default"/>
                <w:sz w:val="21"/>
                <w:szCs w:val="21"/>
              </w:rPr>
            </w:pPr>
            <w:r>
              <w:rPr>
                <w:rFonts w:ascii="宋体" w:hAnsi="宋体" w:cs="宋体" w:eastAsia="宋体" w:hint="default"/>
                <w:sz w:val="21"/>
                <w:szCs w:val="21"/>
              </w:rPr>
              <w:t>摊销年限</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r>
      <w:tr>
        <w:trPr>
          <w:trHeight w:val="347"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5"/>
              <w:jc w:val="center"/>
              <w:rPr>
                <w:rFonts w:ascii="Times New Roman" w:hAnsi="Times New Roman" w:cs="Times New Roman" w:eastAsia="Times New Roman" w:hint="default"/>
                <w:sz w:val="21"/>
                <w:szCs w:val="21"/>
              </w:rPr>
            </w:pPr>
            <w:r>
              <w:rPr>
                <w:rFonts w:ascii="Times New Roman"/>
                <w:sz w:val="21"/>
              </w:rPr>
              <w:t>50</w:t>
            </w:r>
          </w:p>
        </w:tc>
      </w:tr>
      <w:tr>
        <w:trPr>
          <w:trHeight w:val="347"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21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6"/>
              <w:jc w:val="center"/>
              <w:rPr>
                <w:rFonts w:ascii="Times New Roman" w:hAnsi="Times New Roman" w:cs="Times New Roman" w:eastAsia="Times New Roman" w:hint="default"/>
                <w:sz w:val="21"/>
                <w:szCs w:val="21"/>
              </w:rPr>
            </w:pPr>
            <w:r>
              <w:rPr>
                <w:rFonts w:ascii="Times New Roman"/>
                <w:sz w:val="21"/>
              </w:rPr>
              <w:t>5</w:t>
            </w:r>
          </w:p>
        </w:tc>
      </w:tr>
      <w:tr>
        <w:trPr>
          <w:trHeight w:val="347"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商标专利</w:t>
            </w:r>
          </w:p>
        </w:tc>
        <w:tc>
          <w:tcPr>
            <w:tcW w:w="21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6"/>
              <w:jc w:val="center"/>
              <w:rPr>
                <w:rFonts w:ascii="Times New Roman" w:hAnsi="Times New Roman" w:cs="Times New Roman" w:eastAsia="Times New Roman" w:hint="default"/>
                <w:sz w:val="21"/>
                <w:szCs w:val="21"/>
              </w:rPr>
            </w:pPr>
            <w:r>
              <w:rPr>
                <w:rFonts w:ascii="Times New Roman"/>
                <w:sz w:val="21"/>
              </w:rPr>
              <w:t>5</w:t>
            </w:r>
          </w:p>
        </w:tc>
      </w:tr>
      <w:tr>
        <w:trPr>
          <w:trHeight w:val="347"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游戏版权</w:t>
            </w:r>
          </w:p>
        </w:tc>
        <w:tc>
          <w:tcPr>
            <w:tcW w:w="21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6"/>
              <w:jc w:val="center"/>
              <w:rPr>
                <w:rFonts w:ascii="Times New Roman" w:hAnsi="Times New Roman" w:cs="Times New Roman" w:eastAsia="Times New Roman" w:hint="default"/>
                <w:sz w:val="21"/>
                <w:szCs w:val="21"/>
              </w:rPr>
            </w:pPr>
            <w:r>
              <w:rPr>
                <w:rFonts w:ascii="Times New Roman"/>
                <w:sz w:val="21"/>
              </w:rPr>
              <w:t>5</w:t>
            </w:r>
          </w:p>
        </w:tc>
      </w:tr>
      <w:tr>
        <w:trPr>
          <w:trHeight w:val="347"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著作权及域名</w:t>
            </w:r>
          </w:p>
        </w:tc>
        <w:tc>
          <w:tcPr>
            <w:tcW w:w="21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5"/>
              <w:jc w:val="center"/>
              <w:rPr>
                <w:rFonts w:ascii="Times New Roman" w:hAnsi="Times New Roman" w:cs="Times New Roman" w:eastAsia="Times New Roman" w:hint="default"/>
                <w:sz w:val="21"/>
                <w:szCs w:val="21"/>
              </w:rPr>
            </w:pPr>
            <w:r>
              <w:rPr>
                <w:rFonts w:ascii="Times New Roman"/>
                <w:sz w:val="21"/>
              </w:rPr>
              <w:t>10</w:t>
            </w:r>
          </w:p>
        </w:tc>
      </w:tr>
      <w:tr>
        <w:trPr>
          <w:trHeight w:val="348" w:hRule="exact"/>
        </w:trPr>
        <w:tc>
          <w:tcPr>
            <w:tcW w:w="2160" w:type="dxa"/>
            <w:tcBorders>
              <w:top w:val="single" w:sz="6" w:space="0" w:color="000000"/>
              <w:left w:val="single" w:sz="6" w:space="0" w:color="000000"/>
              <w:bottom w:val="single" w:sz="6" w:space="0" w:color="000000"/>
              <w:right w:val="nil" w:sz="6" w:space="0" w:color="auto"/>
            </w:tcBorders>
          </w:tcPr>
          <w:p>
            <w:pPr/>
          </w:p>
        </w:tc>
        <w:tc>
          <w:tcPr>
            <w:tcW w:w="2160" w:type="dxa"/>
            <w:tcBorders>
              <w:top w:val="single" w:sz="6" w:space="0" w:color="000000"/>
              <w:left w:val="nil" w:sz="6" w:space="0" w:color="auto"/>
              <w:bottom w:val="nil" w:sz="6" w:space="0" w:color="auto"/>
              <w:right w:val="nil" w:sz="6" w:space="0" w:color="auto"/>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6"/>
        <w:ind w:right="1360"/>
        <w:jc w:val="left"/>
        <w:rPr>
          <w:b w:val="0"/>
          <w:bCs w:val="0"/>
        </w:rPr>
      </w:pPr>
      <w:bookmarkStart w:name="（2）内部研究开发支出会计政策" w:id="220"/>
      <w:bookmarkEnd w:id="22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24"/>
          <w:szCs w:val="24"/>
        </w:rPr>
      </w:pPr>
    </w:p>
    <w:p>
      <w:pPr>
        <w:pStyle w:val="BodyText"/>
        <w:spacing w:line="256" w:lineRule="auto"/>
        <w:ind w:right="1008" w:firstLine="42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内部研究开发项目研究阶段的支出，于发生时计入当期损益。内部研究开发项目开发阶段的支出， 同时满足下列条件的，确认为无形资产：</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完成该无形资产以使其能够使用或出售在技术上具有可行性； </w:t>
      </w:r>
      <w:r>
        <w:rPr>
          <w:rFonts w:ascii="Times New Roman" w:hAnsi="Times New Roman" w:cs="Times New Roman" w:eastAsia="Times New Roman" w:hint="default"/>
        </w:rPr>
        <w:t>(2) </w:t>
      </w:r>
      <w:r>
        <w:rPr/>
        <w:t>具有完成该无形资产并使用或出售的意图；</w:t>
      </w: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无形资产产生经济利益的方式，包括能够证明运用该无 </w:t>
      </w:r>
      <w:r>
        <w:rPr>
          <w:spacing w:val="-3"/>
        </w:rPr>
        <w:t>形资产生产的产品存在市场或无形资产自身存在市场，无形资产将在内部使用的，能证明其有用性；</w:t>
      </w:r>
      <w:r>
        <w:rPr>
          <w:rFonts w:ascii="Times New Roman" w:hAnsi="Times New Roman" w:cs="Times New Roman" w:eastAsia="Times New Roman" w:hint="default"/>
          <w:spacing w:val="-3"/>
        </w:rPr>
        <w:t>(4)</w:t>
      </w:r>
      <w:r>
        <w:rPr>
          <w:rFonts w:ascii="Times New Roman" w:hAnsi="Times New Roman" w:cs="Times New Roman" w:eastAsia="Times New Roman" w:hint="default"/>
          <w:spacing w:val="30"/>
        </w:rPr>
        <w:t> </w:t>
      </w:r>
      <w:r>
        <w:rPr/>
        <w:t>有 足够的技术、财务资源和其他资源支持，以完成该无形资产的开发，并有能力使用或出售该无形资产；</w:t>
      </w:r>
      <w:r>
        <w:rPr>
          <w:rFonts w:ascii="Times New Roman" w:hAnsi="Times New Roman" w:cs="Times New Roman" w:eastAsia="Times New Roman" w:hint="default"/>
        </w:rPr>
        <w:t>(5) </w:t>
      </w:r>
      <w:r>
        <w:rPr/>
        <w:t>归属于该无形资产开发阶段的支出能够可靠地计量。</w:t>
      </w:r>
    </w:p>
    <w:p>
      <w:pPr>
        <w:pStyle w:val="BodyText"/>
        <w:spacing w:line="240" w:lineRule="auto" w:before="71"/>
        <w:ind w:left="574" w:right="1360"/>
        <w:jc w:val="left"/>
        <w:rPr>
          <w:rFonts w:ascii="Times New Roman" w:hAnsi="Times New Roman" w:cs="Times New Roman" w:eastAsia="Times New Roman" w:hint="default"/>
        </w:rPr>
      </w:pPr>
      <w:r>
        <w:rPr>
          <w:rFonts w:ascii="Times New Roman"/>
        </w:rPr>
        <w:t>?</w:t>
      </w:r>
    </w:p>
    <w:p>
      <w:pPr>
        <w:spacing w:line="240" w:lineRule="auto" w:before="2"/>
        <w:rPr>
          <w:rFonts w:ascii="Times New Roman" w:hAnsi="Times New Roman" w:cs="Times New Roman" w:eastAsia="Times New Roman" w:hint="default"/>
          <w:sz w:val="29"/>
          <w:szCs w:val="29"/>
        </w:rPr>
      </w:pPr>
    </w:p>
    <w:p>
      <w:pPr>
        <w:pStyle w:val="BodyText"/>
        <w:spacing w:line="590" w:lineRule="atLeast"/>
        <w:ind w:left="574" w:right="0" w:hanging="420"/>
        <w:jc w:val="left"/>
      </w:pPr>
      <w:bookmarkStart w:name="22、长期资产减值" w:id="221"/>
      <w:bookmarkEnd w:id="221"/>
      <w:r>
        <w:rPr/>
      </w: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w w:val="99"/>
        </w:rPr>
        <w:t> </w:t>
      </w:r>
      <w:r>
        <w:rPr>
          <w:spacing w:val="-1"/>
        </w:rPr>
        <w:t>对长期股权投资、采用成本模式计量的投资性房地产、固定资产、在建工程、使用寿命有限的无形资</w:t>
      </w:r>
    </w:p>
    <w:p>
      <w:pPr>
        <w:pStyle w:val="BodyText"/>
        <w:spacing w:line="266" w:lineRule="auto" w:before="37"/>
        <w:ind w:right="1023"/>
        <w:jc w:val="left"/>
      </w:pPr>
      <w:r>
        <w:rPr/>
        <w:t>产等长期资产</w:t>
      </w:r>
      <w:r>
        <w:rPr>
          <w:rFonts w:ascii="Times New Roman" w:hAnsi="Times New Roman" w:cs="Times New Roman" w:eastAsia="Times New Roman" w:hint="default"/>
        </w:rPr>
        <w:t>,</w:t>
      </w:r>
      <w:r>
        <w:rPr/>
        <w:t>在资产负债表日有迹象表明发生减值的，估计其可收回金额。 </w:t>
      </w:r>
      <w:r>
        <w:rPr>
          <w:spacing w:val="-3"/>
        </w:rPr>
        <w:t>对因企业合并所形成的商誉和使用寿命不确定的无形资产，无论是否存在减值迹象，每年都进行减值测试。</w:t>
      </w:r>
      <w:r>
        <w:rPr>
          <w:spacing w:val="-92"/>
        </w:rPr>
        <w:t> </w:t>
      </w:r>
      <w:r>
        <w:rPr>
          <w:spacing w:val="-92"/>
        </w:rPr>
      </w:r>
      <w:r>
        <w:rPr/>
        <w:t>商誉结合与其相关的资产组或者资产组组合进行减值测试。若上述长期资产的可收回金额低于其账面价值</w:t>
      </w:r>
      <w:r>
        <w:rPr/>
        <w:t> 的，按其差额确认资产减值准备并计入当期损益。</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pStyle w:val="Heading4"/>
        <w:spacing w:line="240" w:lineRule="auto"/>
        <w:ind w:right="1360"/>
        <w:jc w:val="left"/>
        <w:rPr>
          <w:b w:val="0"/>
          <w:bCs w:val="0"/>
        </w:rPr>
      </w:pPr>
      <w:bookmarkStart w:name="23、长期待摊费用" w:id="222"/>
      <w:bookmarkEnd w:id="222"/>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4"/>
          <w:szCs w:val="24"/>
        </w:rPr>
      </w:pPr>
    </w:p>
    <w:p>
      <w:pPr>
        <w:pStyle w:val="BodyText"/>
        <w:spacing w:line="264" w:lineRule="auto"/>
        <w:ind w:right="1131"/>
        <w:jc w:val="both"/>
      </w:pPr>
      <w:r>
        <w:rPr>
          <w:spacing w:val="-1"/>
        </w:rPr>
        <w:t>长期待摊费用核算已经支出，摊销期限在</w:t>
      </w:r>
      <w:r>
        <w:rPr>
          <w:rFonts w:ascii="Times New Roman" w:hAnsi="Times New Roman" w:cs="Times New Roman" w:eastAsia="Times New Roman" w:hint="default"/>
          <w:spacing w:val="-1"/>
        </w:rPr>
        <w:t>1</w:t>
      </w:r>
      <w:r>
        <w:rPr>
          <w:spacing w:val="-1"/>
        </w:rPr>
        <w:t>年以上（不含</w:t>
      </w:r>
      <w:r>
        <w:rPr>
          <w:rFonts w:ascii="Times New Roman" w:hAnsi="Times New Roman" w:cs="Times New Roman" w:eastAsia="Times New Roman" w:hint="default"/>
          <w:spacing w:val="-1"/>
        </w:rPr>
        <w:t>1</w:t>
      </w:r>
      <w:r>
        <w:rPr>
          <w:spacing w:val="-1"/>
        </w:rPr>
        <w:t>年）的各项费用。长期待摊费用按实际发生额入</w:t>
      </w:r>
      <w:r>
        <w:rPr>
          <w:spacing w:val="-87"/>
        </w:rPr>
        <w:t> </w:t>
      </w:r>
      <w:r>
        <w:rPr>
          <w:spacing w:val="-87"/>
        </w:rPr>
      </w:r>
      <w:r>
        <w:rPr>
          <w:spacing w:val="-1"/>
        </w:rPr>
        <w:t>账，在受益期或规定的期限内分期平均摊销。如果长期待摊的费用项目不能使以后会计期间受益则将尚未</w:t>
      </w:r>
      <w:r>
        <w:rPr>
          <w:spacing w:val="-81"/>
        </w:rPr>
        <w:t> </w:t>
      </w:r>
      <w:r>
        <w:rPr>
          <w:spacing w:val="-81"/>
        </w:rPr>
      </w:r>
      <w:r>
        <w:rPr/>
        <w:t>摊销的该项目的摊余价值全部转入当期损益。</w:t>
      </w:r>
    </w:p>
    <w:p>
      <w:pPr>
        <w:spacing w:line="240" w:lineRule="auto" w:before="3"/>
        <w:rPr>
          <w:rFonts w:ascii="宋体" w:hAnsi="宋体" w:cs="宋体" w:eastAsia="宋体" w:hint="default"/>
          <w:sz w:val="24"/>
          <w:szCs w:val="24"/>
        </w:rPr>
      </w:pPr>
    </w:p>
    <w:p>
      <w:pPr>
        <w:pStyle w:val="Heading4"/>
        <w:spacing w:line="240" w:lineRule="auto"/>
        <w:ind w:right="1360"/>
        <w:jc w:val="left"/>
        <w:rPr>
          <w:b w:val="0"/>
          <w:bCs w:val="0"/>
        </w:rPr>
      </w:pPr>
      <w:bookmarkStart w:name="24、职工薪酬" w:id="223"/>
      <w:bookmarkEnd w:id="223"/>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1）短期薪酬的会计处理方法" w:id="224"/>
      <w:bookmarkEnd w:id="224"/>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6"/>
          <w:szCs w:val="26"/>
        </w:rPr>
      </w:pPr>
    </w:p>
    <w:p>
      <w:pPr>
        <w:pStyle w:val="BodyText"/>
        <w:spacing w:line="240" w:lineRule="auto"/>
        <w:ind w:left="574" w:right="1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职工薪酬包括短期薪酬、离职后福利、辞退福利和其他长期职工福利。</w:t>
      </w:r>
    </w:p>
    <w:p>
      <w:pPr>
        <w:pStyle w:val="BodyText"/>
        <w:spacing w:line="256" w:lineRule="auto" w:before="21"/>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短期薪酬的会计处理方法 </w:t>
      </w:r>
      <w:r>
        <w:rPr>
          <w:spacing w:val="-1"/>
        </w:rPr>
        <w:t>在职工为公司提供服务的会计期间，将实际发生的短期薪酬确认为负债，并计入当期损益或相关资产</w:t>
      </w:r>
    </w:p>
    <w:p>
      <w:pPr>
        <w:pStyle w:val="BodyText"/>
        <w:spacing w:line="240" w:lineRule="auto" w:before="22"/>
        <w:ind w:right="1360"/>
        <w:jc w:val="left"/>
      </w:pPr>
      <w:r>
        <w:rPr/>
        <w:t>成本。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7"/>
        <w:ind w:right="1360"/>
        <w:jc w:val="left"/>
        <w:rPr>
          <w:b w:val="0"/>
          <w:bCs w:val="0"/>
        </w:rPr>
      </w:pPr>
      <w:bookmarkStart w:name="（2）离职后福利的会计处理方法" w:id="225"/>
      <w:bookmarkEnd w:id="225"/>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6"/>
          <w:szCs w:val="26"/>
        </w:rPr>
      </w:pPr>
    </w:p>
    <w:p>
      <w:pPr>
        <w:pStyle w:val="BodyText"/>
        <w:spacing w:line="240" w:lineRule="auto"/>
        <w:ind w:left="574" w:right="1360"/>
        <w:jc w:val="left"/>
      </w:pPr>
      <w:r>
        <w:rPr/>
        <w:t>离职后福利分为设定提存计划和设定受益计划。</w:t>
      </w:r>
    </w:p>
    <w:p>
      <w:pPr>
        <w:pStyle w:val="BodyText"/>
        <w:spacing w:line="240" w:lineRule="auto" w:before="37"/>
        <w:ind w:left="574"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36"/>
        </w:rPr>
        <w:t> </w:t>
      </w:r>
      <w:r>
        <w:rPr/>
        <w:t>在职工为公司提供服务的会计期间，根据设定提存计划计算的应缴存金额确认为负债，并计入当</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期损益或相关资产成本。</w:t>
      </w:r>
    </w:p>
    <w:p>
      <w:pPr>
        <w:pStyle w:val="BodyText"/>
        <w:spacing w:line="240" w:lineRule="auto" w:before="37"/>
        <w:ind w:left="574" w:right="1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对设定受益计划的会计处理通常包括下列步骤：</w:t>
      </w:r>
    </w:p>
    <w:p>
      <w:pPr>
        <w:pStyle w:val="BodyText"/>
        <w:spacing w:line="266" w:lineRule="auto" w:before="21"/>
        <w:ind w:right="113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spacing w:val="-2"/>
        </w:rPr>
        <w:t>根据预期累计福利单位法，采用无偏且相互一致的精算假设对有关人口统计变量和财务变量等作出</w:t>
      </w:r>
      <w:r>
        <w:rPr>
          <w:w w:val="99"/>
        </w:rPr>
        <w:t> </w:t>
      </w:r>
      <w:r>
        <w:rPr>
          <w:spacing w:val="-1"/>
        </w:rPr>
        <w:t>估计，计量设定受益计划所产生的义务，并确定相关义务的所属期间。同时，对设定受益计划所产生的义</w:t>
      </w:r>
      <w:r>
        <w:rPr>
          <w:spacing w:val="-87"/>
        </w:rPr>
        <w:t> </w:t>
      </w:r>
      <w:r>
        <w:rPr>
          <w:spacing w:val="-87"/>
        </w:rPr>
      </w:r>
      <w:r>
        <w:rPr/>
        <w:t>务予以折现，以确定设定受益计划义务的现值和当期服务成本；</w:t>
      </w:r>
    </w:p>
    <w:p>
      <w:pPr>
        <w:pStyle w:val="BodyText"/>
        <w:spacing w:line="264" w:lineRule="auto" w:before="14"/>
        <w:ind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spacing w:val="-2"/>
        </w:rPr>
        <w:t>设定受益计划存在资产的，将设定受益计划义务现值减去设定受益计划资产公允价值所形成的赤字</w:t>
      </w:r>
      <w:r>
        <w:rPr>
          <w:w w:val="99"/>
        </w:rPr>
        <w:t> </w:t>
      </w:r>
      <w:r>
        <w:rPr>
          <w:spacing w:val="-1"/>
        </w:rPr>
        <w:t>或盈余确认为一项设定受益计划净负债或净资产。设定受益计划存在盈余的，以设定受益计划的盈余和资</w:t>
      </w:r>
      <w:r>
        <w:rPr>
          <w:spacing w:val="-82"/>
        </w:rPr>
        <w:t> </w:t>
      </w:r>
      <w:r>
        <w:rPr>
          <w:spacing w:val="-82"/>
        </w:rPr>
      </w:r>
      <w:r>
        <w:rPr/>
        <w:t>产上限两项的孰低者计量设定受益计划净资产；</w:t>
      </w:r>
    </w:p>
    <w:p>
      <w:pPr>
        <w:pStyle w:val="BodyText"/>
        <w:spacing w:line="268" w:lineRule="auto" w:before="16"/>
        <w:ind w:right="1131"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spacing w:val="-2"/>
        </w:rPr>
        <w:t>期末，将设定受益计划产生的职工薪酬成本确认为服务成本、设定受益计划净负债或净资产的利息</w:t>
      </w:r>
      <w:r>
        <w:rPr>
          <w:w w:val="99"/>
        </w:rPr>
        <w:t> </w:t>
      </w:r>
      <w:r>
        <w:rPr>
          <w:spacing w:val="-1"/>
        </w:rPr>
        <w:t>净额以及重新计量设定受益计划净负债或净资产所产生的变动等三部分，其中服务成本和设定受益计划净</w:t>
      </w:r>
      <w:r>
        <w:rPr>
          <w:spacing w:val="-82"/>
        </w:rPr>
        <w:t> </w:t>
      </w:r>
      <w:r>
        <w:rPr>
          <w:spacing w:val="-82"/>
        </w:rPr>
      </w:r>
      <w:r>
        <w:rPr>
          <w:spacing w:val="-1"/>
        </w:rPr>
        <w:t>负债或净资产的利息净额计入当期损益或相关资产成本，重新计量设定受益计划净负债或净资产所产生的</w:t>
      </w:r>
      <w:r>
        <w:rPr>
          <w:spacing w:val="-82"/>
        </w:rPr>
        <w:t> </w:t>
      </w:r>
      <w:r>
        <w:rPr>
          <w:spacing w:val="-82"/>
        </w:rPr>
      </w:r>
      <w:r>
        <w:rPr>
          <w:spacing w:val="-1"/>
        </w:rPr>
        <w:t>变动计入其他综合收益，并且在后续会计期间不允许转回至损益，但可以在权益范围内转移这些在其他综</w:t>
      </w:r>
      <w:r>
        <w:rPr>
          <w:spacing w:val="-82"/>
        </w:rPr>
        <w:t> </w:t>
      </w:r>
      <w:r>
        <w:rPr>
          <w:spacing w:val="-82"/>
        </w:rPr>
      </w:r>
      <w:r>
        <w:rPr/>
        <w:t>合收益确认的金额。</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4"/>
        <w:spacing w:line="240" w:lineRule="auto"/>
        <w:ind w:right="0"/>
        <w:jc w:val="both"/>
        <w:rPr>
          <w:b w:val="0"/>
          <w:bCs w:val="0"/>
        </w:rPr>
      </w:pPr>
      <w:bookmarkStart w:name="（3）辞退福利的会计处理方法" w:id="226"/>
      <w:bookmarkEnd w:id="226"/>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200"/>
        <w:jc w:val="both"/>
      </w:pPr>
      <w:r>
        <w:rPr/>
        <w:t>向职工提供的辞退福利，在下列两者孰早日确认辞退福利产生的职工薪酬负债，并计入当期损益：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公 司不能单方面撤回因解除劳动关系计划或裁减建议所提供的辞退福利时；</w:t>
      </w: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公司确认与涉及支付辞退福 利的重组相关的成本或费用时。</w:t>
      </w:r>
    </w:p>
    <w:p>
      <w:pPr>
        <w:spacing w:line="590" w:lineRule="atLeast" w:before="24"/>
        <w:ind w:left="574" w:right="1017" w:hanging="420"/>
        <w:jc w:val="left"/>
        <w:rPr>
          <w:rFonts w:ascii="宋体" w:hAnsi="宋体" w:cs="宋体" w:eastAsia="宋体" w:hint="default"/>
          <w:sz w:val="21"/>
          <w:szCs w:val="21"/>
        </w:rPr>
      </w:pPr>
      <w:bookmarkStart w:name="（4）其他长期职工福利的会计处理方法" w:id="227"/>
      <w:bookmarkEnd w:id="2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向职工提供的其他长期福利，符合设定提存计划条件的，按照设定提存计划的有关规定进行会计处理；</w:t>
      </w:r>
    </w:p>
    <w:p>
      <w:pPr>
        <w:pStyle w:val="BodyText"/>
        <w:spacing w:line="273" w:lineRule="auto" w:before="37"/>
        <w:ind w:right="1131"/>
        <w:jc w:val="both"/>
      </w:pPr>
      <w:r>
        <w:rPr>
          <w:spacing w:val="-1"/>
        </w:rPr>
        <w:t>除此之外的其他长期福利，按照设定受益计划的有关规定进行会计处理，为简化相关会计处理，将其产生</w:t>
      </w:r>
      <w:r>
        <w:rPr>
          <w:spacing w:val="-83"/>
        </w:rPr>
        <w:t> </w:t>
      </w:r>
      <w:r>
        <w:rPr>
          <w:spacing w:val="-83"/>
        </w:rPr>
      </w:r>
      <w:r>
        <w:rPr>
          <w:spacing w:val="-1"/>
        </w:rPr>
        <w:t>的职工薪酬成本确认为服务成本、其他长期职工福利净负债或净资产的利息净额以及重新计量其他长期职</w:t>
      </w:r>
      <w:r>
        <w:rPr>
          <w:spacing w:val="-81"/>
        </w:rPr>
        <w:t> </w:t>
      </w:r>
      <w:r>
        <w:rPr>
          <w:spacing w:val="-81"/>
        </w:rPr>
      </w:r>
      <w:r>
        <w:rPr/>
        <w:t>工福利净负债或净资产所产生的变动等组成项目的总净额计入当期损益或相关资产成本。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8"/>
        <w:ind w:right="0"/>
        <w:jc w:val="both"/>
        <w:rPr>
          <w:b w:val="0"/>
          <w:bCs w:val="0"/>
        </w:rPr>
      </w:pPr>
      <w:bookmarkStart w:name="25、预计负债" w:id="228"/>
      <w:bookmarkEnd w:id="228"/>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26、股份支付" w:id="229"/>
      <w:bookmarkEnd w:id="229"/>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27、优先股、永续债等其他金融工具" w:id="230"/>
      <w:bookmarkEnd w:id="230"/>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28、收入" w:id="231"/>
      <w:bookmarkEnd w:id="231"/>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40" w:lineRule="auto"/>
        <w:ind w:left="574" w:right="1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收入确认原则</w:t>
      </w:r>
    </w:p>
    <w:p>
      <w:pPr>
        <w:pStyle w:val="BodyText"/>
        <w:spacing w:line="240" w:lineRule="auto" w:before="21"/>
        <w:ind w:left="574" w:right="1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销售商品</w:t>
      </w:r>
    </w:p>
    <w:p>
      <w:pPr>
        <w:pStyle w:val="BodyText"/>
        <w:spacing w:line="240" w:lineRule="auto" w:before="21"/>
        <w:ind w:left="574" w:right="0"/>
        <w:jc w:val="left"/>
      </w:pPr>
      <w:r>
        <w:rPr/>
        <w:t>销售商品收入在同时满足下列条件时予以确认：</w:t>
      </w: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将商品所有权上的主要风险和报酬转移给购货方；</w:t>
      </w:r>
    </w:p>
    <w:p>
      <w:pPr>
        <w:pStyle w:val="BodyText"/>
        <w:spacing w:line="240" w:lineRule="auto" w:before="21"/>
        <w:ind w:right="0"/>
        <w:jc w:val="left"/>
      </w:pPr>
      <w:r>
        <w:rPr>
          <w:rFonts w:ascii="Times New Roman" w:hAnsi="Times New Roman" w:cs="Times New Roman" w:eastAsia="Times New Roman" w:hint="default"/>
        </w:rPr>
        <w:t>2)  </w:t>
      </w:r>
      <w:r>
        <w:rPr/>
        <w:t>公司不再保留通常与所有权相联系的继续管理权，也不再对已售出的商品实施有效控制；</w:t>
      </w:r>
      <w:r>
        <w:rPr>
          <w:rFonts w:ascii="Times New Roman" w:hAnsi="Times New Roman" w:cs="Times New Roman" w:eastAsia="Times New Roman" w:hint="default"/>
        </w:rPr>
        <w:t>3) </w:t>
      </w:r>
      <w:r>
        <w:rPr>
          <w:rFonts w:ascii="Times New Roman" w:hAnsi="Times New Roman" w:cs="Times New Roman" w:eastAsia="Times New Roman" w:hint="default"/>
          <w:spacing w:val="33"/>
        </w:rPr>
        <w:t> </w:t>
      </w:r>
      <w:r>
        <w:rPr>
          <w:spacing w:val="3"/>
        </w:rPr>
        <w:t>收入的金</w:t>
      </w:r>
      <w:r>
        <w:rPr/>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left="574" w:right="1118" w:hanging="420"/>
        <w:jc w:val="left"/>
      </w:pPr>
      <w:r>
        <w:rPr/>
        <w:t>额能够可靠地计量；</w:t>
      </w:r>
      <w:r>
        <w:rPr>
          <w:rFonts w:ascii="Times New Roman" w:hAnsi="Times New Roman" w:cs="Times New Roman" w:eastAsia="Times New Roman" w:hint="default"/>
        </w:rPr>
        <w:t>4) </w:t>
      </w:r>
      <w:r>
        <w:rPr/>
        <w:t>相关的经济利益很可能流入；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相关的已发生或将发生的成本能够可靠地计量。 </w:t>
      </w: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提供劳务 </w:t>
      </w:r>
      <w:r>
        <w:rPr>
          <w:spacing w:val="-1"/>
        </w:rPr>
        <w:t>提供劳务收入采用交付并验收合格后确认提供劳务的收入（同时满足收入的金额能够可靠地计量、相</w:t>
      </w:r>
    </w:p>
    <w:p>
      <w:pPr>
        <w:pStyle w:val="BodyText"/>
        <w:spacing w:line="273" w:lineRule="auto" w:before="22"/>
        <w:ind w:right="1131"/>
        <w:jc w:val="both"/>
      </w:pPr>
      <w:r>
        <w:rPr>
          <w:spacing w:val="-1"/>
        </w:rPr>
        <w:t>关经济利益很可能流入、交易中已发生和将发生的成本能够可靠地计量）。提供劳务交易的结果在资产负</w:t>
      </w:r>
      <w:r>
        <w:rPr>
          <w:spacing w:val="-83"/>
        </w:rPr>
        <w:t> </w:t>
      </w:r>
      <w:r>
        <w:rPr>
          <w:spacing w:val="-83"/>
        </w:rPr>
      </w:r>
      <w:r>
        <w:rPr>
          <w:spacing w:val="-1"/>
        </w:rPr>
        <w:t>债表日不能够可靠估计的，若已经发生的劳务成本预计能够得到补偿，按已经发生的劳务成本金额确认提</w:t>
      </w:r>
      <w:r>
        <w:rPr>
          <w:spacing w:val="-81"/>
        </w:rPr>
        <w:t> </w:t>
      </w:r>
      <w:r>
        <w:rPr>
          <w:spacing w:val="-81"/>
        </w:rPr>
      </w:r>
      <w:r>
        <w:rPr>
          <w:spacing w:val="-1"/>
        </w:rPr>
        <w:t>供劳务收入，并按相同金额结转劳务成本；若已经发生的劳务成本预计不能够得到补偿，将已经发生的劳</w:t>
      </w:r>
      <w:r>
        <w:rPr>
          <w:spacing w:val="-83"/>
        </w:rPr>
        <w:t> </w:t>
      </w:r>
      <w:r>
        <w:rPr>
          <w:spacing w:val="-83"/>
        </w:rPr>
      </w:r>
      <w:r>
        <w:rPr/>
        <w:t>务成本计入当期损益，不确认劳务收入。</w:t>
      </w:r>
    </w:p>
    <w:p>
      <w:pPr>
        <w:pStyle w:val="BodyText"/>
        <w:spacing w:line="256" w:lineRule="auto" w:before="7"/>
        <w:ind w:left="57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让渡资产使用权</w:t>
      </w:r>
      <w:r>
        <w:rPr>
          <w:w w:val="99"/>
        </w:rPr>
        <w:t> </w:t>
      </w:r>
      <w:r>
        <w:rPr>
          <w:spacing w:val="-1"/>
        </w:rPr>
        <w:t>让渡资产使用权在同时满足相关的经济利益很可能流入、收入金额能够可靠计量时，确认让渡资产使</w:t>
      </w:r>
    </w:p>
    <w:p>
      <w:pPr>
        <w:pStyle w:val="BodyText"/>
        <w:spacing w:line="273" w:lineRule="auto" w:before="22"/>
        <w:ind w:right="1131"/>
        <w:jc w:val="both"/>
      </w:pPr>
      <w:r>
        <w:rPr>
          <w:spacing w:val="-1"/>
        </w:rPr>
        <w:t>用权的收入。利息收入按照他人使用本公司货币资金的时间和实际利率计算确定；使用费收入按有关合同</w:t>
      </w:r>
      <w:r>
        <w:rPr>
          <w:spacing w:val="-81"/>
        </w:rPr>
        <w:t> </w:t>
      </w:r>
      <w:r>
        <w:rPr>
          <w:spacing w:val="-81"/>
        </w:rPr>
      </w:r>
      <w:r>
        <w:rPr/>
        <w:t>或协议约定的收费时间和方法计算确定。</w:t>
      </w:r>
    </w:p>
    <w:p>
      <w:pPr>
        <w:pStyle w:val="BodyText"/>
        <w:spacing w:line="256" w:lineRule="auto" w:before="7"/>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动漫、影视作品收入的确认方法 </w:t>
      </w:r>
      <w:r>
        <w:rPr>
          <w:spacing w:val="-1"/>
        </w:rPr>
        <w:t>动漫、影视作品在取得《国产动画片播放许可证》、《电视剧发行许可证》，母带已经交付，且交易</w:t>
      </w:r>
    </w:p>
    <w:p>
      <w:pPr>
        <w:pStyle w:val="BodyText"/>
        <w:spacing w:line="240" w:lineRule="auto" w:before="22"/>
        <w:ind w:right="0"/>
        <w:jc w:val="left"/>
      </w:pPr>
      <w:r>
        <w:rPr>
          <w:spacing w:val="-7"/>
        </w:rPr>
        <w:t>相关的经济利益很可能流入本公司时确认。动漫、影视作品授权形象收入在取得《国产动画片播放许可证》、</w:t>
      </w:r>
    </w:p>
    <w:p>
      <w:pPr>
        <w:pStyle w:val="BodyText"/>
        <w:spacing w:line="273" w:lineRule="auto" w:before="37"/>
        <w:ind w:right="1131"/>
        <w:jc w:val="both"/>
      </w:pPr>
      <w:r>
        <w:rPr>
          <w:spacing w:val="-1"/>
        </w:rPr>
        <w:t>《电视剧发行许可证》且当交易相关的经济利益很可能流入本公司，根据合同或者协议规定的金额或收费</w:t>
      </w:r>
      <w:r>
        <w:rPr>
          <w:spacing w:val="-81"/>
        </w:rPr>
        <w:t> </w:t>
      </w:r>
      <w:r>
        <w:rPr>
          <w:spacing w:val="-81"/>
        </w:rPr>
      </w:r>
      <w:r>
        <w:rPr/>
        <w:t>方法确认收入。</w:t>
      </w:r>
    </w:p>
    <w:p>
      <w:pPr>
        <w:pStyle w:val="BodyText"/>
        <w:spacing w:line="240" w:lineRule="auto" w:before="7"/>
        <w:ind w:left="574" w:right="13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2"/>
        </w:rPr>
        <w:t> </w:t>
      </w:r>
      <w:r>
        <w:rPr/>
        <w:t>游戏收入</w:t>
      </w:r>
    </w:p>
    <w:p>
      <w:pPr>
        <w:pStyle w:val="BodyText"/>
        <w:spacing w:line="264" w:lineRule="auto" w:before="21"/>
        <w:ind w:left="574" w:right="172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移动终端单机游戏</w:t>
      </w:r>
      <w:r>
        <w:rPr>
          <w:w w:val="99"/>
        </w:rPr>
        <w:t> </w:t>
      </w:r>
      <w:r>
        <w:rPr/>
        <w:t>在收到电信运营商或服务商提供的计费账单并经公司相关部门核对结算金额后，确认为收入。</w:t>
      </w:r>
      <w:r>
        <w:rPr>
          <w:w w:val="99"/>
        </w:rPr>
        <w:t> </w:t>
      </w: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移动终端联网游戏、互联网页面游戏</w:t>
      </w:r>
    </w:p>
    <w:p>
      <w:pPr>
        <w:pStyle w:val="BodyText"/>
        <w:spacing w:line="273" w:lineRule="auto"/>
        <w:ind w:right="1131" w:firstLine="420"/>
        <w:jc w:val="both"/>
      </w:pPr>
      <w:r>
        <w:rPr>
          <w:spacing w:val="-1"/>
        </w:rPr>
        <w:t>公司官方网站上运营的自有网络游戏：道具收费模式下，在游戏玩家实际使用虚拟货币购买虚拟道具</w:t>
      </w:r>
      <w:r>
        <w:rPr/>
        <w:t> </w:t>
      </w:r>
      <w:r>
        <w:rPr>
          <w:spacing w:val="-1"/>
        </w:rPr>
        <w:t>时确认收入。公司官方网站上运营的合作网络游戏、公司与网络游戏平台合作运营的网络游戏：在取得合</w:t>
      </w:r>
      <w:r>
        <w:rPr>
          <w:spacing w:val="-83"/>
        </w:rPr>
        <w:t> </w:t>
      </w:r>
      <w:r>
        <w:rPr>
          <w:spacing w:val="-83"/>
        </w:rPr>
      </w:r>
      <w:r>
        <w:rPr/>
        <w:t>作方提供的按协议约定计算并经双方核对无误的计费账单后，确认为收入。</w:t>
      </w:r>
    </w:p>
    <w:p>
      <w:pPr>
        <w:pStyle w:val="BodyText"/>
        <w:spacing w:line="240" w:lineRule="auto" w:before="7"/>
        <w:ind w:left="574" w:right="136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0"/>
        </w:rPr>
        <w:t> </w:t>
      </w:r>
      <w:r>
        <w:rPr/>
        <w:t>游戏服务平台</w:t>
      </w:r>
    </w:p>
    <w:p>
      <w:pPr>
        <w:pStyle w:val="BodyText"/>
        <w:spacing w:line="256" w:lineRule="auto" w:before="21"/>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轻游戏服务平台</w:t>
      </w:r>
      <w:r>
        <w:rPr>
          <w:w w:val="99"/>
        </w:rPr>
        <w:t> </w:t>
      </w:r>
      <w:r>
        <w:rPr>
          <w:spacing w:val="-1"/>
        </w:rPr>
        <w:t>根据移动电信运营商、服务商、程序开发商或发行商提供的后台数据，经公司相关部门核对确认，且</w:t>
      </w:r>
    </w:p>
    <w:p>
      <w:pPr>
        <w:pStyle w:val="BodyText"/>
        <w:spacing w:line="264" w:lineRule="auto" w:before="22"/>
        <w:ind w:right="1131"/>
        <w:jc w:val="both"/>
        <w:rPr>
          <w:rFonts w:ascii="Times New Roman" w:hAnsi="Times New Roman" w:cs="Times New Roman" w:eastAsia="Times New Roman" w:hint="default"/>
        </w:rPr>
      </w:pPr>
      <w:r>
        <w:rPr>
          <w:spacing w:val="-1"/>
        </w:rPr>
        <w:t>同时满足收入的金额能够可靠地计量、相关经济利益很可能流入、交易中已发生和将发生的成本能够可靠</w:t>
      </w:r>
      <w:r>
        <w:rPr>
          <w:spacing w:val="-81"/>
        </w:rPr>
        <w:t> </w:t>
      </w:r>
      <w:r>
        <w:rPr>
          <w:spacing w:val="-81"/>
        </w:rPr>
      </w:r>
      <w:r>
        <w:rPr/>
        <w:t>地计量时确认收入。其中在</w:t>
      </w:r>
      <w:r>
        <w:rPr>
          <w:rFonts w:ascii="Times New Roman" w:hAnsi="Times New Roman" w:cs="Times New Roman" w:eastAsia="Times New Roman" w:hint="default"/>
        </w:rPr>
        <w:t>CPS</w:t>
      </w:r>
      <w:r>
        <w:rPr/>
        <w:t>（</w:t>
      </w:r>
      <w:r>
        <w:rPr>
          <w:rFonts w:ascii="Times New Roman" w:hAnsi="Times New Roman" w:cs="Times New Roman" w:eastAsia="Times New Roman" w:hint="default"/>
        </w:rPr>
        <w:t>Cost Per</w:t>
      </w:r>
      <w:r>
        <w:rPr>
          <w:rFonts w:ascii="Times New Roman" w:hAnsi="Times New Roman" w:cs="Times New Roman" w:eastAsia="Times New Roman" w:hint="default"/>
          <w:spacing w:val="-2"/>
        </w:rPr>
        <w:t> </w:t>
      </w:r>
      <w:r>
        <w:rPr>
          <w:rFonts w:ascii="Times New Roman" w:hAnsi="Times New Roman" w:cs="Times New Roman" w:eastAsia="Times New Roman" w:hint="default"/>
        </w:rPr>
        <w:t>Sales</w:t>
      </w:r>
      <w:r>
        <w:rPr/>
        <w:t>）模式下，推广移动应用程序而取得的收入，根据移动电 信运营商或服务商提供的有效信息费等业务指针按约定分成比例确认；在 </w:t>
      </w:r>
      <w:r>
        <w:rPr>
          <w:rFonts w:ascii="Times New Roman" w:hAnsi="Times New Roman" w:cs="Times New Roman" w:eastAsia="Times New Roman" w:hint="default"/>
        </w:rPr>
        <w:t>CPI  </w:t>
      </w:r>
      <w:r>
        <w:rPr/>
        <w:t>（</w:t>
      </w:r>
      <w:r>
        <w:rPr>
          <w:rFonts w:ascii="Times New Roman" w:hAnsi="Times New Roman" w:cs="Times New Roman" w:eastAsia="Times New Roman" w:hint="default"/>
        </w:rPr>
        <w:t>Cost Per Install</w:t>
      </w:r>
      <w:r>
        <w:rPr/>
        <w:t>）</w:t>
      </w:r>
      <w:r>
        <w:rPr>
          <w:spacing w:val="-65"/>
        </w:rPr>
        <w:t> </w:t>
      </w:r>
      <w:r>
        <w:rPr/>
        <w:t>和</w:t>
      </w:r>
      <w:r>
        <w:rPr>
          <w:rFonts w:ascii="Times New Roman" w:hAnsi="Times New Roman" w:cs="Times New Roman" w:eastAsia="Times New Roman" w:hint="default"/>
        </w:rPr>
        <w:t>CPA</w:t>
      </w:r>
    </w:p>
    <w:p>
      <w:pPr>
        <w:pStyle w:val="BodyText"/>
        <w:spacing w:line="256" w:lineRule="auto"/>
        <w:ind w:right="1132"/>
        <w:jc w:val="both"/>
      </w:pPr>
      <w:r>
        <w:rPr/>
        <w:t>（</w:t>
      </w:r>
      <w:r>
        <w:rPr>
          <w:rFonts w:ascii="Times New Roman" w:hAnsi="Times New Roman" w:cs="Times New Roman" w:eastAsia="Times New Roman" w:hint="default"/>
        </w:rPr>
        <w:t>Cost Per</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
        </w:rPr>
        <w:t>Action</w:t>
      </w:r>
      <w:r>
        <w:rPr>
          <w:spacing w:val="-2"/>
        </w:rPr>
        <w:t>）模式下，推广移动应用程序而取得的收入，根据程序开发商或发行商提供的新增有效启</w:t>
      </w:r>
      <w:r>
        <w:rPr/>
        <w:t> 动用户数量等业务指针按约定的收费标准确认。</w:t>
      </w:r>
    </w:p>
    <w:p>
      <w:pPr>
        <w:pStyle w:val="BodyText"/>
        <w:spacing w:line="256" w:lineRule="auto" w:before="22"/>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广告服务平台</w:t>
      </w:r>
      <w:r>
        <w:rPr>
          <w:w w:val="99"/>
        </w:rPr>
        <w:t> </w:t>
      </w:r>
      <w:r>
        <w:rPr>
          <w:spacing w:val="-1"/>
        </w:rPr>
        <w:t>根据广告主提供的后台资料，经公司相关部门核对确认，且同时满足收入的金额能够可靠地计量、相</w:t>
      </w:r>
    </w:p>
    <w:p>
      <w:pPr>
        <w:pStyle w:val="BodyText"/>
        <w:spacing w:line="256" w:lineRule="auto" w:before="22"/>
        <w:ind w:right="1028"/>
        <w:jc w:val="left"/>
      </w:pPr>
      <w:r>
        <w:rPr/>
        <w:t>关经济利益很可能流入、交易中已发生和将发生的成本能够可靠地计量时确认收入。其中在</w:t>
      </w:r>
      <w:r>
        <w:rPr>
          <w:rFonts w:ascii="Times New Roman" w:hAnsi="Times New Roman" w:cs="Times New Roman" w:eastAsia="Times New Roman" w:hint="default"/>
        </w:rPr>
        <w:t>CPS</w:t>
      </w:r>
      <w:r>
        <w:rPr/>
        <w:t>（</w:t>
      </w:r>
      <w:r>
        <w:rPr>
          <w:rFonts w:ascii="Times New Roman" w:hAnsi="Times New Roman" w:cs="Times New Roman" w:eastAsia="Times New Roman" w:hint="default"/>
        </w:rPr>
        <w:t>Cost</w:t>
      </w:r>
      <w:r>
        <w:rPr>
          <w:rFonts w:ascii="Times New Roman" w:hAnsi="Times New Roman" w:cs="Times New Roman" w:eastAsia="Times New Roman" w:hint="default"/>
          <w:spacing w:val="-27"/>
        </w:rPr>
        <w:t> </w:t>
      </w:r>
      <w:r>
        <w:rPr>
          <w:rFonts w:ascii="Times New Roman" w:hAnsi="Times New Roman" w:cs="Times New Roman" w:eastAsia="Times New Roman" w:hint="default"/>
        </w:rPr>
        <w:t>Per</w:t>
      </w:r>
      <w:r>
        <w:rPr>
          <w:rFonts w:ascii="Times New Roman" w:hAnsi="Times New Roman" w:cs="Times New Roman" w:eastAsia="Times New Roman" w:hint="default"/>
          <w:w w:val="99"/>
        </w:rPr>
        <w:t> </w:t>
      </w:r>
      <w:r>
        <w:rPr>
          <w:rFonts w:ascii="Times New Roman" w:hAnsi="Times New Roman" w:cs="Times New Roman" w:eastAsia="Times New Roman" w:hint="default"/>
          <w:spacing w:val="-4"/>
        </w:rPr>
        <w:t>Sales</w:t>
      </w:r>
      <w:r>
        <w:rPr>
          <w:spacing w:val="-4"/>
        </w:rPr>
        <w:t>）模式下，公司广告服务取得的收入，根据广告主提供的有效信息费等业务指针按约定分成比例确认；</w:t>
      </w:r>
      <w:r>
        <w:rPr>
          <w:spacing w:val="-59"/>
        </w:rPr>
        <w:t> </w:t>
      </w:r>
      <w:r>
        <w:rPr>
          <w:spacing w:val="-59"/>
        </w:rPr>
      </w:r>
      <w:r>
        <w:rPr/>
        <w:t>在 </w:t>
      </w:r>
      <w:r>
        <w:rPr>
          <w:rFonts w:ascii="Times New Roman" w:hAnsi="Times New Roman" w:cs="Times New Roman" w:eastAsia="Times New Roman" w:hint="default"/>
        </w:rPr>
        <w:t>CPI </w:t>
      </w:r>
      <w:r>
        <w:rPr/>
        <w:t>（</w:t>
      </w:r>
      <w:r>
        <w:rPr>
          <w:rFonts w:ascii="Times New Roman" w:hAnsi="Times New Roman" w:cs="Times New Roman" w:eastAsia="Times New Roman" w:hint="default"/>
        </w:rPr>
        <w:t>Cost Per Install</w:t>
      </w:r>
      <w:r>
        <w:rPr/>
        <w:t>）和</w:t>
      </w:r>
      <w:r>
        <w:rPr>
          <w:rFonts w:ascii="Times New Roman" w:hAnsi="Times New Roman" w:cs="Times New Roman" w:eastAsia="Times New Roman" w:hint="default"/>
        </w:rPr>
        <w:t>CPA </w:t>
      </w:r>
      <w:r>
        <w:rPr/>
        <w:t>（</w:t>
      </w:r>
      <w:r>
        <w:rPr>
          <w:rFonts w:ascii="Times New Roman" w:hAnsi="Times New Roman" w:cs="Times New Roman" w:eastAsia="Times New Roman" w:hint="default"/>
        </w:rPr>
        <w:t>Cost Per</w:t>
      </w:r>
      <w:r>
        <w:rPr>
          <w:rFonts w:ascii="Times New Roman" w:hAnsi="Times New Roman" w:cs="Times New Roman" w:eastAsia="Times New Roman" w:hint="default"/>
          <w:spacing w:val="-36"/>
        </w:rPr>
        <w:t> </w:t>
      </w:r>
      <w:r>
        <w:rPr>
          <w:rFonts w:ascii="Times New Roman" w:hAnsi="Times New Roman" w:cs="Times New Roman" w:eastAsia="Times New Roman" w:hint="default"/>
        </w:rPr>
        <w:t>Action</w:t>
      </w:r>
      <w:r>
        <w:rPr/>
        <w:t>）模式下，公司广告服务取得的收入，根据广告主提供 的新增有效启动用户数量等业务指针按约定的收费标准确认。</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right="1360"/>
        <w:jc w:val="left"/>
        <w:rPr>
          <w:b w:val="0"/>
          <w:bCs w:val="0"/>
        </w:rPr>
      </w:pPr>
      <w:bookmarkStart w:name="29、政府补助" w:id="232"/>
      <w:bookmarkEnd w:id="232"/>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BodyText"/>
        <w:spacing w:line="264" w:lineRule="auto"/>
        <w:ind w:right="1132" w:firstLine="420"/>
        <w:jc w:val="both"/>
      </w:pPr>
      <w:r>
        <w:rPr>
          <w:rFonts w:ascii="Times New Roman" w:hAnsi="Times New Roman" w:cs="Times New Roman" w:eastAsia="Times New Roman" w:hint="default"/>
        </w:rPr>
        <w:t>1. </w:t>
      </w:r>
      <w:r>
        <w:rPr/>
        <w:t>政府补助在同时满足下列条件时予以确认：</w:t>
      </w:r>
      <w:r>
        <w:rPr>
          <w:rFonts w:ascii="Times New Roman" w:hAnsi="Times New Roman" w:cs="Times New Roman" w:eastAsia="Times New Roman" w:hint="default"/>
        </w:rPr>
        <w:t>(1) </w:t>
      </w:r>
      <w:r>
        <w:rPr>
          <w:spacing w:val="-3"/>
        </w:rPr>
        <w:t>公司能够满足政府补助所附的条件；</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18"/>
        </w:rPr>
        <w:t> </w:t>
      </w:r>
      <w:r>
        <w:rPr/>
        <w:t>公司能够收 </w:t>
      </w:r>
      <w:r>
        <w:rPr>
          <w:spacing w:val="-1"/>
        </w:rPr>
        <w:t>到政府补助。政府补助为货币性资产的，按照收到或应收的金额计量。政府补助为非货币性资产的，按照</w:t>
      </w:r>
      <w:r>
        <w:rPr>
          <w:spacing w:val="-86"/>
        </w:rPr>
        <w:t> </w:t>
      </w:r>
      <w:r>
        <w:rPr>
          <w:spacing w:val="-86"/>
        </w:rPr>
      </w:r>
      <w:r>
        <w:rPr/>
        <w:t>公允价值计量；公允价值不能可靠取得的，按照名义金额计量。</w:t>
      </w:r>
    </w:p>
    <w:p>
      <w:pPr>
        <w:spacing w:after="0" w:line="264"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与资产相关的政府补助判断依据及会计处理方法 </w:t>
      </w:r>
      <w:r>
        <w:rPr>
          <w:spacing w:val="-1"/>
        </w:rPr>
        <w:t>政府档规定用于购建或以其他方式形成长期资产的政府补助划分为与资产相关的政府补助。政府档不</w:t>
      </w:r>
    </w:p>
    <w:p>
      <w:pPr>
        <w:pStyle w:val="BodyText"/>
        <w:spacing w:line="273" w:lineRule="auto" w:before="22"/>
        <w:ind w:right="1131"/>
        <w:jc w:val="both"/>
      </w:pPr>
      <w:r>
        <w:rPr>
          <w:spacing w:val="-1"/>
        </w:rPr>
        <w:t>明确的，以取得该补助必须具备的基本条件为基础进行判断，以购建或其他方式形成长期资产为基本条件</w:t>
      </w:r>
      <w:r>
        <w:rPr>
          <w:spacing w:val="-81"/>
        </w:rPr>
        <w:t> </w:t>
      </w:r>
      <w:r>
        <w:rPr>
          <w:spacing w:val="-81"/>
        </w:rPr>
      </w:r>
      <w:r>
        <w:rPr>
          <w:spacing w:val="-1"/>
        </w:rPr>
        <w:t>的作为与资产相关的政府补助。与资产相关的政府补助，冲减相关资产的账面价值或确认为递延收益。与</w:t>
      </w:r>
      <w:r>
        <w:rPr>
          <w:spacing w:val="-83"/>
        </w:rPr>
        <w:t> </w:t>
      </w:r>
      <w:r>
        <w:rPr>
          <w:spacing w:val="-83"/>
        </w:rPr>
      </w:r>
      <w:r>
        <w:rPr>
          <w:spacing w:val="-1"/>
        </w:rPr>
        <w:t>资产相关的政府补助确认为递延收益的，在相关资产使用寿命内按照合理、系统的方法分期计入损益。按</w:t>
      </w:r>
      <w:r>
        <w:rPr>
          <w:spacing w:val="-83"/>
        </w:rPr>
        <w:t> </w:t>
      </w:r>
      <w:r>
        <w:rPr>
          <w:spacing w:val="-83"/>
        </w:rPr>
      </w:r>
      <w:r>
        <w:rPr>
          <w:spacing w:val="-1"/>
        </w:rPr>
        <w:t>照名义金额计量的政府补助，直接计入当期损益。相关资产在使用寿命结束前被出售、转让、报废或发生</w:t>
      </w:r>
      <w:r>
        <w:rPr>
          <w:spacing w:val="-86"/>
        </w:rPr>
        <w:t> </w:t>
      </w:r>
      <w:r>
        <w:rPr>
          <w:spacing w:val="-86"/>
        </w:rPr>
      </w:r>
      <w:r>
        <w:rPr/>
        <w:t>毁损的，将尚未分配的相关递延收益余额转入资产处置当期的损益。</w:t>
      </w:r>
    </w:p>
    <w:p>
      <w:pPr>
        <w:pStyle w:val="BodyText"/>
        <w:spacing w:line="256" w:lineRule="auto" w:before="7"/>
        <w:ind w:left="57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2"/>
        </w:rPr>
        <w:t> </w:t>
      </w:r>
      <w:r>
        <w:rPr/>
        <w:t>与收益相关的政府补助判断依据及会计处理方法 </w:t>
      </w:r>
      <w:r>
        <w:rPr>
          <w:spacing w:val="-1"/>
        </w:rPr>
        <w:t>除与资产相关的政府补助之外的政府补助划分为与收益相关的政府补助。对于同时包含与资产相关部</w:t>
      </w:r>
    </w:p>
    <w:p>
      <w:pPr>
        <w:pStyle w:val="BodyText"/>
        <w:spacing w:line="273" w:lineRule="auto" w:before="22"/>
        <w:ind w:right="1131"/>
        <w:jc w:val="both"/>
      </w:pPr>
      <w:r>
        <w:rPr>
          <w:spacing w:val="-1"/>
        </w:rPr>
        <w:t>分和与收益相关部分的政府补助，难以区分与资产相关或与收益相关的，整体归类为与收益相关的政府补</w:t>
      </w:r>
      <w:r>
        <w:rPr>
          <w:spacing w:val="-81"/>
        </w:rPr>
        <w:t> </w:t>
      </w:r>
      <w:r>
        <w:rPr>
          <w:spacing w:val="-81"/>
        </w:rPr>
      </w:r>
      <w:r>
        <w:rPr>
          <w:spacing w:val="-1"/>
        </w:rPr>
        <w:t>助。与收益相关的政府补助，用于补偿以后期间的相关成本费用或损失的，确认为递延收益，在确认相关</w:t>
      </w:r>
      <w:r>
        <w:rPr>
          <w:spacing w:val="-86"/>
        </w:rPr>
        <w:t> </w:t>
      </w:r>
      <w:r>
        <w:rPr>
          <w:spacing w:val="-86"/>
        </w:rPr>
      </w:r>
      <w:r>
        <w:rPr>
          <w:spacing w:val="-1"/>
        </w:rPr>
        <w:t>成本费用或损失的期间，计入当期损益或冲减相关成本；用于补偿已发生的相关成本费用或损失的，直接</w:t>
      </w:r>
      <w:r>
        <w:rPr>
          <w:spacing w:val="-83"/>
        </w:rPr>
        <w:t> </w:t>
      </w:r>
      <w:r>
        <w:rPr>
          <w:spacing w:val="-83"/>
        </w:rPr>
      </w:r>
      <w:r>
        <w:rPr/>
        <w:t>计入当期损益或冲减相关成本。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8"/>
        <w:ind w:right="0"/>
        <w:jc w:val="both"/>
        <w:rPr>
          <w:b w:val="0"/>
          <w:bCs w:val="0"/>
        </w:rPr>
      </w:pPr>
      <w:bookmarkStart w:name="30、递延所得税资产/递延所得税负债" w:id="233"/>
      <w:bookmarkEnd w:id="233"/>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BodyText"/>
        <w:spacing w:line="264" w:lineRule="auto"/>
        <w:ind w:right="113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根据资产、负债的账面价值与其计税基础之间的差额（未作为资产和负债确认的项目按照税法规定 </w:t>
      </w:r>
      <w:r>
        <w:rPr>
          <w:spacing w:val="-1"/>
        </w:rPr>
        <w:t>可以确定其计税基础的，该计税基础与其账面数之间的差额），按照预期收回该资产或清偿该负债期间的</w:t>
      </w:r>
      <w:r>
        <w:rPr>
          <w:spacing w:val="-83"/>
        </w:rPr>
        <w:t> </w:t>
      </w:r>
      <w:r>
        <w:rPr>
          <w:spacing w:val="-83"/>
        </w:rPr>
      </w:r>
      <w:r>
        <w:rPr/>
        <w:t>适用税率计算确认递延所得税资产或递延所得税负债。</w:t>
      </w:r>
    </w:p>
    <w:p>
      <w:pPr>
        <w:pStyle w:val="BodyText"/>
        <w:spacing w:line="266" w:lineRule="auto" w:before="16"/>
        <w:ind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spacing w:val="2"/>
        </w:rPr>
        <w:t>确认递延所得税资产以很可能取得用来抵扣可抵扣暂时性差异的应纳税所得额为限。资产负债表</w:t>
      </w:r>
      <w:r>
        <w:rPr/>
        <w:t> </w:t>
      </w:r>
      <w:r>
        <w:rPr>
          <w:spacing w:val="-1"/>
        </w:rPr>
        <w:t>日，有确凿证据表明未来期间很可能获得足够的应纳税所得额用来抵扣可抵扣暂时性差异的，确认以前会</w:t>
      </w:r>
      <w:r>
        <w:rPr>
          <w:spacing w:val="-81"/>
        </w:rPr>
        <w:t> </w:t>
      </w:r>
      <w:r>
        <w:rPr>
          <w:spacing w:val="-81"/>
        </w:rPr>
      </w:r>
      <w:r>
        <w:rPr/>
        <w:t>计期间未确认的递延所得税资产。</w:t>
      </w:r>
    </w:p>
    <w:p>
      <w:pPr>
        <w:pStyle w:val="BodyText"/>
        <w:spacing w:line="264" w:lineRule="auto" w:before="14"/>
        <w:ind w:right="1131"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9"/>
        </w:rPr>
        <w:t> </w:t>
      </w:r>
      <w:r>
        <w:rPr/>
        <w:t>资产负债表日，对递延所得税资产的账面价值进行复核，如果未来期间很可能无法获得足够的应纳 </w:t>
      </w:r>
      <w:r>
        <w:rPr>
          <w:spacing w:val="-1"/>
        </w:rPr>
        <w:t>税所得额用以抵扣递延所得税资产的利益，则减记递延所得税资产的账面价值。在很可能获得足够的应纳</w:t>
      </w:r>
      <w:r>
        <w:rPr>
          <w:spacing w:val="-81"/>
        </w:rPr>
        <w:t> </w:t>
      </w:r>
      <w:r>
        <w:rPr>
          <w:spacing w:val="-81"/>
        </w:rPr>
      </w:r>
      <w:r>
        <w:rPr/>
        <w:t>税所得额时，转回减记的金额。</w:t>
      </w:r>
    </w:p>
    <w:p>
      <w:pPr>
        <w:pStyle w:val="BodyText"/>
        <w:spacing w:line="256" w:lineRule="auto" w:before="16"/>
        <w:ind w:right="1134" w:firstLine="336"/>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公司当期所得税和递延所得税作为所得税费用或收益计入当期损益，但不包括下列情况产生的所得 税：</w:t>
      </w: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直接在所有者权益中确认的交易或者事项。</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4"/>
        <w:spacing w:line="240" w:lineRule="auto"/>
        <w:ind w:right="0"/>
        <w:jc w:val="both"/>
        <w:rPr>
          <w:b w:val="0"/>
          <w:bCs w:val="0"/>
        </w:rPr>
      </w:pPr>
      <w:bookmarkStart w:name="31、租赁" w:id="234"/>
      <w:bookmarkEnd w:id="234"/>
      <w:r>
        <w:rPr>
          <w:b w:val="0"/>
          <w:bCs w:val="0"/>
        </w:rPr>
      </w:r>
      <w:r>
        <w:rPr>
          <w:rFonts w:ascii="Times New Roman" w:hAnsi="Times New Roman" w:cs="Times New Roman" w:eastAsia="Times New Roman" w:hint="default"/>
        </w:rPr>
        <w:t>31</w:t>
      </w:r>
      <w:r>
        <w:rPr/>
        <w:t>、租赁</w:t>
      </w:r>
      <w:r>
        <w:rPr>
          <w:b w:val="0"/>
          <w:bCs w:val="0"/>
        </w:rPr>
      </w:r>
    </w:p>
    <w:p>
      <w:pPr>
        <w:spacing w:line="590" w:lineRule="atLeast" w:before="23"/>
        <w:ind w:left="574" w:right="0" w:hanging="420"/>
        <w:jc w:val="left"/>
        <w:rPr>
          <w:rFonts w:ascii="宋体" w:hAnsi="宋体" w:cs="宋体" w:eastAsia="宋体" w:hint="default"/>
          <w:sz w:val="21"/>
          <w:szCs w:val="21"/>
        </w:rPr>
      </w:pPr>
      <w:bookmarkStart w:name="（1）经营租赁的会计处理方法" w:id="235"/>
      <w:bookmarkEnd w:id="2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公司为承租人时，在租赁期内各个期间按照直线法将租金计入相关资产成本或确认为当期损益，发生</w:t>
      </w:r>
    </w:p>
    <w:p>
      <w:pPr>
        <w:pStyle w:val="BodyText"/>
        <w:spacing w:line="273" w:lineRule="auto" w:before="37"/>
        <w:ind w:left="574" w:right="0" w:hanging="420"/>
        <w:jc w:val="left"/>
      </w:pPr>
      <w:r>
        <w:rPr/>
        <w:t>的初始直接费用，直接计入当期损益。或有租金在实际发生时计入当期损益。 </w:t>
      </w:r>
      <w:r>
        <w:rPr>
          <w:spacing w:val="-1"/>
        </w:rPr>
        <w:t>公司为出租人时，在租赁期内各个期间按照直线法将租金确认为当期损益，发生的初始直接费用，除</w:t>
      </w:r>
    </w:p>
    <w:p>
      <w:pPr>
        <w:pStyle w:val="BodyText"/>
        <w:spacing w:line="240" w:lineRule="auto" w:before="7"/>
        <w:ind w:right="0"/>
        <w:jc w:val="both"/>
      </w:pPr>
      <w:r>
        <w:rPr/>
        <w:t>金额较大的予以资本化并分期计入损益外，均直接计入当期损益。或有租金在实际发生时计入当期损益。</w:t>
      </w:r>
    </w:p>
    <w:p>
      <w:pPr>
        <w:spacing w:after="0" w:line="240" w:lineRule="auto"/>
        <w:jc w:val="both"/>
        <w:sectPr>
          <w:footerReference w:type="default" r:id="rId16"/>
          <w:pgSz w:w="11910" w:h="16840"/>
          <w:pgMar w:footer="979" w:header="747"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360"/>
        <w:jc w:val="left"/>
        <w:rPr>
          <w:b w:val="0"/>
          <w:bCs w:val="0"/>
        </w:rPr>
      </w:pPr>
      <w:bookmarkStart w:name="（2）融资租赁的会计处理方法" w:id="236"/>
      <w:bookmarkEnd w:id="236"/>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pStyle w:val="Heading4"/>
        <w:spacing w:line="590" w:lineRule="atLeast" w:before="23"/>
        <w:ind w:left="658" w:right="7381" w:hanging="505"/>
        <w:jc w:val="left"/>
        <w:rPr>
          <w:rFonts w:ascii="宋体" w:hAnsi="宋体" w:cs="宋体" w:eastAsia="宋体" w:hint="default"/>
          <w:b w:val="0"/>
          <w:bCs w:val="0"/>
        </w:rPr>
      </w:pPr>
      <w:bookmarkStart w:name="32、其他重要的会计政策和会计估计" w:id="237"/>
      <w:bookmarkEnd w:id="237"/>
      <w:r>
        <w:rPr>
          <w:b w:val="0"/>
          <w:bCs w:val="0"/>
        </w:rPr>
      </w:r>
      <w:r>
        <w:rPr>
          <w:rFonts w:ascii="Times New Roman" w:hAnsi="Times New Roman" w:cs="Times New Roman" w:eastAsia="Times New Roman" w:hint="default"/>
        </w:rPr>
        <w:t>32</w:t>
      </w:r>
      <w:r>
        <w:rPr/>
        <w:t>、其他重要的会计政策和会计估计</w:t>
      </w:r>
      <w:r>
        <w:rPr>
          <w:w w:val="99"/>
        </w:rPr>
        <w:t> </w:t>
      </w:r>
      <w:r>
        <w:rPr>
          <w:rFonts w:ascii="宋体" w:hAnsi="宋体" w:cs="宋体" w:eastAsia="宋体" w:hint="default"/>
          <w:b w:val="0"/>
          <w:bCs w:val="0"/>
        </w:rPr>
        <w:t>分部报告</w:t>
      </w:r>
    </w:p>
    <w:p>
      <w:pPr>
        <w:pStyle w:val="BodyText"/>
        <w:spacing w:line="273" w:lineRule="auto" w:before="37"/>
        <w:ind w:right="0" w:firstLine="420"/>
        <w:jc w:val="left"/>
      </w:pPr>
      <w:r>
        <w:rPr>
          <w:spacing w:val="-1"/>
        </w:rPr>
        <w:t>公司以内部组织结构、管理要求、内部报告制度等为依据确定经营分部。公司的经营分部是指同时满</w:t>
      </w:r>
      <w:r>
        <w:rPr/>
        <w:t> 足下列条件的组成部分：</w:t>
      </w:r>
    </w:p>
    <w:p>
      <w:pPr>
        <w:pStyle w:val="BodyText"/>
        <w:spacing w:line="240" w:lineRule="auto" w:before="7"/>
        <w:ind w:left="574" w:right="1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该组成部分能够在日常活动中产生收入、发生费用；</w:t>
      </w:r>
    </w:p>
    <w:p>
      <w:pPr>
        <w:pStyle w:val="BodyText"/>
        <w:spacing w:line="240" w:lineRule="auto" w:before="21"/>
        <w:ind w:left="574" w:right="1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管理层能够定期评价该组成部分的经营成果，以决定向其配置资源、评价其业绩；</w:t>
      </w:r>
    </w:p>
    <w:p>
      <w:pPr>
        <w:pStyle w:val="BodyText"/>
        <w:spacing w:line="240" w:lineRule="auto" w:before="21"/>
        <w:ind w:left="574" w:right="13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能够通过分析取得该组成部分的财务状况、经营成果和现金流量等有关会计信息。</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right="1360"/>
        <w:jc w:val="left"/>
        <w:rPr>
          <w:b w:val="0"/>
          <w:bCs w:val="0"/>
        </w:rPr>
      </w:pPr>
      <w:bookmarkStart w:name="33、重要会计政策和会计估计变更" w:id="238"/>
      <w:bookmarkEnd w:id="238"/>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1）重要会计政策变更" w:id="239"/>
      <w:bookmarkEnd w:id="239"/>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77"/>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76" w:lineRule="exact"/>
        <w:ind w:right="0" w:firstLine="420"/>
        <w:jc w:val="left"/>
      </w:pPr>
      <w:r>
        <w:rPr/>
        <w:t>本公司根据《财政部关于修订印发</w:t>
      </w:r>
      <w:r>
        <w:rPr>
          <w:rFonts w:ascii="Times New Roman" w:hAnsi="Times New Roman" w:cs="Times New Roman" w:eastAsia="Times New Roman" w:hint="default"/>
        </w:rPr>
        <w:t>2018</w:t>
      </w:r>
      <w:r>
        <w:rPr/>
        <w:t>年度一般企业财务报表格式的通知》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及其</w:t>
      </w:r>
    </w:p>
    <w:p>
      <w:pPr>
        <w:pStyle w:val="BodyText"/>
        <w:spacing w:line="256" w:lineRule="auto" w:before="21"/>
        <w:ind w:right="0"/>
        <w:jc w:val="left"/>
      </w:pPr>
      <w:r>
        <w:rPr>
          <w:spacing w:val="-1"/>
        </w:rPr>
        <w:t>解读和企业会计准则的要求编制</w:t>
      </w:r>
      <w:r>
        <w:rPr>
          <w:rFonts w:ascii="Times New Roman" w:hAnsi="Times New Roman" w:cs="Times New Roman" w:eastAsia="Times New Roman" w:hint="default"/>
          <w:spacing w:val="-1"/>
        </w:rPr>
        <w:t>2018</w:t>
      </w:r>
      <w:r>
        <w:rPr>
          <w:spacing w:val="-1"/>
        </w:rPr>
        <w:t>年度财务报表，此项会计政策变更采用追溯调整法。</w:t>
      </w:r>
      <w:r>
        <w:rPr>
          <w:rFonts w:ascii="Times New Roman" w:hAnsi="Times New Roman" w:cs="Times New Roman" w:eastAsia="Times New Roman" w:hint="default"/>
          <w:spacing w:val="-1"/>
        </w:rPr>
        <w:t>2018</w:t>
      </w:r>
      <w:r>
        <w:rPr>
          <w:spacing w:val="-1"/>
        </w:rPr>
        <w:t>年比较财务</w:t>
      </w:r>
      <w:r>
        <w:rPr>
          <w:spacing w:val="-79"/>
        </w:rPr>
        <w:t> </w:t>
      </w:r>
      <w:r>
        <w:rPr/>
        <w:t>报表受重要影响的报表项目和金额如下：</w:t>
      </w:r>
    </w:p>
    <w:p>
      <w:pPr>
        <w:spacing w:line="240" w:lineRule="auto" w:before="1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268"/>
        <w:gridCol w:w="2428"/>
        <w:gridCol w:w="1824"/>
        <w:gridCol w:w="2003"/>
      </w:tblGrid>
      <w:tr>
        <w:trPr>
          <w:trHeight w:val="347" w:hRule="exact"/>
        </w:trPr>
        <w:tc>
          <w:tcPr>
            <w:tcW w:w="46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290" w:right="0"/>
              <w:jc w:val="left"/>
              <w:rPr>
                <w:rFonts w:ascii="宋体" w:hAnsi="宋体" w:cs="宋体" w:eastAsia="宋体" w:hint="default"/>
                <w:sz w:val="21"/>
                <w:szCs w:val="21"/>
              </w:rPr>
            </w:pPr>
            <w:r>
              <w:rPr>
                <w:rFonts w:ascii="宋体" w:hAnsi="宋体" w:cs="宋体" w:eastAsia="宋体" w:hint="default"/>
                <w:sz w:val="21"/>
                <w:szCs w:val="21"/>
              </w:rPr>
              <w:t>原列报报表项目及金额</w:t>
            </w:r>
          </w:p>
        </w:tc>
        <w:tc>
          <w:tcPr>
            <w:tcW w:w="3827" w:type="dxa"/>
            <w:gridSpan w:val="2"/>
            <w:tcBorders>
              <w:top w:val="single" w:sz="6" w:space="0" w:color="000000"/>
              <w:left w:val="single" w:sz="6" w:space="0" w:color="000000"/>
              <w:bottom w:val="single" w:sz="6" w:space="0" w:color="000000"/>
              <w:right w:val="nil" w:sz="6" w:space="0" w:color="auto"/>
            </w:tcBorders>
          </w:tcPr>
          <w:p>
            <w:pPr>
              <w:pStyle w:val="TableParagraph"/>
              <w:spacing w:line="271" w:lineRule="exact"/>
              <w:ind w:left="855" w:right="0"/>
              <w:jc w:val="left"/>
              <w:rPr>
                <w:rFonts w:ascii="宋体" w:hAnsi="宋体" w:cs="宋体" w:eastAsia="宋体" w:hint="default"/>
                <w:sz w:val="21"/>
                <w:szCs w:val="21"/>
              </w:rPr>
            </w:pPr>
            <w:r>
              <w:rPr>
                <w:rFonts w:ascii="宋体" w:hAnsi="宋体" w:cs="宋体" w:eastAsia="宋体" w:hint="default"/>
                <w:sz w:val="21"/>
                <w:szCs w:val="21"/>
              </w:rPr>
              <w:t>新列报报表项目及金额</w:t>
            </w: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428" w:type="dxa"/>
            <w:tcBorders>
              <w:top w:val="single" w:sz="6" w:space="0" w:color="000000"/>
              <w:left w:val="single" w:sz="6" w:space="0" w:color="000000"/>
              <w:bottom w:val="single" w:sz="6" w:space="0" w:color="000000"/>
              <w:right w:val="single" w:sz="6" w:space="0" w:color="000000"/>
            </w:tcBorders>
          </w:tcPr>
          <w:p>
            <w:pPr/>
          </w:p>
        </w:tc>
        <w:tc>
          <w:tcPr>
            <w:tcW w:w="1824" w:type="dxa"/>
            <w:vMerge w:val="restart"/>
            <w:tcBorders>
              <w:top w:val="single" w:sz="6" w:space="0" w:color="000000"/>
              <w:left w:val="single" w:sz="6" w:space="0" w:color="000000"/>
              <w:right w:val="single" w:sz="6" w:space="0" w:color="000000"/>
            </w:tcBorders>
          </w:tcPr>
          <w:p>
            <w:pPr>
              <w:pStyle w:val="TableParagraph"/>
              <w:spacing w:line="273" w:lineRule="auto"/>
              <w:ind w:left="2" w:right="125"/>
              <w:jc w:val="left"/>
              <w:rPr>
                <w:rFonts w:ascii="宋体" w:hAnsi="宋体" w:cs="宋体" w:eastAsia="宋体" w:hint="default"/>
                <w:sz w:val="21"/>
                <w:szCs w:val="21"/>
              </w:rPr>
            </w:pPr>
            <w:r>
              <w:rPr>
                <w:rFonts w:ascii="宋体" w:hAnsi="宋体" w:cs="宋体" w:eastAsia="宋体" w:hint="default"/>
                <w:sz w:val="21"/>
                <w:szCs w:val="21"/>
              </w:rPr>
              <w:t>应收票据及应收账 款</w:t>
            </w:r>
          </w:p>
        </w:tc>
        <w:tc>
          <w:tcPr>
            <w:tcW w:w="2003" w:type="dxa"/>
            <w:vMerge w:val="restart"/>
            <w:tcBorders>
              <w:top w:val="single" w:sz="6" w:space="0" w:color="000000"/>
              <w:left w:val="single" w:sz="6" w:space="0" w:color="000000"/>
              <w:right w:val="nil" w:sz="6" w:space="0" w:color="auto"/>
            </w:tcBorders>
          </w:tcPr>
          <w:p>
            <w:pPr>
              <w:pStyle w:val="TableParagraph"/>
              <w:spacing w:line="240" w:lineRule="auto" w:before="45"/>
              <w:ind w:left="673" w:right="0"/>
              <w:jc w:val="left"/>
              <w:rPr>
                <w:rFonts w:ascii="Times New Roman" w:hAnsi="Times New Roman" w:cs="Times New Roman" w:eastAsia="Times New Roman" w:hint="default"/>
                <w:sz w:val="21"/>
                <w:szCs w:val="21"/>
              </w:rPr>
            </w:pPr>
            <w:r>
              <w:rPr>
                <w:rFonts w:ascii="Times New Roman"/>
                <w:sz w:val="21"/>
              </w:rPr>
              <w:t>241,982,425.20</w:t>
            </w: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241,982,425.20</w:t>
            </w:r>
          </w:p>
        </w:tc>
        <w:tc>
          <w:tcPr>
            <w:tcW w:w="1824" w:type="dxa"/>
            <w:vMerge/>
            <w:tcBorders>
              <w:left w:val="single" w:sz="6" w:space="0" w:color="000000"/>
              <w:bottom w:val="single" w:sz="6" w:space="0" w:color="000000"/>
              <w:right w:val="single" w:sz="6" w:space="0" w:color="000000"/>
            </w:tcBorders>
          </w:tcPr>
          <w:p>
            <w:pPr/>
          </w:p>
        </w:tc>
        <w:tc>
          <w:tcPr>
            <w:tcW w:w="2003" w:type="dxa"/>
            <w:vMerge/>
            <w:tcBorders>
              <w:left w:val="single" w:sz="6" w:space="0" w:color="000000"/>
              <w:bottom w:val="single" w:sz="6" w:space="0" w:color="000000"/>
              <w:right w:val="nil" w:sz="6" w:space="0" w:color="auto"/>
            </w:tcBorders>
          </w:tcPr>
          <w:p>
            <w:pP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9,699,030.68</w:t>
            </w:r>
          </w:p>
        </w:tc>
        <w:tc>
          <w:tcPr>
            <w:tcW w:w="1824" w:type="dxa"/>
            <w:vMerge w:val="restart"/>
            <w:tcBorders>
              <w:top w:val="single" w:sz="6" w:space="0" w:color="000000"/>
              <w:left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03" w:type="dxa"/>
            <w:vMerge w:val="restart"/>
            <w:tcBorders>
              <w:top w:val="single" w:sz="6" w:space="0" w:color="000000"/>
              <w:left w:val="single" w:sz="6" w:space="0" w:color="000000"/>
              <w:right w:val="nil" w:sz="6" w:space="0" w:color="auto"/>
            </w:tcBorders>
          </w:tcPr>
          <w:p>
            <w:pPr>
              <w:pStyle w:val="TableParagraph"/>
              <w:spacing w:line="240" w:lineRule="auto" w:before="45"/>
              <w:ind w:left="777" w:right="0"/>
              <w:jc w:val="left"/>
              <w:rPr>
                <w:rFonts w:ascii="Times New Roman" w:hAnsi="Times New Roman" w:cs="Times New Roman" w:eastAsia="Times New Roman" w:hint="default"/>
                <w:sz w:val="21"/>
                <w:szCs w:val="21"/>
              </w:rPr>
            </w:pPr>
            <w:r>
              <w:rPr>
                <w:rFonts w:ascii="Times New Roman"/>
                <w:sz w:val="21"/>
              </w:rPr>
              <w:t>16,899,297.96</w:t>
            </w: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428" w:type="dxa"/>
            <w:tcBorders>
              <w:top w:val="single" w:sz="6" w:space="0" w:color="000000"/>
              <w:left w:val="single" w:sz="6" w:space="0" w:color="000000"/>
              <w:bottom w:val="single" w:sz="6" w:space="0" w:color="000000"/>
              <w:right w:val="single" w:sz="6" w:space="0" w:color="000000"/>
            </w:tcBorders>
          </w:tcPr>
          <w:p>
            <w:pPr/>
          </w:p>
        </w:tc>
        <w:tc>
          <w:tcPr>
            <w:tcW w:w="1824" w:type="dxa"/>
            <w:vMerge/>
            <w:tcBorders>
              <w:left w:val="single" w:sz="6" w:space="0" w:color="000000"/>
              <w:right w:val="single" w:sz="6" w:space="0" w:color="000000"/>
            </w:tcBorders>
          </w:tcPr>
          <w:p>
            <w:pPr/>
          </w:p>
        </w:tc>
        <w:tc>
          <w:tcPr>
            <w:tcW w:w="2003" w:type="dxa"/>
            <w:vMerge/>
            <w:tcBorders>
              <w:left w:val="single" w:sz="6" w:space="0" w:color="000000"/>
              <w:right w:val="nil" w:sz="6" w:space="0" w:color="auto"/>
            </w:tcBorders>
          </w:tcPr>
          <w:p>
            <w:pP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7,200,267.28</w:t>
            </w:r>
          </w:p>
        </w:tc>
        <w:tc>
          <w:tcPr>
            <w:tcW w:w="1824" w:type="dxa"/>
            <w:vMerge/>
            <w:tcBorders>
              <w:left w:val="single" w:sz="6" w:space="0" w:color="000000"/>
              <w:bottom w:val="single" w:sz="6" w:space="0" w:color="000000"/>
              <w:right w:val="single" w:sz="6" w:space="0" w:color="000000"/>
            </w:tcBorders>
          </w:tcPr>
          <w:p>
            <w:pPr/>
          </w:p>
        </w:tc>
        <w:tc>
          <w:tcPr>
            <w:tcW w:w="2003" w:type="dxa"/>
            <w:vMerge/>
            <w:tcBorders>
              <w:left w:val="single" w:sz="6" w:space="0" w:color="000000"/>
              <w:bottom w:val="single" w:sz="6" w:space="0" w:color="000000"/>
              <w:right w:val="nil" w:sz="6" w:space="0" w:color="auto"/>
            </w:tcBorders>
          </w:tcPr>
          <w:p>
            <w:pP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261,740,364.17</w:t>
            </w:r>
          </w:p>
        </w:tc>
        <w:tc>
          <w:tcPr>
            <w:tcW w:w="1824" w:type="dxa"/>
            <w:vMerge w:val="restart"/>
            <w:tcBorders>
              <w:top w:val="single" w:sz="6" w:space="0" w:color="000000"/>
              <w:left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03" w:type="dxa"/>
            <w:vMerge w:val="restart"/>
            <w:tcBorders>
              <w:top w:val="single" w:sz="6" w:space="0" w:color="000000"/>
              <w:left w:val="single" w:sz="6" w:space="0" w:color="000000"/>
              <w:right w:val="nil" w:sz="6" w:space="0" w:color="auto"/>
            </w:tcBorders>
          </w:tcPr>
          <w:p>
            <w:pPr>
              <w:pStyle w:val="TableParagraph"/>
              <w:spacing w:line="240" w:lineRule="auto" w:before="45"/>
              <w:ind w:left="673" w:right="0"/>
              <w:jc w:val="left"/>
              <w:rPr>
                <w:rFonts w:ascii="Times New Roman" w:hAnsi="Times New Roman" w:cs="Times New Roman" w:eastAsia="Times New Roman" w:hint="default"/>
                <w:sz w:val="21"/>
                <w:szCs w:val="21"/>
              </w:rPr>
            </w:pPr>
            <w:r>
              <w:rPr>
                <w:rFonts w:ascii="Times New Roman"/>
                <w:sz w:val="21"/>
              </w:rPr>
              <w:t>261,740,364.17</w:t>
            </w: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428" w:type="dxa"/>
            <w:tcBorders>
              <w:top w:val="single" w:sz="6" w:space="0" w:color="000000"/>
              <w:left w:val="single" w:sz="6" w:space="0" w:color="000000"/>
              <w:bottom w:val="single" w:sz="6" w:space="0" w:color="000000"/>
              <w:right w:val="single" w:sz="6" w:space="0" w:color="000000"/>
            </w:tcBorders>
          </w:tcPr>
          <w:p>
            <w:pPr/>
          </w:p>
        </w:tc>
        <w:tc>
          <w:tcPr>
            <w:tcW w:w="1824" w:type="dxa"/>
            <w:vMerge/>
            <w:tcBorders>
              <w:left w:val="single" w:sz="6" w:space="0" w:color="000000"/>
              <w:bottom w:val="single" w:sz="6" w:space="0" w:color="000000"/>
              <w:right w:val="single" w:sz="6" w:space="0" w:color="000000"/>
            </w:tcBorders>
          </w:tcPr>
          <w:p>
            <w:pPr/>
          </w:p>
        </w:tc>
        <w:tc>
          <w:tcPr>
            <w:tcW w:w="2003" w:type="dxa"/>
            <w:vMerge/>
            <w:tcBorders>
              <w:left w:val="single" w:sz="6" w:space="0" w:color="000000"/>
              <w:bottom w:val="single" w:sz="6" w:space="0" w:color="000000"/>
              <w:right w:val="nil" w:sz="6" w:space="0" w:color="auto"/>
            </w:tcBorders>
          </w:tcPr>
          <w:p>
            <w:pP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12,033,584.50</w:t>
            </w:r>
          </w:p>
        </w:tc>
        <w:tc>
          <w:tcPr>
            <w:tcW w:w="1824" w:type="dxa"/>
            <w:vMerge w:val="restart"/>
            <w:tcBorders>
              <w:top w:val="single" w:sz="6" w:space="0" w:color="000000"/>
              <w:left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003" w:type="dxa"/>
            <w:vMerge w:val="restart"/>
            <w:tcBorders>
              <w:top w:val="single" w:sz="6" w:space="0" w:color="000000"/>
              <w:left w:val="single" w:sz="6" w:space="0" w:color="000000"/>
              <w:right w:val="nil" w:sz="6" w:space="0" w:color="auto"/>
            </w:tcBorders>
          </w:tcPr>
          <w:p>
            <w:pPr>
              <w:pStyle w:val="TableParagraph"/>
              <w:spacing w:line="240" w:lineRule="auto" w:before="45"/>
              <w:ind w:left="777" w:right="0"/>
              <w:jc w:val="left"/>
              <w:rPr>
                <w:rFonts w:ascii="Times New Roman" w:hAnsi="Times New Roman" w:cs="Times New Roman" w:eastAsia="Times New Roman" w:hint="default"/>
                <w:sz w:val="21"/>
                <w:szCs w:val="21"/>
              </w:rPr>
            </w:pPr>
            <w:r>
              <w:rPr>
                <w:rFonts w:ascii="Times New Roman"/>
                <w:sz w:val="21"/>
              </w:rPr>
              <w:t>12,033,584.50</w:t>
            </w: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428" w:type="dxa"/>
            <w:tcBorders>
              <w:top w:val="single" w:sz="6" w:space="0" w:color="000000"/>
              <w:left w:val="single" w:sz="6" w:space="0" w:color="000000"/>
              <w:bottom w:val="single" w:sz="6" w:space="0" w:color="000000"/>
              <w:right w:val="single" w:sz="6" w:space="0" w:color="000000"/>
            </w:tcBorders>
          </w:tcPr>
          <w:p>
            <w:pPr/>
          </w:p>
        </w:tc>
        <w:tc>
          <w:tcPr>
            <w:tcW w:w="1824" w:type="dxa"/>
            <w:vMerge/>
            <w:tcBorders>
              <w:left w:val="single" w:sz="6" w:space="0" w:color="000000"/>
              <w:bottom w:val="single" w:sz="6" w:space="0" w:color="000000"/>
              <w:right w:val="single" w:sz="6" w:space="0" w:color="000000"/>
            </w:tcBorders>
          </w:tcPr>
          <w:p>
            <w:pPr/>
          </w:p>
        </w:tc>
        <w:tc>
          <w:tcPr>
            <w:tcW w:w="2003" w:type="dxa"/>
            <w:vMerge/>
            <w:tcBorders>
              <w:left w:val="single" w:sz="6" w:space="0" w:color="000000"/>
              <w:bottom w:val="single" w:sz="6" w:space="0" w:color="000000"/>
              <w:right w:val="nil" w:sz="6" w:space="0" w:color="auto"/>
            </w:tcBorders>
          </w:tcPr>
          <w:p>
            <w:pP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400,000.00</w:t>
            </w:r>
          </w:p>
        </w:tc>
        <w:tc>
          <w:tcPr>
            <w:tcW w:w="1824" w:type="dxa"/>
            <w:vMerge w:val="restart"/>
            <w:tcBorders>
              <w:top w:val="single" w:sz="6" w:space="0" w:color="000000"/>
              <w:left w:val="single" w:sz="6" w:space="0" w:color="000000"/>
              <w:right w:val="single" w:sz="6" w:space="0" w:color="000000"/>
            </w:tcBorders>
          </w:tcPr>
          <w:p>
            <w:pPr>
              <w:pStyle w:val="TableParagraph"/>
              <w:spacing w:line="273" w:lineRule="auto"/>
              <w:ind w:left="2" w:right="125"/>
              <w:jc w:val="left"/>
              <w:rPr>
                <w:rFonts w:ascii="宋体" w:hAnsi="宋体" w:cs="宋体" w:eastAsia="宋体" w:hint="default"/>
                <w:sz w:val="21"/>
                <w:szCs w:val="21"/>
              </w:rPr>
            </w:pPr>
            <w:r>
              <w:rPr>
                <w:rFonts w:ascii="宋体" w:hAnsi="宋体" w:cs="宋体" w:eastAsia="宋体" w:hint="default"/>
                <w:sz w:val="21"/>
                <w:szCs w:val="21"/>
              </w:rPr>
              <w:t>应付票据及应付帐 款</w:t>
            </w:r>
          </w:p>
        </w:tc>
        <w:tc>
          <w:tcPr>
            <w:tcW w:w="2003" w:type="dxa"/>
            <w:vMerge w:val="restart"/>
            <w:tcBorders>
              <w:top w:val="single" w:sz="6" w:space="0" w:color="000000"/>
              <w:left w:val="single" w:sz="6" w:space="0" w:color="000000"/>
              <w:right w:val="nil" w:sz="6" w:space="0" w:color="auto"/>
            </w:tcBorders>
          </w:tcPr>
          <w:p>
            <w:pPr>
              <w:pStyle w:val="TableParagraph"/>
              <w:spacing w:line="240" w:lineRule="auto" w:before="44"/>
              <w:ind w:left="673" w:right="0"/>
              <w:jc w:val="left"/>
              <w:rPr>
                <w:rFonts w:ascii="Times New Roman" w:hAnsi="Times New Roman" w:cs="Times New Roman" w:eastAsia="Times New Roman" w:hint="default"/>
                <w:sz w:val="21"/>
                <w:szCs w:val="21"/>
              </w:rPr>
            </w:pPr>
            <w:r>
              <w:rPr>
                <w:rFonts w:ascii="Times New Roman"/>
                <w:sz w:val="21"/>
              </w:rPr>
              <w:t>135,168,933.27</w:t>
            </w: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应付帐款</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134,768,933.27</w:t>
            </w:r>
          </w:p>
        </w:tc>
        <w:tc>
          <w:tcPr>
            <w:tcW w:w="1824" w:type="dxa"/>
            <w:vMerge/>
            <w:tcBorders>
              <w:left w:val="single" w:sz="6" w:space="0" w:color="000000"/>
              <w:bottom w:val="single" w:sz="6" w:space="0" w:color="000000"/>
              <w:right w:val="single" w:sz="6" w:space="0" w:color="000000"/>
            </w:tcBorders>
          </w:tcPr>
          <w:p>
            <w:pPr/>
          </w:p>
        </w:tc>
        <w:tc>
          <w:tcPr>
            <w:tcW w:w="2003" w:type="dxa"/>
            <w:vMerge/>
            <w:tcBorders>
              <w:left w:val="single" w:sz="6" w:space="0" w:color="000000"/>
              <w:bottom w:val="single" w:sz="6" w:space="0" w:color="000000"/>
              <w:right w:val="nil" w:sz="6" w:space="0" w:color="auto"/>
            </w:tcBorders>
          </w:tcPr>
          <w:p>
            <w:pP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894,390.41</w:t>
            </w:r>
          </w:p>
        </w:tc>
        <w:tc>
          <w:tcPr>
            <w:tcW w:w="1824" w:type="dxa"/>
            <w:vMerge w:val="restart"/>
            <w:tcBorders>
              <w:top w:val="single" w:sz="6" w:space="0" w:color="000000"/>
              <w:left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03" w:type="dxa"/>
            <w:vMerge w:val="restart"/>
            <w:tcBorders>
              <w:top w:val="single" w:sz="6" w:space="0" w:color="000000"/>
              <w:left w:val="single" w:sz="6" w:space="0" w:color="000000"/>
              <w:right w:val="nil" w:sz="6" w:space="0" w:color="auto"/>
            </w:tcBorders>
          </w:tcPr>
          <w:p>
            <w:pPr>
              <w:pStyle w:val="TableParagraph"/>
              <w:spacing w:line="240" w:lineRule="auto" w:before="45"/>
              <w:ind w:left="673" w:right="0"/>
              <w:jc w:val="left"/>
              <w:rPr>
                <w:rFonts w:ascii="Times New Roman" w:hAnsi="Times New Roman" w:cs="Times New Roman" w:eastAsia="Times New Roman" w:hint="default"/>
                <w:sz w:val="21"/>
                <w:szCs w:val="21"/>
              </w:rPr>
            </w:pPr>
            <w:r>
              <w:rPr>
                <w:rFonts w:ascii="Times New Roman"/>
                <w:sz w:val="21"/>
              </w:rPr>
              <w:t>225,987,014.11</w:t>
            </w: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428" w:type="dxa"/>
            <w:tcBorders>
              <w:top w:val="single" w:sz="6" w:space="0" w:color="000000"/>
              <w:left w:val="single" w:sz="6" w:space="0" w:color="000000"/>
              <w:bottom w:val="single" w:sz="6" w:space="0" w:color="000000"/>
              <w:right w:val="single" w:sz="6" w:space="0" w:color="000000"/>
            </w:tcBorders>
          </w:tcPr>
          <w:p>
            <w:pPr/>
          </w:p>
        </w:tc>
        <w:tc>
          <w:tcPr>
            <w:tcW w:w="1824" w:type="dxa"/>
            <w:vMerge/>
            <w:tcBorders>
              <w:left w:val="single" w:sz="6" w:space="0" w:color="000000"/>
              <w:right w:val="single" w:sz="6" w:space="0" w:color="000000"/>
            </w:tcBorders>
          </w:tcPr>
          <w:p>
            <w:pPr/>
          </w:p>
        </w:tc>
        <w:tc>
          <w:tcPr>
            <w:tcW w:w="2003" w:type="dxa"/>
            <w:vMerge/>
            <w:tcBorders>
              <w:left w:val="single" w:sz="6" w:space="0" w:color="000000"/>
              <w:right w:val="nil" w:sz="6" w:space="0" w:color="auto"/>
            </w:tcBorders>
          </w:tcPr>
          <w:p>
            <w:pPr/>
          </w:p>
        </w:tc>
      </w:tr>
      <w:tr>
        <w:trPr>
          <w:trHeight w:val="34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225,092,623.70</w:t>
            </w:r>
          </w:p>
        </w:tc>
        <w:tc>
          <w:tcPr>
            <w:tcW w:w="1824" w:type="dxa"/>
            <w:vMerge/>
            <w:tcBorders>
              <w:left w:val="single" w:sz="6" w:space="0" w:color="000000"/>
              <w:bottom w:val="single" w:sz="6" w:space="0" w:color="000000"/>
              <w:right w:val="single" w:sz="6" w:space="0" w:color="000000"/>
            </w:tcBorders>
          </w:tcPr>
          <w:p>
            <w:pPr/>
          </w:p>
        </w:tc>
        <w:tc>
          <w:tcPr>
            <w:tcW w:w="2003" w:type="dxa"/>
            <w:vMerge/>
            <w:tcBorders>
              <w:left w:val="single" w:sz="6" w:space="0" w:color="000000"/>
              <w:bottom w:val="single" w:sz="6" w:space="0" w:color="000000"/>
              <w:right w:val="nil" w:sz="6" w:space="0" w:color="auto"/>
            </w:tcBorders>
          </w:tcPr>
          <w:p>
            <w:pPr/>
          </w:p>
        </w:tc>
      </w:tr>
      <w:tr>
        <w:trPr>
          <w:trHeight w:val="348" w:hRule="exact"/>
        </w:trPr>
        <w:tc>
          <w:tcPr>
            <w:tcW w:w="2268" w:type="dxa"/>
            <w:vMerge w:val="restart"/>
            <w:tcBorders>
              <w:top w:val="single" w:sz="6" w:space="0" w:color="000000"/>
              <w:left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428" w:type="dxa"/>
            <w:vMerge w:val="restart"/>
            <w:tcBorders>
              <w:top w:val="single" w:sz="6" w:space="0" w:color="000000"/>
              <w:left w:val="single" w:sz="6" w:space="0" w:color="000000"/>
              <w:right w:val="single" w:sz="6" w:space="0" w:color="000000"/>
            </w:tcBorders>
          </w:tcPr>
          <w:p>
            <w:pPr>
              <w:pStyle w:val="TableParagraph"/>
              <w:spacing w:line="240" w:lineRule="auto" w:before="45"/>
              <w:ind w:left="1097" w:right="0"/>
              <w:jc w:val="left"/>
              <w:rPr>
                <w:rFonts w:ascii="Times New Roman" w:hAnsi="Times New Roman" w:cs="Times New Roman" w:eastAsia="Times New Roman" w:hint="default"/>
                <w:sz w:val="21"/>
                <w:szCs w:val="21"/>
              </w:rPr>
            </w:pPr>
            <w:r>
              <w:rPr>
                <w:rFonts w:ascii="Times New Roman"/>
                <w:sz w:val="21"/>
              </w:rPr>
              <w:t>118,304,854.10</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z w:val="21"/>
              </w:rPr>
              <w:t>88,464,860.65</w:t>
            </w:r>
          </w:p>
        </w:tc>
      </w:tr>
      <w:tr>
        <w:trPr>
          <w:trHeight w:val="347" w:hRule="exact"/>
        </w:trPr>
        <w:tc>
          <w:tcPr>
            <w:tcW w:w="2268" w:type="dxa"/>
            <w:vMerge/>
            <w:tcBorders>
              <w:left w:val="single" w:sz="6" w:space="0" w:color="000000"/>
              <w:bottom w:val="single" w:sz="6" w:space="0" w:color="000000"/>
              <w:right w:val="single" w:sz="6" w:space="0" w:color="000000"/>
            </w:tcBorders>
          </w:tcPr>
          <w:p>
            <w:pPr/>
          </w:p>
        </w:tc>
        <w:tc>
          <w:tcPr>
            <w:tcW w:w="2428" w:type="dxa"/>
            <w:vMerge/>
            <w:tcBorders>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0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8"/>
              <w:jc w:val="right"/>
              <w:rPr>
                <w:rFonts w:ascii="Times New Roman" w:hAnsi="Times New Roman" w:cs="Times New Roman" w:eastAsia="Times New Roman" w:hint="default"/>
                <w:sz w:val="21"/>
                <w:szCs w:val="21"/>
              </w:rPr>
            </w:pPr>
            <w:r>
              <w:rPr>
                <w:rFonts w:ascii="Times New Roman"/>
                <w:sz w:val="21"/>
              </w:rPr>
              <w:t>29,839,993.45</w:t>
            </w:r>
          </w:p>
        </w:tc>
      </w:tr>
      <w:tr>
        <w:trPr>
          <w:trHeight w:val="65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left"/>
              <w:rPr>
                <w:rFonts w:ascii="Times New Roman" w:hAnsi="Times New Roman" w:cs="Times New Roman" w:eastAsia="Times New Roman" w:hint="default"/>
                <w:sz w:val="21"/>
                <w:szCs w:val="21"/>
              </w:rPr>
            </w:pPr>
            <w:r>
              <w:rPr>
                <w:rFonts w:ascii="宋体" w:hAnsi="宋体" w:cs="宋体" w:eastAsia="宋体" w:hint="default"/>
                <w:spacing w:val="14"/>
                <w:sz w:val="21"/>
                <w:szCs w:val="21"/>
              </w:rPr>
              <w:t>收到其他与经营活动有</w:t>
            </w:r>
            <w:r>
              <w:rPr>
                <w:rFonts w:ascii="宋体" w:hAnsi="宋体" w:cs="宋体" w:eastAsia="宋体" w:hint="default"/>
                <w:sz w:val="21"/>
                <w:szCs w:val="21"/>
              </w:rPr>
              <w:t> 关的现金</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49,050,590.67</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4"/>
                <w:sz w:val="21"/>
                <w:szCs w:val="21"/>
              </w:rPr>
              <w:t>收到其他与经营活</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动有关的现金</w:t>
            </w:r>
          </w:p>
        </w:tc>
        <w:tc>
          <w:tcPr>
            <w:tcW w:w="20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z w:val="21"/>
              </w:rPr>
              <w:t>50,555,590.67</w:t>
            </w:r>
          </w:p>
        </w:tc>
      </w:tr>
      <w:tr>
        <w:trPr>
          <w:trHeight w:val="660"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left"/>
              <w:rPr>
                <w:rFonts w:ascii="Times New Roman" w:hAnsi="Times New Roman" w:cs="Times New Roman" w:eastAsia="Times New Roman" w:hint="default"/>
                <w:sz w:val="21"/>
                <w:szCs w:val="21"/>
              </w:rPr>
            </w:pPr>
            <w:r>
              <w:rPr>
                <w:rFonts w:ascii="宋体" w:hAnsi="宋体" w:cs="宋体" w:eastAsia="宋体" w:hint="default"/>
                <w:spacing w:val="14"/>
                <w:sz w:val="21"/>
                <w:szCs w:val="21"/>
              </w:rPr>
              <w:t>收到其他与投资活动有</w:t>
            </w:r>
            <w:r>
              <w:rPr>
                <w:rFonts w:ascii="宋体" w:hAnsi="宋体" w:cs="宋体" w:eastAsia="宋体" w:hint="default"/>
                <w:sz w:val="21"/>
                <w:szCs w:val="21"/>
              </w:rPr>
              <w:t> 关的现金</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11,826,652,576.17</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14"/>
                <w:sz w:val="21"/>
                <w:szCs w:val="21"/>
              </w:rPr>
              <w:t>收到其他与投资活</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动有关的现金</w:t>
            </w:r>
          </w:p>
        </w:tc>
        <w:tc>
          <w:tcPr>
            <w:tcW w:w="20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z w:val="21"/>
              </w:rPr>
              <w:t>11,825,147,576.17</w:t>
            </w:r>
          </w:p>
        </w:tc>
      </w:tr>
    </w:tbl>
    <w:p>
      <w:pPr>
        <w:spacing w:after="0" w:line="240" w:lineRule="auto"/>
        <w:jc w:val="right"/>
        <w:rPr>
          <w:rFonts w:ascii="Times New Roman" w:hAnsi="Times New Roman" w:cs="Times New Roman" w:eastAsia="Times New Roman" w:hint="default"/>
          <w:sz w:val="21"/>
          <w:szCs w:val="21"/>
        </w:rPr>
        <w:sectPr>
          <w:footerReference w:type="default" r:id="rId17"/>
          <w:pgSz w:w="11910" w:h="16840"/>
          <w:pgMar w:footer="979" w:header="747" w:top="1060" w:bottom="1160" w:left="980" w:right="0"/>
          <w:pgNumType w:start="101"/>
        </w:sectPr>
      </w:pPr>
    </w:p>
    <w:p>
      <w:pPr>
        <w:spacing w:line="240" w:lineRule="auto" w:before="9"/>
        <w:rPr>
          <w:rFonts w:ascii="宋体" w:hAnsi="宋体" w:cs="宋体" w:eastAsia="宋体" w:hint="default"/>
          <w:sz w:val="24"/>
          <w:szCs w:val="24"/>
        </w:rPr>
      </w:pPr>
    </w:p>
    <w:p>
      <w:pPr>
        <w:pStyle w:val="BodyText"/>
        <w:spacing w:line="256" w:lineRule="auto" w:before="35"/>
        <w:ind w:right="1127"/>
        <w:jc w:val="left"/>
      </w:pPr>
      <w:r>
        <w:rPr>
          <w:rFonts w:ascii="Times New Roman" w:hAnsi="Times New Roman" w:cs="Times New Roman" w:eastAsia="Times New Roman" w:hint="default"/>
          <w:spacing w:val="-2"/>
          <w:w w:val="99"/>
        </w:rPr>
        <w:t>[</w:t>
      </w:r>
      <w:r>
        <w:rPr>
          <w:spacing w:val="-2"/>
          <w:w w:val="99"/>
        </w:rPr>
        <w:t>注</w:t>
      </w:r>
      <w:r>
        <w:rPr>
          <w:rFonts w:ascii="Times New Roman" w:hAnsi="Times New Roman" w:cs="Times New Roman" w:eastAsia="Times New Roman" w:hint="default"/>
          <w:spacing w:val="-2"/>
          <w:w w:val="99"/>
        </w:rPr>
        <w:t>]</w:t>
      </w:r>
      <w:r>
        <w:rPr>
          <w:spacing w:val="-2"/>
          <w:w w:val="99"/>
        </w:rPr>
        <w:t>：将实际收到的与资产相关的政府补助</w:t>
      </w:r>
      <w:r>
        <w:rPr>
          <w:rFonts w:ascii="Times New Roman" w:hAnsi="Times New Roman" w:cs="Times New Roman" w:eastAsia="Times New Roman" w:hint="default"/>
          <w:spacing w:val="-2"/>
          <w:w w:val="99"/>
        </w:rPr>
        <w:t>1,505,000.00</w:t>
      </w:r>
      <w:r>
        <w:rPr>
          <w:spacing w:val="-2"/>
          <w:w w:val="99"/>
        </w:rPr>
        <w:t>元在现金流量表中的列报由</w:t>
      </w:r>
      <w:r>
        <w:rPr>
          <w:rFonts w:ascii="Times New Roman" w:hAnsi="Times New Roman" w:cs="Times New Roman" w:eastAsia="Times New Roman" w:hint="default"/>
          <w:spacing w:val="-2"/>
          <w:w w:val="99"/>
        </w:rPr>
        <w:t>“</w:t>
      </w:r>
      <w:r>
        <w:rPr>
          <w:spacing w:val="-2"/>
          <w:w w:val="99"/>
        </w:rPr>
        <w:t>收到其他与投资活动有</w:t>
      </w:r>
      <w:r>
        <w:rPr>
          <w:spacing w:val="-100"/>
          <w:w w:val="99"/>
        </w:rPr>
        <w:t> </w:t>
      </w:r>
      <w:r>
        <w:rPr>
          <w:spacing w:val="-100"/>
          <w:w w:val="99"/>
        </w:rPr>
      </w:r>
      <w:r>
        <w:rPr/>
        <w:t>关的现金</w:t>
      </w:r>
      <w:r>
        <w:rPr>
          <w:rFonts w:ascii="Times New Roman" w:hAnsi="Times New Roman" w:cs="Times New Roman" w:eastAsia="Times New Roman" w:hint="default"/>
        </w:rPr>
        <w:t>”</w:t>
      </w:r>
      <w:r>
        <w:rPr/>
        <w:t>调整为</w:t>
      </w:r>
      <w:r>
        <w:rPr>
          <w:rFonts w:ascii="Times New Roman" w:hAnsi="Times New Roman" w:cs="Times New Roman" w:eastAsia="Times New Roman" w:hint="default"/>
        </w:rPr>
        <w:t>“</w:t>
      </w:r>
      <w:r>
        <w:rPr/>
        <w:t>收到其他与经营活动有关的现金</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3"/>
          <w:szCs w:val="23"/>
        </w:rPr>
      </w:pPr>
    </w:p>
    <w:p>
      <w:pPr>
        <w:pStyle w:val="Heading4"/>
        <w:spacing w:line="240" w:lineRule="auto"/>
        <w:ind w:right="1360"/>
        <w:jc w:val="left"/>
        <w:rPr>
          <w:b w:val="0"/>
          <w:bCs w:val="0"/>
        </w:rPr>
      </w:pPr>
      <w:bookmarkStart w:name="（2）重要会计估计变更" w:id="240"/>
      <w:bookmarkEnd w:id="240"/>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line="487" w:lineRule="auto" w:before="0"/>
        <w:ind w:left="154" w:right="8966" w:firstLine="0"/>
        <w:jc w:val="left"/>
        <w:rPr>
          <w:rFonts w:ascii="宋体" w:hAnsi="宋体" w:cs="宋体" w:eastAsia="宋体" w:hint="default"/>
          <w:sz w:val="21"/>
          <w:szCs w:val="21"/>
        </w:rPr>
      </w:pPr>
      <w:bookmarkStart w:name="34、其他" w:id="241"/>
      <w:bookmarkEnd w:id="241"/>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42"/>
      <w:bookmarkEnd w:id="242"/>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43"/>
      <w:bookmarkEnd w:id="243"/>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5"/>
              <w:jc w:val="both"/>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后余值的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荷兰公司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香港美盛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真趣网络</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乐途网络</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美盛游戏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2、税收优惠" w:id="244"/>
      <w:bookmarkEnd w:id="244"/>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132" w:firstLine="420"/>
        <w:jc w:val="both"/>
      </w:pPr>
      <w:r>
        <w:rPr>
          <w:spacing w:val="-1"/>
        </w:rPr>
        <w:t>根据全国高新技术企业认定管理工作领导小组办公室《关于浙江省</w:t>
      </w:r>
      <w:r>
        <w:rPr>
          <w:rFonts w:ascii="Times New Roman" w:hAnsi="Times New Roman" w:cs="Times New Roman" w:eastAsia="Times New Roman" w:hint="default"/>
          <w:spacing w:val="-1"/>
        </w:rPr>
        <w:t>2017</w:t>
      </w:r>
      <w:r>
        <w:rPr>
          <w:spacing w:val="-1"/>
        </w:rPr>
        <w:t>年第一批高新技术企业备案的</w:t>
      </w:r>
      <w:r>
        <w:rPr/>
        <w:t> </w:t>
      </w:r>
      <w:r>
        <w:rPr>
          <w:spacing w:val="-4"/>
        </w:rPr>
        <w:t>复函》（国科火字〔</w:t>
      </w:r>
      <w:r>
        <w:rPr>
          <w:rFonts w:ascii="Times New Roman" w:hAnsi="Times New Roman" w:cs="Times New Roman" w:eastAsia="Times New Roman" w:hint="default"/>
          <w:spacing w:val="-4"/>
        </w:rPr>
        <w:t>2017</w:t>
      </w:r>
      <w:r>
        <w:rPr>
          <w:spacing w:val="-4"/>
        </w:rPr>
        <w:t>〕</w:t>
      </w:r>
      <w:r>
        <w:rPr>
          <w:rFonts w:ascii="Times New Roman" w:hAnsi="Times New Roman" w:cs="Times New Roman" w:eastAsia="Times New Roman" w:hint="default"/>
          <w:spacing w:val="-4"/>
        </w:rPr>
        <w:t>201</w:t>
      </w:r>
      <w:r>
        <w:rPr>
          <w:spacing w:val="-4"/>
        </w:rPr>
        <w:t>号），本公司被认定为高新技术企业，有效期为</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-2019</w:t>
      </w:r>
      <w:r>
        <w:rPr>
          <w:spacing w:val="-4"/>
        </w:rPr>
        <w:t>年。本公司</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30"/>
        </w:rPr>
        <w:t> </w:t>
      </w:r>
      <w:r>
        <w:rPr/>
        <w:t>年企业所得税享受高新技术企业优惠政策，所得税减按</w:t>
      </w:r>
      <w:r>
        <w:rPr>
          <w:rFonts w:ascii="Times New Roman" w:hAnsi="Times New Roman" w:cs="Times New Roman" w:eastAsia="Times New Roman" w:hint="default"/>
        </w:rPr>
        <w:t>15%</w:t>
      </w:r>
      <w:r>
        <w:rPr/>
        <w:t>的税率计缴。</w:t>
      </w:r>
    </w:p>
    <w:p>
      <w:pPr>
        <w:pStyle w:val="BodyText"/>
        <w:spacing w:line="256" w:lineRule="auto" w:before="5"/>
        <w:ind w:right="1131" w:firstLine="420"/>
        <w:jc w:val="both"/>
      </w:pPr>
      <w:r>
        <w:rPr>
          <w:spacing w:val="-1"/>
        </w:rPr>
        <w:t>根据浙江省高新技术企业认定管理机构《关于浙江省</w:t>
      </w:r>
      <w:r>
        <w:rPr>
          <w:rFonts w:ascii="Times New Roman" w:hAnsi="Times New Roman" w:cs="Times New Roman" w:eastAsia="Times New Roman" w:hint="default"/>
          <w:spacing w:val="-1"/>
        </w:rPr>
        <w:t>2016</w:t>
      </w:r>
      <w:r>
        <w:rPr>
          <w:spacing w:val="-1"/>
        </w:rPr>
        <w:t>年第一批高新技术企业备案的复函》（国科</w:t>
      </w:r>
      <w:r>
        <w:rPr/>
        <w:t> 火字〔</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149</w:t>
      </w:r>
      <w:r>
        <w:rPr/>
        <w:t>号），真趣网络被认定为高新技术企业，有效期为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-2018</w:t>
      </w:r>
      <w:r>
        <w:rPr/>
        <w:t>年。真趣网络</w:t>
      </w:r>
      <w:r>
        <w:rPr>
          <w:rFonts w:ascii="Times New Roman" w:hAnsi="Times New Roman" w:cs="Times New Roman" w:eastAsia="Times New Roman" w:hint="default"/>
        </w:rPr>
        <w:t>2018</w:t>
      </w:r>
      <w:r>
        <w:rPr/>
        <w:t>年企业 所得税享受高新技术企业优惠政策，所得税减按</w:t>
      </w:r>
      <w:r>
        <w:rPr>
          <w:rFonts w:ascii="Times New Roman" w:hAnsi="Times New Roman" w:cs="Times New Roman" w:eastAsia="Times New Roman" w:hint="default"/>
        </w:rPr>
        <w:t>15%</w:t>
      </w:r>
      <w:r>
        <w:rPr/>
        <w:t>的税率计缴。</w:t>
      </w:r>
    </w:p>
    <w:p>
      <w:pPr>
        <w:spacing w:after="0" w:line="256"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130" w:firstLine="420"/>
        <w:jc w:val="both"/>
      </w:pPr>
      <w:r>
        <w:rPr>
          <w:rFonts w:ascii="Times New Roman" w:hAnsi="Times New Roman" w:cs="Times New Roman" w:eastAsia="Times New Roman" w:hint="default"/>
        </w:rPr>
        <w:t>2015</w:t>
      </w:r>
      <w:r>
        <w:rPr/>
        <w:t>年乐途网络被认定为软件企业，自被认定后的获利年度起（含</w:t>
      </w:r>
      <w:r>
        <w:rPr>
          <w:rFonts w:ascii="Times New Roman" w:hAnsi="Times New Roman" w:cs="Times New Roman" w:eastAsia="Times New Roman" w:hint="default"/>
        </w:rPr>
        <w:t>2015</w:t>
      </w:r>
      <w:r>
        <w:rPr/>
        <w:t>年度），企业所得税享受</w:t>
      </w:r>
      <w:r>
        <w:rPr>
          <w:rFonts w:ascii="Times New Roman" w:hAnsi="Times New Roman" w:cs="Times New Roman" w:eastAsia="Times New Roman" w:hint="default"/>
        </w:rPr>
        <w:t>“</w:t>
      </w:r>
      <w:r>
        <w:rPr/>
        <w:t>两 免三减半</w:t>
      </w:r>
      <w:r>
        <w:rPr>
          <w:rFonts w:ascii="Times New Roman" w:hAnsi="Times New Roman" w:cs="Times New Roman" w:eastAsia="Times New Roman" w:hint="default"/>
        </w:rPr>
        <w:t>”</w:t>
      </w:r>
      <w:r>
        <w:rPr/>
        <w:t>的税收优惠政策，本期处于第二个减半征收年度；对销售软件产品增值税实际税负超过</w:t>
      </w:r>
      <w:r>
        <w:rPr>
          <w:rFonts w:ascii="Times New Roman" w:hAnsi="Times New Roman" w:cs="Times New Roman" w:eastAsia="Times New Roman" w:hint="default"/>
        </w:rPr>
        <w:t>3%</w:t>
      </w:r>
      <w:r>
        <w:rPr/>
        <w:t>的部</w:t>
      </w:r>
      <w:r>
        <w:rPr>
          <w:spacing w:val="-84"/>
        </w:rPr>
        <w:t> </w:t>
      </w:r>
      <w:r>
        <w:rPr/>
        <w:t>分，实行即征即退政策。</w:t>
      </w:r>
    </w:p>
    <w:p>
      <w:pPr>
        <w:pStyle w:val="BodyText"/>
        <w:spacing w:line="256" w:lineRule="auto" w:before="22"/>
        <w:ind w:right="1130" w:firstLine="420"/>
        <w:jc w:val="both"/>
      </w:pPr>
      <w:r>
        <w:rPr>
          <w:rFonts w:ascii="Times New Roman" w:hAnsi="Times New Roman" w:cs="Times New Roman" w:eastAsia="Times New Roman" w:hint="default"/>
        </w:rPr>
        <w:t>2016</w:t>
      </w:r>
      <w:r>
        <w:rPr/>
        <w:t>年美盛游戏被认定为动漫企业，自被认定后的获利年度起（含</w:t>
      </w:r>
      <w:r>
        <w:rPr>
          <w:rFonts w:ascii="Times New Roman" w:hAnsi="Times New Roman" w:cs="Times New Roman" w:eastAsia="Times New Roman" w:hint="default"/>
        </w:rPr>
        <w:t>2016</w:t>
      </w:r>
      <w:r>
        <w:rPr/>
        <w:t>年度），企业所得税享受</w:t>
      </w:r>
      <w:r>
        <w:rPr>
          <w:rFonts w:ascii="Times New Roman" w:hAnsi="Times New Roman" w:cs="Times New Roman" w:eastAsia="Times New Roman" w:hint="default"/>
        </w:rPr>
        <w:t>“</w:t>
      </w:r>
      <w:r>
        <w:rPr/>
        <w:t>两 免三减半</w:t>
      </w:r>
      <w:r>
        <w:rPr>
          <w:rFonts w:ascii="Times New Roman" w:hAnsi="Times New Roman" w:cs="Times New Roman" w:eastAsia="Times New Roman" w:hint="default"/>
        </w:rPr>
        <w:t>”</w:t>
      </w:r>
      <w:r>
        <w:rPr/>
        <w:t>的税收优惠政策，本期处于第一个减半征收年度。</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7"/>
          <w:szCs w:val="27"/>
        </w:rPr>
      </w:pPr>
    </w:p>
    <w:p>
      <w:pPr>
        <w:pStyle w:val="Heading4"/>
        <w:spacing w:line="240" w:lineRule="auto"/>
        <w:ind w:right="1360"/>
        <w:jc w:val="left"/>
        <w:rPr>
          <w:b w:val="0"/>
          <w:bCs w:val="0"/>
        </w:rPr>
      </w:pPr>
      <w:bookmarkStart w:name="3、其他" w:id="245"/>
      <w:bookmarkEnd w:id="245"/>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134" w:firstLine="420"/>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1-4</w:t>
      </w:r>
      <w:r>
        <w:rPr/>
        <w:t>月，公司适用增值税税率为</w:t>
      </w:r>
      <w:r>
        <w:rPr>
          <w:rFonts w:ascii="Times New Roman" w:hAnsi="Times New Roman" w:cs="Times New Roman" w:eastAsia="Times New Roman" w:hint="default"/>
        </w:rPr>
        <w:t>17%</w:t>
      </w:r>
      <w:r>
        <w:rPr/>
        <w:t>和</w:t>
      </w:r>
      <w:r>
        <w:rPr>
          <w:rFonts w:ascii="Times New Roman" w:hAnsi="Times New Roman" w:cs="Times New Roman" w:eastAsia="Times New Roman" w:hint="default"/>
        </w:rPr>
        <w:t>11%</w:t>
      </w:r>
      <w:r>
        <w:rPr/>
        <w:t>。自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日起，根据《财政部税务总局</w:t>
      </w:r>
      <w:r>
        <w:rPr>
          <w:w w:val="99"/>
        </w:rPr>
        <w:t> </w:t>
      </w:r>
      <w:r>
        <w:rPr/>
        <w:t>关于调整增值税税率的通知》（财税〔</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32</w:t>
      </w:r>
      <w:r>
        <w:rPr/>
        <w:t>号），公司适用的增值税税率调整为</w:t>
      </w:r>
      <w:r>
        <w:rPr>
          <w:rFonts w:ascii="Times New Roman" w:hAnsi="Times New Roman" w:cs="Times New Roman" w:eastAsia="Times New Roman" w:hint="default"/>
        </w:rPr>
        <w:t>16%</w:t>
      </w:r>
      <w:r>
        <w:rPr/>
        <w:t>和</w:t>
      </w:r>
      <w:r>
        <w:rPr>
          <w:rFonts w:ascii="Times New Roman" w:hAnsi="Times New Roman" w:cs="Times New Roman" w:eastAsia="Times New Roman" w:hint="default"/>
        </w:rPr>
        <w:t>10%</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5"/>
          <w:szCs w:val="25"/>
        </w:rPr>
      </w:pPr>
    </w:p>
    <w:p>
      <w:pPr>
        <w:pStyle w:val="Heading2"/>
        <w:spacing w:line="240" w:lineRule="auto"/>
        <w:ind w:right="1360"/>
        <w:jc w:val="left"/>
        <w:rPr>
          <w:b w:val="0"/>
          <w:bCs w:val="0"/>
        </w:rPr>
      </w:pPr>
      <w:bookmarkStart w:name="七、合并财务报表项目注释" w:id="246"/>
      <w:bookmarkEnd w:id="246"/>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1、货币资金" w:id="247"/>
      <w:bookmarkEnd w:id="247"/>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72,207.23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119,139.15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354,525,738.89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317,688,589.17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1,248,675.74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3,576,162.12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355,846,621.86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321,383,890.44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69,966,860.32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57,029,068.02</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right="0"/>
        <w:jc w:val="left"/>
      </w:pPr>
      <w:r>
        <w:rPr/>
        <w:t>期末，公司其他货币资金中有存放在证券账户的其他货币资金</w:t>
      </w:r>
      <w:r>
        <w:rPr>
          <w:rFonts w:ascii="Times New Roman" w:hAnsi="Times New Roman" w:cs="Times New Roman" w:eastAsia="Times New Roman" w:hint="default"/>
        </w:rPr>
        <w:t>965,001.88</w:t>
      </w:r>
      <w:r>
        <w:rPr/>
        <w:t>元，其余为存放在支付宝、微信、</w:t>
      </w:r>
    </w:p>
    <w:p>
      <w:pPr>
        <w:pStyle w:val="BodyText"/>
        <w:spacing w:line="240" w:lineRule="auto" w:before="21"/>
        <w:ind w:right="1360"/>
        <w:jc w:val="left"/>
      </w:pPr>
      <w:r>
        <w:rPr>
          <w:rFonts w:ascii="Times New Roman" w:hAnsi="Times New Roman" w:cs="Times New Roman" w:eastAsia="Times New Roman" w:hint="default"/>
        </w:rPr>
        <w:t>Paypal</w:t>
      </w:r>
      <w:r>
        <w:rPr/>
        <w:t>和淘宝账户中可以随时支取的货币。</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right="1360"/>
        <w:jc w:val="left"/>
        <w:rPr>
          <w:b w:val="0"/>
          <w:bCs w:val="0"/>
        </w:rPr>
      </w:pPr>
      <w:bookmarkStart w:name="2、以公允价值计量且其变动计入当期损益的金融资产" w:id="248"/>
      <w:bookmarkEnd w:id="248"/>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3"/>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206,838,764.25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206,838,764.25</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360"/>
        <w:jc w:val="left"/>
        <w:rPr>
          <w:b w:val="0"/>
          <w:bCs w:val="0"/>
        </w:rPr>
      </w:pPr>
      <w:bookmarkStart w:name="3、衍生金融资产" w:id="249"/>
      <w:bookmarkEnd w:id="249"/>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360"/>
        <w:jc w:val="left"/>
        <w:rPr>
          <w:b w:val="0"/>
          <w:bCs w:val="0"/>
        </w:rPr>
      </w:pPr>
      <w:bookmarkStart w:name="4、应收票据及应收账款" w:id="250"/>
      <w:bookmarkEnd w:id="250"/>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233,516,343.77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241,982,425.20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233,516,343.77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241,982,425.20</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1）应收票据" w:id="251"/>
      <w:bookmarkEnd w:id="251"/>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spacing w:before="44"/>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before="51"/>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before="52"/>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期末公司因出票人未履约而将其转应收账款的票据</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2）应收账款" w:id="252"/>
      <w:bookmarkEnd w:id="252"/>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spacing w:before="44"/>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256,141,</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527.83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22,625,1</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84.06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233,516,3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43.77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260,197</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,301.28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18,214,87</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6.08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241,982,42</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5.20</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单项金额不重大但</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87" w:right="0"/>
              <w:jc w:val="left"/>
              <w:rPr>
                <w:rFonts w:ascii="Times New Roman" w:hAnsi="Times New Roman" w:cs="Times New Roman" w:eastAsia="Times New Roman" w:hint="default"/>
                <w:sz w:val="18"/>
                <w:szCs w:val="18"/>
              </w:rPr>
            </w:pPr>
            <w:r>
              <w:rPr>
                <w:rFonts w:ascii="Times New Roman"/>
                <w:sz w:val="18"/>
              </w:rPr>
              <w:t>9,130,86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9,130,86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5" w:right="0"/>
              <w:jc w:val="left"/>
              <w:rPr>
                <w:rFonts w:ascii="Times New Roman" w:hAnsi="Times New Roman" w:cs="Times New Roman" w:eastAsia="Times New Roman" w:hint="default"/>
                <w:sz w:val="18"/>
                <w:szCs w:val="18"/>
              </w:rPr>
            </w:pPr>
            <w:r>
              <w:rPr>
                <w:rFonts w:ascii="Times New Roman"/>
                <w:sz w:val="18"/>
              </w:rPr>
              <w:t>8.46</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3" w:right="0"/>
              <w:jc w:val="left"/>
              <w:rPr>
                <w:rFonts w:ascii="Times New Roman" w:hAnsi="Times New Roman" w:cs="Times New Roman" w:eastAsia="Times New Roman" w:hint="default"/>
                <w:sz w:val="18"/>
                <w:szCs w:val="18"/>
              </w:rPr>
            </w:pPr>
            <w:r>
              <w:rPr>
                <w:rFonts w:ascii="Times New Roman"/>
                <w:sz w:val="18"/>
              </w:rPr>
              <w:t>8.46</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265,272,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396.29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31,756,0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52.52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11.97%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233,516,3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43.77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260,197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,301.28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18,214,87</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6.08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241,982,42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5.20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before="52"/>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115" w:space="471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184,808,589.66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9,240,429.47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58,727,315.31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5,872,731.53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8,574,917.45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4,287,458.74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4,030,705.41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3,224,564.32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256,141,527.83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22,625,184.06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8.83%</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60" w:bottom="1160" w:left="980" w:right="0"/>
        </w:sectPr>
      </w:pPr>
    </w:p>
    <w:p>
      <w:pPr>
        <w:spacing w:before="44"/>
        <w:ind w:left="154" w:right="-18"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8" w:lineRule="auto" w:before="117"/>
        <w:ind w:left="154" w:right="20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4"/>
        <w:ind w:left="154" w:right="-18"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17,487,958.56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139" w:space="2690"/>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本期实际核销应收账款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3,933,339.28</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before="117"/>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pStyle w:val="BodyText"/>
        <w:spacing w:line="256" w:lineRule="auto" w:before="76"/>
        <w:ind w:right="0"/>
        <w:jc w:val="left"/>
      </w:pPr>
      <w:r>
        <w:rPr>
          <w:spacing w:val="-2"/>
        </w:rPr>
        <w:t>期末余额前</w:t>
      </w:r>
      <w:r>
        <w:rPr>
          <w:rFonts w:ascii="Times New Roman" w:hAnsi="Times New Roman" w:cs="Times New Roman" w:eastAsia="Times New Roman" w:hint="default"/>
          <w:spacing w:val="-2"/>
        </w:rPr>
        <w:t>5</w:t>
      </w:r>
      <w:r>
        <w:rPr>
          <w:spacing w:val="-2"/>
        </w:rPr>
        <w:t>名的应收账款合计数为</w:t>
      </w:r>
      <w:r>
        <w:rPr>
          <w:rFonts w:ascii="Times New Roman" w:hAnsi="Times New Roman" w:cs="Times New Roman" w:eastAsia="Times New Roman" w:hint="default"/>
          <w:spacing w:val="-2"/>
        </w:rPr>
        <w:t>93,978,192.80</w:t>
      </w:r>
      <w:r>
        <w:rPr>
          <w:spacing w:val="-2"/>
        </w:rPr>
        <w:t>元，占应收账款期末余额合计数的比例为</w:t>
      </w:r>
      <w:r>
        <w:rPr>
          <w:rFonts w:ascii="Times New Roman" w:hAnsi="Times New Roman" w:cs="Times New Roman" w:eastAsia="Times New Roman" w:hint="default"/>
          <w:spacing w:val="-2"/>
        </w:rPr>
        <w:t>35.43%</w:t>
      </w:r>
      <w:r>
        <w:rPr>
          <w:spacing w:val="-2"/>
        </w:rPr>
        <w:t>，相应计</w:t>
      </w:r>
      <w:r>
        <w:rPr>
          <w:spacing w:val="-85"/>
        </w:rPr>
        <w:t> </w:t>
      </w:r>
      <w:r>
        <w:rPr>
          <w:spacing w:val="-85"/>
        </w:rPr>
      </w:r>
      <w:r>
        <w:rPr/>
        <w:t>提的坏账准备合计数为</w:t>
      </w:r>
      <w:r>
        <w:rPr>
          <w:rFonts w:ascii="Times New Roman" w:hAnsi="Times New Roman" w:cs="Times New Roman" w:eastAsia="Times New Roman" w:hint="default"/>
        </w:rPr>
        <w:t>7,071,097.72</w:t>
      </w:r>
      <w:r>
        <w:rPr/>
        <w:t>元。</w:t>
      </w:r>
    </w:p>
    <w:p>
      <w:pPr>
        <w:spacing w:before="71"/>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spacing w:line="338" w:lineRule="auto" w:before="103"/>
        <w:ind w:left="154" w:right="68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pStyle w:val="Heading4"/>
        <w:spacing w:line="240" w:lineRule="auto"/>
        <w:ind w:right="1360"/>
        <w:jc w:val="left"/>
        <w:rPr>
          <w:b w:val="0"/>
          <w:bCs w:val="0"/>
        </w:rPr>
      </w:pPr>
      <w:bookmarkStart w:name="5、预付款项" w:id="253"/>
      <w:bookmarkEnd w:id="253"/>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1）预付款项按账龄列示" w:id="254"/>
      <w:bookmarkEnd w:id="254"/>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25,430,548.36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20,457,813.18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92.77%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2,480,498.41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1,594,599.58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180,979.80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28,092,026.57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22,052,412.76</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0"/>
        <w:rPr>
          <w:rFonts w:ascii="宋体" w:hAnsi="宋体" w:cs="宋体" w:eastAsia="宋体" w:hint="default"/>
          <w:sz w:val="25"/>
          <w:szCs w:val="25"/>
        </w:rPr>
      </w:pPr>
    </w:p>
    <w:p>
      <w:pPr>
        <w:spacing w:line="506" w:lineRule="auto" w:before="0"/>
        <w:ind w:left="574" w:right="1232" w:hanging="420"/>
        <w:jc w:val="left"/>
        <w:rPr>
          <w:rFonts w:ascii="宋体" w:hAnsi="宋体" w:cs="宋体" w:eastAsia="宋体" w:hint="default"/>
          <w:sz w:val="21"/>
          <w:szCs w:val="21"/>
        </w:rPr>
      </w:pPr>
      <w:bookmarkStart w:name="（2）按预付对象归集的期末余额前五名的预付款情况" w:id="255"/>
      <w:bookmarkEnd w:id="2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99"/>
          <w:sz w:val="21"/>
          <w:szCs w:val="21"/>
        </w:rPr>
        <w:t> </w:t>
      </w:r>
      <w:r>
        <w:rPr>
          <w:rFonts w:ascii="宋体" w:hAnsi="宋体" w:cs="宋体" w:eastAsia="宋体" w:hint="default"/>
          <w:sz w:val="21"/>
          <w:szCs w:val="21"/>
        </w:rPr>
        <w:t>期末余额前</w:t>
      </w:r>
      <w:r>
        <w:rPr>
          <w:rFonts w:ascii="Times New Roman" w:hAnsi="Times New Roman" w:cs="Times New Roman" w:eastAsia="Times New Roman" w:hint="default"/>
          <w:sz w:val="21"/>
          <w:szCs w:val="21"/>
        </w:rPr>
        <w:t>5</w:t>
      </w:r>
      <w:r>
        <w:rPr>
          <w:rFonts w:ascii="宋体" w:hAnsi="宋体" w:cs="宋体" w:eastAsia="宋体" w:hint="default"/>
          <w:sz w:val="21"/>
          <w:szCs w:val="21"/>
        </w:rPr>
        <w:t>名的预付款项合计数为</w:t>
      </w:r>
      <w:r>
        <w:rPr>
          <w:rFonts w:ascii="Times New Roman" w:hAnsi="Times New Roman" w:cs="Times New Roman" w:eastAsia="Times New Roman" w:hint="default"/>
          <w:sz w:val="21"/>
          <w:szCs w:val="21"/>
        </w:rPr>
        <w:t>14,113,265.64</w:t>
      </w:r>
      <w:r>
        <w:rPr>
          <w:rFonts w:ascii="宋体" w:hAnsi="宋体" w:cs="宋体" w:eastAsia="宋体" w:hint="default"/>
          <w:sz w:val="21"/>
          <w:szCs w:val="21"/>
        </w:rPr>
        <w:t>元，占预付款项期末余额合计数的比例为</w:t>
      </w:r>
      <w:r>
        <w:rPr>
          <w:rFonts w:ascii="Times New Roman" w:hAnsi="Times New Roman" w:cs="Times New Roman" w:eastAsia="Times New Roman" w:hint="default"/>
          <w:sz w:val="21"/>
          <w:szCs w:val="21"/>
        </w:rPr>
        <w:t>50.24%</w:t>
      </w:r>
      <w:r>
        <w:rPr>
          <w:rFonts w:ascii="宋体" w:hAnsi="宋体" w:cs="宋体" w:eastAsia="宋体" w:hint="default"/>
          <w:sz w:val="21"/>
          <w:szCs w:val="21"/>
        </w:rPr>
        <w:t>。</w:t>
      </w:r>
    </w:p>
    <w:p>
      <w:pPr>
        <w:pStyle w:val="BodyText"/>
        <w:spacing w:line="240" w:lineRule="auto" w:before="75"/>
        <w:ind w:left="237" w:right="1360"/>
        <w:jc w:val="left"/>
      </w:pPr>
      <w:r>
        <w:rPr/>
        <w:t>本期核销预付账款</w:t>
      </w:r>
      <w:r>
        <w:rPr>
          <w:rFonts w:ascii="Times New Roman" w:hAnsi="Times New Roman" w:cs="Times New Roman" w:eastAsia="Times New Roman" w:hint="default"/>
        </w:rPr>
        <w:t>1,834,269.72</w:t>
      </w:r>
      <w:r>
        <w:rPr/>
        <w:t>元。</w:t>
      </w:r>
    </w:p>
    <w:p>
      <w:pPr>
        <w:spacing w:before="87"/>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6、其他应收款" w:id="256"/>
      <w:bookmarkEnd w:id="256"/>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64,824.65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9,699,030.68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1,522,723,710.29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7,200,267.28</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1,522,788,534.94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16,899,297.96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360"/>
        <w:jc w:val="left"/>
        <w:rPr>
          <w:b w:val="0"/>
          <w:bCs w:val="0"/>
        </w:rPr>
      </w:pPr>
      <w:bookmarkStart w:name="（1）应收利息" w:id="257"/>
      <w:bookmarkEnd w:id="257"/>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spacing w:before="44"/>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64,824.65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9,699,030.68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64,824.65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9,699,030.68</w:t>
            </w:r>
          </w:p>
        </w:tc>
      </w:tr>
    </w:tbl>
    <w:p>
      <w:pPr>
        <w:spacing w:before="51"/>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2）应收股利" w:id="258"/>
      <w:bookmarkEnd w:id="258"/>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spacing w:before="44"/>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年的应收股利</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3）其他应收款" w:id="259"/>
      <w:bookmarkEnd w:id="259"/>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spacing w:before="44"/>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403"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1,511,95</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8,817.28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99.22%</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1,511,958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,817.28</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11,887,2</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47.79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1,122,35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10,764,89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3.01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7,969,6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07.51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769,340.2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7,200,267.2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99" w:right="0"/>
              <w:jc w:val="left"/>
              <w:rPr>
                <w:rFonts w:ascii="Times New Roman" w:hAnsi="Times New Roman" w:cs="Times New Roman" w:eastAsia="Times New Roman" w:hint="default"/>
                <w:sz w:val="18"/>
                <w:szCs w:val="18"/>
              </w:rPr>
            </w:pPr>
            <w:r>
              <w:rPr>
                <w:rFonts w:ascii="Times New Roman"/>
                <w:sz w:val="18"/>
              </w:rPr>
              <w:t>1,523,84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1,122,35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7" w:right="0"/>
              <w:jc w:val="left"/>
              <w:rPr>
                <w:rFonts w:ascii="Times New Roman" w:hAnsi="Times New Roman" w:cs="Times New Roman" w:eastAsia="Times New Roman" w:hint="default"/>
                <w:sz w:val="18"/>
                <w:szCs w:val="18"/>
              </w:rPr>
            </w:pPr>
            <w:r>
              <w:rPr>
                <w:rFonts w:ascii="Times New Roman"/>
                <w:sz w:val="18"/>
              </w:rPr>
              <w:t>1,522,723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0" w:right="0"/>
              <w:jc w:val="left"/>
              <w:rPr>
                <w:rFonts w:ascii="Times New Roman" w:hAnsi="Times New Roman" w:cs="Times New Roman" w:eastAsia="Times New Roman" w:hint="default"/>
                <w:sz w:val="18"/>
                <w:szCs w:val="18"/>
              </w:rPr>
            </w:pPr>
            <w:r>
              <w:rPr>
                <w:rFonts w:ascii="Times New Roman"/>
                <w:sz w:val="18"/>
              </w:rPr>
              <w:t>7,969,6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9" w:right="0"/>
              <w:jc w:val="left"/>
              <w:rPr>
                <w:rFonts w:ascii="Times New Roman" w:hAnsi="Times New Roman" w:cs="Times New Roman" w:eastAsia="Times New Roman" w:hint="default"/>
                <w:sz w:val="18"/>
                <w:szCs w:val="18"/>
              </w:rPr>
            </w:pPr>
            <w:r>
              <w:rPr>
                <w:rFonts w:ascii="Times New Roman"/>
                <w:sz w:val="18"/>
              </w:rPr>
              <w:t>769,340.2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7,200,267.2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5"/>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6,065.07</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3" w:right="0"/>
              <w:jc w:val="left"/>
              <w:rPr>
                <w:rFonts w:ascii="Times New Roman" w:hAnsi="Times New Roman" w:cs="Times New Roman" w:eastAsia="Times New Roman" w:hint="default"/>
                <w:sz w:val="18"/>
                <w:szCs w:val="18"/>
              </w:rPr>
            </w:pPr>
            <w:r>
              <w:rPr>
                <w:rFonts w:ascii="Times New Roman"/>
                <w:sz w:val="18"/>
              </w:rPr>
              <w:t>4.78</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7" w:right="0"/>
              <w:jc w:val="left"/>
              <w:rPr>
                <w:rFonts w:ascii="Times New Roman" w:hAnsi="Times New Roman" w:cs="Times New Roman" w:eastAsia="Times New Roman" w:hint="default"/>
                <w:sz w:val="18"/>
                <w:szCs w:val="18"/>
              </w:rPr>
            </w:pPr>
            <w:r>
              <w:rPr>
                <w:rFonts w:ascii="Times New Roman"/>
                <w:sz w:val="18"/>
              </w:rPr>
              <w:t>,710.29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6" w:right="0"/>
              <w:jc w:val="left"/>
              <w:rPr>
                <w:rFonts w:ascii="Times New Roman" w:hAnsi="Times New Roman" w:cs="Times New Roman" w:eastAsia="Times New Roman" w:hint="default"/>
                <w:sz w:val="18"/>
                <w:szCs w:val="18"/>
              </w:rPr>
            </w:pPr>
            <w:r>
              <w:rPr>
                <w:rFonts w:ascii="Times New Roman"/>
                <w:sz w:val="18"/>
              </w:rPr>
              <w:t>07.51</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w:t>
            </w: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美盛控股集团有限公司</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（以下简称美盛控股）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1,511,958,817.28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0"/>
              <w:jc w:val="both"/>
              <w:rPr>
                <w:rFonts w:ascii="宋体" w:hAnsi="宋体" w:cs="宋体" w:eastAsia="宋体" w:hint="default"/>
                <w:sz w:val="18"/>
                <w:szCs w:val="18"/>
              </w:rPr>
            </w:pPr>
            <w:r>
              <w:rPr>
                <w:rFonts w:ascii="宋体" w:hAnsi="宋体" w:cs="宋体" w:eastAsia="宋体" w:hint="default"/>
                <w:sz w:val="18"/>
                <w:szCs w:val="18"/>
              </w:rPr>
              <w:t>单项金额重大并预计能 够收回，因此不计提坏 账准备。</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1,511,958,817.28</w:t>
            </w:r>
          </w:p>
        </w:tc>
        <w:tc>
          <w:tcPr>
            <w:tcW w:w="1914" w:type="dxa"/>
            <w:tcBorders>
              <w:top w:val="single" w:sz="4" w:space="0" w:color="000000"/>
              <w:left w:val="single" w:sz="4" w:space="0" w:color="000000"/>
              <w:bottom w:val="single" w:sz="4" w:space="0" w:color="000000"/>
              <w:right w:val="single" w:sz="9" w:space="0" w:color="D2D2D2"/>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10,500,539.68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525,026.98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728,214.78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72,821.49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46,678.62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23,339.31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553,238.55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442,590.84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58,576.16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58,576.16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11,887,247.79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1,122,354.78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360" w:lineRule="auto" w:before="51"/>
        <w:ind w:left="154" w:right="137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4" w:right="17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13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13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3"/>
        <w:ind w:left="154" w:right="-17"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6,138,734.29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049" w:space="2780"/>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10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本期实际核销其他应收款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5,212,262.43</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before="52"/>
        <w:ind w:left="154" w:right="-2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25" w:space="600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4,346,862.70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占用款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1,511,958,817.28</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6,660,249.99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2,339,736.83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1,717,366.48</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5,933.68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3,502,651.32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1,277,074.30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1,523,846,065.07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7,969,607.51</w:t>
            </w:r>
          </w:p>
        </w:tc>
      </w:tr>
    </w:tbl>
    <w:p>
      <w:pPr>
        <w:spacing w:before="51"/>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美盛控股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1,511,958,817.28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99.22%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曾华雄</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1,717,366.48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85,868.32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南京璟达网络科技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1,292,838.00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64,641.90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Costume</w:t>
            </w:r>
            <w:r>
              <w:rPr>
                <w:rFonts w:ascii="Times New Roman"/>
                <w:spacing w:val="-2"/>
                <w:sz w:val="18"/>
              </w:rPr>
              <w:t> </w:t>
            </w:r>
            <w:r>
              <w:rPr>
                <w:rFonts w:ascii="Times New Roman"/>
                <w:sz w:val="18"/>
              </w:rPr>
              <w:t>Craze</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1,029,480.00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51,474.00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1,520,998,501.76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451,984.22</w:t>
            </w:r>
          </w:p>
        </w:tc>
      </w:tr>
    </w:tbl>
    <w:p>
      <w:pPr>
        <w:spacing w:before="51"/>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before="51"/>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w:t>
      </w:r>
    </w:p>
    <w:p>
      <w:pPr>
        <w:spacing w:line="338" w:lineRule="auto" w:before="103"/>
        <w:ind w:left="154" w:right="66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pStyle w:val="BodyText"/>
        <w:spacing w:line="256" w:lineRule="auto" w:before="15"/>
        <w:ind w:right="1109" w:firstLine="420"/>
        <w:jc w:val="both"/>
      </w:pPr>
      <w:r>
        <w:rPr>
          <w:rFonts w:ascii="Times New Roman" w:hAnsi="Times New Roman" w:cs="Times New Roman" w:eastAsia="Times New Roman" w:hint="default"/>
        </w:rPr>
        <w:t>2018</w:t>
      </w:r>
      <w:r>
        <w:rPr/>
        <w:t>年，公司通过间接划转款项方式向其他单位的方式向美盛控股转出资金共计</w:t>
      </w:r>
      <w:r>
        <w:rPr>
          <w:rFonts w:ascii="Times New Roman" w:hAnsi="Times New Roman" w:cs="Times New Roman" w:eastAsia="Times New Roman" w:hint="default"/>
        </w:rPr>
        <w:t>1,484,189,427.78</w:t>
      </w:r>
      <w:r>
        <w:rPr/>
        <w:t>元， </w:t>
      </w:r>
      <w:r>
        <w:rPr>
          <w:spacing w:val="-2"/>
        </w:rPr>
        <w:t>美盛控股本期已偿还</w:t>
      </w:r>
      <w:r>
        <w:rPr>
          <w:rFonts w:ascii="Times New Roman" w:hAnsi="Times New Roman" w:cs="Times New Roman" w:eastAsia="Times New Roman" w:hint="default"/>
          <w:spacing w:val="-2"/>
        </w:rPr>
        <w:t>239,000,000.00</w:t>
      </w:r>
      <w:r>
        <w:rPr>
          <w:spacing w:val="-2"/>
        </w:rPr>
        <w:t>元。期末，公司应收美盛控股该项资金余额为</w:t>
      </w:r>
      <w:r>
        <w:rPr>
          <w:rFonts w:ascii="Times New Roman" w:hAnsi="Times New Roman" w:cs="Times New Roman" w:eastAsia="Times New Roman" w:hint="default"/>
          <w:spacing w:val="-2"/>
        </w:rPr>
        <w:t>1,245,189,427.78</w:t>
      </w:r>
      <w:r>
        <w:rPr>
          <w:spacing w:val="-2"/>
        </w:rPr>
        <w:t>元。截至</w:t>
      </w:r>
      <w:r>
        <w:rPr>
          <w:spacing w:val="-60"/>
        </w:rPr>
        <w:t> </w:t>
      </w:r>
      <w:r>
        <w:rPr>
          <w:spacing w:val="-60"/>
        </w:rPr>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日，美盛文化公司已收到美盛控股归还的上述款项。</w:t>
      </w:r>
    </w:p>
    <w:p>
      <w:pPr>
        <w:pStyle w:val="BodyText"/>
        <w:spacing w:line="256" w:lineRule="auto" w:before="5"/>
        <w:ind w:right="1131" w:firstLine="420"/>
        <w:jc w:val="both"/>
        <w:rPr>
          <w:rFonts w:ascii="Times New Roman" w:hAnsi="Times New Roman" w:cs="Times New Roman" w:eastAsia="Times New Roman" w:hint="default"/>
        </w:rPr>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月，公司与美盛控股签订股权转让协议，约定公司以</w:t>
      </w:r>
      <w:r>
        <w:rPr>
          <w:rFonts w:ascii="Times New Roman" w:hAnsi="Times New Roman" w:cs="Times New Roman" w:eastAsia="Times New Roman" w:hint="default"/>
          <w:spacing w:val="-2"/>
        </w:rPr>
        <w:t>3.57</w:t>
      </w:r>
      <w:r>
        <w:rPr>
          <w:spacing w:val="-2"/>
        </w:rPr>
        <w:t>亿元收购美盛控股持有的杭州捷木股</w:t>
      </w:r>
      <w:r>
        <w:rPr/>
        <w:t> </w:t>
      </w:r>
      <w:r>
        <w:rPr>
          <w:spacing w:val="-2"/>
        </w:rPr>
        <w:t>权投资管理有限公司（以下简称捷木投资）</w:t>
      </w:r>
      <w:r>
        <w:rPr>
          <w:rFonts w:ascii="Times New Roman" w:hAnsi="Times New Roman" w:cs="Times New Roman" w:eastAsia="Times New Roman" w:hint="default"/>
          <w:spacing w:val="-2"/>
        </w:rPr>
        <w:t>50%</w:t>
      </w:r>
      <w:r>
        <w:rPr>
          <w:spacing w:val="-2"/>
        </w:rPr>
        <w:t>的股权和其对捷木投资的债权。该协议业经公司于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p>
    <w:p>
      <w:pPr>
        <w:spacing w:after="0" w:line="256" w:lineRule="auto"/>
        <w:jc w:val="both"/>
        <w:rPr>
          <w:rFonts w:ascii="Times New Roman" w:hAnsi="Times New Roman" w:cs="Times New Roman" w:eastAsia="Times New Roman" w:hint="default"/>
        </w:rPr>
        <w:sectPr>
          <w:type w:val="continuous"/>
          <w:pgSz w:w="11910" w:h="16840"/>
          <w:pgMar w:top="1060" w:bottom="1160" w:left="980" w:right="0"/>
        </w:sectPr>
      </w:pPr>
    </w:p>
    <w:p>
      <w:pPr>
        <w:spacing w:line="240" w:lineRule="auto" w:before="1"/>
        <w:rPr>
          <w:rFonts w:ascii="Times New Roman" w:hAnsi="Times New Roman" w:cs="Times New Roman" w:eastAsia="Times New Roman" w:hint="default"/>
          <w:sz w:val="28"/>
          <w:szCs w:val="28"/>
        </w:rPr>
      </w:pPr>
    </w:p>
    <w:p>
      <w:pPr>
        <w:pStyle w:val="BodyText"/>
        <w:spacing w:line="256" w:lineRule="auto" w:before="35"/>
        <w:ind w:right="1126"/>
        <w:jc w:val="both"/>
      </w:pP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2017</w:t>
      </w:r>
      <w:r>
        <w:rPr/>
        <w:t>年度股东大会审议通过。公司于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日支付交易对价</w:t>
      </w:r>
      <w:r>
        <w:rPr>
          <w:rFonts w:ascii="Times New Roman" w:hAnsi="Times New Roman" w:cs="Times New Roman" w:eastAsia="Times New Roman" w:hint="default"/>
        </w:rPr>
        <w:t>3.50</w:t>
      </w:r>
      <w:r>
        <w:rPr/>
        <w:t>亿元，并于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spacing w:val="-81"/>
        </w:rPr>
        <w:t> </w:t>
      </w:r>
      <w:r>
        <w:rPr>
          <w:rFonts w:ascii="Times New Roman" w:hAnsi="Times New Roman" w:cs="Times New Roman" w:eastAsia="Times New Roman" w:hint="default"/>
        </w:rPr>
        <w:t>31</w:t>
      </w:r>
      <w:r>
        <w:rPr/>
        <w:t>日向捷木投资支付项目投资款</w:t>
      </w:r>
      <w:r>
        <w:rPr>
          <w:rFonts w:ascii="Times New Roman" w:hAnsi="Times New Roman" w:cs="Times New Roman" w:eastAsia="Times New Roman" w:hint="default"/>
        </w:rPr>
        <w:t>16,769,389.50</w:t>
      </w:r>
      <w:r>
        <w:rPr/>
        <w:t>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日，公司与美盛控股及其实际控制人赵小</w:t>
      </w:r>
      <w:r>
        <w:rPr>
          <w:spacing w:val="-83"/>
        </w:rPr>
        <w:t> </w:t>
      </w:r>
      <w:r>
        <w:rPr>
          <w:spacing w:val="-83"/>
        </w:rPr>
      </w:r>
      <w:r>
        <w:rPr/>
        <w:t>强签订补充协议，约定终止收购捷木投资的交易。截至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日，美盛控股归还交易金额</w:t>
      </w:r>
      <w:r>
        <w:rPr>
          <w:rFonts w:ascii="Times New Roman" w:hAnsi="Times New Roman" w:cs="Times New Roman" w:eastAsia="Times New Roman" w:hint="default"/>
        </w:rPr>
        <w:t>1</w:t>
      </w:r>
      <w:r>
        <w:rPr/>
        <w:t>亿元。</w:t>
      </w:r>
      <w:r>
        <w:rPr>
          <w:spacing w:val="-24"/>
        </w:rPr>
        <w:t> </w:t>
      </w:r>
      <w:r>
        <w:rPr/>
        <w:t>剩余款项</w:t>
      </w:r>
      <w:r>
        <w:rPr>
          <w:rFonts w:ascii="Times New Roman" w:hAnsi="Times New Roman" w:cs="Times New Roman" w:eastAsia="Times New Roman" w:hint="default"/>
        </w:rPr>
        <w:t>266,769,389.50</w:t>
      </w:r>
      <w:r>
        <w:rPr/>
        <w:t>元已于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月偿还。</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8"/>
          <w:szCs w:val="28"/>
        </w:rPr>
      </w:pPr>
    </w:p>
    <w:p>
      <w:pPr>
        <w:pStyle w:val="Heading4"/>
        <w:spacing w:line="240" w:lineRule="auto"/>
        <w:ind w:right="0"/>
        <w:jc w:val="both"/>
        <w:rPr>
          <w:b w:val="0"/>
          <w:bCs w:val="0"/>
        </w:rPr>
      </w:pPr>
      <w:bookmarkStart w:name="7、存货" w:id="260"/>
      <w:bookmarkEnd w:id="260"/>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512"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1"/>
        <w:rPr>
          <w:rFonts w:ascii="宋体" w:hAnsi="宋体" w:cs="宋体" w:eastAsia="宋体" w:hint="default"/>
          <w:sz w:val="20"/>
          <w:szCs w:val="20"/>
        </w:rPr>
      </w:pPr>
    </w:p>
    <w:p>
      <w:pPr>
        <w:pStyle w:val="Heading4"/>
        <w:spacing w:line="240" w:lineRule="auto"/>
        <w:ind w:right="0"/>
        <w:jc w:val="both"/>
        <w:rPr>
          <w:b w:val="0"/>
          <w:bCs w:val="0"/>
        </w:rPr>
      </w:pPr>
      <w:bookmarkStart w:name="（1）存货分类" w:id="261"/>
      <w:bookmarkEnd w:id="261"/>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10,321,659.69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10,321,659.69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11,546,280.28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11,546,280.28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36,621,411.15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36,621,411.15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27,820,637.94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27,820,637.94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60,907,084.58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12,906,476.29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48,000,608.29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87,788,710.78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8,962,670.46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78,826,040.32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201,262.41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201,262.41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35,425,630.18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18,052,990.67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17,372,639.51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25,359,030.23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25,359,030.23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12,011,691.41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63,088.96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11,948,602.45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4,062,309.27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4,062,309.27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1,558,670.04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1,558,670.04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155,488,739.42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31,022,555.92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124,466,183.50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158,135,638.54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8,962,670.46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149,172,968.08</w:t>
            </w:r>
          </w:p>
        </w:tc>
      </w:tr>
    </w:tbl>
    <w:p>
      <w:pPr>
        <w:spacing w:line="340" w:lineRule="auto" w:before="51"/>
        <w:ind w:left="154" w:right="24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38" w:lineRule="auto" w:before="40"/>
        <w:ind w:left="154" w:right="2751"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上市公司从事珠宝相关业务》的披露要求 否</w:t>
      </w:r>
    </w:p>
    <w:p>
      <w:pPr>
        <w:spacing w:line="240" w:lineRule="auto" w:before="2"/>
        <w:rPr>
          <w:rFonts w:ascii="宋体" w:hAnsi="宋体" w:cs="宋体" w:eastAsia="宋体" w:hint="default"/>
          <w:sz w:val="21"/>
          <w:szCs w:val="21"/>
        </w:rPr>
      </w:pPr>
    </w:p>
    <w:p>
      <w:pPr>
        <w:pStyle w:val="Heading4"/>
        <w:spacing w:line="240" w:lineRule="auto"/>
        <w:ind w:right="1360"/>
        <w:jc w:val="left"/>
        <w:rPr>
          <w:b w:val="0"/>
          <w:bCs w:val="0"/>
        </w:rPr>
      </w:pPr>
      <w:bookmarkStart w:name="（2）存货跌价准备" w:id="262"/>
      <w:bookmarkEnd w:id="262"/>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78" w:right="0"/>
              <w:jc w:val="left"/>
              <w:rPr>
                <w:rFonts w:ascii="Times New Roman" w:hAnsi="Times New Roman" w:cs="Times New Roman" w:eastAsia="Times New Roman" w:hint="default"/>
                <w:sz w:val="18"/>
                <w:szCs w:val="18"/>
              </w:rPr>
            </w:pPr>
            <w:r>
              <w:rPr>
                <w:rFonts w:ascii="Times New Roman"/>
                <w:sz w:val="18"/>
              </w:rPr>
              <w:t>8,962,670.46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6,781,149.19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2,808,391.06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28,952.30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12,906,476.29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18,052,990.67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18,052,990.67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63,088.96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63,088.96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8,962,670.46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24,897,228.82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2,808,391.06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28,952.30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31,022,555.92</w:t>
            </w:r>
          </w:p>
        </w:tc>
      </w:tr>
    </w:tbl>
    <w:p>
      <w:pPr>
        <w:pStyle w:val="BodyText"/>
        <w:spacing w:line="260" w:lineRule="exact"/>
        <w:ind w:left="574" w:right="1360"/>
        <w:jc w:val="left"/>
      </w:pPr>
      <w:r>
        <w:rPr/>
        <w:t>确定可变现净值的具体依据、本期转回或转销存货跌价准备的原因</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349"/>
        <w:gridCol w:w="3723"/>
        <w:gridCol w:w="3452"/>
      </w:tblGrid>
      <w:tr>
        <w:trPr>
          <w:trHeight w:val="659" w:hRule="exact"/>
        </w:trPr>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533"/>
              <w:jc w:val="righ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372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328" w:right="1119" w:hanging="210"/>
              <w:jc w:val="left"/>
              <w:rPr>
                <w:rFonts w:ascii="宋体" w:hAnsi="宋体" w:cs="宋体" w:eastAsia="宋体" w:hint="default"/>
                <w:sz w:val="21"/>
                <w:szCs w:val="21"/>
              </w:rPr>
            </w:pPr>
            <w:r>
              <w:rPr>
                <w:rFonts w:ascii="宋体" w:hAnsi="宋体" w:cs="宋体" w:eastAsia="宋体" w:hint="default"/>
                <w:sz w:val="21"/>
                <w:szCs w:val="21"/>
              </w:rPr>
              <w:t>确定可变现净值 的具体依据</w:t>
            </w:r>
          </w:p>
        </w:tc>
        <w:tc>
          <w:tcPr>
            <w:tcW w:w="3452"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772" w:right="779" w:firstLine="524"/>
              <w:jc w:val="left"/>
              <w:rPr>
                <w:rFonts w:ascii="宋体" w:hAnsi="宋体" w:cs="宋体" w:eastAsia="宋体" w:hint="default"/>
                <w:sz w:val="21"/>
                <w:szCs w:val="21"/>
              </w:rPr>
            </w:pPr>
            <w:r>
              <w:rPr>
                <w:rFonts w:ascii="宋体" w:hAnsi="宋体" w:cs="宋体" w:eastAsia="宋体" w:hint="default"/>
                <w:sz w:val="21"/>
                <w:szCs w:val="21"/>
              </w:rPr>
              <w:t>本期转销 存货跌价准备的原因</w:t>
            </w:r>
          </w:p>
        </w:tc>
      </w:tr>
      <w:tr>
        <w:trPr>
          <w:trHeight w:val="660" w:hRule="exact"/>
        </w:trPr>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490"/>
              <w:jc w:val="right"/>
              <w:rPr>
                <w:rFonts w:ascii="宋体" w:hAnsi="宋体" w:cs="宋体" w:eastAsia="宋体" w:hint="default"/>
                <w:sz w:val="21"/>
                <w:szCs w:val="21"/>
              </w:rPr>
            </w:pPr>
            <w:r>
              <w:rPr>
                <w:rFonts w:ascii="宋体" w:hAnsi="宋体" w:cs="宋体" w:eastAsia="宋体" w:hint="default"/>
                <w:sz w:val="21"/>
                <w:szCs w:val="21"/>
              </w:rPr>
              <w:t>库存商品</w:t>
            </w:r>
          </w:p>
        </w:tc>
        <w:tc>
          <w:tcPr>
            <w:tcW w:w="3723" w:type="dxa"/>
            <w:vMerge w:val="restart"/>
            <w:tcBorders>
              <w:top w:val="single" w:sz="6" w:space="0" w:color="000000"/>
              <w:left w:val="single" w:sz="6" w:space="0" w:color="000000"/>
              <w:right w:val="single" w:sz="6" w:space="0" w:color="000000"/>
            </w:tcBorders>
          </w:tcPr>
          <w:p>
            <w:pPr>
              <w:pStyle w:val="TableParagraph"/>
              <w:spacing w:line="285" w:lineRule="auto" w:before="5"/>
              <w:ind w:left="2" w:right="2"/>
              <w:jc w:val="both"/>
              <w:rPr>
                <w:rFonts w:ascii="宋体" w:hAnsi="宋体" w:cs="宋体" w:eastAsia="宋体" w:hint="default"/>
                <w:sz w:val="20"/>
                <w:szCs w:val="20"/>
              </w:rPr>
            </w:pPr>
            <w:r>
              <w:rPr>
                <w:rFonts w:ascii="宋体" w:hAnsi="宋体" w:cs="宋体" w:eastAsia="宋体" w:hint="default"/>
                <w:spacing w:val="4"/>
                <w:sz w:val="20"/>
                <w:szCs w:val="20"/>
              </w:rPr>
              <w:t>相关产成品估计售价减去至完工估计将要</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6"/>
                <w:w w:val="100"/>
                <w:sz w:val="20"/>
                <w:szCs w:val="20"/>
              </w:rPr>
              <w:t>发生的成本、估计的销售费用以及相关税费</w:t>
            </w:r>
            <w:r>
              <w:rPr>
                <w:rFonts w:ascii="宋体" w:hAnsi="宋体" w:cs="宋体" w:eastAsia="宋体" w:hint="default"/>
                <w:spacing w:val="-97"/>
                <w:w w:val="100"/>
                <w:sz w:val="20"/>
                <w:szCs w:val="20"/>
              </w:rPr>
              <w:t> </w:t>
            </w:r>
            <w:r>
              <w:rPr>
                <w:rFonts w:ascii="宋体" w:hAnsi="宋体" w:cs="宋体" w:eastAsia="宋体" w:hint="default"/>
                <w:spacing w:val="-97"/>
                <w:w w:val="100"/>
                <w:sz w:val="20"/>
                <w:szCs w:val="20"/>
              </w:rPr>
            </w:r>
            <w:r>
              <w:rPr>
                <w:rFonts w:ascii="宋体" w:hAnsi="宋体" w:cs="宋体" w:eastAsia="宋体" w:hint="default"/>
                <w:sz w:val="20"/>
                <w:szCs w:val="20"/>
              </w:rPr>
              <w:t>后的金额确定可变现净值</w:t>
            </w:r>
          </w:p>
        </w:tc>
        <w:tc>
          <w:tcPr>
            <w:tcW w:w="3452" w:type="dxa"/>
            <w:tcBorders>
              <w:top w:val="single" w:sz="6" w:space="0" w:color="000000"/>
              <w:left w:val="single" w:sz="6" w:space="0" w:color="000000"/>
              <w:bottom w:val="single" w:sz="6" w:space="0" w:color="000000"/>
              <w:right w:val="nil" w:sz="6" w:space="0" w:color="auto"/>
            </w:tcBorders>
          </w:tcPr>
          <w:p>
            <w:pPr>
              <w:pStyle w:val="TableParagraph"/>
              <w:spacing w:line="285" w:lineRule="auto" w:before="5"/>
              <w:ind w:left="2" w:right="9"/>
              <w:jc w:val="left"/>
              <w:rPr>
                <w:rFonts w:ascii="宋体" w:hAnsi="宋体" w:cs="宋体" w:eastAsia="宋体" w:hint="default"/>
                <w:sz w:val="20"/>
                <w:szCs w:val="20"/>
              </w:rPr>
            </w:pPr>
            <w:r>
              <w:rPr>
                <w:rFonts w:ascii="宋体" w:hAnsi="宋体" w:cs="宋体" w:eastAsia="宋体" w:hint="default"/>
                <w:sz w:val="20"/>
                <w:szCs w:val="20"/>
              </w:rPr>
              <w:t>本期已将期初计提存货跌价准备的存货</w:t>
            </w:r>
            <w:r>
              <w:rPr>
                <w:rFonts w:ascii="宋体" w:hAnsi="宋体" w:cs="宋体" w:eastAsia="宋体" w:hint="default"/>
                <w:spacing w:val="-72"/>
                <w:sz w:val="20"/>
                <w:szCs w:val="20"/>
              </w:rPr>
              <w:t> </w:t>
            </w:r>
            <w:r>
              <w:rPr>
                <w:rFonts w:ascii="宋体" w:hAnsi="宋体" w:cs="宋体" w:eastAsia="宋体" w:hint="default"/>
                <w:spacing w:val="-72"/>
                <w:sz w:val="20"/>
                <w:szCs w:val="20"/>
              </w:rPr>
            </w:r>
            <w:r>
              <w:rPr>
                <w:rFonts w:ascii="宋体" w:hAnsi="宋体" w:cs="宋体" w:eastAsia="宋体" w:hint="default"/>
                <w:sz w:val="20"/>
                <w:szCs w:val="20"/>
              </w:rPr>
              <w:t>售出</w:t>
            </w:r>
          </w:p>
        </w:tc>
      </w:tr>
      <w:tr>
        <w:trPr>
          <w:trHeight w:val="347" w:hRule="exact"/>
        </w:trPr>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490"/>
              <w:jc w:val="right"/>
              <w:rPr>
                <w:rFonts w:ascii="宋体" w:hAnsi="宋体" w:cs="宋体" w:eastAsia="宋体" w:hint="default"/>
                <w:sz w:val="21"/>
                <w:szCs w:val="21"/>
              </w:rPr>
            </w:pPr>
            <w:r>
              <w:rPr>
                <w:rFonts w:ascii="宋体" w:hAnsi="宋体" w:cs="宋体" w:eastAsia="宋体" w:hint="default"/>
                <w:sz w:val="21"/>
                <w:szCs w:val="21"/>
              </w:rPr>
              <w:t>开发产品</w:t>
            </w:r>
          </w:p>
        </w:tc>
        <w:tc>
          <w:tcPr>
            <w:tcW w:w="3723" w:type="dxa"/>
            <w:vMerge/>
            <w:tcBorders>
              <w:left w:val="single" w:sz="6" w:space="0" w:color="000000"/>
              <w:right w:val="single" w:sz="6" w:space="0" w:color="000000"/>
            </w:tcBorders>
          </w:tcPr>
          <w:p>
            <w:pPr/>
          </w:p>
        </w:tc>
        <w:tc>
          <w:tcPr>
            <w:tcW w:w="3452"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490"/>
              <w:jc w:val="right"/>
              <w:rPr>
                <w:rFonts w:ascii="宋体" w:hAnsi="宋体" w:cs="宋体" w:eastAsia="宋体" w:hint="default"/>
                <w:sz w:val="21"/>
                <w:szCs w:val="21"/>
              </w:rPr>
            </w:pPr>
            <w:r>
              <w:rPr>
                <w:rFonts w:ascii="宋体" w:hAnsi="宋体" w:cs="宋体" w:eastAsia="宋体" w:hint="default"/>
                <w:sz w:val="21"/>
                <w:szCs w:val="21"/>
              </w:rPr>
              <w:t>发出商品</w:t>
            </w:r>
          </w:p>
        </w:tc>
        <w:tc>
          <w:tcPr>
            <w:tcW w:w="3723" w:type="dxa"/>
            <w:vMerge/>
            <w:tcBorders>
              <w:left w:val="single" w:sz="6" w:space="0" w:color="000000"/>
              <w:bottom w:val="single" w:sz="6" w:space="0" w:color="000000"/>
              <w:right w:val="single" w:sz="6" w:space="0" w:color="000000"/>
            </w:tcBorders>
          </w:tcPr>
          <w:p>
            <w:pPr/>
          </w:p>
        </w:tc>
        <w:tc>
          <w:tcPr>
            <w:tcW w:w="3452" w:type="dxa"/>
            <w:tcBorders>
              <w:top w:val="single" w:sz="6" w:space="0" w:color="000000"/>
              <w:left w:val="single" w:sz="6" w:space="0" w:color="000000"/>
              <w:bottom w:val="single" w:sz="6" w:space="0" w:color="000000"/>
              <w:right w:val="nil" w:sz="6" w:space="0" w:color="auto"/>
            </w:tcBorders>
          </w:tcPr>
          <w:p>
            <w:pPr/>
          </w:p>
        </w:tc>
      </w:tr>
    </w:tbl>
    <w:p>
      <w:pPr>
        <w:spacing w:line="240" w:lineRule="auto" w:before="12"/>
        <w:rPr>
          <w:rFonts w:ascii="宋体" w:hAnsi="宋体" w:cs="宋体" w:eastAsia="宋体" w:hint="default"/>
          <w:sz w:val="20"/>
          <w:szCs w:val="20"/>
        </w:rPr>
      </w:pPr>
    </w:p>
    <w:p>
      <w:pPr>
        <w:pStyle w:val="BodyText"/>
        <w:spacing w:line="240" w:lineRule="auto" w:before="73"/>
        <w:ind w:left="574" w:right="1360"/>
        <w:jc w:val="left"/>
        <w:rPr>
          <w:rFonts w:ascii="Times New Roman" w:hAnsi="Times New Roman" w:cs="Times New Roman" w:eastAsia="Times New Roman" w:hint="default"/>
        </w:rPr>
      </w:pPr>
      <w:r>
        <w:rPr>
          <w:rFonts w:ascii="Times New Roman" w:hAnsi="Times New Roman" w:cs="Times New Roman" w:eastAsia="Times New Roman" w:hint="default"/>
        </w:rPr>
        <w:t>??•</w:t>
      </w:r>
      <w:r>
        <w:rPr>
          <w:rFonts w:ascii="Times New Roman" w:hAnsi="Times New Roman" w:cs="Times New Roman" w:eastAsia="Times New Roman" w:hint="default"/>
          <w:spacing w:val="37"/>
        </w:rPr>
        <w:t> </w:t>
      </w:r>
      <w:r>
        <w:rPr>
          <w:rFonts w:ascii="Times New Roman" w:hAnsi="Times New Roman" w:cs="Times New Roman" w:eastAsia="Times New Roman" w:hint="default"/>
        </w:rPr>
        <w:t>q</w:t>
      </w:r>
    </w:p>
    <w:p>
      <w:pPr>
        <w:spacing w:line="240" w:lineRule="auto" w:before="1"/>
        <w:rPr>
          <w:rFonts w:ascii="Times New Roman" w:hAnsi="Times New Roman" w:cs="Times New Roman" w:eastAsia="Times New Roman" w:hint="default"/>
          <w:sz w:val="28"/>
          <w:szCs w:val="28"/>
        </w:rPr>
      </w:pPr>
    </w:p>
    <w:p>
      <w:pPr>
        <w:pStyle w:val="Heading4"/>
        <w:spacing w:line="240" w:lineRule="auto"/>
        <w:ind w:right="1360"/>
        <w:jc w:val="left"/>
        <w:rPr>
          <w:b w:val="0"/>
          <w:bCs w:val="0"/>
        </w:rPr>
      </w:pPr>
      <w:bookmarkStart w:name="（3）存货期末余额含有借款费用资本化金额的说明" w:id="263"/>
      <w:bookmarkEnd w:id="263"/>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60"/>
        <w:jc w:val="left"/>
        <w:rPr>
          <w:b w:val="0"/>
          <w:bCs w:val="0"/>
        </w:rPr>
      </w:pPr>
      <w:bookmarkStart w:name="（4）期末建造合同形成的已完工未结算资产情况" w:id="264"/>
      <w:bookmarkEnd w:id="264"/>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8、持有待售资产" w:id="265"/>
      <w:bookmarkEnd w:id="265"/>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9、一年内到期的非流动资产" w:id="266"/>
      <w:bookmarkEnd w:id="266"/>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10、其他流动资产" w:id="267"/>
      <w:bookmarkEnd w:id="267"/>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35,490,000.00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1,739,300,000.00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待抵扣增值税进项税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3,583,848.71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3,222,053.38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预缴的企业所得税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1,685,972.81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1,498,786.00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40,759,821.52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1,744,020,839.38</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360"/>
        <w:jc w:val="left"/>
        <w:rPr>
          <w:b w:val="0"/>
          <w:bCs w:val="0"/>
        </w:rPr>
      </w:pPr>
      <w:bookmarkStart w:name="11、可供出售金融资产" w:id="268"/>
      <w:bookmarkEnd w:id="268"/>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60"/>
        <w:jc w:val="left"/>
        <w:rPr>
          <w:b w:val="0"/>
          <w:bCs w:val="0"/>
        </w:rPr>
      </w:pPr>
      <w:bookmarkStart w:name="（1）可供出售金融资产情况" w:id="269"/>
      <w:bookmarkEnd w:id="269"/>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7,411,269.79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1,297,985.47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6,113,284.32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9,149,285.41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9,149,285.41</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212,139,200.00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1,177,332.37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210,961,867.63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178,665,200.00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178,665,200.00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212,139,200.00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1,177,332.37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210,961,867.63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178,665,200.00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178,665,200.00</w:t>
            </w:r>
          </w:p>
        </w:tc>
      </w:tr>
      <w:tr>
        <w:trPr>
          <w:trHeight w:val="403"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219,550,469.79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2,475,317.84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217,075,151.95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187,814,485.41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187,814,485.41</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2）期末按公允价值计量的可供出售金融资产" w:id="270"/>
      <w:bookmarkEnd w:id="270"/>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7"/>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6,747,230.00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6,747,230.00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5,504,434.32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5,504,434.32</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68"/>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-1,344,701.05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-1,344,701.05</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101,905.37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101,905.37</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3）期末按成本计量的可供出售金融资产" w:id="271"/>
      <w:bookmarkEnd w:id="271"/>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浙江新昌 浦发村镇 银行股份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350,000.00</w:t>
            </w: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北京创新 工厂创业 投资中心</w:t>
            </w:r>
          </w:p>
          <w:p>
            <w:pPr>
              <w:pStyle w:val="TableParagraph"/>
              <w:spacing w:line="319" w:lineRule="auto" w:before="19"/>
              <w:ind w:left="22"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1,913,526.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8"/>
              <w:jc w:val="left"/>
              <w:rPr>
                <w:rFonts w:ascii="宋体" w:hAnsi="宋体" w:cs="宋体" w:eastAsia="宋体" w:hint="default"/>
                <w:sz w:val="18"/>
                <w:szCs w:val="18"/>
              </w:rPr>
            </w:pPr>
            <w:r>
              <w:rPr>
                <w:rFonts w:ascii="宋体" w:hAnsi="宋体" w:cs="宋体" w:eastAsia="宋体" w:hint="default"/>
                <w:sz w:val="18"/>
                <w:szCs w:val="18"/>
              </w:rPr>
              <w:t>浙江成长 文化产业</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476,362.42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129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股权投资 基金合伙 企业（有 限合伙）</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深圳市同 道大叔文 化传播有 限公司</w:t>
            </w:r>
          </w:p>
          <w:p>
            <w:pPr>
              <w:pStyle w:val="TableParagraph"/>
              <w:spacing w:line="319" w:lineRule="auto" w:before="19"/>
              <w:ind w:left="22"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（以下简 称同道大 叔公司）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27.50%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宁波梅山 保税港区 古月韵文 化发展有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北京晨星 闪亮影视 文化有限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杭州若鸿 文化创意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11.70%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杭州十二 章纹文化 传播有限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6" w:right="0"/>
              <w:jc w:val="left"/>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 w:right="0"/>
              <w:jc w:val="center"/>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12.52%</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杭州踏雪 动漫设计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360,000.00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360,000.00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上海豆萌 科技有限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08"/>
              <w:jc w:val="both"/>
              <w:rPr>
                <w:rFonts w:ascii="Times New Roman" w:hAnsi="Times New Roman" w:cs="Times New Roman" w:eastAsia="Times New Roman" w:hint="default"/>
                <w:sz w:val="18"/>
                <w:szCs w:val="18"/>
              </w:rPr>
            </w:pPr>
            <w:r>
              <w:rPr>
                <w:rFonts w:ascii="Times New Roman"/>
                <w:sz w:val="18"/>
              </w:rPr>
              <w:t>Kascend Holding Inc</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39,205,200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1,974,000.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41,179,200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6.17%</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深圳市考 拉游戏科 技有限公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6" w:right="0"/>
              <w:jc w:val="left"/>
              <w:rPr>
                <w:rFonts w:ascii="Times New Roman" w:hAnsi="Times New Roman" w:cs="Times New Roman" w:eastAsia="Times New Roman" w:hint="default"/>
                <w:sz w:val="18"/>
                <w:szCs w:val="18"/>
              </w:rPr>
            </w:pPr>
            <w:r>
              <w:rPr>
                <w:rFonts w:ascii="Times New Roman"/>
                <w:sz w:val="18"/>
              </w:rPr>
              <w:t>197,680.00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6" w:right="0"/>
              <w:jc w:val="left"/>
              <w:rPr>
                <w:rFonts w:ascii="Times New Roman" w:hAnsi="Times New Roman" w:cs="Times New Roman" w:eastAsia="Times New Roman" w:hint="default"/>
                <w:sz w:val="18"/>
                <w:szCs w:val="18"/>
              </w:rPr>
            </w:pPr>
            <w:r>
              <w:rPr>
                <w:rFonts w:ascii="Times New Roman"/>
                <w:sz w:val="18"/>
              </w:rPr>
              <w:t>197,680.00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苏州乐力 互动网络 科技有限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6" w:right="0"/>
              <w:jc w:val="left"/>
              <w:rPr>
                <w:rFonts w:ascii="Times New Roman" w:hAnsi="Times New Roman" w:cs="Times New Roman" w:eastAsia="Times New Roman" w:hint="default"/>
                <w:sz w:val="18"/>
                <w:szCs w:val="18"/>
              </w:rPr>
            </w:pPr>
            <w:r>
              <w:rPr>
                <w:rFonts w:ascii="Times New Roman"/>
                <w:sz w:val="18"/>
              </w:rPr>
              <w:t>979,652.37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6" w:right="0"/>
              <w:jc w:val="left"/>
              <w:rPr>
                <w:rFonts w:ascii="Times New Roman" w:hAnsi="Times New Roman" w:cs="Times New Roman" w:eastAsia="Times New Roman" w:hint="default"/>
                <w:sz w:val="18"/>
                <w:szCs w:val="18"/>
              </w:rPr>
            </w:pPr>
            <w:r>
              <w:rPr>
                <w:rFonts w:ascii="Times New Roman"/>
                <w:sz w:val="18"/>
              </w:rPr>
              <w:t>979,652.37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82" w:right="0"/>
              <w:jc w:val="left"/>
              <w:rPr>
                <w:rFonts w:ascii="Times New Roman" w:hAnsi="Times New Roman" w:cs="Times New Roman" w:eastAsia="Times New Roman" w:hint="default"/>
                <w:sz w:val="18"/>
                <w:szCs w:val="18"/>
              </w:rPr>
            </w:pPr>
            <w:r>
              <w:rPr>
                <w:rFonts w:ascii="Times New Roman"/>
                <w:sz w:val="18"/>
              </w:rPr>
              <w:t>15.00%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红土创新 红石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 定增资产 管理计划</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3,093,164.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1,906,835.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1,297,985.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1,297,985.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183,665,20</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44,474,000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14,093,164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214,046,03</w:t>
            </w:r>
          </w:p>
          <w:p>
            <w:pPr>
              <w:pStyle w:val="TableParagraph"/>
              <w:spacing w:line="240" w:lineRule="auto" w:before="106"/>
              <w:ind w:left="522" w:right="0"/>
              <w:jc w:val="left"/>
              <w:rPr>
                <w:rFonts w:ascii="Times New Roman" w:hAnsi="Times New Roman" w:cs="Times New Roman" w:eastAsia="Times New Roman" w:hint="default"/>
                <w:sz w:val="18"/>
                <w:szCs w:val="18"/>
              </w:rPr>
            </w:pPr>
            <w:r>
              <w:rPr>
                <w:rFonts w:ascii="Times New Roman"/>
                <w:sz w:val="18"/>
              </w:rPr>
              <w:t>5.47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2,475,317.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84</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2,475,317.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84</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2,739,888.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68</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360"/>
        <w:jc w:val="left"/>
        <w:rPr>
          <w:b w:val="0"/>
          <w:bCs w:val="0"/>
        </w:rPr>
      </w:pPr>
      <w:bookmarkStart w:name="（4）报告期内可供出售金融资产减值的变动情况" w:id="272"/>
      <w:bookmarkEnd w:id="272"/>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5）可供出售权益工具期末公允价值严重下跌或非暂时性下跌但未计提减值准备的相关说" w:id="273"/>
      <w:bookmarkEnd w:id="273"/>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52"/>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89"/>
        <w:ind w:right="1130" w:firstLine="422"/>
        <w:jc w:val="both"/>
      </w:pPr>
      <w:r>
        <w:rPr>
          <w:rFonts w:ascii="Times New Roman" w:hAnsi="Times New Roman" w:cs="Times New Roman" w:eastAsia="Times New Roman" w:hint="default"/>
          <w:spacing w:val="-2"/>
        </w:rPr>
        <w:t>[</w:t>
      </w:r>
      <w:r>
        <w:rPr>
          <w:spacing w:val="-2"/>
        </w:rPr>
        <w:t>注</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日，公司与北京创新工厂创业投资中心（有限合伙）达成协议，公司作为有限合</w:t>
      </w:r>
      <w:r>
        <w:rPr>
          <w:w w:val="99"/>
        </w:rPr>
        <w:t> </w:t>
      </w:r>
      <w:r>
        <w:rPr>
          <w:spacing w:val="-2"/>
        </w:rPr>
        <w:t>伙人以</w:t>
      </w:r>
      <w:r>
        <w:rPr>
          <w:rFonts w:ascii="Times New Roman" w:hAnsi="Times New Roman" w:cs="Times New Roman" w:eastAsia="Times New Roman" w:hint="default"/>
          <w:spacing w:val="-2"/>
        </w:rPr>
        <w:t>5,000</w:t>
      </w:r>
      <w:r>
        <w:rPr>
          <w:spacing w:val="-2"/>
        </w:rPr>
        <w:t>万元人民币认购其发行的基金</w:t>
      </w:r>
      <w:r>
        <w:rPr>
          <w:rFonts w:ascii="Times New Roman" w:hAnsi="Times New Roman" w:cs="Times New Roman" w:eastAsia="Times New Roman" w:hint="default"/>
          <w:spacing w:val="-2"/>
        </w:rPr>
        <w:t>5,000</w:t>
      </w:r>
      <w:r>
        <w:rPr>
          <w:spacing w:val="-2"/>
        </w:rPr>
        <w:t>万份，该基金规模不大于</w:t>
      </w:r>
      <w:r>
        <w:rPr>
          <w:rFonts w:ascii="Times New Roman" w:hAnsi="Times New Roman" w:cs="Times New Roman" w:eastAsia="Times New Roman" w:hint="default"/>
          <w:spacing w:val="-2"/>
        </w:rPr>
        <w:t>25</w:t>
      </w:r>
      <w:r>
        <w:rPr>
          <w:spacing w:val="-2"/>
        </w:rPr>
        <w:t>亿元，本期缴纳剩余</w:t>
      </w:r>
      <w:r>
        <w:rPr>
          <w:rFonts w:ascii="Times New Roman" w:hAnsi="Times New Roman" w:cs="Times New Roman" w:eastAsia="Times New Roman" w:hint="default"/>
          <w:spacing w:val="-2"/>
        </w:rPr>
        <w:t>500.00</w:t>
      </w:r>
      <w:r>
        <w:rPr>
          <w:spacing w:val="-2"/>
        </w:rPr>
        <w:t>万元</w:t>
      </w:r>
      <w:r>
        <w:rPr>
          <w:spacing w:val="-76"/>
        </w:rPr>
        <w:t> </w:t>
      </w:r>
      <w:r>
        <w:rPr/>
        <w:t>份额。</w:t>
      </w:r>
    </w:p>
    <w:p>
      <w:pPr>
        <w:pStyle w:val="BodyText"/>
        <w:spacing w:line="256" w:lineRule="auto" w:before="22"/>
        <w:ind w:right="1130" w:firstLine="422"/>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w:t>
      </w:r>
      <w:r>
        <w:rPr/>
        <w:t>公司与蔡跃栋签订股权转让协议，约定公司以人民币</w:t>
      </w:r>
      <w:r>
        <w:rPr>
          <w:rFonts w:ascii="Times New Roman" w:hAnsi="Times New Roman" w:cs="Times New Roman" w:eastAsia="Times New Roman" w:hint="default"/>
        </w:rPr>
        <w:t>3,750</w:t>
      </w:r>
      <w:r>
        <w:rPr/>
        <w:t>万元受让蔡跃栋持有的</w:t>
      </w:r>
      <w:r>
        <w:rPr>
          <w:w w:val="99"/>
        </w:rPr>
        <w:t> </w:t>
      </w:r>
      <w:r>
        <w:rPr>
          <w:spacing w:val="-2"/>
        </w:rPr>
        <w:t>同道大叔公司</w:t>
      </w:r>
      <w:r>
        <w:rPr>
          <w:rFonts w:ascii="Times New Roman" w:hAnsi="Times New Roman" w:cs="Times New Roman" w:eastAsia="Times New Roman" w:hint="default"/>
          <w:spacing w:val="-2"/>
        </w:rPr>
        <w:t>12.50%</w:t>
      </w:r>
      <w:r>
        <w:rPr>
          <w:spacing w:val="-2"/>
        </w:rPr>
        <w:t>的股权，本期已支付股权收购款项</w:t>
      </w:r>
      <w:r>
        <w:rPr>
          <w:rFonts w:ascii="Times New Roman" w:hAnsi="Times New Roman" w:cs="Times New Roman" w:eastAsia="Times New Roman" w:hint="default"/>
          <w:spacing w:val="-2"/>
        </w:rPr>
        <w:t>2,000</w:t>
      </w:r>
      <w:r>
        <w:rPr>
          <w:spacing w:val="-2"/>
        </w:rPr>
        <w:t>万元。本次交易完成后，公司共持有同道大叔</w:t>
      </w:r>
      <w:r>
        <w:rPr>
          <w:spacing w:val="-101"/>
        </w:rPr>
        <w:t> </w:t>
      </w:r>
      <w:r>
        <w:rPr>
          <w:spacing w:val="-101"/>
        </w:rPr>
      </w:r>
      <w:r>
        <w:rPr/>
        <w:t>公司</w:t>
      </w:r>
      <w:r>
        <w:rPr>
          <w:rFonts w:ascii="Times New Roman" w:hAnsi="Times New Roman" w:cs="Times New Roman" w:eastAsia="Times New Roman" w:hint="default"/>
        </w:rPr>
        <w:t>27.50%</w:t>
      </w:r>
      <w:r>
        <w:rPr/>
        <w:t>的股权。期末公司对同道大叔公司尚不存在重大影响。</w:t>
      </w:r>
    </w:p>
    <w:p>
      <w:pPr>
        <w:pStyle w:val="BodyText"/>
        <w:spacing w:line="256" w:lineRule="auto" w:before="5"/>
        <w:ind w:right="1118" w:firstLine="42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3]</w:t>
      </w:r>
      <w:r>
        <w:rPr/>
        <w:t>：交易详情见本财务报表附注五（一）</w:t>
      </w:r>
      <w:r>
        <w:rPr>
          <w:rFonts w:ascii="Times New Roman" w:hAnsi="Times New Roman" w:cs="Times New Roman" w:eastAsia="Times New Roman" w:hint="default"/>
        </w:rPr>
        <w:t>29</w:t>
      </w:r>
      <w:r>
        <w:rPr/>
        <w:t>资本公积之说明。</w:t>
      </w:r>
      <w:r>
        <w:rPr>
          <w:w w:val="99"/>
        </w:rPr>
        <w:t> </w:t>
      </w:r>
      <w:r>
        <w:rPr>
          <w:rFonts w:ascii="Times New Roman" w:hAnsi="Times New Roman" w:cs="Times New Roman" w:eastAsia="Times New Roman" w:hint="default"/>
          <w:spacing w:val="-2"/>
        </w:rPr>
        <w:t>[</w:t>
      </w:r>
      <w:r>
        <w:rPr>
          <w:spacing w:val="-2"/>
        </w:rPr>
        <w:t>注</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月，公司与杭州优加互娱文化有限公司（以下简称优加互娱公司）签订股权转让协议，约</w:t>
      </w:r>
      <w:r>
        <w:rPr>
          <w:spacing w:val="-69"/>
        </w:rPr>
        <w:t> </w:t>
      </w:r>
      <w:r>
        <w:rPr>
          <w:spacing w:val="-69"/>
        </w:rPr>
      </w:r>
      <w:r>
        <w:rPr>
          <w:spacing w:val="-2"/>
        </w:rPr>
        <w:t>定公司将全资子公司杭州鱼骨头企业形象策划有限公司（以下简称鱼骨头公司）</w:t>
      </w:r>
      <w:r>
        <w:rPr>
          <w:rFonts w:ascii="Times New Roman" w:hAnsi="Times New Roman" w:cs="Times New Roman" w:eastAsia="Times New Roman" w:hint="default"/>
          <w:spacing w:val="-2"/>
        </w:rPr>
        <w:t>100%</w:t>
      </w:r>
      <w:r>
        <w:rPr>
          <w:spacing w:val="-2"/>
        </w:rPr>
        <w:t>的股权转让给优加互</w:t>
      </w:r>
      <w:r>
        <w:rPr>
          <w:spacing w:val="-102"/>
        </w:rPr>
        <w:t> </w:t>
      </w:r>
      <w:r>
        <w:rPr/>
        <w:t>娱公司。上海豆萌科技有限公司原为鱼骨头公司参股的企业，本期随股权转让交易一并转出。</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right="1360"/>
        <w:jc w:val="left"/>
        <w:rPr>
          <w:b w:val="0"/>
          <w:bCs w:val="0"/>
        </w:rPr>
      </w:pPr>
      <w:bookmarkStart w:name="12、持有至到期投资" w:id="274"/>
      <w:bookmarkEnd w:id="274"/>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60"/>
        <w:jc w:val="left"/>
        <w:rPr>
          <w:b w:val="0"/>
          <w:bCs w:val="0"/>
        </w:rPr>
      </w:pPr>
      <w:bookmarkStart w:name="（1）持有至到期投资情况" w:id="275"/>
      <w:bookmarkEnd w:id="275"/>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360"/>
        <w:jc w:val="left"/>
        <w:rPr>
          <w:b w:val="0"/>
          <w:bCs w:val="0"/>
        </w:rPr>
      </w:pPr>
      <w:bookmarkStart w:name="（2）期末重要的持有至到期投资" w:id="276"/>
      <w:bookmarkEnd w:id="276"/>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4"/>
        <w:spacing w:line="240" w:lineRule="auto" w:before="35"/>
        <w:ind w:right="1360"/>
        <w:jc w:val="left"/>
        <w:rPr>
          <w:b w:val="0"/>
          <w:bCs w:val="0"/>
        </w:rPr>
      </w:pPr>
      <w:bookmarkStart w:name="（3）本期重分类的持有至到期投资" w:id="277"/>
      <w:bookmarkEnd w:id="277"/>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13、长期应收款" w:id="278"/>
      <w:bookmarkEnd w:id="278"/>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60"/>
        <w:jc w:val="left"/>
        <w:rPr>
          <w:b w:val="0"/>
          <w:bCs w:val="0"/>
        </w:rPr>
      </w:pPr>
      <w:bookmarkStart w:name="（1）长期应收款情况" w:id="279"/>
      <w:bookmarkEnd w:id="279"/>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5"/>
        <w:ind w:right="1360"/>
        <w:jc w:val="left"/>
        <w:rPr>
          <w:b w:val="0"/>
          <w:bCs w:val="0"/>
        </w:rPr>
      </w:pPr>
      <w:bookmarkStart w:name="（2）因金融资产转移而终止确认的长期应收款" w:id="280"/>
      <w:bookmarkEnd w:id="280"/>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3）转移长期应收款且继续涉入形成的资产、负债金额" w:id="281"/>
      <w:bookmarkEnd w:id="281"/>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14、长期股权投资" w:id="282"/>
      <w:bookmarkEnd w:id="282"/>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微媒互动</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 w:right="0"/>
              <w:jc w:val="left"/>
              <w:rPr>
                <w:rFonts w:ascii="Times New Roman" w:hAnsi="Times New Roman" w:cs="Times New Roman" w:eastAsia="Times New Roman" w:hint="default"/>
                <w:sz w:val="18"/>
                <w:szCs w:val="18"/>
              </w:rPr>
            </w:pPr>
            <w:r>
              <w:rPr>
                <w:rFonts w:ascii="Times New Roman"/>
                <w:sz w:val="18"/>
              </w:rPr>
              <w:t>69,709,21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-782,818.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68,926,39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3.09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广州创幻</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4,567,468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4,553,700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-13,767.6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广州漫联</w:t>
            </w:r>
          </w:p>
          <w:p>
            <w:pPr>
              <w:pStyle w:val="TableParagraph"/>
              <w:spacing w:line="240" w:lineRule="auto" w:before="7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7,749,788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7,557,115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-192,673.</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苏州梅酒</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197,784.3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-959.05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196,825.3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上海瑾馨</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2" w:right="0"/>
              <w:jc w:val="left"/>
              <w:rPr>
                <w:rFonts w:ascii="Times New Roman" w:hAnsi="Times New Roman" w:cs="Times New Roman" w:eastAsia="Times New Roman" w:hint="default"/>
                <w:sz w:val="18"/>
                <w:szCs w:val="18"/>
              </w:rPr>
            </w:pPr>
            <w:r>
              <w:rPr>
                <w:rFonts w:ascii="Times New Roman"/>
                <w:sz w:val="18"/>
              </w:rPr>
              <w:t>14,211,49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2"/>
              <w:jc w:val="right"/>
              <w:rPr>
                <w:rFonts w:ascii="Times New Roman" w:hAnsi="Times New Roman" w:cs="Times New Roman" w:eastAsia="Times New Roman" w:hint="default"/>
                <w:sz w:val="18"/>
                <w:szCs w:val="18"/>
              </w:rPr>
            </w:pPr>
            <w:r>
              <w:rPr>
                <w:rFonts w:ascii="Times New Roman"/>
                <w:w w:val="95"/>
                <w:sz w:val="18"/>
              </w:rPr>
              <w:t>-581,774.</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13,629,71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1" w:right="0"/>
              <w:jc w:val="left"/>
              <w:rPr>
                <w:rFonts w:ascii="Times New Roman" w:hAnsi="Times New Roman" w:cs="Times New Roman" w:eastAsia="Times New Roman" w:hint="default"/>
                <w:sz w:val="18"/>
                <w:szCs w:val="18"/>
              </w:rPr>
            </w:pPr>
            <w:r>
              <w:rPr>
                <w:rFonts w:ascii="Times New Roman"/>
                <w:sz w:val="18"/>
              </w:rPr>
              <w:t>3.51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9.37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1"/>
              <w:jc w:val="left"/>
              <w:rPr>
                <w:rFonts w:ascii="Times New Roman" w:hAnsi="Times New Roman" w:cs="Times New Roman" w:eastAsia="Times New Roman" w:hint="default"/>
                <w:sz w:val="18"/>
                <w:szCs w:val="18"/>
              </w:rPr>
            </w:pPr>
            <w:r>
              <w:rPr>
                <w:rFonts w:ascii="Times New Roman"/>
                <w:sz w:val="18"/>
              </w:rPr>
              <w:t>JAKKS</w:t>
            </w:r>
            <w:r>
              <w:rPr>
                <w:rFonts w:ascii="Times New Roman"/>
                <w:w w:val="99"/>
                <w:sz w:val="18"/>
              </w:rPr>
              <w:t> </w:t>
            </w:r>
            <w:r>
              <w:rPr>
                <w:rFonts w:ascii="Times New Roman"/>
                <w:spacing w:val="-3"/>
                <w:sz w:val="18"/>
              </w:rPr>
              <w:t>PACIFIC</w:t>
            </w:r>
            <w:r>
              <w:rPr>
                <w:rFonts w:ascii="Times New Roman"/>
                <w:w w:val="99"/>
                <w:sz w:val="18"/>
              </w:rPr>
              <w:t> </w:t>
            </w:r>
            <w:r>
              <w:rPr>
                <w:rFonts w:ascii="Times New Roman"/>
                <w:sz w:val="18"/>
              </w:rPr>
              <w:t>TRADIN</w:t>
            </w:r>
            <w:r>
              <w:rPr>
                <w:rFonts w:ascii="Times New Roman"/>
                <w:w w:val="99"/>
                <w:sz w:val="18"/>
              </w:rPr>
              <w:t> </w:t>
            </w:r>
            <w:r>
              <w:rPr>
                <w:rFonts w:ascii="Times New Roman"/>
                <w:sz w:val="18"/>
              </w:rPr>
              <w:t>G</w:t>
            </w:r>
            <w:r>
              <w:rPr>
                <w:rFonts w:ascii="Times New Roman"/>
                <w:w w:val="99"/>
                <w:sz w:val="18"/>
              </w:rPr>
              <w:t> </w:t>
            </w:r>
            <w:r>
              <w:rPr>
                <w:rFonts w:ascii="Times New Roman"/>
                <w:sz w:val="18"/>
              </w:rPr>
              <w:t>LIMITED</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3,145,496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-461,138.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-210,674.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127,995.9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2,601,679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1"/>
              <w:jc w:val="left"/>
              <w:rPr>
                <w:rFonts w:ascii="Times New Roman" w:hAnsi="Times New Roman" w:cs="Times New Roman" w:eastAsia="Times New Roman" w:hint="default"/>
                <w:sz w:val="18"/>
                <w:szCs w:val="18"/>
              </w:rPr>
            </w:pPr>
            <w:r>
              <w:rPr>
                <w:rFonts w:ascii="Times New Roman"/>
                <w:sz w:val="18"/>
              </w:rPr>
              <w:t>Jakks</w:t>
            </w:r>
            <w:r>
              <w:rPr>
                <w:rFonts w:ascii="Times New Roman"/>
                <w:w w:val="99"/>
                <w:sz w:val="18"/>
              </w:rPr>
              <w:t> </w:t>
            </w:r>
            <w:r>
              <w:rPr>
                <w:rFonts w:ascii="Times New Roman"/>
                <w:sz w:val="18"/>
              </w:rPr>
              <w:t>MeiSheng</w:t>
            </w:r>
            <w:r>
              <w:rPr>
                <w:rFonts w:ascii="Times New Roman"/>
                <w:w w:val="99"/>
                <w:sz w:val="18"/>
              </w:rPr>
              <w:t> </w:t>
            </w:r>
            <w:r>
              <w:rPr>
                <w:rFonts w:ascii="Times New Roman"/>
                <w:sz w:val="18"/>
              </w:rPr>
              <w:t>Animatio</w:t>
            </w:r>
            <w:r>
              <w:rPr>
                <w:rFonts w:ascii="Times New Roman"/>
                <w:sz w:val="18"/>
              </w:rPr>
              <w:t> n</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2,397,162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-58,401.0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113,514.6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2,452,275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61"/>
              <w:jc w:val="left"/>
              <w:rPr>
                <w:rFonts w:ascii="Times New Roman" w:hAnsi="Times New Roman" w:cs="Times New Roman" w:eastAsia="Times New Roman" w:hint="default"/>
                <w:sz w:val="18"/>
                <w:szCs w:val="18"/>
              </w:rPr>
            </w:pPr>
            <w:r>
              <w:rPr>
                <w:rFonts w:ascii="Times New Roman"/>
                <w:sz w:val="18"/>
              </w:rPr>
              <w:t>Jakks</w:t>
            </w:r>
            <w:r>
              <w:rPr>
                <w:rFonts w:ascii="Times New Roman"/>
                <w:w w:val="99"/>
                <w:sz w:val="18"/>
              </w:rPr>
              <w:t> </w:t>
            </w:r>
            <w:r>
              <w:rPr>
                <w:rFonts w:ascii="Times New Roman"/>
                <w:sz w:val="18"/>
              </w:rPr>
              <w:t>Pacific</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112,098,0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67.18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-47,587,3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07.99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-275,022.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-6,167,31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-1,954,17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-12,346,1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44.53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9,093,087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52,861,19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12,346,14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4.53</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杭州幻趣</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-337,564.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1,162,435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214,076,4</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71.59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12,110,81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-50,016,4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04.58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-485,696.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-6,167,31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-1,954,17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-12,346,1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44.53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9,334,597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141,830,5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24.53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12,346,14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4.53</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214,076,4</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71.59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12,110,81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-49,756,2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20.95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-485,696.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-6,167,31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-1,954,17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-12,346,1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44.53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9,334,597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141,830,5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24.53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12,346,14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4.53</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注</w:t>
      </w:r>
      <w:r>
        <w:rPr>
          <w:rFonts w:ascii="Times New Roman" w:hAnsi="Times New Roman" w:cs="Times New Roman" w:eastAsia="Times New Roman" w:hint="default"/>
        </w:rPr>
        <w:t>1]</w:t>
      </w:r>
      <w:r>
        <w:rPr/>
        <w:t>：交易详情见本财务报表附注五（一）</w:t>
      </w:r>
      <w:r>
        <w:rPr>
          <w:rFonts w:ascii="Times New Roman" w:hAnsi="Times New Roman" w:cs="Times New Roman" w:eastAsia="Times New Roman" w:hint="default"/>
        </w:rPr>
        <w:t>29</w:t>
      </w:r>
      <w:r>
        <w:rPr/>
        <w:t>资本公积之说明。</w:t>
      </w:r>
      <w:r>
        <w:rPr>
          <w:w w:val="99"/>
        </w:rPr>
        <w:t> </w:t>
      </w:r>
      <w:r>
        <w:rPr>
          <w:rFonts w:ascii="Times New Roman" w:hAnsi="Times New Roman" w:cs="Times New Roman" w:eastAsia="Times New Roman" w:hint="default"/>
          <w:spacing w:val="-3"/>
        </w:rPr>
        <w:t>[</w:t>
      </w:r>
      <w:r>
        <w:rPr>
          <w:spacing w:val="-3"/>
        </w:rPr>
        <w:t>注</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月，公司与优加互娱公司签订股权转让协议，约定公司将全资子公司鱼骨头公司</w:t>
      </w:r>
      <w:r>
        <w:rPr>
          <w:rFonts w:ascii="Times New Roman" w:hAnsi="Times New Roman" w:cs="Times New Roman" w:eastAsia="Times New Roman" w:hint="default"/>
          <w:spacing w:val="-3"/>
        </w:rPr>
        <w:t>100%</w:t>
      </w:r>
    </w:p>
    <w:p>
      <w:pPr>
        <w:pStyle w:val="BodyText"/>
        <w:spacing w:line="264" w:lineRule="auto" w:before="5"/>
        <w:ind w:right="0"/>
        <w:jc w:val="left"/>
      </w:pPr>
      <w:r>
        <w:rPr/>
        <w:t>的股权转让给优加互娱公司。广州漫联原为鱼骨头公司的联营企业，本期随股权转让交易一并转出。 </w:t>
      </w:r>
      <w:r>
        <w:rPr>
          <w:rFonts w:ascii="Times New Roman" w:hAnsi="Times New Roman" w:cs="Times New Roman" w:eastAsia="Times New Roman" w:hint="default"/>
          <w:spacing w:val="-2"/>
        </w:rPr>
        <w:t>[</w:t>
      </w:r>
      <w:r>
        <w:rPr>
          <w:spacing w:val="-2"/>
        </w:rPr>
        <w:t>注</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月，公司与杭州幻趣网络科技有限公司及其股东签订增资协议，约定公司以人民币</w:t>
      </w:r>
      <w:r>
        <w:rPr>
          <w:rFonts w:ascii="Times New Roman" w:hAnsi="Times New Roman" w:cs="Times New Roman" w:eastAsia="Times New Roman" w:hint="default"/>
          <w:spacing w:val="-2"/>
        </w:rPr>
        <w:t>150</w:t>
      </w:r>
      <w:r>
        <w:rPr>
          <w:spacing w:val="-2"/>
        </w:rPr>
        <w:t>万元</w:t>
      </w:r>
      <w:r>
        <w:rPr>
          <w:spacing w:val="-63"/>
        </w:rPr>
        <w:t> </w:t>
      </w:r>
      <w:r>
        <w:rPr/>
        <w:t>认购其</w:t>
      </w:r>
      <w:r>
        <w:rPr>
          <w:rFonts w:ascii="Times New Roman" w:hAnsi="Times New Roman" w:cs="Times New Roman" w:eastAsia="Times New Roman" w:hint="default"/>
        </w:rPr>
        <w:t>89</w:t>
      </w:r>
      <w:r>
        <w:rPr/>
        <w:t>万元的新增注册资本，交易完成后，公司共持有杭州幻趣网络科技有限公司</w:t>
      </w:r>
      <w:r>
        <w:rPr>
          <w:rFonts w:ascii="Times New Roman" w:hAnsi="Times New Roman" w:cs="Times New Roman" w:eastAsia="Times New Roman" w:hint="default"/>
        </w:rPr>
        <w:t>40%</w:t>
      </w:r>
      <w:r>
        <w:rPr/>
        <w:t>的股权。</w:t>
      </w:r>
    </w:p>
    <w:p>
      <w:pPr>
        <w:spacing w:line="240" w:lineRule="auto" w:before="11"/>
        <w:rPr>
          <w:rFonts w:ascii="宋体" w:hAnsi="宋体" w:cs="宋体" w:eastAsia="宋体" w:hint="default"/>
          <w:sz w:val="22"/>
          <w:szCs w:val="22"/>
        </w:rPr>
      </w:pPr>
    </w:p>
    <w:p>
      <w:pPr>
        <w:pStyle w:val="Heading4"/>
        <w:spacing w:line="240" w:lineRule="auto"/>
        <w:ind w:right="1360"/>
        <w:jc w:val="left"/>
        <w:rPr>
          <w:b w:val="0"/>
          <w:bCs w:val="0"/>
        </w:rPr>
      </w:pPr>
      <w:bookmarkStart w:name="15、投资性房地产" w:id="283"/>
      <w:bookmarkEnd w:id="283"/>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1）采用成本计量模式的投资性房地产" w:id="284"/>
      <w:bookmarkEnd w:id="284"/>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spacing w:before="44"/>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1"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765" w:right="0"/>
              <w:jc w:val="left"/>
              <w:rPr>
                <w:rFonts w:ascii="Times New Roman" w:hAnsi="Times New Roman" w:cs="Times New Roman" w:eastAsia="Times New Roman" w:hint="default"/>
                <w:sz w:val="18"/>
                <w:szCs w:val="18"/>
              </w:rPr>
            </w:pPr>
            <w:r>
              <w:rPr>
                <w:rFonts w:ascii="Times New Roman"/>
                <w:sz w:val="18"/>
              </w:rPr>
              <w:t>107,649,211.10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1" w:right="0"/>
              <w:jc w:val="left"/>
              <w:rPr>
                <w:rFonts w:ascii="Times New Roman" w:hAnsi="Times New Roman" w:cs="Times New Roman" w:eastAsia="Times New Roman" w:hint="default"/>
                <w:sz w:val="18"/>
                <w:szCs w:val="18"/>
              </w:rPr>
            </w:pPr>
            <w:r>
              <w:rPr>
                <w:rFonts w:ascii="Times New Roman"/>
                <w:sz w:val="18"/>
              </w:rPr>
              <w:t>107,649,211.10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4"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107,649,211.10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107,649,211.10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12,562,597.48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12,562,597.48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3,229,476.36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3,229,476.36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3,229,476.36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3,229,476.36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15,792,073.84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15,792,073.84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91,857,137.26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91,857,137.26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95,086,613.62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95,086,613.62</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2）采用公允价值计量模式的投资性房地产" w:id="285"/>
      <w:bookmarkEnd w:id="285"/>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360"/>
        <w:jc w:val="left"/>
        <w:rPr>
          <w:b w:val="0"/>
          <w:bCs w:val="0"/>
        </w:rPr>
      </w:pPr>
      <w:bookmarkStart w:name="（3）未办妥产权证书的投资性房地产情况" w:id="286"/>
      <w:bookmarkEnd w:id="286"/>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2"/>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16、固定资产" w:id="287"/>
      <w:bookmarkEnd w:id="287"/>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267,129,867.50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261,740,364.17</w:t>
            </w: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267,129,867.50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261,740,364.17</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1）固定资产情况" w:id="288"/>
      <w:bookmarkEnd w:id="28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1"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2"/>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270,741,968.54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15,990,957.28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18,482,622.07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33,255,352.04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338,470,899.93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18,063,264.61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187,521.38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3,079,316.24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956,669.20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22,286,771.43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187,521.38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3,079,316.24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1,142,602.20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4,409,439.82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18,063,264.61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18,063,264.61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-185,933.00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-185,933.00</w:t>
            </w:r>
            <w:r>
              <w:rPr>
                <w:rFonts w:ascii="Times New Roman"/>
                <w:sz w:val="18"/>
              </w:rPr>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70,410.44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478,729.15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7,219,732.96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7,768,872.55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70,410.44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234,049.53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52,704.06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357,164.03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）合并转出</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244,679.62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7,167,028.90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7,411,708.52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288,805,233.15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16,108,068.22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21,083,209.16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26,992,288.28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352,988,798.81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32,578,344.89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9,072,883.77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10,305,070.20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24,774,236.90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76,730,535.76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8,253,284.33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1,276,476.99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2,698,431.56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3,899,208.54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16,127,401.42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8,253,284.33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1,276,476.99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2,698,431.56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4,078,472.75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16,306,665.63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-179,264.21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-179,264.21</w:t>
            </w:r>
            <w:r>
              <w:rPr>
                <w:rFonts w:ascii="Times New Roman"/>
                <w:sz w:val="18"/>
              </w:rPr>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52,354.50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199,637.67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6,807,109.60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7,059,101.77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52,354.50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122,876.00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175,230.50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）合并转出</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76,761.67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6,807,109.60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6,883,871.27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40,831,629.22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10,297,006.26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12,803,864.09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21,866,335.84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85,798,835.41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60,095.90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60,095.90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60,095.90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60,095.90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247,973,603.93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5,811,061.96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8,279,345.07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5,065,856.54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267,129,867.50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238,163,623.65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6,918,073.51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8,177,551.87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8,481,115.14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261,740,364.17</w:t>
            </w:r>
          </w:p>
        </w:tc>
      </w:tr>
    </w:tbl>
    <w:p>
      <w:pPr>
        <w:spacing w:line="240" w:lineRule="auto" w:before="3"/>
        <w:rPr>
          <w:rFonts w:ascii="宋体" w:hAnsi="宋体" w:cs="宋体" w:eastAsia="宋体" w:hint="default"/>
          <w:sz w:val="19"/>
          <w:szCs w:val="19"/>
        </w:rPr>
      </w:pPr>
    </w:p>
    <w:p>
      <w:pPr>
        <w:pStyle w:val="Heading4"/>
        <w:spacing w:line="240" w:lineRule="auto" w:before="35"/>
        <w:ind w:right="1360"/>
        <w:jc w:val="left"/>
        <w:rPr>
          <w:b w:val="0"/>
          <w:bCs w:val="0"/>
        </w:rPr>
      </w:pPr>
      <w:bookmarkStart w:name="（2）暂时闲置的固定资产情况" w:id="289"/>
      <w:bookmarkEnd w:id="289"/>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3）通过融资租赁租入的固定资产情况" w:id="290"/>
      <w:bookmarkEnd w:id="290"/>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5"/>
        <w:ind w:right="1360"/>
        <w:jc w:val="left"/>
        <w:rPr>
          <w:b w:val="0"/>
          <w:bCs w:val="0"/>
        </w:rPr>
      </w:pPr>
      <w:bookmarkStart w:name="（4）通过经营租赁租出的固定资产" w:id="291"/>
      <w:bookmarkEnd w:id="291"/>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4"/>
        <w:spacing w:line="240" w:lineRule="auto" w:before="35"/>
        <w:ind w:right="1360"/>
        <w:jc w:val="left"/>
        <w:rPr>
          <w:b w:val="0"/>
          <w:bCs w:val="0"/>
        </w:rPr>
      </w:pPr>
      <w:bookmarkStart w:name="（5）未办妥产权证书的固定资产情况" w:id="292"/>
      <w:bookmarkEnd w:id="292"/>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动漫基地房产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190,260,126.32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6）固定资产清理" w:id="293"/>
      <w:bookmarkEnd w:id="293"/>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17、在建工程" w:id="294"/>
      <w:bookmarkEnd w:id="294"/>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1"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12,033,584.50</w:t>
            </w:r>
          </w:p>
        </w:tc>
      </w:tr>
      <w:tr>
        <w:trPr>
          <w:trHeight w:val="40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12,033,584.50</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1）在建工程情况" w:id="295"/>
      <w:bookmarkEnd w:id="295"/>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5"/>
              <w:jc w:val="left"/>
              <w:rPr>
                <w:rFonts w:ascii="宋体" w:hAnsi="宋体" w:cs="宋体" w:eastAsia="宋体" w:hint="default"/>
                <w:sz w:val="18"/>
                <w:szCs w:val="18"/>
              </w:rPr>
            </w:pPr>
            <w:r>
              <w:rPr>
                <w:rFonts w:ascii="宋体" w:hAnsi="宋体" w:cs="宋体" w:eastAsia="宋体" w:hint="default"/>
                <w:sz w:val="18"/>
                <w:szCs w:val="18"/>
              </w:rPr>
              <w:t>研发车间绿化工 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8,020,500.00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8,020,500.00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研发车间装修消 防工程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3,980,000.00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33,084.50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33,084.50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12,033,584.50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12,033,584.50</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2）重要在建工程项目本期变动情况" w:id="296"/>
      <w:bookmarkEnd w:id="296"/>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研发车 间绿化 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8,500,00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8,020,50</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403,226.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8,423,72</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6.41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98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研发车 间装修 消防工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9,500,00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3,980,00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5,626,45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9,606,45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3.70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101.12%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零星工 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33,084.5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33,084.5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18,000,0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12,033,5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84.50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6,029,68</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0.11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18,063,2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64.61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3）本期计提在建工程减值准备情况" w:id="297"/>
      <w:bookmarkEnd w:id="297"/>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2"/>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4）工程物资" w:id="298"/>
      <w:bookmarkEnd w:id="298"/>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3"/>
        <w:gridCol w:w="1328"/>
        <w:gridCol w:w="1329"/>
        <w:gridCol w:w="1196"/>
        <w:gridCol w:w="1196"/>
        <w:gridCol w:w="1196"/>
        <w:gridCol w:w="1193"/>
      </w:tblGrid>
      <w:tr>
        <w:trPr>
          <w:trHeight w:val="402" w:hRule="exact"/>
        </w:trPr>
        <w:tc>
          <w:tcPr>
            <w:tcW w:w="2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52"/>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18、生产性生物资产" w:id="299"/>
      <w:bookmarkEnd w:id="299"/>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60"/>
        <w:jc w:val="left"/>
        <w:rPr>
          <w:b w:val="0"/>
          <w:bCs w:val="0"/>
        </w:rPr>
      </w:pPr>
      <w:bookmarkStart w:name="（1）采用成本计量模式的生产性生物资产" w:id="300"/>
      <w:bookmarkEnd w:id="300"/>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1360"/>
        <w:jc w:val="left"/>
        <w:rPr>
          <w:b w:val="0"/>
          <w:bCs w:val="0"/>
        </w:rPr>
      </w:pPr>
      <w:bookmarkStart w:name="（2）采用公允价值计量模式的生产性生物资产" w:id="301"/>
      <w:bookmarkEnd w:id="301"/>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1360"/>
        <w:jc w:val="left"/>
        <w:rPr>
          <w:b w:val="0"/>
          <w:bCs w:val="0"/>
        </w:rPr>
      </w:pPr>
      <w:bookmarkStart w:name="19、油气资产" w:id="302"/>
      <w:bookmarkEnd w:id="302"/>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8"/>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1360"/>
        <w:jc w:val="left"/>
        <w:rPr>
          <w:b w:val="0"/>
          <w:bCs w:val="0"/>
        </w:rPr>
      </w:pPr>
      <w:bookmarkStart w:name="20、无形资产" w:id="303"/>
      <w:bookmarkEnd w:id="303"/>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60"/>
        <w:jc w:val="left"/>
        <w:rPr>
          <w:b w:val="0"/>
          <w:bCs w:val="0"/>
        </w:rPr>
      </w:pPr>
      <w:bookmarkStart w:name="（1）无形资产情况" w:id="304"/>
      <w:bookmarkEnd w:id="304"/>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161"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9" w:space="0" w:color="D2D2D2"/>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063"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商标专利</w:t>
            </w:r>
          </w:p>
        </w:tc>
        <w:tc>
          <w:tcPr>
            <w:tcW w:w="1064"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游戏版权</w:t>
            </w:r>
          </w:p>
        </w:tc>
        <w:tc>
          <w:tcPr>
            <w:tcW w:w="1063"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著作权及域 名</w:t>
            </w:r>
          </w:p>
        </w:tc>
        <w:tc>
          <w:tcPr>
            <w:tcW w:w="1063" w:type="dxa"/>
            <w:vMerge w:val="restart"/>
            <w:tcBorders>
              <w:top w:val="single" w:sz="4" w:space="0" w:color="000000"/>
              <w:left w:val="single" w:sz="13" w:space="0" w:color="E0FFFF"/>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92" w:hRule="exact"/>
        </w:trPr>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063" w:type="dxa"/>
            <w:vMerge/>
            <w:tcBorders>
              <w:left w:val="single" w:sz="9" w:space="0" w:color="D2D2D2"/>
              <w:right w:val="single" w:sz="4" w:space="0" w:color="000000"/>
            </w:tcBorders>
            <w:shd w:val="clear" w:color="auto" w:fill="E0FFFF"/>
          </w:tcPr>
          <w:p>
            <w:pPr/>
          </w:p>
        </w:tc>
        <w:tc>
          <w:tcPr>
            <w:tcW w:w="1063" w:type="dxa"/>
            <w:vMerge/>
            <w:tcBorders>
              <w:left w:val="single" w:sz="4" w:space="0" w:color="000000"/>
              <w:right w:val="single" w:sz="4" w:space="0" w:color="000000"/>
            </w:tcBorders>
            <w:shd w:val="clear" w:color="auto" w:fill="E0FFFF"/>
          </w:tcPr>
          <w:p>
            <w:pPr/>
          </w:p>
        </w:tc>
        <w:tc>
          <w:tcPr>
            <w:tcW w:w="1064" w:type="dxa"/>
            <w:vMerge/>
            <w:tcBorders>
              <w:left w:val="single" w:sz="4" w:space="0" w:color="000000"/>
              <w:right w:val="single" w:sz="4" w:space="0" w:color="000000"/>
            </w:tcBorders>
            <w:shd w:val="clear" w:color="auto" w:fill="E0FFFF"/>
          </w:tcPr>
          <w:p>
            <w:pPr/>
          </w:p>
        </w:tc>
        <w:tc>
          <w:tcPr>
            <w:tcW w:w="1063" w:type="dxa"/>
            <w:vMerge/>
            <w:tcBorders>
              <w:left w:val="single" w:sz="4" w:space="0" w:color="000000"/>
              <w:right w:val="single" w:sz="4" w:space="0" w:color="000000"/>
            </w:tcBorders>
            <w:shd w:val="clear" w:color="auto" w:fill="E0FFFF"/>
          </w:tcPr>
          <w:p>
            <w:pPr/>
          </w:p>
        </w:tc>
        <w:tc>
          <w:tcPr>
            <w:tcW w:w="1063" w:type="dxa"/>
            <w:vMerge/>
            <w:tcBorders>
              <w:left w:val="single" w:sz="13" w:space="0" w:color="E0FFFF"/>
              <w:right w:val="single" w:sz="4" w:space="0" w:color="000000"/>
            </w:tcBorders>
            <w:shd w:val="clear" w:color="auto" w:fill="D2D2D2"/>
          </w:tcPr>
          <w:p>
            <w:pPr/>
          </w:p>
        </w:tc>
      </w:tr>
      <w:tr>
        <w:trPr>
          <w:trHeight w:val="161" w:hRule="exact"/>
        </w:trPr>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9" w:space="0" w:color="D2D2D2"/>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E0FFFF"/>
          </w:tcPr>
          <w:p>
            <w:pPr/>
          </w:p>
        </w:tc>
        <w:tc>
          <w:tcPr>
            <w:tcW w:w="1064" w:type="dxa"/>
            <w:vMerge/>
            <w:tcBorders>
              <w:left w:val="single" w:sz="4" w:space="0" w:color="000000"/>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E0FFFF"/>
          </w:tcPr>
          <w:p>
            <w:pPr/>
          </w:p>
        </w:tc>
        <w:tc>
          <w:tcPr>
            <w:tcW w:w="1063" w:type="dxa"/>
            <w:vMerge/>
            <w:tcBorders>
              <w:left w:val="single" w:sz="13" w:space="0" w:color="E0FFFF"/>
              <w:bottom w:val="single" w:sz="4" w:space="0" w:color="000000"/>
              <w:right w:val="single" w:sz="4" w:space="0" w:color="000000"/>
            </w:tcBorders>
            <w:shd w:val="clear" w:color="auto" w:fill="D2D2D2"/>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74"/>
                <w:sz w:val="18"/>
                <w:szCs w:val="18"/>
              </w:rPr>
              <w:t>、</w:t>
            </w:r>
            <w:r>
              <w:rPr>
                <w:rFonts w:ascii="宋体" w:hAnsi="宋体" w:cs="宋体" w:eastAsia="宋体" w:hint="default"/>
                <w:sz w:val="18"/>
                <w:szCs w:val="18"/>
              </w:rPr>
              <w:t>账面原值</w:t>
            </w:r>
          </w:p>
        </w:tc>
        <w:tc>
          <w:tcPr>
            <w:tcW w:w="1063"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r>
          </w:p>
        </w:tc>
        <w:tc>
          <w:tcPr>
            <w:tcW w:w="10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49" w:right="0"/>
              <w:jc w:val="center"/>
              <w:rPr>
                <w:rFonts w:ascii="Times New Roman" w:hAnsi="Times New Roman" w:cs="Times New Roman" w:eastAsia="Times New Roman" w:hint="default"/>
                <w:sz w:val="18"/>
                <w:szCs w:val="18"/>
              </w:rPr>
            </w:pPr>
            <w:r>
              <w:rPr>
                <w:rFonts w:ascii="Times New Roman"/>
                <w:sz w:val="18"/>
              </w:rPr>
              <w:t>23,326,496.7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8,398,846.58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412,909.81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25,693,710.2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27,000,000.0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84,831,963.3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196,734.41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431,207.77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627,942.18</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305,289.16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431,207.77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736,496.93</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8"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内部研发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8"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企业合并增 加</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 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-108,554.75</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-108,554.75</w:t>
            </w:r>
            <w:r>
              <w:rPr>
                <w:rFonts w:ascii="Times New Roman"/>
                <w:sz w:val="18"/>
              </w:rPr>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3,879,281.80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3,879,281.80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 并转出</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3,879,281.80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3,879,281.80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23,326,496.7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4,716,299.19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412,909.81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26,124,918.0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81,580,623.7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4"/>
                <w:sz w:val="18"/>
                <w:szCs w:val="18"/>
              </w:rPr>
              <w:t>、</w:t>
            </w:r>
            <w:r>
              <w:rPr>
                <w:rFonts w:ascii="宋体" w:hAnsi="宋体" w:cs="宋体" w:eastAsia="宋体" w:hint="default"/>
                <w:sz w:val="18"/>
                <w:szCs w:val="18"/>
              </w:rPr>
              <w:t>累计摊销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4,591,460.15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5,982,086.99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272,717.23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11,299,391.7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24,170,656.1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450,096.30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611,191.76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85,524.67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2,908,831.42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6,755,644.15</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450,096.30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691,553.61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85,524.67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2,908,831.42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6,836,006.00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）汇率变 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-80,361.85</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-80,361.85</w:t>
            </w:r>
            <w:r>
              <w:rPr>
                <w:rFonts w:ascii="Times New Roman"/>
                <w:sz w:val="18"/>
              </w:rPr>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2,896,880.80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17,042.71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2,913,923.51</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 并转出</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2,896,880.80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17,042.71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2,913,923.51</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5,041,556.45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3,696,397.95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341,199.19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14,208,223.1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28,012,376.7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74"/>
                <w:sz w:val="18"/>
                <w:szCs w:val="18"/>
              </w:rPr>
              <w:t>、</w:t>
            </w:r>
            <w:r>
              <w:rPr>
                <w:rFonts w:ascii="宋体" w:hAnsi="宋体" w:cs="宋体" w:eastAsia="宋体" w:hint="default"/>
                <w:sz w:val="18"/>
                <w:szCs w:val="18"/>
              </w:rPr>
              <w:t>减值准备</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3,781,348.74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3,781,348.74</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363,028.06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8,135,346.14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8,498,374.20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363,028.06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8,135,346.14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8,498,374.20</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363,028.06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11,916,694.8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12,279,722.9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74"/>
                <w:sz w:val="18"/>
                <w:szCs w:val="18"/>
              </w:rPr>
              <w:t>、</w:t>
            </w: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 账面价值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18,284,940.2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656,873.18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71,710.62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22,275,000.0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41,288,524.0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 账面价值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18,735,036.5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2,416,759.59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140,192.58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10,612,969.7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24,975,000.0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56,879,958.5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4"/>
        <w:spacing w:line="240" w:lineRule="auto"/>
        <w:ind w:right="1360"/>
        <w:jc w:val="left"/>
        <w:rPr>
          <w:b w:val="0"/>
          <w:bCs w:val="0"/>
        </w:rPr>
      </w:pPr>
      <w:bookmarkStart w:name="（2）未办妥产权证书的土地使用权情况" w:id="305"/>
      <w:bookmarkEnd w:id="305"/>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嵊州市三江工业功能区土地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6,703,993.11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原证书作废，待动漫基地和研发车间建 成后办理新证</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21、开发支出" w:id="306"/>
      <w:bookmarkEnd w:id="306"/>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397"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6" w:hRule="exact"/>
        </w:trPr>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435" w:right="77"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9" w:space="0" w:color="D2D2D2"/>
              <w:right w:val="single" w:sz="9" w:space="0" w:color="D2D2D2"/>
            </w:tcBorders>
            <w:shd w:val="clear" w:color="auto" w:fill="E0FFFF"/>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45" w:right="77" w:hanging="270"/>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435" w:right="76"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3" w:type="dxa"/>
            <w:vMerge w:val="restart"/>
            <w:tcBorders>
              <w:top w:val="single" w:sz="4" w:space="0" w:color="000000"/>
              <w:left w:val="single" w:sz="10" w:space="0" w:color="D2D2D2"/>
              <w:right w:val="single" w:sz="9" w:space="0" w:color="D2D2D2"/>
            </w:tcBorders>
            <w:shd w:val="clear" w:color="auto" w:fill="E0FFF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确认为存货</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vMerge/>
            <w:tcBorders>
              <w:left w:val="single" w:sz="9" w:space="0" w:color="D2D2D2"/>
              <w:right w:val="single" w:sz="9" w:space="0" w:color="D2D2D2"/>
            </w:tcBorders>
            <w:shd w:val="clear" w:color="auto" w:fill="E0FFFF"/>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10" w:space="0" w:color="D2D2D2"/>
              <w:right w:val="single" w:sz="9" w:space="0" w:color="D2D2D2"/>
            </w:tcBorders>
            <w:shd w:val="clear" w:color="auto" w:fill="E0FFFF"/>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2"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9" w:space="0" w:color="D2D2D2"/>
              <w:right w:val="single" w:sz="9" w:space="0" w:color="D2D2D2"/>
            </w:tcBorders>
            <w:shd w:val="clear" w:color="auto" w:fill="E0FFFF"/>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10" w:space="0" w:color="D2D2D2"/>
              <w:right w:val="single" w:sz="9" w:space="0" w:color="D2D2D2"/>
            </w:tcBorders>
            <w:shd w:val="clear" w:color="auto" w:fill="E0FFFF"/>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9" w:space="0" w:color="D2D2D2"/>
              <w:bottom w:val="single" w:sz="4" w:space="0" w:color="000000"/>
              <w:right w:val="single" w:sz="9" w:space="0" w:color="D2D2D2"/>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10" w:space="0" w:color="D2D2D2"/>
              <w:bottom w:val="single" w:sz="4" w:space="0" w:color="000000"/>
              <w:right w:val="single" w:sz="9" w:space="0" w:color="D2D2D2"/>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309"/>
              <w:jc w:val="right"/>
              <w:rPr>
                <w:rFonts w:ascii="宋体" w:hAnsi="宋体" w:cs="宋体" w:eastAsia="宋体" w:hint="default"/>
                <w:sz w:val="18"/>
                <w:szCs w:val="18"/>
              </w:rPr>
            </w:pPr>
            <w:r>
              <w:rPr>
                <w:rFonts w:ascii="宋体" w:hAnsi="宋体" w:cs="宋体" w:eastAsia="宋体" w:hint="default"/>
                <w:sz w:val="18"/>
                <w:szCs w:val="18"/>
              </w:rPr>
              <w:t>游戏版权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4,715,355.43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2,605,065.40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431,207.77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6,362,654.03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526,559.03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309"/>
              <w:jc w:val="right"/>
              <w:rPr>
                <w:rFonts w:ascii="宋体" w:hAnsi="宋体" w:cs="宋体" w:eastAsia="宋体" w:hint="default"/>
                <w:sz w:val="18"/>
                <w:szCs w:val="18"/>
              </w:rPr>
            </w:pPr>
            <w:r>
              <w:rPr>
                <w:rFonts w:ascii="宋体" w:hAnsi="宋体" w:cs="宋体" w:eastAsia="宋体" w:hint="default"/>
                <w:sz w:val="18"/>
                <w:szCs w:val="18"/>
              </w:rPr>
              <w:t>网购平台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449,361.98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312,394.98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761,756.96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6"/>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5,164,717.41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2,917,469.38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431,207.77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7,124,410.99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526,559.03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360"/>
        <w:jc w:val="left"/>
        <w:rPr>
          <w:b w:val="0"/>
          <w:bCs w:val="0"/>
        </w:rPr>
      </w:pPr>
      <w:bookmarkStart w:name="22、商誉" w:id="307"/>
      <w:bookmarkEnd w:id="307"/>
      <w:r>
        <w:rPr>
          <w:b w:val="0"/>
          <w:bCs w:val="0"/>
        </w:rPr>
      </w: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60"/>
        <w:jc w:val="left"/>
        <w:rPr>
          <w:b w:val="0"/>
          <w:bCs w:val="0"/>
        </w:rPr>
      </w:pPr>
      <w:bookmarkStart w:name="（1）商誉账面原值" w:id="308"/>
      <w:bookmarkEnd w:id="308"/>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真趣网络</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953,585,391.20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953,585,391.20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荷兰公司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55,568,037.71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55,568,037.71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美盛游戏</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9,551,471.73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9,551,471.73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星梦工坊</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9,876,030.45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9,876,030.45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杭州业盛</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26,251,152.21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26,251,152.21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天津酷米</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35,726,610.21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35,726,610.21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Costume</w:t>
            </w:r>
            <w:r>
              <w:rPr>
                <w:rFonts w:ascii="Times New Roman"/>
                <w:spacing w:val="-2"/>
                <w:sz w:val="18"/>
              </w:rPr>
              <w:t> </w:t>
            </w:r>
            <w:r>
              <w:rPr>
                <w:rFonts w:ascii="Times New Roman"/>
                <w:sz w:val="18"/>
              </w:rPr>
              <w:t>Craze</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6,524,791.63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6,524,791.63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日本爱华</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9,522,057.84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9,522,057.84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1,106,605,542.98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16,046,849.47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1,090,558,693.51</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2）商誉减值准备" w:id="309"/>
      <w:bookmarkEnd w:id="309"/>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荷兰公司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17,902,392.00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8,339,193.56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26,241,585.56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真趣网络</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169,607,231.00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169,607,231.00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星梦工坊</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9,876,030.45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9,876,030.45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杭州业盛</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11,057,244.89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15,193,907.32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26,251,152.21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天津酷米</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8,781,149.74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26,945,460.47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35,726,610.21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美盛游戏</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9,551,471.73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9,551,471.73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Costume</w:t>
            </w:r>
            <w:r>
              <w:rPr>
                <w:rFonts w:ascii="Times New Roman"/>
                <w:spacing w:val="-2"/>
                <w:sz w:val="18"/>
              </w:rPr>
              <w:t> </w:t>
            </w:r>
            <w:r>
              <w:rPr>
                <w:rFonts w:ascii="Times New Roman"/>
                <w:sz w:val="18"/>
              </w:rPr>
              <w:t>Craze</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6,524,791.63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6,524,791.63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日本爱华</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9,522,057.84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9,522,057.84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63,663,666.55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229,637,264.08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16,046,849.47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277,254,081.16</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pStyle w:val="BodyText"/>
        <w:spacing w:line="240" w:lineRule="auto" w:before="90"/>
        <w:ind w:left="574" w:right="1360"/>
        <w:jc w:val="left"/>
      </w:pPr>
      <w:r>
        <w:rPr/>
        <w:pict>
          <v:shape style="position:absolute;margin-left:56.34pt;margin-top:20.843645pt;width:539.7pt;height:51.1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7"/>
                    <w:gridCol w:w="1581"/>
                    <w:gridCol w:w="1820"/>
                    <w:gridCol w:w="1560"/>
                    <w:gridCol w:w="1559"/>
                    <w:gridCol w:w="1415"/>
                  </w:tblGrid>
                  <w:tr>
                    <w:trPr>
                      <w:trHeight w:val="659"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color w:val="333333"/>
                            <w:sz w:val="20"/>
                            <w:szCs w:val="20"/>
                          </w:rPr>
                          <w:t>资产组或资产组组合的构成</w:t>
                        </w:r>
                        <w:r>
                          <w:rPr>
                            <w:rFonts w:ascii="宋体" w:hAnsi="宋体" w:cs="宋体" w:eastAsia="宋体" w:hint="default"/>
                            <w:sz w:val="20"/>
                            <w:szCs w:val="20"/>
                          </w:rPr>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483" w:right="381" w:hanging="101"/>
                          <w:jc w:val="left"/>
                          <w:rPr>
                            <w:rFonts w:ascii="宋体" w:hAnsi="宋体" w:cs="宋体" w:eastAsia="宋体" w:hint="default"/>
                            <w:sz w:val="20"/>
                            <w:szCs w:val="20"/>
                          </w:rPr>
                        </w:pPr>
                        <w:r>
                          <w:rPr>
                            <w:rFonts w:ascii="宋体" w:hAnsi="宋体" w:cs="宋体" w:eastAsia="宋体" w:hint="default"/>
                            <w:sz w:val="20"/>
                            <w:szCs w:val="20"/>
                          </w:rPr>
                          <w:t>荷兰公司</w:t>
                        </w:r>
                        <w:r>
                          <w:rPr>
                            <w:rFonts w:ascii="宋体" w:hAnsi="宋体" w:cs="宋体" w:eastAsia="宋体" w:hint="default"/>
                            <w:w w:val="100"/>
                            <w:sz w:val="20"/>
                            <w:szCs w:val="20"/>
                          </w:rPr>
                          <w:t> </w:t>
                        </w:r>
                        <w:r>
                          <w:rPr>
                            <w:rFonts w:ascii="宋体" w:hAnsi="宋体" w:cs="宋体" w:eastAsia="宋体" w:hint="default"/>
                            <w:sz w:val="20"/>
                            <w:szCs w:val="20"/>
                          </w:rPr>
                          <w:t>资产组</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真趣网络</w:t>
                        </w:r>
                      </w:p>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资产组</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472" w:right="370" w:hanging="101"/>
                          <w:jc w:val="left"/>
                          <w:rPr>
                            <w:rFonts w:ascii="宋体" w:hAnsi="宋体" w:cs="宋体" w:eastAsia="宋体" w:hint="default"/>
                            <w:sz w:val="20"/>
                            <w:szCs w:val="20"/>
                          </w:rPr>
                        </w:pPr>
                        <w:r>
                          <w:rPr>
                            <w:rFonts w:ascii="宋体" w:hAnsi="宋体" w:cs="宋体" w:eastAsia="宋体" w:hint="default"/>
                            <w:sz w:val="20"/>
                            <w:szCs w:val="20"/>
                          </w:rPr>
                          <w:t>杭州业盛</w:t>
                        </w:r>
                        <w:r>
                          <w:rPr>
                            <w:rFonts w:ascii="宋体" w:hAnsi="宋体" w:cs="宋体" w:eastAsia="宋体" w:hint="default"/>
                            <w:w w:val="100"/>
                            <w:sz w:val="20"/>
                            <w:szCs w:val="20"/>
                          </w:rPr>
                          <w:t> </w:t>
                        </w:r>
                        <w:r>
                          <w:rPr>
                            <w:rFonts w:ascii="宋体" w:hAnsi="宋体" w:cs="宋体" w:eastAsia="宋体" w:hint="default"/>
                            <w:sz w:val="20"/>
                            <w:szCs w:val="20"/>
                          </w:rPr>
                          <w:t>资产组</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471" w:right="371" w:hanging="101"/>
                          <w:jc w:val="left"/>
                          <w:rPr>
                            <w:rFonts w:ascii="宋体" w:hAnsi="宋体" w:cs="宋体" w:eastAsia="宋体" w:hint="default"/>
                            <w:sz w:val="20"/>
                            <w:szCs w:val="20"/>
                          </w:rPr>
                        </w:pPr>
                        <w:r>
                          <w:rPr>
                            <w:rFonts w:ascii="宋体" w:hAnsi="宋体" w:cs="宋体" w:eastAsia="宋体" w:hint="default"/>
                            <w:sz w:val="20"/>
                            <w:szCs w:val="20"/>
                          </w:rPr>
                          <w:t>天津酷米</w:t>
                        </w:r>
                        <w:r>
                          <w:rPr>
                            <w:rFonts w:ascii="宋体" w:hAnsi="宋体" w:cs="宋体" w:eastAsia="宋体" w:hint="default"/>
                            <w:w w:val="100"/>
                            <w:sz w:val="20"/>
                            <w:szCs w:val="20"/>
                          </w:rPr>
                          <w:t> </w:t>
                        </w:r>
                        <w:r>
                          <w:rPr>
                            <w:rFonts w:ascii="宋体" w:hAnsi="宋体" w:cs="宋体" w:eastAsia="宋体" w:hint="default"/>
                            <w:sz w:val="20"/>
                            <w:szCs w:val="20"/>
                          </w:rPr>
                          <w:t>资产组</w:t>
                        </w:r>
                      </w:p>
                    </w:tc>
                    <w:tc>
                      <w:tcPr>
                        <w:tcW w:w="1415" w:type="dxa"/>
                        <w:tcBorders>
                          <w:top w:val="single" w:sz="6" w:space="0" w:color="000000"/>
                          <w:left w:val="single" w:sz="6" w:space="0" w:color="000000"/>
                          <w:bottom w:val="single" w:sz="6" w:space="0" w:color="000000"/>
                          <w:right w:val="nil" w:sz="6" w:space="0" w:color="auto"/>
                        </w:tcBorders>
                      </w:tcPr>
                      <w:p>
                        <w:pPr>
                          <w:pStyle w:val="TableParagraph"/>
                          <w:spacing w:line="285" w:lineRule="auto" w:before="5"/>
                          <w:ind w:left="471" w:right="233" w:hanging="101"/>
                          <w:jc w:val="left"/>
                          <w:rPr>
                            <w:rFonts w:ascii="宋体" w:hAnsi="宋体" w:cs="宋体" w:eastAsia="宋体" w:hint="default"/>
                            <w:sz w:val="20"/>
                            <w:szCs w:val="20"/>
                          </w:rPr>
                        </w:pPr>
                        <w:r>
                          <w:rPr>
                            <w:rFonts w:ascii="宋体" w:hAnsi="宋体" w:cs="宋体" w:eastAsia="宋体" w:hint="default"/>
                            <w:sz w:val="20"/>
                            <w:szCs w:val="20"/>
                          </w:rPr>
                          <w:t>美盛游戏</w:t>
                        </w:r>
                        <w:r>
                          <w:rPr>
                            <w:rFonts w:ascii="宋体" w:hAnsi="宋体" w:cs="宋体" w:eastAsia="宋体" w:hint="default"/>
                            <w:w w:val="100"/>
                            <w:sz w:val="20"/>
                            <w:szCs w:val="20"/>
                          </w:rPr>
                          <w:t> </w:t>
                        </w:r>
                        <w:r>
                          <w:rPr>
                            <w:rFonts w:ascii="宋体" w:hAnsi="宋体" w:cs="宋体" w:eastAsia="宋体" w:hint="default"/>
                            <w:sz w:val="20"/>
                            <w:szCs w:val="20"/>
                          </w:rPr>
                          <w:t>资产组</w:t>
                        </w:r>
                      </w:p>
                    </w:tc>
                  </w:tr>
                  <w:tr>
                    <w:trPr>
                      <w:trHeight w:val="348"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5"/>
                          <w:jc w:val="center"/>
                          <w:rPr>
                            <w:rFonts w:ascii="宋体" w:hAnsi="宋体" w:cs="宋体" w:eastAsia="宋体" w:hint="default"/>
                            <w:sz w:val="20"/>
                            <w:szCs w:val="20"/>
                          </w:rPr>
                        </w:pPr>
                        <w:r>
                          <w:rPr>
                            <w:rFonts w:ascii="宋体" w:hAnsi="宋体" w:cs="宋体" w:eastAsia="宋体" w:hint="default"/>
                            <w:sz w:val="20"/>
                            <w:szCs w:val="20"/>
                          </w:rPr>
                          <w:t>资产组或资产组组合的账面价值</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13" w:right="0"/>
                          <w:jc w:val="left"/>
                          <w:rPr>
                            <w:rFonts w:ascii="Times New Roman" w:hAnsi="Times New Roman" w:cs="Times New Roman" w:eastAsia="Times New Roman" w:hint="default"/>
                            <w:sz w:val="20"/>
                            <w:szCs w:val="20"/>
                          </w:rPr>
                        </w:pPr>
                        <w:r>
                          <w:rPr>
                            <w:rFonts w:ascii="Times New Roman"/>
                            <w:sz w:val="20"/>
                          </w:rPr>
                          <w:t>35,271,924.84</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653" w:right="0"/>
                          <w:jc w:val="left"/>
                          <w:rPr>
                            <w:rFonts w:ascii="Times New Roman" w:hAnsi="Times New Roman" w:cs="Times New Roman" w:eastAsia="Times New Roman" w:hint="default"/>
                            <w:sz w:val="20"/>
                            <w:szCs w:val="20"/>
                          </w:rPr>
                        </w:pPr>
                        <w:r>
                          <w:rPr>
                            <w:rFonts w:ascii="Times New Roman"/>
                            <w:sz w:val="20"/>
                          </w:rPr>
                          <w:t>83,021,839.95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92" w:right="0"/>
                          <w:jc w:val="left"/>
                          <w:rPr>
                            <w:rFonts w:ascii="Times New Roman" w:hAnsi="Times New Roman" w:cs="Times New Roman" w:eastAsia="Times New Roman" w:hint="default"/>
                            <w:sz w:val="20"/>
                            <w:szCs w:val="20"/>
                          </w:rPr>
                        </w:pPr>
                        <w:r>
                          <w:rPr>
                            <w:rFonts w:ascii="Times New Roman"/>
                            <w:sz w:val="20"/>
                          </w:rPr>
                          <w:t>37,661,224.81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640" w:right="0"/>
                          <w:jc w:val="left"/>
                          <w:rPr>
                            <w:rFonts w:ascii="Times New Roman" w:hAnsi="Times New Roman" w:cs="Times New Roman" w:eastAsia="Times New Roman" w:hint="default"/>
                            <w:sz w:val="20"/>
                            <w:szCs w:val="20"/>
                          </w:rPr>
                        </w:pPr>
                        <w:r>
                          <w:rPr>
                            <w:rFonts w:ascii="Times New Roman"/>
                            <w:sz w:val="20"/>
                          </w:rPr>
                          <w:t>335,648.44</w:t>
                        </w:r>
                      </w:p>
                    </w:tc>
                    <w:tc>
                      <w:tcPr>
                        <w:tcW w:w="14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left="490" w:right="-34"/>
                          <w:jc w:val="left"/>
                          <w:rPr>
                            <w:rFonts w:ascii="Times New Roman" w:hAnsi="Times New Roman" w:cs="Times New Roman" w:eastAsia="Times New Roman" w:hint="default"/>
                            <w:sz w:val="20"/>
                            <w:szCs w:val="20"/>
                          </w:rPr>
                        </w:pPr>
                        <w:r>
                          <w:rPr>
                            <w:rFonts w:ascii="Times New Roman"/>
                            <w:sz w:val="20"/>
                          </w:rPr>
                          <w:t>5,063,343.0</w:t>
                        </w:r>
                      </w:p>
                    </w:tc>
                  </w:tr>
                </w:tbl>
                <w:p>
                  <w:pPr/>
                </w:p>
              </w:txbxContent>
            </v:textbox>
            <w10:wrap type="none"/>
          </v:shape>
        </w:pict>
      </w:r>
      <w:r>
        <w:rPr>
          <w:color w:val="333333"/>
        </w:rPr>
        <w:t>商誉所在资产组或资产组组合相关信息</w:t>
      </w:r>
      <w:r>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spacing w:line="316" w:lineRule="auto" w:before="44"/>
        <w:ind w:left="154" w:right="0" w:firstLine="0"/>
        <w:jc w:val="left"/>
        <w:rPr>
          <w:rFonts w:ascii="宋体" w:hAnsi="宋体" w:cs="宋体" w:eastAsia="宋体" w:hint="default"/>
          <w:sz w:val="18"/>
          <w:szCs w:val="18"/>
        </w:rPr>
      </w:pPr>
      <w:r>
        <w:rPr/>
        <w:pict>
          <v:shape style="position:absolute;margin-left:56.34pt;margin-top:-131.188263pt;width:539.7pt;height:115.2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7"/>
                    <w:gridCol w:w="1581"/>
                    <w:gridCol w:w="1820"/>
                    <w:gridCol w:w="1560"/>
                    <w:gridCol w:w="1559"/>
                    <w:gridCol w:w="1415"/>
                  </w:tblGrid>
                  <w:tr>
                    <w:trPr>
                      <w:trHeight w:val="659"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2"/>
                          <w:jc w:val="left"/>
                          <w:rPr>
                            <w:rFonts w:ascii="宋体" w:hAnsi="宋体" w:cs="宋体" w:eastAsia="宋体" w:hint="default"/>
                            <w:sz w:val="20"/>
                            <w:szCs w:val="20"/>
                          </w:rPr>
                        </w:pPr>
                        <w:r>
                          <w:rPr>
                            <w:rFonts w:ascii="宋体" w:hAnsi="宋体" w:cs="宋体" w:eastAsia="宋体" w:hint="default"/>
                            <w:sz w:val="20"/>
                            <w:szCs w:val="20"/>
                          </w:rPr>
                          <w:t>分摊至本资产组或资产组组合的</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商誉账面价值</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44,312,524.36</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953,585,391.20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29,791,975.14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67,195,662.02</w:t>
                        </w:r>
                      </w:p>
                    </w:tc>
                    <w:tc>
                      <w:tcPr>
                        <w:tcW w:w="14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right="-34"/>
                          <w:jc w:val="right"/>
                          <w:rPr>
                            <w:rFonts w:ascii="Times New Roman" w:hAnsi="Times New Roman" w:cs="Times New Roman" w:eastAsia="Times New Roman" w:hint="default"/>
                            <w:sz w:val="20"/>
                            <w:szCs w:val="20"/>
                          </w:rPr>
                        </w:pPr>
                        <w:r>
                          <w:rPr>
                            <w:rFonts w:ascii="Times New Roman"/>
                            <w:spacing w:val="-1"/>
                            <w:sz w:val="20"/>
                          </w:rPr>
                          <w:t>9,551,471.7</w:t>
                        </w:r>
                      </w:p>
                    </w:tc>
                  </w:tr>
                  <w:tr>
                    <w:trPr>
                      <w:trHeight w:val="659"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2"/>
                          <w:jc w:val="left"/>
                          <w:rPr>
                            <w:rFonts w:ascii="宋体" w:hAnsi="宋体" w:cs="宋体" w:eastAsia="宋体" w:hint="default"/>
                            <w:sz w:val="20"/>
                            <w:szCs w:val="20"/>
                          </w:rPr>
                        </w:pPr>
                        <w:r>
                          <w:rPr>
                            <w:rFonts w:ascii="宋体" w:hAnsi="宋体" w:cs="宋体" w:eastAsia="宋体" w:hint="default"/>
                            <w:sz w:val="20"/>
                            <w:szCs w:val="20"/>
                          </w:rPr>
                          <w:t>包含商誉的资产组或资产组组合</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的账面价值</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79,584,449.20</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1,036,607,231.15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67,453,199.95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67,531,310.46</w:t>
                        </w:r>
                      </w:p>
                    </w:tc>
                    <w:tc>
                      <w:tcPr>
                        <w:tcW w:w="14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right="-35"/>
                          <w:jc w:val="right"/>
                          <w:rPr>
                            <w:rFonts w:ascii="Times New Roman" w:hAnsi="Times New Roman" w:cs="Times New Roman" w:eastAsia="Times New Roman" w:hint="default"/>
                            <w:sz w:val="20"/>
                            <w:szCs w:val="20"/>
                          </w:rPr>
                        </w:pPr>
                        <w:r>
                          <w:rPr>
                            <w:rFonts w:ascii="Times New Roman"/>
                            <w:spacing w:val="-1"/>
                            <w:sz w:val="20"/>
                          </w:rPr>
                          <w:t>14,614,814.7</w:t>
                        </w:r>
                      </w:p>
                    </w:tc>
                  </w:tr>
                  <w:tr>
                    <w:trPr>
                      <w:trHeight w:val="972"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2"/>
                          <w:jc w:val="both"/>
                          <w:rPr>
                            <w:rFonts w:ascii="宋体" w:hAnsi="宋体" w:cs="宋体" w:eastAsia="宋体" w:hint="default"/>
                            <w:sz w:val="20"/>
                            <w:szCs w:val="20"/>
                          </w:rPr>
                        </w:pPr>
                        <w:r>
                          <w:rPr>
                            <w:rFonts w:ascii="宋体" w:hAnsi="宋体" w:cs="宋体" w:eastAsia="宋体" w:hint="default"/>
                            <w:sz w:val="20"/>
                            <w:szCs w:val="20"/>
                          </w:rPr>
                          <w:t>资产组或资产组组合是否与购买</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日、以前年度商誉减值测试时所</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确定的资产组或资产组组合一致</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4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left="134" w:right="0"/>
                          <w:jc w:val="center"/>
                          <w:rPr>
                            <w:rFonts w:ascii="宋体" w:hAnsi="宋体" w:cs="宋体" w:eastAsia="宋体" w:hint="default"/>
                            <w:sz w:val="20"/>
                            <w:szCs w:val="20"/>
                          </w:rPr>
                        </w:pPr>
                        <w:r>
                          <w:rPr>
                            <w:rFonts w:ascii="宋体" w:hAnsi="宋体" w:cs="宋体" w:eastAsia="宋体" w:hint="default"/>
                            <w:w w:val="100"/>
                            <w:sz w:val="20"/>
                            <w:szCs w:val="20"/>
                          </w:rPr>
                          <w:t>是</w:t>
                        </w:r>
                      </w:p>
                    </w:tc>
                  </w:tr>
                </w:tbl>
                <w:p>
                  <w:pPr/>
                </w:p>
              </w:txbxContent>
            </v:textbox>
            <w10:wrap type="none"/>
          </v:shape>
        </w:pict>
      </w: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等）及商誉减值损失的确认方法：</w:t>
      </w:r>
    </w:p>
    <w:p>
      <w:pPr>
        <w:pStyle w:val="BodyText"/>
        <w:spacing w:line="240" w:lineRule="auto" w:before="33"/>
        <w:ind w:left="574" w:right="13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商誉的减值测试过程</w:t>
      </w:r>
    </w:p>
    <w:p>
      <w:pPr>
        <w:pStyle w:val="BodyText"/>
        <w:spacing w:line="240" w:lineRule="auto" w:before="21"/>
        <w:ind w:left="574" w:right="1360"/>
        <w:jc w:val="left"/>
      </w:pPr>
      <w:r>
        <w:rPr/>
        <w:pict>
          <v:shape style="position:absolute;margin-left:56.34pt;margin-top:17.393682pt;width:539.7pt;height:165.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7"/>
                    <w:gridCol w:w="1581"/>
                    <w:gridCol w:w="1820"/>
                    <w:gridCol w:w="1560"/>
                    <w:gridCol w:w="1559"/>
                    <w:gridCol w:w="1415"/>
                  </w:tblGrid>
                  <w:tr>
                    <w:trPr>
                      <w:trHeight w:val="659"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color w:val="333333"/>
                            <w:sz w:val="20"/>
                            <w:szCs w:val="20"/>
                          </w:rPr>
                          <w:t>资产组或资产组组合的构成</w:t>
                        </w:r>
                        <w:r>
                          <w:rPr>
                            <w:rFonts w:ascii="宋体" w:hAnsi="宋体" w:cs="宋体" w:eastAsia="宋体" w:hint="default"/>
                            <w:sz w:val="20"/>
                            <w:szCs w:val="20"/>
                          </w:rPr>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483" w:right="381" w:hanging="101"/>
                          <w:jc w:val="left"/>
                          <w:rPr>
                            <w:rFonts w:ascii="宋体" w:hAnsi="宋体" w:cs="宋体" w:eastAsia="宋体" w:hint="default"/>
                            <w:sz w:val="20"/>
                            <w:szCs w:val="20"/>
                          </w:rPr>
                        </w:pPr>
                        <w:r>
                          <w:rPr>
                            <w:rFonts w:ascii="宋体" w:hAnsi="宋体" w:cs="宋体" w:eastAsia="宋体" w:hint="default"/>
                            <w:sz w:val="20"/>
                            <w:szCs w:val="20"/>
                          </w:rPr>
                          <w:t>荷兰公司</w:t>
                        </w:r>
                        <w:r>
                          <w:rPr>
                            <w:rFonts w:ascii="宋体" w:hAnsi="宋体" w:cs="宋体" w:eastAsia="宋体" w:hint="default"/>
                            <w:w w:val="100"/>
                            <w:sz w:val="20"/>
                            <w:szCs w:val="20"/>
                          </w:rPr>
                          <w:t> </w:t>
                        </w:r>
                        <w:r>
                          <w:rPr>
                            <w:rFonts w:ascii="宋体" w:hAnsi="宋体" w:cs="宋体" w:eastAsia="宋体" w:hint="default"/>
                            <w:sz w:val="20"/>
                            <w:szCs w:val="20"/>
                          </w:rPr>
                          <w:t>资产组</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真趣网络</w:t>
                        </w:r>
                      </w:p>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sz w:val="20"/>
                            <w:szCs w:val="20"/>
                          </w:rPr>
                          <w:t>资产组</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472" w:right="370" w:hanging="101"/>
                          <w:jc w:val="left"/>
                          <w:rPr>
                            <w:rFonts w:ascii="宋体" w:hAnsi="宋体" w:cs="宋体" w:eastAsia="宋体" w:hint="default"/>
                            <w:sz w:val="20"/>
                            <w:szCs w:val="20"/>
                          </w:rPr>
                        </w:pPr>
                        <w:r>
                          <w:rPr>
                            <w:rFonts w:ascii="宋体" w:hAnsi="宋体" w:cs="宋体" w:eastAsia="宋体" w:hint="default"/>
                            <w:sz w:val="20"/>
                            <w:szCs w:val="20"/>
                          </w:rPr>
                          <w:t>杭州业盛</w:t>
                        </w:r>
                        <w:r>
                          <w:rPr>
                            <w:rFonts w:ascii="宋体" w:hAnsi="宋体" w:cs="宋体" w:eastAsia="宋体" w:hint="default"/>
                            <w:w w:val="100"/>
                            <w:sz w:val="20"/>
                            <w:szCs w:val="20"/>
                          </w:rPr>
                          <w:t> </w:t>
                        </w:r>
                        <w:r>
                          <w:rPr>
                            <w:rFonts w:ascii="宋体" w:hAnsi="宋体" w:cs="宋体" w:eastAsia="宋体" w:hint="default"/>
                            <w:sz w:val="20"/>
                            <w:szCs w:val="20"/>
                          </w:rPr>
                          <w:t>资产组</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471" w:right="371" w:hanging="101"/>
                          <w:jc w:val="left"/>
                          <w:rPr>
                            <w:rFonts w:ascii="宋体" w:hAnsi="宋体" w:cs="宋体" w:eastAsia="宋体" w:hint="default"/>
                            <w:sz w:val="20"/>
                            <w:szCs w:val="20"/>
                          </w:rPr>
                        </w:pPr>
                        <w:r>
                          <w:rPr>
                            <w:rFonts w:ascii="宋体" w:hAnsi="宋体" w:cs="宋体" w:eastAsia="宋体" w:hint="default"/>
                            <w:sz w:val="20"/>
                            <w:szCs w:val="20"/>
                          </w:rPr>
                          <w:t>天津酷米</w:t>
                        </w:r>
                        <w:r>
                          <w:rPr>
                            <w:rFonts w:ascii="宋体" w:hAnsi="宋体" w:cs="宋体" w:eastAsia="宋体" w:hint="default"/>
                            <w:w w:val="100"/>
                            <w:sz w:val="20"/>
                            <w:szCs w:val="20"/>
                          </w:rPr>
                          <w:t> </w:t>
                        </w:r>
                        <w:r>
                          <w:rPr>
                            <w:rFonts w:ascii="宋体" w:hAnsi="宋体" w:cs="宋体" w:eastAsia="宋体" w:hint="default"/>
                            <w:sz w:val="20"/>
                            <w:szCs w:val="20"/>
                          </w:rPr>
                          <w:t>资产组</w:t>
                        </w:r>
                      </w:p>
                    </w:tc>
                    <w:tc>
                      <w:tcPr>
                        <w:tcW w:w="1415" w:type="dxa"/>
                        <w:tcBorders>
                          <w:top w:val="single" w:sz="6" w:space="0" w:color="000000"/>
                          <w:left w:val="single" w:sz="6" w:space="0" w:color="000000"/>
                          <w:bottom w:val="single" w:sz="6" w:space="0" w:color="000000"/>
                          <w:right w:val="nil" w:sz="6" w:space="0" w:color="auto"/>
                        </w:tcBorders>
                      </w:tcPr>
                      <w:p>
                        <w:pPr>
                          <w:pStyle w:val="TableParagraph"/>
                          <w:spacing w:line="285" w:lineRule="auto" w:before="4"/>
                          <w:ind w:left="471" w:right="233" w:hanging="101"/>
                          <w:jc w:val="left"/>
                          <w:rPr>
                            <w:rFonts w:ascii="宋体" w:hAnsi="宋体" w:cs="宋体" w:eastAsia="宋体" w:hint="default"/>
                            <w:sz w:val="20"/>
                            <w:szCs w:val="20"/>
                          </w:rPr>
                        </w:pPr>
                        <w:r>
                          <w:rPr>
                            <w:rFonts w:ascii="宋体" w:hAnsi="宋体" w:cs="宋体" w:eastAsia="宋体" w:hint="default"/>
                            <w:sz w:val="20"/>
                            <w:szCs w:val="20"/>
                          </w:rPr>
                          <w:t>美盛游戏</w:t>
                        </w:r>
                        <w:r>
                          <w:rPr>
                            <w:rFonts w:ascii="宋体" w:hAnsi="宋体" w:cs="宋体" w:eastAsia="宋体" w:hint="default"/>
                            <w:w w:val="100"/>
                            <w:sz w:val="20"/>
                            <w:szCs w:val="20"/>
                          </w:rPr>
                          <w:t> </w:t>
                        </w:r>
                        <w:r>
                          <w:rPr>
                            <w:rFonts w:ascii="宋体" w:hAnsi="宋体" w:cs="宋体" w:eastAsia="宋体" w:hint="default"/>
                            <w:sz w:val="20"/>
                            <w:szCs w:val="20"/>
                          </w:rPr>
                          <w:t>资产组</w:t>
                        </w:r>
                      </w:p>
                    </w:tc>
                  </w:tr>
                  <w:tr>
                    <w:trPr>
                      <w:trHeight w:val="347"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5"/>
                          <w:jc w:val="center"/>
                          <w:rPr>
                            <w:rFonts w:ascii="宋体" w:hAnsi="宋体" w:cs="宋体" w:eastAsia="宋体" w:hint="default"/>
                            <w:sz w:val="20"/>
                            <w:szCs w:val="20"/>
                          </w:rPr>
                        </w:pPr>
                        <w:r>
                          <w:rPr>
                            <w:rFonts w:ascii="宋体" w:hAnsi="宋体" w:cs="宋体" w:eastAsia="宋体" w:hint="default"/>
                            <w:sz w:val="20"/>
                            <w:szCs w:val="20"/>
                          </w:rPr>
                          <w:t>资产组或资产组组合的账面价值</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35,271,924.84</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83,021,839.95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37,661,224.81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335,648.44</w:t>
                        </w:r>
                      </w:p>
                    </w:tc>
                    <w:tc>
                      <w:tcPr>
                        <w:tcW w:w="14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right="-34"/>
                          <w:jc w:val="right"/>
                          <w:rPr>
                            <w:rFonts w:ascii="Times New Roman" w:hAnsi="Times New Roman" w:cs="Times New Roman" w:eastAsia="Times New Roman" w:hint="default"/>
                            <w:sz w:val="20"/>
                            <w:szCs w:val="20"/>
                          </w:rPr>
                        </w:pPr>
                        <w:r>
                          <w:rPr>
                            <w:rFonts w:ascii="Times New Roman"/>
                            <w:spacing w:val="-1"/>
                            <w:sz w:val="20"/>
                          </w:rPr>
                          <w:t>5,063,343.0</w:t>
                        </w:r>
                      </w:p>
                    </w:tc>
                  </w:tr>
                  <w:tr>
                    <w:trPr>
                      <w:trHeight w:val="659"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2"/>
                          <w:jc w:val="left"/>
                          <w:rPr>
                            <w:rFonts w:ascii="宋体" w:hAnsi="宋体" w:cs="宋体" w:eastAsia="宋体" w:hint="default"/>
                            <w:sz w:val="20"/>
                            <w:szCs w:val="20"/>
                          </w:rPr>
                        </w:pPr>
                        <w:r>
                          <w:rPr>
                            <w:rFonts w:ascii="宋体" w:hAnsi="宋体" w:cs="宋体" w:eastAsia="宋体" w:hint="default"/>
                            <w:sz w:val="20"/>
                            <w:szCs w:val="20"/>
                          </w:rPr>
                          <w:t>分摊至本资产组或资产组组合的</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商誉账面价值</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44,312,524.36</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953,585,391.20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29,791,975.14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67,195,662.02</w:t>
                        </w:r>
                      </w:p>
                    </w:tc>
                    <w:tc>
                      <w:tcPr>
                        <w:tcW w:w="14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right="-34"/>
                          <w:jc w:val="right"/>
                          <w:rPr>
                            <w:rFonts w:ascii="Times New Roman" w:hAnsi="Times New Roman" w:cs="Times New Roman" w:eastAsia="Times New Roman" w:hint="default"/>
                            <w:sz w:val="20"/>
                            <w:szCs w:val="20"/>
                          </w:rPr>
                        </w:pPr>
                        <w:r>
                          <w:rPr>
                            <w:rFonts w:ascii="Times New Roman"/>
                            <w:spacing w:val="-1"/>
                            <w:sz w:val="20"/>
                          </w:rPr>
                          <w:t>9,551,471.7</w:t>
                        </w:r>
                      </w:p>
                    </w:tc>
                  </w:tr>
                  <w:tr>
                    <w:trPr>
                      <w:trHeight w:val="659"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2"/>
                          <w:jc w:val="left"/>
                          <w:rPr>
                            <w:rFonts w:ascii="宋体" w:hAnsi="宋体" w:cs="宋体" w:eastAsia="宋体" w:hint="default"/>
                            <w:sz w:val="20"/>
                            <w:szCs w:val="20"/>
                          </w:rPr>
                        </w:pPr>
                        <w:r>
                          <w:rPr>
                            <w:rFonts w:ascii="宋体" w:hAnsi="宋体" w:cs="宋体" w:eastAsia="宋体" w:hint="default"/>
                            <w:sz w:val="20"/>
                            <w:szCs w:val="20"/>
                          </w:rPr>
                          <w:t>包含商誉的资产组或资产组组合</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的账面价值</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79,584,449.20</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1,036,607,231.15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67,453,199.95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67,531,310.46</w:t>
                        </w:r>
                      </w:p>
                    </w:tc>
                    <w:tc>
                      <w:tcPr>
                        <w:tcW w:w="14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right="-35"/>
                          <w:jc w:val="right"/>
                          <w:rPr>
                            <w:rFonts w:ascii="Times New Roman" w:hAnsi="Times New Roman" w:cs="Times New Roman" w:eastAsia="Times New Roman" w:hint="default"/>
                            <w:sz w:val="20"/>
                            <w:szCs w:val="20"/>
                          </w:rPr>
                        </w:pPr>
                        <w:r>
                          <w:rPr>
                            <w:rFonts w:ascii="Times New Roman"/>
                            <w:spacing w:val="-1"/>
                            <w:sz w:val="20"/>
                          </w:rPr>
                          <w:t>14,614,814.7</w:t>
                        </w:r>
                      </w:p>
                    </w:tc>
                  </w:tr>
                  <w:tr>
                    <w:trPr>
                      <w:trHeight w:val="972" w:hRule="exact"/>
                    </w:trPr>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
                          <w:ind w:left="2" w:right="2"/>
                          <w:jc w:val="both"/>
                          <w:rPr>
                            <w:rFonts w:ascii="宋体" w:hAnsi="宋体" w:cs="宋体" w:eastAsia="宋体" w:hint="default"/>
                            <w:sz w:val="20"/>
                            <w:szCs w:val="20"/>
                          </w:rPr>
                        </w:pPr>
                        <w:r>
                          <w:rPr>
                            <w:rFonts w:ascii="宋体" w:hAnsi="宋体" w:cs="宋体" w:eastAsia="宋体" w:hint="default"/>
                            <w:sz w:val="20"/>
                            <w:szCs w:val="20"/>
                          </w:rPr>
                          <w:t>资产组或资产组组合是否与购买</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日、以前年度商誉减值测试时所</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确定的资产组或资产组组合一致</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4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left="134" w:right="0"/>
                          <w:jc w:val="center"/>
                          <w:rPr>
                            <w:rFonts w:ascii="宋体" w:hAnsi="宋体" w:cs="宋体" w:eastAsia="宋体" w:hint="default"/>
                            <w:sz w:val="20"/>
                            <w:szCs w:val="20"/>
                          </w:rPr>
                        </w:pPr>
                        <w:r>
                          <w:rPr>
                            <w:rFonts w:ascii="宋体" w:hAnsi="宋体" w:cs="宋体" w:eastAsia="宋体" w:hint="default"/>
                            <w:w w:val="100"/>
                            <w:sz w:val="20"/>
                            <w:szCs w:val="20"/>
                          </w:rPr>
                          <w:t>是</w:t>
                        </w:r>
                      </w:p>
                    </w:tc>
                  </w:tr>
                </w:tbl>
                <w:p>
                  <w:pPr/>
                </w:p>
              </w:txbxContent>
            </v:textbox>
            <w10:wrap type="none"/>
          </v:shape>
        </w:pict>
      </w: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color w:val="333333"/>
        </w:rPr>
        <w:t>商誉所在资产组或资产组组合相关信息</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56" w:lineRule="auto"/>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color w:val="333333"/>
        </w:rPr>
        <w:t>商誉减值测试的过程与方法、结论</w:t>
      </w:r>
      <w:r>
        <w:rPr>
          <w:color w:val="333333"/>
          <w:w w:val="99"/>
        </w:rPr>
        <w:t> </w:t>
      </w:r>
      <w:r>
        <w:rPr>
          <w:spacing w:val="-1"/>
        </w:rPr>
        <w:t>荷兰公司资产组、真趣网络资产组、天津酷米资产组及美盛游戏资产组商誉的可收回金额按照预计未</w:t>
      </w:r>
    </w:p>
    <w:p>
      <w:pPr>
        <w:pStyle w:val="BodyText"/>
        <w:spacing w:line="256" w:lineRule="auto" w:before="22"/>
        <w:ind w:right="1129"/>
        <w:jc w:val="both"/>
        <w:rPr>
          <w:rFonts w:ascii="Times New Roman" w:hAnsi="Times New Roman" w:cs="Times New Roman" w:eastAsia="Times New Roman" w:hint="default"/>
        </w:rPr>
      </w:pPr>
      <w:r>
        <w:rPr/>
        <w:t>来现金流量的现值计算，其预计现金流量根据</w:t>
      </w:r>
      <w:r>
        <w:rPr>
          <w:rFonts w:ascii="Times New Roman" w:hAnsi="Times New Roman" w:cs="Times New Roman" w:eastAsia="Times New Roman" w:hint="default"/>
        </w:rPr>
        <w:t>5</w:t>
      </w:r>
      <w:r>
        <w:rPr/>
        <w:t>年期现金流量预测为基础，现金流量预测使用的折现率：</w:t>
      </w:r>
      <w:r>
        <w:rPr>
          <w:spacing w:val="-30"/>
        </w:rPr>
        <w:t> </w:t>
      </w:r>
      <w:r>
        <w:rPr>
          <w:spacing w:val="-30"/>
        </w:rPr>
      </w:r>
      <w:r>
        <w:rPr/>
        <w:t>荷兰公司</w:t>
      </w:r>
      <w:r>
        <w:rPr>
          <w:rFonts w:ascii="Times New Roman" w:hAnsi="Times New Roman" w:cs="Times New Roman" w:eastAsia="Times New Roman" w:hint="default"/>
        </w:rPr>
        <w:t>10.04% </w:t>
      </w:r>
      <w:r>
        <w:rPr/>
        <w:t>、真趣网络</w:t>
      </w:r>
      <w:r>
        <w:rPr>
          <w:rFonts w:ascii="Times New Roman" w:hAnsi="Times New Roman" w:cs="Times New Roman" w:eastAsia="Times New Roman" w:hint="default"/>
        </w:rPr>
        <w:t>15.60%</w:t>
      </w:r>
      <w:r>
        <w:rPr/>
        <w:t>、天津酷米</w:t>
      </w:r>
      <w:r>
        <w:rPr>
          <w:rFonts w:ascii="Times New Roman" w:hAnsi="Times New Roman" w:cs="Times New Roman" w:eastAsia="Times New Roman" w:hint="default"/>
        </w:rPr>
        <w:t>11.41%</w:t>
      </w:r>
      <w:r>
        <w:rPr/>
        <w:t>、美盛游戏</w:t>
      </w:r>
      <w:r>
        <w:rPr>
          <w:rFonts w:ascii="Times New Roman" w:hAnsi="Times New Roman" w:cs="Times New Roman" w:eastAsia="Times New Roman" w:hint="default"/>
        </w:rPr>
        <w:t>11.41%</w:t>
      </w:r>
      <w:r>
        <w:rPr/>
        <w:t>（</w:t>
      </w:r>
      <w:r>
        <w:rPr>
          <w:rFonts w:ascii="Times New Roman" w:hAnsi="Times New Roman" w:cs="Times New Roman" w:eastAsia="Times New Roman" w:hint="default"/>
        </w:rPr>
        <w:t>2017</w:t>
      </w:r>
      <w:r>
        <w:rPr/>
        <w:t>年：荷兰公司</w:t>
      </w:r>
      <w:r>
        <w:rPr>
          <w:rFonts w:ascii="Times New Roman" w:hAnsi="Times New Roman" w:cs="Times New Roman" w:eastAsia="Times New Roman" w:hint="default"/>
        </w:rPr>
        <w:t>11%</w:t>
      </w:r>
      <w:r>
        <w:rPr>
          <w:rFonts w:ascii="Times New Roman" w:hAnsi="Times New Roman" w:cs="Times New Roman" w:eastAsia="Times New Roman" w:hint="default"/>
          <w:spacing w:val="39"/>
        </w:rPr>
        <w:t> </w:t>
      </w:r>
      <w:r>
        <w:rPr/>
        <w:t>、真趣 </w:t>
      </w:r>
      <w:r>
        <w:rPr>
          <w:spacing w:val="-3"/>
        </w:rPr>
        <w:t>网络</w:t>
      </w:r>
      <w:r>
        <w:rPr>
          <w:rFonts w:ascii="Times New Roman" w:hAnsi="Times New Roman" w:cs="Times New Roman" w:eastAsia="Times New Roman" w:hint="default"/>
          <w:spacing w:val="-3"/>
        </w:rPr>
        <w:t>13.46%</w:t>
      </w:r>
      <w:r>
        <w:rPr>
          <w:spacing w:val="-3"/>
        </w:rPr>
        <w:t>、天津酷米</w:t>
      </w:r>
      <w:r>
        <w:rPr>
          <w:rFonts w:ascii="Times New Roman" w:hAnsi="Times New Roman" w:cs="Times New Roman" w:eastAsia="Times New Roman" w:hint="default"/>
          <w:spacing w:val="-3"/>
        </w:rPr>
        <w:t>10%</w:t>
      </w:r>
      <w:r>
        <w:rPr>
          <w:spacing w:val="-3"/>
        </w:rPr>
        <w:t>、美盛游戏</w:t>
      </w:r>
      <w:r>
        <w:rPr>
          <w:rFonts w:ascii="Times New Roman" w:hAnsi="Times New Roman" w:cs="Times New Roman" w:eastAsia="Times New Roman" w:hint="default"/>
          <w:spacing w:val="-3"/>
        </w:rPr>
        <w:t>10%</w:t>
      </w:r>
      <w:r>
        <w:rPr>
          <w:spacing w:val="-3"/>
        </w:rPr>
        <w:t>），</w:t>
      </w:r>
      <w:r>
        <w:rPr>
          <w:rFonts w:ascii="Times New Roman" w:hAnsi="Times New Roman" w:cs="Times New Roman" w:eastAsia="Times New Roman" w:hint="default"/>
          <w:spacing w:val="-3"/>
        </w:rPr>
        <w:t>5</w:t>
      </w:r>
      <w:r>
        <w:rPr>
          <w:spacing w:val="-3"/>
        </w:rPr>
        <w:t>年预测期以后的现金流量，基于谨慎性原则假设增长率</w:t>
      </w:r>
      <w:r>
        <w:rPr>
          <w:rFonts w:ascii="Times New Roman" w:hAnsi="Times New Roman" w:cs="Times New Roman" w:eastAsia="Times New Roman" w:hint="default"/>
          <w:spacing w:val="-3"/>
        </w:rPr>
        <w:t>0%</w:t>
      </w:r>
      <w:r>
        <w:rPr>
          <w:rFonts w:ascii="Times New Roman" w:hAnsi="Times New Roman" w:cs="Times New Roman" w:eastAsia="Times New Roman" w:hint="default"/>
        </w:rPr>
      </w:r>
    </w:p>
    <w:p>
      <w:pPr>
        <w:pStyle w:val="BodyText"/>
        <w:spacing w:line="256" w:lineRule="auto" w:before="5"/>
        <w:ind w:left="574" w:right="0" w:hanging="420"/>
        <w:jc w:val="left"/>
      </w:pPr>
      <w:r>
        <w:rPr/>
        <w:t>（</w:t>
      </w:r>
      <w:r>
        <w:rPr>
          <w:rFonts w:ascii="Times New Roman" w:hAnsi="Times New Roman" w:cs="Times New Roman" w:eastAsia="Times New Roman" w:hint="default"/>
        </w:rPr>
        <w:t>2017</w:t>
      </w:r>
      <w:r>
        <w:rPr/>
        <w:t>年：同上）推断得出。 </w:t>
      </w:r>
      <w:r>
        <w:rPr>
          <w:spacing w:val="-1"/>
        </w:rPr>
        <w:t>减值测试中采用的其他关键数据包括：预计销售收入、成本及其他相关费用。公司根据历史经验及对</w:t>
      </w:r>
    </w:p>
    <w:p>
      <w:pPr>
        <w:pStyle w:val="BodyText"/>
        <w:spacing w:line="273" w:lineRule="auto" w:before="22"/>
        <w:ind w:right="1132"/>
        <w:jc w:val="both"/>
      </w:pPr>
      <w:r>
        <w:rPr>
          <w:spacing w:val="-1"/>
        </w:rPr>
        <w:t>市场发展的预测确定上述关键数据。公司采用的折现率是反映当前市场货币时间价值和相关资产组特定风</w:t>
      </w:r>
      <w:r>
        <w:rPr>
          <w:spacing w:val="-81"/>
        </w:rPr>
        <w:t> </w:t>
      </w:r>
      <w:r>
        <w:rPr>
          <w:spacing w:val="-81"/>
        </w:rPr>
      </w:r>
      <w:r>
        <w:rPr/>
        <w:t>险的税前利率。</w:t>
      </w:r>
    </w:p>
    <w:p>
      <w:pPr>
        <w:pStyle w:val="BodyText"/>
        <w:spacing w:line="273" w:lineRule="auto" w:before="7"/>
        <w:ind w:right="1132" w:firstLine="420"/>
        <w:jc w:val="both"/>
      </w:pPr>
      <w:r>
        <w:rPr>
          <w:spacing w:val="-1"/>
        </w:rPr>
        <w:t>杭州业盛资产组的可收回金额按照公允价值减处置费用后的净额计算。公允价值系根据资产的重置价</w:t>
      </w:r>
      <w:r>
        <w:rPr/>
        <w:t> 格及资产成新率为基础测算。</w:t>
      </w:r>
    </w:p>
    <w:p>
      <w:pPr>
        <w:pStyle w:val="BodyText"/>
        <w:spacing w:line="273" w:lineRule="auto" w:before="7"/>
        <w:ind w:right="1131" w:firstLine="420"/>
        <w:jc w:val="both"/>
      </w:pPr>
      <w:r>
        <w:rPr>
          <w:spacing w:val="-1"/>
        </w:rPr>
        <w:t>上述对可收回金额的预计表明荷兰公司、天津酷米、杭州业盛及美盛游戏商誉存在减值情况，分别计</w:t>
      </w:r>
      <w:r>
        <w:rPr/>
        <w:t> 提商誉减值准备</w:t>
      </w:r>
      <w:r>
        <w:rPr>
          <w:rFonts w:ascii="Times New Roman" w:hAnsi="Times New Roman" w:cs="Times New Roman" w:eastAsia="Times New Roman" w:hint="default"/>
        </w:rPr>
        <w:t>8,339,193.56</w:t>
      </w:r>
      <w:r>
        <w:rPr/>
        <w:t>元、</w:t>
      </w:r>
      <w:r>
        <w:rPr>
          <w:rFonts w:ascii="Times New Roman" w:hAnsi="Times New Roman" w:cs="Times New Roman" w:eastAsia="Times New Roman" w:hint="default"/>
        </w:rPr>
        <w:t>26,945,460.47</w:t>
      </w:r>
      <w:r>
        <w:rPr/>
        <w:t>元、</w:t>
      </w:r>
      <w:r>
        <w:rPr>
          <w:rFonts w:ascii="Times New Roman" w:hAnsi="Times New Roman" w:cs="Times New Roman" w:eastAsia="Times New Roman" w:hint="default"/>
        </w:rPr>
        <w:t>15,193,907.32</w:t>
      </w:r>
      <w:r>
        <w:rPr/>
        <w:t>元和</w:t>
      </w:r>
      <w:r>
        <w:rPr>
          <w:rFonts w:ascii="Times New Roman" w:hAnsi="Times New Roman" w:cs="Times New Roman" w:eastAsia="Times New Roman" w:hint="default"/>
        </w:rPr>
        <w:t>9,551,471.73</w:t>
      </w:r>
      <w:r>
        <w:rPr/>
        <w:t>元。</w:t>
      </w:r>
    </w:p>
    <w:p>
      <w:pPr>
        <w:pStyle w:val="BodyText"/>
        <w:spacing w:line="256" w:lineRule="auto"/>
        <w:ind w:right="1131" w:firstLine="420"/>
        <w:jc w:val="both"/>
      </w:pPr>
      <w:r>
        <w:rPr/>
        <w:t>根据公司聘请的坤元资产评估管理有限公司出具的《评估报告》（坤元评报〔</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212</w:t>
      </w:r>
      <w:r>
        <w:rPr/>
        <w:t>号），真趣 </w:t>
      </w:r>
      <w:r>
        <w:rPr>
          <w:spacing w:val="-1"/>
        </w:rPr>
        <w:t>网络包含商誉的资产组或资产组组合可收回金额为</w:t>
      </w:r>
      <w:r>
        <w:rPr>
          <w:rFonts w:ascii="Times New Roman" w:hAnsi="Times New Roman" w:cs="Times New Roman" w:eastAsia="Times New Roman" w:hint="default"/>
          <w:spacing w:val="-1"/>
        </w:rPr>
        <w:t>867,000,000</w:t>
      </w:r>
      <w:r>
        <w:rPr>
          <w:spacing w:val="-1"/>
        </w:rPr>
        <w:t>元，低于账面价值</w:t>
      </w:r>
      <w:r>
        <w:rPr>
          <w:rFonts w:ascii="Times New Roman" w:hAnsi="Times New Roman" w:cs="Times New Roman" w:eastAsia="Times New Roman" w:hint="default"/>
          <w:spacing w:val="-1"/>
        </w:rPr>
        <w:t>1,036,607,231.00</w:t>
      </w:r>
      <w:r>
        <w:rPr>
          <w:spacing w:val="-1"/>
        </w:rPr>
        <w:t>元，本期</w:t>
      </w:r>
      <w:r>
        <w:rPr>
          <w:spacing w:val="-73"/>
        </w:rPr>
        <w:t> </w:t>
      </w:r>
      <w:r>
        <w:rPr>
          <w:spacing w:val="-73"/>
        </w:rPr>
      </w:r>
      <w:r>
        <w:rPr/>
        <w:t>应确认商誉减值损失</w:t>
      </w:r>
      <w:r>
        <w:rPr>
          <w:rFonts w:ascii="Times New Roman" w:hAnsi="Times New Roman" w:cs="Times New Roman" w:eastAsia="Times New Roman" w:hint="default"/>
        </w:rPr>
        <w:t>169,607,231.00</w:t>
      </w:r>
      <w:r>
        <w:rPr/>
        <w:t>元，其中归属于本公司应确认的商誉减值损失</w:t>
      </w:r>
      <w:r>
        <w:rPr>
          <w:rFonts w:ascii="Times New Roman" w:hAnsi="Times New Roman" w:cs="Times New Roman" w:eastAsia="Times New Roman" w:hint="default"/>
        </w:rPr>
        <w:t>169,607,231.00</w:t>
      </w:r>
      <w:r>
        <w:rPr/>
        <w:t>元。</w:t>
      </w:r>
    </w:p>
    <w:p>
      <w:pPr>
        <w:pStyle w:val="BodyText"/>
        <w:spacing w:line="256" w:lineRule="auto" w:before="5"/>
        <w:ind w:left="57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业绩承诺的完成情况及其对商誉减值测试的影响</w:t>
      </w:r>
      <w:r>
        <w:rPr>
          <w:w w:val="99"/>
        </w:rPr>
        <w:t> </w:t>
      </w:r>
      <w:r>
        <w:rPr>
          <w:spacing w:val="-1"/>
        </w:rPr>
        <w:t>真趣网络公司</w:t>
      </w:r>
      <w:r>
        <w:rPr>
          <w:rFonts w:ascii="Times New Roman" w:hAnsi="Times New Roman" w:cs="Times New Roman" w:eastAsia="Times New Roman" w:hint="default"/>
          <w:spacing w:val="-1"/>
        </w:rPr>
        <w:t>2018</w:t>
      </w:r>
      <w:r>
        <w:rPr>
          <w:spacing w:val="-1"/>
        </w:rPr>
        <w:t>年度经审计的扣除非经常性损益（依法取得的财政补贴除外）后归属于母公司股东</w:t>
      </w:r>
    </w:p>
    <w:p>
      <w:pPr>
        <w:pStyle w:val="BodyText"/>
        <w:spacing w:line="264" w:lineRule="auto" w:before="5"/>
        <w:ind w:right="1132"/>
        <w:jc w:val="both"/>
      </w:pPr>
      <w:r>
        <w:rPr/>
        <w:t>的净利润</w:t>
      </w:r>
      <w:r>
        <w:rPr>
          <w:rFonts w:ascii="Times New Roman" w:hAnsi="Times New Roman" w:cs="Times New Roman" w:eastAsia="Times New Roman" w:hint="default"/>
        </w:rPr>
        <w:t>11,530.60</w:t>
      </w:r>
      <w:r>
        <w:rPr/>
        <w:t>万元，承诺金额为</w:t>
      </w:r>
      <w:r>
        <w:rPr>
          <w:rFonts w:ascii="Times New Roman" w:hAnsi="Times New Roman" w:cs="Times New Roman" w:eastAsia="Times New Roman" w:hint="default"/>
        </w:rPr>
        <w:t>11,800</w:t>
      </w:r>
      <w:r>
        <w:rPr/>
        <w:t>万元，未完成本年度业绩承诺。真趣网络公司未完成本年度业</w:t>
      </w:r>
      <w:r>
        <w:rPr>
          <w:spacing w:val="-81"/>
        </w:rPr>
        <w:t> </w:t>
      </w:r>
      <w:r>
        <w:rPr>
          <w:spacing w:val="-81"/>
        </w:rPr>
      </w:r>
      <w:r>
        <w:rPr>
          <w:spacing w:val="-1"/>
        </w:rPr>
        <w:t>绩承诺的原因系收入增长未达预期，对本期商誉减值测试公司更为谨慎地预计了真趣网络公司未来五年的</w:t>
      </w:r>
      <w:r>
        <w:rPr>
          <w:spacing w:val="-81"/>
        </w:rPr>
        <w:t> </w:t>
      </w:r>
      <w:r>
        <w:rPr>
          <w:spacing w:val="-81"/>
        </w:rPr>
      </w:r>
      <w:r>
        <w:rPr/>
        <w:t>盈利能力。</w:t>
      </w:r>
    </w:p>
    <w:p>
      <w:pPr>
        <w:spacing w:after="0" w:line="264"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57" w:lineRule="auto" w:before="44"/>
        <w:ind w:left="154" w:right="8592" w:firstLine="0"/>
        <w:jc w:val="left"/>
        <w:rPr>
          <w:rFonts w:ascii="宋体" w:hAnsi="宋体" w:cs="宋体" w:eastAsia="宋体" w:hint="default"/>
          <w:sz w:val="18"/>
          <w:szCs w:val="18"/>
        </w:rPr>
      </w:pPr>
      <w:r>
        <w:rPr>
          <w:rFonts w:ascii="宋体" w:hAnsi="宋体" w:cs="宋体" w:eastAsia="宋体" w:hint="default"/>
          <w:sz w:val="18"/>
          <w:szCs w:val="18"/>
        </w:rPr>
        <w:t>商誉减值测试的影响 其他说明</w:t>
      </w:r>
    </w:p>
    <w:p>
      <w:pPr>
        <w:spacing w:line="240" w:lineRule="auto" w:before="1"/>
        <w:rPr>
          <w:rFonts w:ascii="宋体" w:hAnsi="宋体" w:cs="宋体" w:eastAsia="宋体" w:hint="default"/>
          <w:sz w:val="20"/>
          <w:szCs w:val="20"/>
        </w:rPr>
      </w:pPr>
    </w:p>
    <w:p>
      <w:pPr>
        <w:pStyle w:val="Heading4"/>
        <w:spacing w:line="240" w:lineRule="auto"/>
        <w:ind w:right="1360"/>
        <w:jc w:val="left"/>
        <w:rPr>
          <w:b w:val="0"/>
          <w:bCs w:val="0"/>
        </w:rPr>
      </w:pPr>
      <w:bookmarkStart w:name="23、长期待摊费用" w:id="310"/>
      <w:bookmarkEnd w:id="310"/>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6,754,259.64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417,936.02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2,783,765.91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4,388,429.75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版权费用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206,148.86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86,084.08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53,398.14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66,666.64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6,960,408.50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417,936.02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2,869,849.99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53,398.14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4,455,096.39</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24、递延所得税资产/递延所得税负债" w:id="311"/>
      <w:bookmarkEnd w:id="311"/>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1）未经抵销的递延所得税资产" w:id="312"/>
      <w:bookmarkEnd w:id="31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1,897,875.74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283,076.30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12,379,473.44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2,842,653.77</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1,897,875.74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283,076.30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12,379,473.44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2,842,653.77</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2）未经抵销的递延所得税负债" w:id="313"/>
      <w:bookmarkEnd w:id="31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业绩承诺补偿</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17,254,079.63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4,313,519.91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17,254,079.63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4,313,519.91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29,254,079.63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7,313,519.91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29,254,079.63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7,313,519.91</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3）以抵销后净额列示的递延所得税资产或负债" w:id="314"/>
      <w:bookmarkEnd w:id="31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162"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25"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8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283,076.30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2,842,653.77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7,313,519.91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7,313,519.91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360"/>
        <w:jc w:val="left"/>
        <w:rPr>
          <w:b w:val="0"/>
          <w:bCs w:val="0"/>
        </w:rPr>
      </w:pPr>
      <w:bookmarkStart w:name="（4）未确认递延所得税资产明细" w:id="315"/>
      <w:bookmarkEnd w:id="31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123,687,232.64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32,079,559.53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30,980,531.56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6,604,742.87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31,022,555.92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8,962,670.46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2,475,317.84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60,095.90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12,279,722.94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3,781,348.74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6,506,052.17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207,011,508.97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51,428,321.60</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5）未确认递延所得税资产的可抵扣亏损将于以下年度到期" w:id="316"/>
      <w:bookmarkEnd w:id="316"/>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6,800,871.66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1,370,083.15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1,370,083.15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4,865,062.68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4,865,062.68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12,438,464.26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12,438,464.26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6,605,077.78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6,605,077.78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98,408,544.77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123,687,232.64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32,079,559.53</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25、其他非流动资产" w:id="317"/>
      <w:bookmarkEnd w:id="317"/>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预付股权投资款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89"/>
        <w:ind w:right="1131" w:firstLine="420"/>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月，公司与华融天泽投资有限公司、望道控股有限公司等</w:t>
      </w:r>
      <w:r>
        <w:rPr>
          <w:rFonts w:ascii="Times New Roman" w:hAnsi="Times New Roman" w:cs="Times New Roman" w:eastAsia="Times New Roman" w:hint="default"/>
          <w:spacing w:val="-1"/>
        </w:rPr>
        <w:t>7</w:t>
      </w:r>
      <w:r>
        <w:rPr>
          <w:spacing w:val="-1"/>
        </w:rPr>
        <w:t>方投资人合伙发起设立康元人寿保</w:t>
      </w:r>
      <w:r>
        <w:rPr/>
        <w:t> </w:t>
      </w:r>
      <w:r>
        <w:rPr>
          <w:spacing w:val="2"/>
        </w:rPr>
        <w:t>险股份有限公司（以下简称康元人寿），总股本为</w:t>
      </w:r>
      <w:r>
        <w:rPr>
          <w:rFonts w:ascii="Times New Roman" w:hAnsi="Times New Roman" w:cs="Times New Roman" w:eastAsia="Times New Roman" w:hint="default"/>
          <w:spacing w:val="2"/>
        </w:rPr>
        <w:t>20</w:t>
      </w:r>
      <w:r>
        <w:rPr>
          <w:spacing w:val="2"/>
        </w:rPr>
        <w:t>亿元，其中，公司占</w:t>
      </w:r>
      <w:r>
        <w:rPr>
          <w:rFonts w:ascii="Times New Roman" w:hAnsi="Times New Roman" w:cs="Times New Roman" w:eastAsia="Times New Roman" w:hint="default"/>
          <w:spacing w:val="2"/>
        </w:rPr>
        <w:t>4</w:t>
      </w:r>
      <w:r>
        <w:rPr>
          <w:spacing w:val="2"/>
        </w:rPr>
        <w:t>亿股，占康元人寿成立后</w:t>
      </w:r>
      <w:r>
        <w:rPr>
          <w:rFonts w:ascii="Times New Roman" w:hAnsi="Times New Roman" w:cs="Times New Roman" w:eastAsia="Times New Roman" w:hint="default"/>
          <w:spacing w:val="2"/>
        </w:rPr>
        <w:t>20%</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t>的股权比例。截至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日，康元人寿仍在筹建中，本期，公司支付前期筹备费用</w:t>
      </w:r>
      <w:r>
        <w:rPr>
          <w:rFonts w:ascii="Times New Roman" w:hAnsi="Times New Roman" w:cs="Times New Roman" w:eastAsia="Times New Roman" w:hint="default"/>
        </w:rPr>
        <w:t>1,200.00</w:t>
      </w:r>
      <w:r>
        <w:rPr/>
        <w:t>万元。</w:t>
      </w:r>
    </w:p>
    <w:p>
      <w:pPr>
        <w:pStyle w:val="BodyText"/>
        <w:spacing w:line="256" w:lineRule="auto" w:before="5"/>
        <w:ind w:right="1130" w:firstLine="420"/>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月，公司与华盛达控股集团有限公司、上海维赁实业有限公司、杭州小康文化传媒有限公司</w:t>
      </w:r>
      <w:r>
        <w:rPr/>
        <w:t> </w:t>
      </w:r>
      <w:r>
        <w:rPr>
          <w:spacing w:val="-1"/>
        </w:rPr>
        <w:t>和浙江原乡文旅集团股份有限公司（以下简称原乡文旅公司）签订投资合同书，约定公司将以</w:t>
      </w:r>
      <w:r>
        <w:rPr>
          <w:rFonts w:ascii="Times New Roman" w:hAnsi="Times New Roman" w:cs="Times New Roman" w:eastAsia="Times New Roman" w:hint="default"/>
          <w:spacing w:val="-1"/>
        </w:rPr>
        <w:t>18,000.00</w:t>
      </w:r>
      <w:r>
        <w:rPr>
          <w:spacing w:val="-1"/>
        </w:rPr>
        <w:t>万</w:t>
      </w:r>
    </w:p>
    <w:p>
      <w:pPr>
        <w:spacing w:after="0" w:line="256"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092"/>
        <w:jc w:val="left"/>
      </w:pPr>
      <w:r>
        <w:rPr>
          <w:spacing w:val="-1"/>
        </w:rPr>
        <w:t>元的价格认购原乡文旅公司</w:t>
      </w:r>
      <w:r>
        <w:rPr>
          <w:rFonts w:ascii="Times New Roman" w:hAnsi="Times New Roman" w:cs="Times New Roman" w:eastAsia="Times New Roman" w:hint="default"/>
          <w:spacing w:val="-1"/>
        </w:rPr>
        <w:t>2470</w:t>
      </w:r>
      <w:r>
        <w:rPr>
          <w:spacing w:val="-1"/>
        </w:rPr>
        <w:t>万元的新增注册资本。交易完成后，公司将持有原乡文旅公司</w:t>
      </w:r>
      <w:r>
        <w:rPr>
          <w:rFonts w:ascii="Times New Roman" w:hAnsi="Times New Roman" w:cs="Times New Roman" w:eastAsia="Times New Roman" w:hint="default"/>
          <w:spacing w:val="-1"/>
        </w:rPr>
        <w:t>19.81%</w:t>
      </w:r>
      <w:r>
        <w:rPr>
          <w:spacing w:val="-1"/>
        </w:rPr>
        <w:t>的股</w:t>
      </w:r>
      <w:r>
        <w:rPr>
          <w:spacing w:val="-99"/>
        </w:rPr>
        <w:t> </w:t>
      </w:r>
      <w:r>
        <w:rPr/>
        <w:t>权。截至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日，该项交易尚未完成，公司已支付增资款</w:t>
      </w:r>
      <w:r>
        <w:rPr>
          <w:rFonts w:ascii="Times New Roman" w:hAnsi="Times New Roman" w:cs="Times New Roman" w:eastAsia="Times New Roman" w:hint="default"/>
        </w:rPr>
        <w:t>1,150.00</w:t>
      </w:r>
      <w:r>
        <w:rPr/>
        <w:t>万元。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月，美盛文化公司与美盛控股签订深圳市同道大叔文化传播有限公司（以下简称同道大叔公司） </w:t>
      </w:r>
      <w:r>
        <w:rPr>
          <w:spacing w:val="-2"/>
        </w:rPr>
        <w:t>股权转让协议，约定美盛文化公司以</w:t>
      </w:r>
      <w:r>
        <w:rPr>
          <w:rFonts w:ascii="Times New Roman" w:hAnsi="Times New Roman" w:cs="Times New Roman" w:eastAsia="Times New Roman" w:hint="default"/>
          <w:spacing w:val="-2"/>
        </w:rPr>
        <w:t>217,500,000.00</w:t>
      </w:r>
      <w:r>
        <w:rPr>
          <w:spacing w:val="-2"/>
        </w:rPr>
        <w:t>元的价格向美盛控股购买其持有的同道大叔公司</w:t>
      </w:r>
      <w:r>
        <w:rPr>
          <w:rFonts w:ascii="Times New Roman" w:hAnsi="Times New Roman" w:cs="Times New Roman" w:eastAsia="Times New Roman" w:hint="default"/>
          <w:spacing w:val="-2"/>
        </w:rPr>
        <w:t>72.50%</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spacing w:val="-1"/>
        </w:rPr>
        <w:t>的股权。美盛文化公司于</w:t>
      </w:r>
      <w:r>
        <w:rPr>
          <w:rFonts w:ascii="Times New Roman" w:hAnsi="Times New Roman" w:cs="Times New Roman" w:eastAsia="Times New Roman" w:hint="default"/>
          <w:spacing w:val="-1"/>
        </w:rPr>
        <w:t>2018</w:t>
      </w:r>
      <w:r>
        <w:rPr>
          <w:spacing w:val="-1"/>
        </w:rPr>
        <w:t>年支付全部交易对价。截至</w:t>
      </w:r>
      <w:r>
        <w:rPr>
          <w:rFonts w:ascii="Times New Roman" w:hAnsi="Times New Roman" w:cs="Times New Roman" w:eastAsia="Times New Roman" w:hint="default"/>
          <w:spacing w:val="-1"/>
        </w:rPr>
        <w:t>2018</w:t>
      </w:r>
      <w:r>
        <w:rPr>
          <w:spacing w:val="-1"/>
        </w:rPr>
        <w:t>年，该项交易尚未经公司董事会和股东大会</w:t>
      </w:r>
      <w:r>
        <w:rPr>
          <w:spacing w:val="-82"/>
        </w:rPr>
        <w:t> </w:t>
      </w:r>
      <w:r>
        <w:rPr>
          <w:spacing w:val="-82"/>
        </w:rPr>
      </w:r>
      <w:r>
        <w:rPr/>
        <w:t>审议通过，交易尚未完成。</w:t>
      </w:r>
    </w:p>
    <w:p>
      <w:pPr>
        <w:spacing w:line="240" w:lineRule="auto" w:before="10"/>
        <w:rPr>
          <w:rFonts w:ascii="宋体" w:hAnsi="宋体" w:cs="宋体" w:eastAsia="宋体" w:hint="default"/>
          <w:sz w:val="24"/>
          <w:szCs w:val="24"/>
        </w:rPr>
      </w:pPr>
    </w:p>
    <w:p>
      <w:pPr>
        <w:pStyle w:val="Heading4"/>
        <w:spacing w:line="240" w:lineRule="auto"/>
        <w:ind w:right="1360"/>
        <w:jc w:val="left"/>
        <w:rPr>
          <w:b w:val="0"/>
          <w:bCs w:val="0"/>
        </w:rPr>
      </w:pPr>
      <w:bookmarkStart w:name="26、短期借款" w:id="318"/>
      <w:bookmarkEnd w:id="318"/>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1）短期借款分类" w:id="319"/>
      <w:bookmarkEnd w:id="31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398,905,600.00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488,905,600.00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450,000,000.00</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pStyle w:val="BodyText"/>
        <w:spacing w:line="240" w:lineRule="auto" w:before="89"/>
        <w:ind w:left="574" w:right="1360"/>
        <w:jc w:val="left"/>
        <w:rPr>
          <w:rFonts w:ascii="Times New Roman" w:hAnsi="Times New Roman" w:cs="Times New Roman" w:eastAsia="Times New Roman" w:hint="default"/>
        </w:rPr>
      </w:pPr>
      <w:r>
        <w:rPr/>
        <w:t>短期借款的利率区间为年利率</w:t>
      </w:r>
      <w:r>
        <w:rPr>
          <w:rFonts w:ascii="Times New Roman" w:hAnsi="Times New Roman" w:cs="Times New Roman" w:eastAsia="Times New Roman" w:hint="default"/>
        </w:rPr>
        <w:t>4.35%</w:t>
      </w:r>
      <w:r>
        <w:rPr/>
        <w:t>到</w:t>
      </w:r>
      <w:r>
        <w:rPr>
          <w:rFonts w:ascii="Times New Roman" w:hAnsi="Times New Roman" w:cs="Times New Roman" w:eastAsia="Times New Roman" w:hint="default"/>
        </w:rPr>
        <w:t>5.568%</w:t>
      </w: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6"/>
        <w:rPr>
          <w:rFonts w:ascii="Times New Roman" w:hAnsi="Times New Roman" w:cs="Times New Roman" w:eastAsia="Times New Roman" w:hint="default"/>
          <w:sz w:val="21"/>
          <w:szCs w:val="21"/>
        </w:rPr>
      </w:pPr>
    </w:p>
    <w:p>
      <w:pPr>
        <w:pStyle w:val="Heading4"/>
        <w:spacing w:line="240" w:lineRule="auto"/>
        <w:ind w:right="1360"/>
        <w:jc w:val="left"/>
        <w:rPr>
          <w:b w:val="0"/>
          <w:bCs w:val="0"/>
        </w:rPr>
      </w:pPr>
      <w:bookmarkStart w:name="（2）已逾期未偿还的短期借款情况" w:id="320"/>
      <w:bookmarkEnd w:id="320"/>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spacing w:before="44"/>
        <w:ind w:left="154" w:right="136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2"/>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27、以公允价值计量且其变动计入当期损益的金融负债" w:id="321"/>
      <w:bookmarkEnd w:id="321"/>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28、衍生金融负债" w:id="322"/>
      <w:bookmarkEnd w:id="322"/>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9"/>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360"/>
        <w:jc w:val="left"/>
        <w:rPr>
          <w:b w:val="0"/>
          <w:bCs w:val="0"/>
        </w:rPr>
      </w:pPr>
      <w:bookmarkStart w:name="29、应付票据及应付账款" w:id="323"/>
      <w:bookmarkEnd w:id="323"/>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138,619,274.22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134,768,933.27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138,619,274.22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135,168,933.27</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1）应付票据分类列示" w:id="324"/>
      <w:bookmarkEnd w:id="324"/>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2）应付账款列示" w:id="325"/>
      <w:bookmarkEnd w:id="325"/>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100,273,157.81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85,364,817.62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36,036,717.65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48,438,283.07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88,866.60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80,450.00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2,220,532.16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802,964.28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加工费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82,418.30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138,619,274.22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134,768,933.27</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3）账龄超过1年的重要应付账款" w:id="326"/>
      <w:bookmarkEnd w:id="326"/>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30、预收款项" w:id="327"/>
      <w:bookmarkEnd w:id="327"/>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1）预收款项列示" w:id="328"/>
      <w:bookmarkEnd w:id="32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2,482,074.26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7,140,882.85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预收制作费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7,457,547.01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4,296,460.01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游戏充值款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9,788.66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9,939,621.27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11,447,131.52</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2）账龄超过1年的重要预收款项" w:id="329"/>
      <w:bookmarkEnd w:id="32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3）期末建造合同形成的已结算未完工项目情况" w:id="330"/>
      <w:bookmarkEnd w:id="330"/>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2"/>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31、应付职工薪酬" w:id="331"/>
      <w:bookmarkEnd w:id="331"/>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60"/>
        <w:jc w:val="left"/>
        <w:rPr>
          <w:b w:val="0"/>
          <w:bCs w:val="0"/>
        </w:rPr>
      </w:pPr>
      <w:bookmarkStart w:name="（1）应付职工薪酬列示" w:id="332"/>
      <w:bookmarkEnd w:id="332"/>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11,233,978.29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108,478,088.63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108,499,554.11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11,212,512.81</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76,527.22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6,264,291.92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6,183,523.20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157,295.94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32,455.50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32,455.50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11,310,505.51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114,774,836.05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114,715,532.81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11,369,808.75</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2）短期薪酬列示" w:id="333"/>
      <w:bookmarkEnd w:id="33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11,124,930.47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98,542,376.04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98,588,273.47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11,079,033.04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2,264,178.29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2,264,178.29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92,060.99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4,999,508.36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4,978,053.86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113,515.49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85,964.25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4,338,620.43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4,326,486.78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98,097.90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1,354.88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202,055.25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200,198.84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w w:val="95"/>
                <w:sz w:val="18"/>
              </w:rPr>
              <w:t>3,211.29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4,741.86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458,832.68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451,368.24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12,206.30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14,984.00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2,566,015.62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2,563,381.22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17,618.40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2,002.83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106,010.32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105,667.27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2,345.88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5" w:right="0"/>
              <w:jc w:val="left"/>
              <w:rPr>
                <w:rFonts w:ascii="Times New Roman" w:hAnsi="Times New Roman" w:cs="Times New Roman" w:eastAsia="Times New Roman" w:hint="default"/>
                <w:sz w:val="18"/>
                <w:szCs w:val="18"/>
              </w:rPr>
            </w:pPr>
            <w:r>
              <w:rPr>
                <w:rFonts w:ascii="Times New Roman"/>
                <w:sz w:val="18"/>
              </w:rPr>
              <w:t>11,233,978.29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108,478,088.63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2" w:right="0"/>
              <w:jc w:val="left"/>
              <w:rPr>
                <w:rFonts w:ascii="Times New Roman" w:hAnsi="Times New Roman" w:cs="Times New Roman" w:eastAsia="Times New Roman" w:hint="default"/>
                <w:sz w:val="18"/>
                <w:szCs w:val="18"/>
              </w:rPr>
            </w:pPr>
            <w:r>
              <w:rPr>
                <w:rFonts w:ascii="Times New Roman"/>
                <w:sz w:val="18"/>
              </w:rPr>
              <w:t>108,499,554.11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1" w:right="0"/>
              <w:jc w:val="left"/>
              <w:rPr>
                <w:rFonts w:ascii="Times New Roman" w:hAnsi="Times New Roman" w:cs="Times New Roman" w:eastAsia="Times New Roman" w:hint="default"/>
                <w:sz w:val="18"/>
                <w:szCs w:val="18"/>
              </w:rPr>
            </w:pPr>
            <w:r>
              <w:rPr>
                <w:rFonts w:ascii="Times New Roman"/>
                <w:sz w:val="18"/>
              </w:rPr>
              <w:t>11,212,512.81</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3）设定提存计划列示" w:id="334"/>
      <w:bookmarkEnd w:id="33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71,183.26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6,036,640.95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5,955,937.46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151,886.75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5,343.96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227,650.97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227,585.74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5,409.19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76,527.22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6,264,291.92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6,183,523.20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157,295.94</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32、应交税费" w:id="335"/>
      <w:bookmarkEnd w:id="335"/>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4,527,418.25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11,289,057.19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10,676.88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15,365,610.25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31,128,228.44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179,785.41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330,372.14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463,487.29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688,876.86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480,489.56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509,365.87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154,442.40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449,945.90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234,743.36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314,436.92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156,486.61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206,489.85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1,078.50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17,651.40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21,563,541.63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44,945,101.45</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33、其他应付款" w:id="336"/>
      <w:bookmarkEnd w:id="336"/>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652,858.89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894,390.41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31,632,430.36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225,092,623.70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32,285,289.25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225,987,014.11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360"/>
        <w:jc w:val="left"/>
        <w:rPr>
          <w:b w:val="0"/>
          <w:bCs w:val="0"/>
        </w:rPr>
      </w:pPr>
      <w:bookmarkStart w:name="（1）应付利息" w:id="337"/>
      <w:bookmarkEnd w:id="337"/>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110,833.33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206,136.99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542,025.56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688,253.42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652,858.89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894,390.41</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2）应付股利" w:id="338"/>
      <w:bookmarkEnd w:id="338"/>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10"/>
        <w:rPr>
          <w:rFonts w:ascii="宋体" w:hAnsi="宋体" w:cs="宋体" w:eastAsia="宋体" w:hint="default"/>
          <w:sz w:val="25"/>
          <w:szCs w:val="25"/>
        </w:rPr>
      </w:pPr>
    </w:p>
    <w:p>
      <w:pPr>
        <w:pStyle w:val="Heading4"/>
        <w:spacing w:line="240" w:lineRule="auto"/>
        <w:ind w:right="1360"/>
        <w:jc w:val="left"/>
        <w:rPr>
          <w:b w:val="0"/>
          <w:bCs w:val="0"/>
        </w:rPr>
      </w:pPr>
      <w:bookmarkStart w:name="（3）其他应付款" w:id="339"/>
      <w:bookmarkEnd w:id="339"/>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4"/>
        <w:rPr>
          <w:rFonts w:ascii="宋体" w:hAnsi="宋体" w:cs="宋体" w:eastAsia="宋体" w:hint="default"/>
          <w:b/>
          <w:bCs/>
          <w:sz w:val="23"/>
          <w:szCs w:val="23"/>
        </w:rPr>
      </w:pPr>
    </w:p>
    <w:p>
      <w:pPr>
        <w:spacing w:before="44"/>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按款项性质列示其他应付款</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应付股权收购款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9,169,163.10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15,786,020.91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629,872.96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606,627.00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254,019.04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208,994.62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暂收股权转让款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159,400,000.00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3,152,655.16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3,768,273.21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926,720.10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1,322,707.96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31,632,430.36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225,092,623.70</w:t>
            </w:r>
          </w:p>
        </w:tc>
      </w:tr>
    </w:tbl>
    <w:p>
      <w:pPr>
        <w:spacing w:before="51"/>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年的重要其他应付款</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360"/>
        <w:jc w:val="left"/>
        <w:rPr>
          <w:b w:val="0"/>
          <w:bCs w:val="0"/>
        </w:rPr>
      </w:pPr>
      <w:bookmarkStart w:name="34、持有待售负债" w:id="340"/>
      <w:bookmarkEnd w:id="340"/>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35、一年内到期的非流动负债" w:id="341"/>
      <w:bookmarkEnd w:id="341"/>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36、其他流动负债" w:id="342"/>
      <w:bookmarkEnd w:id="342"/>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预收股权处置款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38,000,000.00</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37、长期借款" w:id="343"/>
      <w:bookmarkEnd w:id="343"/>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60"/>
        <w:jc w:val="left"/>
        <w:rPr>
          <w:b w:val="0"/>
          <w:bCs w:val="0"/>
        </w:rPr>
      </w:pPr>
      <w:bookmarkStart w:name="（1）长期借款分类" w:id="344"/>
      <w:bookmarkEnd w:id="344"/>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r>
    </w:tbl>
    <w:p>
      <w:pPr>
        <w:spacing w:line="360" w:lineRule="auto" w:before="51"/>
        <w:ind w:left="154" w:right="8592"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pStyle w:val="BodyText"/>
        <w:spacing w:line="268" w:lineRule="auto"/>
        <w:ind w:right="0" w:firstLine="420"/>
        <w:jc w:val="left"/>
      </w:pPr>
      <w:r>
        <w:rPr/>
        <w:t>长期借款的年利率为</w:t>
      </w:r>
      <w:r>
        <w:rPr>
          <w:rFonts w:ascii="Times New Roman" w:hAnsi="Times New Roman" w:cs="Times New Roman" w:eastAsia="Times New Roman" w:hint="default"/>
        </w:rPr>
        <w:t>5.7%</w:t>
      </w:r>
      <w:r>
        <w:rPr/>
        <w:t>。 </w:t>
      </w:r>
      <w:r>
        <w:rPr>
          <w:spacing w:val="-1"/>
        </w:rPr>
        <w:t>长期借款合同约定，赵小强需保持对美盛控股集团有限公司及对本公司的控制地位，美盛控股需保持对本</w:t>
      </w:r>
      <w:r>
        <w:rPr>
          <w:spacing w:val="-81"/>
        </w:rPr>
        <w:t> </w:t>
      </w:r>
      <w:r>
        <w:rPr>
          <w:spacing w:val="-81"/>
        </w:rPr>
      </w:r>
      <w:r>
        <w:rPr>
          <w:spacing w:val="-1"/>
        </w:rPr>
        <w:t>公司的控制地位，如有重大负面情况或影响美盛控股及赵小强上市公司控股地位的情形，银行有权采取措</w:t>
      </w:r>
      <w:r>
        <w:rPr>
          <w:spacing w:val="-81"/>
        </w:rPr>
        <w:t> </w:t>
      </w:r>
      <w:r>
        <w:rPr>
          <w:spacing w:val="-81"/>
        </w:rPr>
      </w:r>
      <w:r>
        <w:rPr>
          <w:spacing w:val="-1"/>
        </w:rPr>
        <w:t>施保障银行贷款本息安全，包括但不限于提前宣布贷款到期。受本财务报表附注十二资产负债表日后事项</w:t>
      </w:r>
    </w:p>
    <w:p>
      <w:pPr>
        <w:pStyle w:val="BodyText"/>
        <w:spacing w:line="240" w:lineRule="auto" w:before="12"/>
        <w:ind w:right="1360"/>
        <w:jc w:val="left"/>
      </w:pPr>
      <w:r>
        <w:rPr/>
        <w:t>（二）所述事项之影响，公司长期借款有可能需提前偿还。</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1360"/>
        <w:jc w:val="left"/>
        <w:rPr>
          <w:b w:val="0"/>
          <w:bCs w:val="0"/>
        </w:rPr>
      </w:pPr>
      <w:bookmarkStart w:name="38、应付债券" w:id="345"/>
      <w:bookmarkEnd w:id="345"/>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1）应付债券" w:id="346"/>
      <w:bookmarkEnd w:id="346"/>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right="1360"/>
        <w:jc w:val="left"/>
        <w:rPr>
          <w:b w:val="0"/>
          <w:bCs w:val="0"/>
        </w:rPr>
      </w:pPr>
      <w:bookmarkStart w:name="（2）应付债券的增减变动（不包括划分为金融负债的优先股、永续债等其他金融工具）" w:id="347"/>
      <w:bookmarkEnd w:id="347"/>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24"/>
          <w:szCs w:val="24"/>
        </w:rPr>
      </w:pPr>
    </w:p>
    <w:p>
      <w:pPr>
        <w:pStyle w:val="Heading4"/>
        <w:spacing w:line="240" w:lineRule="auto" w:before="35"/>
        <w:ind w:right="1360"/>
        <w:jc w:val="left"/>
        <w:rPr>
          <w:b w:val="0"/>
          <w:bCs w:val="0"/>
        </w:rPr>
      </w:pPr>
      <w:bookmarkStart w:name="（3）可转换公司债券的转股条件、转股时间说明" w:id="348"/>
      <w:bookmarkEnd w:id="348"/>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60"/>
        <w:jc w:val="left"/>
        <w:rPr>
          <w:b w:val="0"/>
          <w:bCs w:val="0"/>
        </w:rPr>
      </w:pPr>
      <w:bookmarkStart w:name="（4）划分为金融负债的其他金融工具说明" w:id="349"/>
      <w:bookmarkEnd w:id="349"/>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57" w:lineRule="auto"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5" w:space="417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1"/>
        <w:ind w:left="154" w:right="7512"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11"/>
        <w:rPr>
          <w:rFonts w:ascii="宋体" w:hAnsi="宋体" w:cs="宋体" w:eastAsia="宋体" w:hint="default"/>
          <w:sz w:val="19"/>
          <w:szCs w:val="19"/>
        </w:rPr>
      </w:pPr>
    </w:p>
    <w:p>
      <w:pPr>
        <w:pStyle w:val="Heading4"/>
        <w:spacing w:line="240" w:lineRule="auto"/>
        <w:ind w:right="1360"/>
        <w:jc w:val="left"/>
        <w:rPr>
          <w:b w:val="0"/>
          <w:bCs w:val="0"/>
        </w:rPr>
      </w:pPr>
      <w:bookmarkStart w:name="39、长期应付款" w:id="350"/>
      <w:bookmarkEnd w:id="350"/>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right="1360"/>
        <w:jc w:val="left"/>
        <w:rPr>
          <w:b w:val="0"/>
          <w:bCs w:val="0"/>
        </w:rPr>
      </w:pPr>
      <w:bookmarkStart w:name="（1）按款项性质列示长期应付款" w:id="351"/>
      <w:bookmarkEnd w:id="351"/>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2）专项应付款" w:id="352"/>
      <w:bookmarkEnd w:id="352"/>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2"/>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360"/>
        <w:jc w:val="left"/>
        <w:rPr>
          <w:b w:val="0"/>
          <w:bCs w:val="0"/>
        </w:rPr>
      </w:pPr>
      <w:bookmarkStart w:name="40、长期应付职工薪酬" w:id="353"/>
      <w:bookmarkEnd w:id="353"/>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60"/>
        <w:jc w:val="left"/>
        <w:rPr>
          <w:b w:val="0"/>
          <w:bCs w:val="0"/>
        </w:rPr>
      </w:pPr>
      <w:bookmarkStart w:name="（1）长期应付职工薪酬表" w:id="354"/>
      <w:bookmarkEnd w:id="354"/>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right="1360"/>
        <w:jc w:val="left"/>
        <w:rPr>
          <w:b w:val="0"/>
          <w:bCs w:val="0"/>
        </w:rPr>
      </w:pPr>
      <w:bookmarkStart w:name="（2）设定受益计划变动情况" w:id="355"/>
      <w:bookmarkEnd w:id="355"/>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spacing w:before="44"/>
        <w:ind w:left="154" w:right="136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7" w:lineRule="auto" w:before="52"/>
        <w:ind w:left="154" w:right="3552"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9"/>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41、预计负债" w:id="356"/>
      <w:bookmarkEnd w:id="356"/>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42、递延收益" w:id="357"/>
      <w:bookmarkEnd w:id="357"/>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23,226,579.45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1,252,305.53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22,334,273.92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23,226,579.45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1,252,305.53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22,334,273.92</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110.120003pt;margin-top:494.73999pt;width:52.75pt;height:7.8pt;mso-position-horizontal-relative:page;mso-position-vertical-relative:page;z-index:-990976" coordorigin="2202,9895" coordsize="1055,156">
            <v:shape style="position:absolute;left:2202;top:9895;width:1055;height:156" coordorigin="2202,9895" coordsize="1055,156" path="m2202,10051l3257,10051,3257,9895,2202,9895,2202,10051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动漫文化创 意服务平台 建设项目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2,577,712.75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105,571.80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2,472,140.95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动漫文化创 意基地（一 </w:t>
            </w:r>
            <w:r>
              <w:rPr>
                <w:rFonts w:ascii="宋体" w:hAnsi="宋体" w:cs="宋体" w:eastAsia="宋体" w:hint="default"/>
                <w:spacing w:val="-13"/>
                <w:sz w:val="18"/>
                <w:szCs w:val="18"/>
              </w:rPr>
              <w:t>期）建设项目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1,649,999.75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66,666.72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1,583,333.03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动漫文化创 意服务平台 建设项目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1,718,475.17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70,381.20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1,648,093.97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动漫产业生 产出口基地 及走出去项 目建设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5,125,125.65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205,690.68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4,919,434.97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动漫服饰扩 产项目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573,237.11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23,083.44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550,153.67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动漫文化产 品创意设计 中心建设项 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333,333.33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9,666,666.67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文化专项补 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33,333.33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966,666.67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《鞋子也疯 狂》</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216,705.90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216,705.90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《美盛星学 院魔法礼服》</w:t>
            </w:r>
          </w:p>
        </w:tc>
        <w:tc>
          <w:tcPr>
            <w:tcW w:w="106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120,130.81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39,680.28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80,450.53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《光之契约》</w:t>
            </w:r>
          </w:p>
        </w:tc>
        <w:tc>
          <w:tcPr>
            <w:tcW w:w="106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245,192.31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57,692.18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187,500.13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《魔幻壁球》</w:t>
            </w:r>
          </w:p>
        </w:tc>
        <w:tc>
          <w:tcPr>
            <w:tcW w:w="1064" w:type="dxa"/>
            <w:tcBorders>
              <w:top w:val="single" w:sz="4" w:space="0" w:color="000000"/>
              <w:left w:val="single" w:sz="13" w:space="0" w:color="FF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4,166.67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195,833.33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《星学院Ⅱ 之月灵手环》</w:t>
            </w:r>
          </w:p>
        </w:tc>
        <w:tc>
          <w:tcPr>
            <w:tcW w:w="106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23,226,579.4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1,252,305.53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22,334,273.9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before="51"/>
        <w:ind w:left="154" w:right="1360" w:firstLine="0"/>
        <w:jc w:val="left"/>
        <w:rPr>
          <w:rFonts w:ascii="宋体" w:hAnsi="宋体" w:cs="宋体" w:eastAsia="宋体" w:hint="default"/>
          <w:sz w:val="18"/>
          <w:szCs w:val="18"/>
        </w:rPr>
      </w:pPr>
      <w:r>
        <w:rPr/>
        <w:pict>
          <v:group style="position:absolute;margin-left:110.120003pt;margin-top:-43.99828pt;width:52.75pt;height:7.8pt;mso-position-horizontal-relative:page;mso-position-vertical-relative:paragraph;z-index:-990952" coordorigin="2202,-880" coordsize="1055,156">
            <v:shape style="position:absolute;left:2202;top:-880;width:1055;height:156" coordorigin="2202,-880" coordsize="1055,156" path="m2202,-724l3257,-724,3257,-880,2202,-880,2202,-724xe" filled="true" fillcolor="#ffffff" stroked="false">
              <v:path arrowok="t"/>
              <v:fill type="solid"/>
            </v:shape>
            <w10:wrap type="none"/>
          </v:group>
        </w:pict>
      </w:r>
      <w:r>
        <w:rPr>
          <w:rFonts w:ascii="宋体" w:hAnsi="宋体" w:cs="宋体" w:eastAsia="宋体" w:hint="default"/>
          <w:sz w:val="18"/>
          <w:szCs w:val="18"/>
        </w:rPr>
        <w:t>其他说明：</w:t>
      </w:r>
    </w:p>
    <w:p>
      <w:pPr>
        <w:pStyle w:val="BodyText"/>
        <w:spacing w:line="240" w:lineRule="auto" w:before="90"/>
        <w:ind w:left="742" w:right="0"/>
        <w:jc w:val="left"/>
      </w:pPr>
      <w:r>
        <w:rPr/>
        <w:t>政府补助本期计入当期损益情况详见本财务报表附注合并财务报表项目注释其他之政府补助说明。</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right="1360"/>
        <w:jc w:val="left"/>
        <w:rPr>
          <w:b w:val="0"/>
          <w:bCs w:val="0"/>
        </w:rPr>
      </w:pPr>
      <w:bookmarkStart w:name="43、其他非流动负债" w:id="358"/>
      <w:bookmarkEnd w:id="358"/>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360"/>
        <w:jc w:val="left"/>
        <w:rPr>
          <w:b w:val="0"/>
          <w:bCs w:val="0"/>
        </w:rPr>
      </w:pPr>
      <w:bookmarkStart w:name="44、股本" w:id="359"/>
      <w:bookmarkEnd w:id="359"/>
      <w:r>
        <w:rPr>
          <w:b w:val="0"/>
          <w:bCs w:val="0"/>
        </w:rPr>
      </w:r>
      <w:r>
        <w:rPr>
          <w:rFonts w:ascii="Times New Roman" w:hAnsi="Times New Roman" w:cs="Times New Roman" w:eastAsia="Times New Roman" w:hint="default"/>
        </w:rPr>
        <w:t>44</w:t>
      </w:r>
      <w:r>
        <w:rPr/>
        <w:t>、股本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909,572,725.00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909,572,725.00</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45、其他权益工具" w:id="360"/>
      <w:bookmarkEnd w:id="360"/>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60"/>
        <w:jc w:val="left"/>
        <w:rPr>
          <w:b w:val="0"/>
          <w:bCs w:val="0"/>
        </w:rPr>
      </w:pPr>
      <w:bookmarkStart w:name="（1）期末发行在外的优先股、永续债等其他金融工具基本情况" w:id="361"/>
      <w:bookmarkEnd w:id="361"/>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2）期末发行在外的优先股、永续债等金融工具变动情况表" w:id="362"/>
      <w:bookmarkEnd w:id="362"/>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1"/>
        <w:ind w:left="154" w:right="4632"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12"/>
        <w:rPr>
          <w:rFonts w:ascii="宋体" w:hAnsi="宋体" w:cs="宋体" w:eastAsia="宋体" w:hint="default"/>
          <w:sz w:val="19"/>
          <w:szCs w:val="19"/>
        </w:rPr>
      </w:pPr>
    </w:p>
    <w:p>
      <w:pPr>
        <w:pStyle w:val="Heading4"/>
        <w:spacing w:line="240" w:lineRule="auto"/>
        <w:ind w:right="1360"/>
        <w:jc w:val="left"/>
        <w:rPr>
          <w:b w:val="0"/>
          <w:bCs w:val="0"/>
        </w:rPr>
      </w:pPr>
      <w:bookmarkStart w:name="46、资本公积" w:id="363"/>
      <w:bookmarkEnd w:id="363"/>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1,991,140,466.93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1,991,140,466.93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15,439,932.92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22,278,987.79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37,718,920.71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2,006,580,399.85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22,278,987.79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2,028,859,387.64</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56" w:lineRule="auto" w:before="90"/>
        <w:ind w:right="1022" w:firstLine="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月，公司将持有的北京晨星闪亮影视文化有限公司</w:t>
      </w:r>
      <w:r>
        <w:rPr>
          <w:rFonts w:ascii="Times New Roman" w:hAnsi="Times New Roman" w:cs="Times New Roman" w:eastAsia="Times New Roman" w:hint="default"/>
        </w:rPr>
        <w:t>5%</w:t>
      </w:r>
      <w:r>
        <w:rPr/>
        <w:t>的股权作价</w:t>
      </w:r>
      <w:r>
        <w:rPr>
          <w:rFonts w:ascii="Times New Roman" w:hAnsi="Times New Roman" w:cs="Times New Roman" w:eastAsia="Times New Roman" w:hint="default"/>
        </w:rPr>
        <w:t>1,200.00</w:t>
      </w:r>
      <w:r>
        <w:rPr/>
        <w:t>万元转让给陈俊兵， </w:t>
      </w:r>
      <w:r>
        <w:rPr>
          <w:spacing w:val="-2"/>
        </w:rPr>
        <w:t>该股权成本为</w:t>
      </w:r>
      <w:r>
        <w:rPr>
          <w:rFonts w:ascii="Times New Roman" w:hAnsi="Times New Roman" w:cs="Times New Roman" w:eastAsia="Times New Roman" w:hint="default"/>
          <w:spacing w:val="-2"/>
        </w:rPr>
        <w:t>500.00</w:t>
      </w:r>
      <w:r>
        <w:rPr>
          <w:spacing w:val="-2"/>
        </w:rPr>
        <w:t>万元。</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月，陈俊兵将受让的股权转让给浙江名扬文化股份有限公司（以下简称</w:t>
      </w:r>
      <w:r>
        <w:rPr>
          <w:spacing w:val="-82"/>
        </w:rPr>
        <w:t> </w:t>
      </w:r>
      <w:r>
        <w:rPr>
          <w:spacing w:val="-82"/>
        </w:rPr>
      </w:r>
      <w:r>
        <w:rPr/>
        <w:t>名扬文化公司），转让价为</w:t>
      </w:r>
      <w:r>
        <w:rPr>
          <w:rFonts w:ascii="Times New Roman" w:hAnsi="Times New Roman" w:cs="Times New Roman" w:eastAsia="Times New Roman" w:hint="default"/>
        </w:rPr>
        <w:t>1,200.00</w:t>
      </w:r>
      <w:r>
        <w:rPr/>
        <w:t>万元。公司控股股东美盛控股持有名扬文化公司</w:t>
      </w:r>
      <w:r>
        <w:rPr>
          <w:rFonts w:ascii="Times New Roman" w:hAnsi="Times New Roman" w:cs="Times New Roman" w:eastAsia="Times New Roman" w:hint="default"/>
        </w:rPr>
        <w:t>21.43%</w:t>
      </w:r>
      <w:r>
        <w:rPr/>
        <w:t>的股权，公司</w:t>
      </w:r>
      <w:r>
        <w:rPr>
          <w:spacing w:val="-45"/>
        </w:rPr>
        <w:t> </w:t>
      </w:r>
      <w:r>
        <w:rPr/>
        <w:t>将上述交易认定为权益性交易，将转让价格与该项资产公允价值之间的差额</w:t>
      </w:r>
      <w:r>
        <w:rPr>
          <w:rFonts w:ascii="Times New Roman" w:hAnsi="Times New Roman" w:cs="Times New Roman" w:eastAsia="Times New Roman" w:hint="default"/>
        </w:rPr>
        <w:t>700.00</w:t>
      </w:r>
      <w:r>
        <w:rPr/>
        <w:t>万元计入资本公积。</w:t>
      </w:r>
    </w:p>
    <w:p>
      <w:pPr>
        <w:pStyle w:val="BodyText"/>
        <w:spacing w:line="261" w:lineRule="auto" w:before="5"/>
        <w:ind w:right="1131" w:firstLine="42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月，公司将持有的广州创幻</w:t>
      </w:r>
      <w:r>
        <w:rPr>
          <w:rFonts w:ascii="Times New Roman" w:hAnsi="Times New Roman" w:cs="Times New Roman" w:eastAsia="Times New Roman" w:hint="default"/>
          <w:spacing w:val="-2"/>
        </w:rPr>
        <w:t>9.50%</w:t>
      </w:r>
      <w:r>
        <w:rPr>
          <w:spacing w:val="-2"/>
        </w:rPr>
        <w:t>的股权以</w:t>
      </w:r>
      <w:r>
        <w:rPr>
          <w:rFonts w:ascii="Times New Roman" w:hAnsi="Times New Roman" w:cs="Times New Roman" w:eastAsia="Times New Roman" w:hint="default"/>
          <w:spacing w:val="-2"/>
        </w:rPr>
        <w:t>2,600</w:t>
      </w:r>
      <w:r>
        <w:rPr>
          <w:spacing w:val="-2"/>
        </w:rPr>
        <w:t>万元的交易对价转让给杭州西略文化创意有限</w:t>
      </w:r>
      <w:r>
        <w:rPr/>
        <w:t> </w:t>
      </w:r>
      <w:r>
        <w:rPr>
          <w:spacing w:val="-1"/>
        </w:rPr>
        <w:t>公司，该交易的最终交易对方实际为美盛控股。公司将上述交易认定为权益性交易，将转让价格与该项资</w:t>
      </w:r>
      <w:r>
        <w:rPr>
          <w:spacing w:val="-83"/>
        </w:rPr>
        <w:t> </w:t>
      </w:r>
      <w:r>
        <w:rPr>
          <w:spacing w:val="-83"/>
        </w:rPr>
      </w:r>
      <w:r>
        <w:rPr/>
        <w:t>产公允价值之间的差额</w:t>
      </w:r>
      <w:r>
        <w:rPr>
          <w:rFonts w:ascii="Times New Roman" w:hAnsi="Times New Roman" w:cs="Times New Roman" w:eastAsia="Times New Roman" w:hint="default"/>
        </w:rPr>
        <w:t>21,709,139.14</w:t>
      </w:r>
      <w:r>
        <w:rPr/>
        <w:t>元计入资本公积。同时，因本次转让交易，公司将原确认的联营企业</w:t>
      </w:r>
      <w:r>
        <w:rPr>
          <w:spacing w:val="-80"/>
        </w:rPr>
        <w:t> </w:t>
      </w:r>
      <w:r>
        <w:rPr>
          <w:spacing w:val="-80"/>
        </w:rPr>
      </w:r>
      <w:r>
        <w:rPr/>
        <w:t>其他权益变动产生的资本公积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262,839.51</w:t>
      </w:r>
      <w:r>
        <w:rPr/>
        <w:t>元予以转出。</w:t>
      </w:r>
    </w:p>
    <w:p>
      <w:pPr>
        <w:pStyle w:val="BodyText"/>
        <w:spacing w:line="240" w:lineRule="auto"/>
        <w:ind w:right="1360"/>
        <w:jc w:val="left"/>
      </w:pPr>
      <w:r>
        <w:rPr/>
        <w:t>本期，因联营企业</w:t>
      </w:r>
      <w:r>
        <w:rPr>
          <w:rFonts w:ascii="Times New Roman" w:hAnsi="Times New Roman" w:cs="Times New Roman" w:eastAsia="Times New Roman" w:hint="default"/>
        </w:rPr>
        <w:t>Jakks</w:t>
      </w:r>
      <w:r>
        <w:rPr>
          <w:rFonts w:ascii="Times New Roman" w:hAnsi="Times New Roman" w:cs="Times New Roman" w:eastAsia="Times New Roman" w:hint="default"/>
          <w:spacing w:val="-6"/>
        </w:rPr>
        <w:t> </w:t>
      </w:r>
      <w:r>
        <w:rPr>
          <w:rFonts w:ascii="Times New Roman" w:hAnsi="Times New Roman" w:cs="Times New Roman" w:eastAsia="Times New Roman" w:hint="default"/>
        </w:rPr>
        <w:t>Pacific</w:t>
      </w:r>
      <w:r>
        <w:rPr/>
        <w:t>其他权益变动，导致资本公积</w:t>
      </w:r>
      <w:r>
        <w:rPr>
          <w:rFonts w:ascii="Times New Roman" w:hAnsi="Times New Roman" w:cs="Times New Roman" w:eastAsia="Times New Roman" w:hint="default"/>
        </w:rPr>
        <w:t>-</w:t>
      </w:r>
      <w:r>
        <w:rPr/>
        <w:t>其他资本公积减少</w:t>
      </w:r>
      <w:r>
        <w:rPr>
          <w:rFonts w:ascii="Times New Roman" w:hAnsi="Times New Roman" w:cs="Times New Roman" w:eastAsia="Times New Roman" w:hint="default"/>
        </w:rPr>
        <w:t>6,167,311.84</w:t>
      </w:r>
      <w:r>
        <w:rPr/>
        <w:t>元。</w:t>
      </w:r>
    </w:p>
    <w:p>
      <w:pPr>
        <w:spacing w:line="240" w:lineRule="auto" w:before="9"/>
        <w:rPr>
          <w:rFonts w:ascii="宋体" w:hAnsi="宋体" w:cs="宋体" w:eastAsia="宋体" w:hint="default"/>
          <w:sz w:val="24"/>
          <w:szCs w:val="24"/>
        </w:rPr>
      </w:pPr>
    </w:p>
    <w:p>
      <w:pPr>
        <w:pStyle w:val="Heading4"/>
        <w:spacing w:line="240" w:lineRule="auto"/>
        <w:ind w:right="1360"/>
        <w:jc w:val="left"/>
        <w:rPr>
          <w:b w:val="0"/>
          <w:bCs w:val="0"/>
        </w:rPr>
      </w:pPr>
      <w:bookmarkStart w:name="47、库存股" w:id="364"/>
      <w:bookmarkEnd w:id="364"/>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48、其他综合收益" w:id="365"/>
      <w:bookmarkEnd w:id="365"/>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397"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7"/>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-23,298,264.9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12,159,827.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367,643.74</w:t>
            </w: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12,010,486.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69</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149,340.44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-11,655,4</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22.01</w:t>
            </w: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其中：权益法下可转损益的其他综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-4,490,514.07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-485,696.62</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-485,696.62</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-4,976,21</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0.69</w:t>
            </w: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7"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4,505.41</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-1,344,701.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-1,344,701.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05</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-1,340,19</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5.64</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-18,812,256.3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13,990,224.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367,643.74</w:t>
            </w: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13,840,884.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36</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149,340.44</w:t>
            </w: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-5,339,01</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5.68</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-23,298,264.9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12,159,827.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13</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367,643.74</w:t>
            </w: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12,010,486.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69</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149,340.44</w:t>
            </w: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-11,655,4</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22.01</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49、专项储备" w:id="366"/>
      <w:bookmarkEnd w:id="366"/>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50、盈余公积" w:id="367"/>
      <w:bookmarkEnd w:id="367"/>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64,026,557.90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64,026,557.90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64,026,557.90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64,026,557.90</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51、未分配利润" w:id="368"/>
      <w:bookmarkEnd w:id="368"/>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5"/>
        <w:gridCol w:w="2925"/>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527,969,718.81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477,664,376.64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-229,516,119.48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190,785,271.54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14,150,384.12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126,329,545.25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298,453,599.33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527,969,718.81</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before="102"/>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3"/>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2"/>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102"/>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10"/>
        <w:rPr>
          <w:rFonts w:ascii="宋体" w:hAnsi="宋体" w:cs="宋体" w:eastAsia="宋体" w:hint="default"/>
          <w:sz w:val="25"/>
          <w:szCs w:val="25"/>
        </w:rPr>
      </w:pPr>
    </w:p>
    <w:p>
      <w:pPr>
        <w:pStyle w:val="Heading4"/>
        <w:spacing w:line="240" w:lineRule="auto"/>
        <w:ind w:right="1360"/>
        <w:jc w:val="left"/>
        <w:rPr>
          <w:b w:val="0"/>
          <w:bCs w:val="0"/>
        </w:rPr>
      </w:pPr>
      <w:bookmarkStart w:name="52、营业收入和营业成本" w:id="369"/>
      <w:bookmarkEnd w:id="369"/>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766,382,964.15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514,904,973.30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903,505,119.42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530,248,584.19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11,422,692.43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9,591,958.54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8,702,843.62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5,180,973.06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777,805,656.58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524,496,931.84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912,207,963.04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535,429,557.25</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53、税金及附加" w:id="370"/>
      <w:bookmarkEnd w:id="370"/>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2,553,571.76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2,462,787.79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1,410,377.48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1,304,675.14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1,366,359.16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1,339,007.86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369,228.30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579,178.68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13,860.00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9,880.00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382,189.82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436,154.84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940,210.56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867,367.02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7,035,797.08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6,999,051.33</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54、销售费用" w:id="371"/>
      <w:bookmarkEnd w:id="371"/>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4,888,212.79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7,736,569.77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7,586,809.59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15,285,256.37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1,395,130.83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2,050,505.57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检验费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307,033.48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1,450,854.41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965,522.80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1,402,073.29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4,359,162.12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7,623,729.00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224,528.30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1,392,776.31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直营商场费用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2,818,146.44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2,961,583.84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1,794,937.20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611,849.57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24,339,483.55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40,515,198.13</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55、管理费用" w:id="372"/>
      <w:bookmarkEnd w:id="372"/>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44,884,827.87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45,677,865.14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15,158,412.91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17,068,594.66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5,630,622.54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4,621,561.46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3,827,402.03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1,712,326.41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8,040,332.28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8,675,038.24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1,870,486.28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1,471,939.88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3,812,765.15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3,260,033.74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4,786,726.57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5,977,501.12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88,011,575.63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88,464,860.65</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56、研发费用" w:id="373"/>
      <w:bookmarkEnd w:id="373"/>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17,068,814.11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11,014,487.02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研发材料费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3,020,986.65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5,481,496.88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3,127,430.10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2,112,042.60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110,677.70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664,291.08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检验检测费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4,925,756.87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4,283,578.50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13,817.33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38,776.50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1,320,818.24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301,924.80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委外制作费用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5,943,396.07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29,588,301.00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29,839,993.45</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57、财务费用" w:id="374"/>
      <w:bookmarkEnd w:id="374"/>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32,944,920.44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16,062,824.25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4,600,551.94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3,466,886.24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-9,485,401.28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6,233,033.11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232,686.38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357,036.02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19,091,653.60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19,186,007.14</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58、资产减值损失" w:id="375"/>
      <w:bookmarkEnd w:id="375"/>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25,460,962.57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6,286,297.70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24,897,228.82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2,397,736.36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2,475,317.84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12,346,144.53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60,095.90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8,498,374.20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71,926.07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229,637,264.08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35,885,244.10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6,506,052.17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309,881,440.11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45,541,204.23</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59、其他收益" w:id="376"/>
      <w:bookmarkEnd w:id="376"/>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1,252,305.53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723,989.82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8,505,764.10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12,550,550.91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27,595.41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9,785,665.04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13,274,540.73</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60、投资收益" w:id="377"/>
      <w:bookmarkEnd w:id="377"/>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-50,016,404.58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-65,499,589.50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10,872,544.89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47,614,523.66</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7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3,428,601.64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7,548,576.17</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2,937,659.57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416,669.91</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33,564,979.51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73,189,013.20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787,381.03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63,269,193.44</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right="1132" w:firstLine="420"/>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：本期，公司处置子公司</w:t>
      </w:r>
      <w:r>
        <w:rPr>
          <w:rFonts w:ascii="Times New Roman" w:hAnsi="Times New Roman" w:cs="Times New Roman" w:eastAsia="Times New Roman" w:hint="default"/>
        </w:rPr>
        <w:t>Costume</w:t>
      </w:r>
      <w:r>
        <w:rPr>
          <w:rFonts w:ascii="Times New Roman" w:hAnsi="Times New Roman" w:cs="Times New Roman" w:eastAsia="Times New Roman" w:hint="default"/>
          <w:spacing w:val="-35"/>
        </w:rPr>
        <w:t> </w:t>
      </w:r>
      <w:r>
        <w:rPr>
          <w:rFonts w:ascii="Times New Roman" w:hAnsi="Times New Roman" w:cs="Times New Roman" w:eastAsia="Times New Roman" w:hint="default"/>
        </w:rPr>
        <w:t>Craze</w:t>
      </w:r>
      <w:r>
        <w:rPr/>
        <w:t>产生处置收益</w:t>
      </w:r>
      <w:r>
        <w:rPr>
          <w:rFonts w:ascii="Times New Roman" w:hAnsi="Times New Roman" w:cs="Times New Roman" w:eastAsia="Times New Roman" w:hint="default"/>
        </w:rPr>
        <w:t>5,898,239.26</w:t>
      </w:r>
      <w:r>
        <w:rPr/>
        <w:t>元，处置子公司日本爱华产生处 置收益</w:t>
      </w:r>
      <w:r>
        <w:rPr>
          <w:rFonts w:ascii="Times New Roman" w:hAnsi="Times New Roman" w:cs="Times New Roman" w:eastAsia="Times New Roman" w:hint="default"/>
        </w:rPr>
        <w:t>1,164,537.31</w:t>
      </w:r>
      <w:r>
        <w:rPr/>
        <w:t>元，处置子公司鱼骨头公司产生处置收益</w:t>
      </w:r>
      <w:r>
        <w:rPr>
          <w:rFonts w:ascii="Times New Roman" w:hAnsi="Times New Roman" w:cs="Times New Roman" w:eastAsia="Times New Roman" w:hint="default"/>
        </w:rPr>
        <w:t>3,660,743.25</w:t>
      </w:r>
      <w:r>
        <w:rPr/>
        <w:t>元，处置联营企业广州漫联产生</w:t>
      </w:r>
      <w:r>
        <w:rPr>
          <w:spacing w:val="-31"/>
        </w:rPr>
        <w:t> </w:t>
      </w:r>
      <w:r>
        <w:rPr>
          <w:spacing w:val="-31"/>
        </w:rPr>
      </w:r>
      <w:r>
        <w:rPr/>
        <w:t>处置收益</w:t>
      </w:r>
      <w:r>
        <w:rPr>
          <w:rFonts w:ascii="Times New Roman" w:hAnsi="Times New Roman" w:cs="Times New Roman" w:eastAsia="Times New Roman" w:hint="default"/>
        </w:rPr>
        <w:t>149,025.07</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7"/>
          <w:szCs w:val="27"/>
        </w:rPr>
      </w:pPr>
    </w:p>
    <w:p>
      <w:pPr>
        <w:pStyle w:val="Heading4"/>
        <w:spacing w:line="240" w:lineRule="auto"/>
        <w:ind w:right="1360"/>
        <w:jc w:val="left"/>
        <w:rPr>
          <w:b w:val="0"/>
          <w:bCs w:val="0"/>
        </w:rPr>
      </w:pPr>
      <w:bookmarkStart w:name="61、公允价值变动收益" w:id="378"/>
      <w:bookmarkEnd w:id="378"/>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理财产品收益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-1,183,561.64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592,328.76</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业绩承诺补偿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-5,655,202.61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-1,893,373.56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-6,838,764.25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-1,301,044.80</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62、资产处置收益" w:id="379"/>
      <w:bookmarkEnd w:id="379"/>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49,467.13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无形资产处置收益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1,886,792.43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49,467.13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1,886,792.43</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63、营业外收入" w:id="380"/>
      <w:bookmarkEnd w:id="380"/>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431.52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无需支付款项</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797,860.08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罚没收入</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29,498.73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867,790.33</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3"/>
        <w:gridCol w:w="1051"/>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38"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64、营业外支出" w:id="381"/>
      <w:bookmarkEnd w:id="381"/>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133.48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诉讼赔偿</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47,600.00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23,704.85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86,735.64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23,704.85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14,124.32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159,819.98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14,124.32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85,562.65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247,361.62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85,562.65</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65、所得税费用" w:id="382"/>
      <w:bookmarkEnd w:id="382"/>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60"/>
        <w:jc w:val="left"/>
        <w:rPr>
          <w:b w:val="0"/>
          <w:bCs w:val="0"/>
        </w:rPr>
      </w:pPr>
      <w:bookmarkStart w:name="（1）所得税费用表" w:id="383"/>
      <w:bookmarkEnd w:id="38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14,641,729.24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42,737,977.29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2,559,577.47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-300,165.09</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17,201,306.71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42,437,812.20</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2）会计利润与所得税费用调整过程" w:id="384"/>
      <w:bookmarkEnd w:id="38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-220,941,339.93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-33,141,200.99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-12,702,934.56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-1,273,400.60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-269,400.68</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42,860,379.93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-1,989,066.82</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24,357,608.85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研发加计扣除的影响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-3,147,088.24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转回前期确认的递延所得税资产的影响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2,506,409.82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17,201,306.71</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66、其他综合收益" w:id="385"/>
      <w:bookmarkEnd w:id="385"/>
      <w:r>
        <w:rPr>
          <w:b w:val="0"/>
          <w:bCs w:val="0"/>
        </w:rPr>
      </w:r>
      <w:r>
        <w:rPr>
          <w:rFonts w:ascii="Times New Roman" w:hAnsi="Times New Roman" w:cs="Times New Roman" w:eastAsia="Times New Roman" w:hint="default"/>
        </w:rPr>
        <w:t>66</w:t>
      </w:r>
      <w:r>
        <w:rPr/>
        <w:t>、其他综合收益</w:t>
      </w:r>
      <w:r>
        <w:rPr>
          <w:b w:val="0"/>
          <w:bCs w:val="0"/>
        </w:rPr>
      </w:r>
    </w:p>
    <w:p>
      <w:pPr>
        <w:spacing w:line="240" w:lineRule="auto" w:before="8"/>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宋体" w:hAnsi="宋体" w:cs="宋体" w:eastAsia="宋体" w:hint="default"/>
          <w:sz w:val="18"/>
          <w:szCs w:val="18"/>
        </w:rPr>
        <w:t>详见附注财务报表附注合并资产负债表项目注释之其他综合收益说明。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67、现金流量表项目" w:id="386"/>
      <w:bookmarkEnd w:id="386"/>
      <w:r>
        <w:rPr>
          <w:b w:val="0"/>
          <w:bCs w:val="0"/>
        </w:rPr>
      </w:r>
      <w:r>
        <w:rPr>
          <w:rFonts w:ascii="Times New Roman" w:hAnsi="Times New Roman" w:cs="Times New Roman" w:eastAsia="Times New Roman" w:hint="default"/>
        </w:rPr>
        <w:t>67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60"/>
        <w:jc w:val="left"/>
        <w:rPr>
          <w:b w:val="0"/>
          <w:bCs w:val="0"/>
        </w:rPr>
      </w:pPr>
      <w:bookmarkStart w:name="（1）收到的其他与经营活动有关的现金" w:id="387"/>
      <w:bookmarkEnd w:id="38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4,600,551.94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3,466,886.24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17,219,358.99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32,977,693.59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8,164,530.34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14,055,550.91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收回票据保证金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55,459.93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30,384,441.27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50,555,590.67</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360"/>
        <w:jc w:val="left"/>
        <w:rPr>
          <w:b w:val="0"/>
          <w:bCs w:val="0"/>
        </w:rPr>
      </w:pPr>
      <w:bookmarkStart w:name="（2）支付的其他与经营活动有关的现金" w:id="388"/>
      <w:bookmarkEnd w:id="38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30,807,550.38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2,382,560.46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54,495,025.09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60,585,740.49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支付票据保证金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71,438.33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87,541.64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85,374,013.80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63,455,842.59</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3）收到的其他与投资活动有关的现金" w:id="389"/>
      <w:bookmarkEnd w:id="389"/>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收到业绩承诺补偿款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2,245,040.00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7,548,576.17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理财产品到期赎回</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8,285,670,000.00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11,620,199,000.00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暂收股权转让款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197,400,000.00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收回投资性款项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收回资金拆借款项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8,626,915,040.00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11,825,147,576.17</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4）支付的其他与投资活动有关的现金" w:id="390"/>
      <w:bookmarkEnd w:id="390"/>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6,381,860,000.00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11,543,080,000.00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支付投资性的往来款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531,169,389.50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处置子公司转出的货币资金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12,864,675.24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支付资金拆借款项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1,484,189,427.78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8,410,083,492.52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11,543,080,000.00</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5）收到的其他与筹资活动有关的现金" w:id="391"/>
      <w:bookmarkEnd w:id="391"/>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r>
        <w:rPr/>
        <w:pict>
          <v:group style="position:absolute;margin-left:223.339996pt;margin-top:615.669983pt;width:151.25pt;height:20.8pt;mso-position-horizontal-relative:page;mso-position-vertical-relative:page;z-index:-990928" coordorigin="4467,12313" coordsize="3025,416">
            <v:group style="position:absolute;left:4478;top:12325;width:2;height:393" coordorigin="4478,12325" coordsize="2,393">
              <v:shape style="position:absolute;left:4478;top:12325;width:2;height:393" coordorigin="4478,12325" coordsize="0,393" path="m4478,12325l4478,12717e" filled="false" stroked="true" strokeweight="1.140pt" strokecolor="#ffffff">
                <v:path arrowok="t"/>
              </v:shape>
            </v:group>
            <v:group style="position:absolute;left:4490;top:12325;width:3002;height:393" coordorigin="4490,12325" coordsize="3002,393">
              <v:shape style="position:absolute;left:4490;top:12325;width:3002;height:393" coordorigin="4490,12325" coordsize="3002,393" path="m4490,12717l7491,12717,7491,12325,4490,12325,4490,12717xe" filled="true" fillcolor="#ffffff" stroked="false">
                <v:path arrowok="t"/>
                <v:fill type="solid"/>
              </v:shape>
            </v:group>
            <w10:wrap type="none"/>
          </v:group>
        </w:pict>
      </w:r>
    </w:p>
    <w:p>
      <w:pPr>
        <w:spacing w:before="44"/>
        <w:ind w:left="154" w:right="136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6）支付的其他与筹资活动有关的现金" w:id="392"/>
      <w:bookmarkEnd w:id="392"/>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支付非公开发行筹资费用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收购星梦工坊少数股东股权</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2,610,000.00</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68、现金流量表补充资料" w:id="393"/>
      <w:bookmarkEnd w:id="393"/>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60"/>
        <w:jc w:val="left"/>
        <w:rPr>
          <w:b w:val="0"/>
          <w:bCs w:val="0"/>
        </w:rPr>
      </w:pPr>
      <w:bookmarkStart w:name="（1）现金流量表补充资料" w:id="394"/>
      <w:bookmarkEnd w:id="39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-238,142,646.64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181,544,189.17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309,881,440.11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45,541,204.23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19,536,141.99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17,935,031.12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6,836,006.00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6,436,110.77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2,869,849.99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2,671,046.14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-49,467.13</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-1,886,792.43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14,124.32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159,388.46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6,838,764.25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1,301,044.80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23,459,519.16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22,295,857.36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-787,381.03</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-63,269,193.44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079" w:val="left" w:leader="none"/>
              </w:tabs>
              <w:spacing w:line="240" w:lineRule="auto" w:before="51"/>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2,559,577.47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-300,165.09</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-16,539,189.03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-31,747,258.77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-11,692,793.88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-19,239,705.26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31,212,620.85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40,028,968.37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573,824.07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-747,918.46</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136,570,390.50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200,721,806.97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355,846,621.86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320,983,890.44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320,983,890.44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525,179,556.69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34,862,731.42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-204,195,666.25</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2）本期支付的取得子公司的现金净额" w:id="395"/>
      <w:bookmarkEnd w:id="395"/>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3）本期收到的处置子公司的现金净额" w:id="396"/>
      <w:bookmarkEnd w:id="396"/>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鱼骨头公司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4）现金和现金等价物的构成" w:id="397"/>
      <w:bookmarkEnd w:id="397"/>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355,846,621.86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320,983,890.44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72,207.23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119,139.15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354,525,738.89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317,688,589.17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1,248,675.74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3,176,162.12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355,846,621.86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320,983,890.44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line="547" w:lineRule="auto" w:before="0"/>
        <w:ind w:left="154" w:right="5372" w:firstLine="0"/>
        <w:jc w:val="left"/>
        <w:rPr>
          <w:rFonts w:ascii="宋体" w:hAnsi="宋体" w:cs="宋体" w:eastAsia="宋体" w:hint="default"/>
          <w:sz w:val="21"/>
          <w:szCs w:val="21"/>
        </w:rPr>
      </w:pPr>
      <w:bookmarkStart w:name="69、所有者权益变动表项目注释" w:id="398"/>
      <w:bookmarkEnd w:id="398"/>
      <w:r>
        <w:rPr/>
      </w: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0、所有权或使用权受到限制的资产" w:id="399"/>
      <w:bookmarkEnd w:id="399"/>
      <w:r>
        <w:rPr>
          <w:rFonts w:ascii="宋体" w:hAnsi="宋体" w:cs="宋体" w:eastAsia="宋体" w:hint="default"/>
          <w:sz w:val="18"/>
          <w:szCs w:val="18"/>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1,110,000,000.00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用于长期借款的质押</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1,110,000,000.00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89"/>
        <w:ind w:right="1130" w:firstLine="42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月，公司向民生银行杭州西湖支行贷款</w:t>
      </w:r>
      <w:r>
        <w:rPr>
          <w:rFonts w:ascii="Times New Roman" w:hAnsi="Times New Roman" w:cs="Times New Roman" w:eastAsia="Times New Roman" w:hint="default"/>
          <w:spacing w:val="2"/>
        </w:rPr>
        <w:t>120,000,000.00</w:t>
      </w:r>
      <w:r>
        <w:rPr>
          <w:spacing w:val="2"/>
        </w:rPr>
        <w:t>元，贷款期限为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21</w:t>
      </w:r>
      <w:r>
        <w:rPr>
          <w:spacing w:val="2"/>
        </w:rPr>
        <w:t>日至</w:t>
      </w:r>
      <w:r>
        <w:rPr>
          <w:rFonts w:ascii="Times New Roman" w:hAnsi="Times New Roman" w:cs="Times New Roman" w:eastAsia="Times New Roman" w:hint="default"/>
          <w:spacing w:val="2"/>
        </w:rPr>
        <w:t>2020</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日。该笔贷款的担保除由美盛控股与赵小强个人作为保证人外，另以公司持有的真趣网络</w:t>
      </w:r>
      <w:r>
        <w:rPr>
          <w:rFonts w:ascii="Times New Roman" w:hAnsi="Times New Roman" w:cs="Times New Roman" w:eastAsia="Times New Roman" w:hint="default"/>
        </w:rPr>
        <w:t>100%</w:t>
      </w:r>
      <w:r>
        <w:rPr/>
        <w:t>的</w:t>
      </w:r>
      <w:r>
        <w:rPr>
          <w:spacing w:val="-97"/>
        </w:rPr>
        <w:t> </w:t>
      </w:r>
      <w:r>
        <w:rPr/>
        <w:t>股权作为质押。</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right="1360"/>
        <w:jc w:val="left"/>
        <w:rPr>
          <w:b w:val="0"/>
          <w:bCs w:val="0"/>
        </w:rPr>
      </w:pPr>
      <w:bookmarkStart w:name="71、外币货币性项目" w:id="400"/>
      <w:bookmarkEnd w:id="400"/>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60"/>
        <w:jc w:val="left"/>
        <w:rPr>
          <w:b w:val="0"/>
          <w:bCs w:val="0"/>
        </w:rPr>
      </w:pPr>
      <w:bookmarkStart w:name="（1）外币货币性项目" w:id="401"/>
      <w:bookmarkEnd w:id="401"/>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4,868,409.18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33,412,865.88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4,520,616.09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35,474,630.64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1,231,869.21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1,079,363.80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5,936,924.15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40,746,297.83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894,644.74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7,020,545.67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1,029,480.00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6,441.47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50,548.15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54,905,600.00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877,604.77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6,023,177.06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137,939.40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1,082,451.85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1,876,372.76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1,644,077.81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1,123.87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8,819.35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pStyle w:val="Heading4"/>
        <w:spacing w:line="259" w:lineRule="auto"/>
        <w:ind w:right="0"/>
        <w:jc w:val="left"/>
        <w:rPr>
          <w:b w:val="0"/>
          <w:bCs w:val="0"/>
        </w:rPr>
      </w:pPr>
      <w:bookmarkStart w:name="（2）境外经营实体说明，包括对于重要的境外经营实体，应披露其境外主要经营地、记账" w:id="402"/>
      <w:bookmarkEnd w:id="402"/>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73" w:lineRule="auto" w:before="76"/>
        <w:ind w:left="574" w:right="1092" w:firstLine="84"/>
        <w:jc w:val="left"/>
      </w:pPr>
      <w:r>
        <w:rPr/>
        <w:t>境外经营实体说明 本公司全资子公司香港美盛以港币作为记账本位币。本公司下属公司荷兰公司以荷兰为主要经营地，</w:t>
      </w:r>
    </w:p>
    <w:p>
      <w:pPr>
        <w:pStyle w:val="BodyText"/>
        <w:spacing w:line="240" w:lineRule="auto" w:before="7"/>
        <w:ind w:right="1360"/>
        <w:jc w:val="left"/>
      </w:pPr>
      <w:r>
        <w:rPr/>
        <w:t>以欧元为记账本位币。本公司全资子公司美国美盛以美国为主要经营地，以美元为记账本位币。</w:t>
      </w:r>
    </w:p>
    <w:p>
      <w:pPr>
        <w:spacing w:line="240" w:lineRule="auto" w:before="11"/>
        <w:rPr>
          <w:rFonts w:ascii="宋体" w:hAnsi="宋体" w:cs="宋体" w:eastAsia="宋体" w:hint="default"/>
          <w:sz w:val="25"/>
          <w:szCs w:val="25"/>
        </w:rPr>
      </w:pPr>
    </w:p>
    <w:p>
      <w:pPr>
        <w:pStyle w:val="Heading4"/>
        <w:spacing w:line="240" w:lineRule="auto"/>
        <w:ind w:right="1360"/>
        <w:jc w:val="left"/>
        <w:rPr>
          <w:b w:val="0"/>
          <w:bCs w:val="0"/>
        </w:rPr>
      </w:pPr>
      <w:bookmarkStart w:name="72、套期" w:id="403"/>
      <w:bookmarkEnd w:id="403"/>
      <w:r>
        <w:rPr>
          <w:b w:val="0"/>
          <w:bCs w:val="0"/>
        </w:rPr>
      </w:r>
      <w:r>
        <w:rPr>
          <w:rFonts w:ascii="Times New Roman" w:hAnsi="Times New Roman" w:cs="Times New Roman" w:eastAsia="Times New Roman" w:hint="default"/>
        </w:rPr>
        <w:t>72</w:t>
      </w:r>
      <w:r>
        <w:rPr/>
        <w:t>、套期</w:t>
      </w:r>
      <w:r>
        <w:rPr>
          <w:b w:val="0"/>
          <w:bCs w:val="0"/>
        </w:rPr>
      </w:r>
    </w:p>
    <w:p>
      <w:pPr>
        <w:spacing w:line="240" w:lineRule="auto" w:before="9"/>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73、政府补助" w:id="404"/>
      <w:bookmarkEnd w:id="404"/>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60"/>
        <w:jc w:val="left"/>
        <w:rPr>
          <w:b w:val="0"/>
          <w:bCs w:val="0"/>
        </w:rPr>
      </w:pPr>
      <w:bookmarkStart w:name="（1）政府补助基本情况" w:id="405"/>
      <w:bookmarkEnd w:id="405"/>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《魔幻壁球》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4,166.67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《星学院Ⅱ之月灵手环》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技术创新项目补助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新产品财政补助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文化服务出口奖励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商贸服务贸易奖励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专利技术奖励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外贸发展补贴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境外投资奖励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专利项目技术补助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146,300.00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代扣代缴社保的奖励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技能培训奖励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土地使用税退税</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58,840.00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优秀原创动漫作品版权开发 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文化创意企业补贴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税费扶持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1,246,224.10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1,246,224.10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税费返还补助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动漫文化创意服务平台建设 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105,571.80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105,571.80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动漫文化创意基地（一期）建 设项目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66,666.72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66,666.72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动漫文化创意服务平台建设 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70,381.20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70,381.20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动漫产业生产出口基地及走 出去项目建设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205,690.68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205,690.68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动漫服饰扩产项目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23,083.44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23,083.44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动漫文化产品创意设计中心 建设项目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333,333.33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333,333.33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文化专项补助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33,333.33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33,333.33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《鞋子也疯狂》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216,705.90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216,705.90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《美盛星学院魔法礼服》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39,680.28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39,680.28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《光之契约》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57,692.18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57,692.18</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2）政府补助退回情况" w:id="406"/>
      <w:bookmarkEnd w:id="406"/>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其他说明：</w:t>
      </w:r>
    </w:p>
    <w:p>
      <w:pPr>
        <w:pStyle w:val="BodyText"/>
        <w:spacing w:line="240" w:lineRule="auto" w:before="14"/>
        <w:ind w:right="1360"/>
        <w:jc w:val="left"/>
      </w:pPr>
      <w:r>
        <w:rPr/>
        <w:t>本期计入当期损益的政府补助金额为</w:t>
      </w:r>
      <w:r>
        <w:rPr>
          <w:rFonts w:ascii="Times New Roman" w:hAnsi="Times New Roman" w:cs="Times New Roman" w:eastAsia="Times New Roman" w:hint="default"/>
        </w:rPr>
        <w:t>9,758,069.63</w:t>
      </w:r>
      <w:r>
        <w:rPr/>
        <w:t>元。</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line="487" w:lineRule="auto" w:before="35"/>
        <w:ind w:left="154" w:right="8328" w:firstLine="0"/>
        <w:jc w:val="left"/>
        <w:rPr>
          <w:rFonts w:ascii="宋体" w:hAnsi="宋体" w:cs="宋体" w:eastAsia="宋体" w:hint="default"/>
          <w:sz w:val="21"/>
          <w:szCs w:val="21"/>
        </w:rPr>
      </w:pPr>
      <w:bookmarkStart w:name="74、其他" w:id="407"/>
      <w:bookmarkEnd w:id="407"/>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08"/>
      <w:bookmarkEnd w:id="408"/>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09"/>
      <w:bookmarkEnd w:id="40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3"/>
        <w:ind w:right="1360"/>
        <w:jc w:val="left"/>
        <w:rPr>
          <w:b w:val="0"/>
          <w:bCs w:val="0"/>
        </w:rPr>
      </w:pPr>
      <w:bookmarkStart w:name="（1）本期发生的非同一控制下企业合并" w:id="410"/>
      <w:bookmarkEnd w:id="410"/>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2）合并成本及商誉" w:id="411"/>
      <w:bookmarkEnd w:id="411"/>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001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001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799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799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0" w:lineRule="auto" w:before="46"/>
        <w:ind w:left="154" w:right="6072"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6"/>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3）被购买方于购买日可辨认资产、负债" w:id="412"/>
      <w:bookmarkEnd w:id="412"/>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60" w:lineRule="auto" w:before="51"/>
        <w:ind w:left="154" w:right="7530"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4"/>
        <w:spacing w:line="240" w:lineRule="auto"/>
        <w:ind w:right="0"/>
        <w:jc w:val="both"/>
        <w:rPr>
          <w:b w:val="0"/>
          <w:bCs w:val="0"/>
        </w:rPr>
      </w:pPr>
      <w:bookmarkStart w:name="（4）购买日之前持有的股权按照公允价值重新计量产生的利得或损失" w:id="413"/>
      <w:bookmarkEnd w:id="413"/>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6"/>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购买日或合并当期期末无法合理确定合并对价或被购买方可辨认资产、负债公允价值" w:id="414"/>
      <w:bookmarkEnd w:id="414"/>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60"/>
        <w:jc w:val="left"/>
        <w:rPr>
          <w:b w:val="0"/>
          <w:bCs w:val="0"/>
        </w:rPr>
      </w:pPr>
      <w:bookmarkStart w:name="（6）其他说明" w:id="415"/>
      <w:bookmarkEnd w:id="415"/>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360"/>
        <w:jc w:val="left"/>
        <w:rPr>
          <w:b w:val="0"/>
          <w:bCs w:val="0"/>
        </w:rPr>
      </w:pPr>
      <w:bookmarkStart w:name="2、同一控制下企业合并" w:id="416"/>
      <w:bookmarkEnd w:id="416"/>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1）本期发生的同一控制下企业合并" w:id="417"/>
      <w:bookmarkEnd w:id="417"/>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2）合并成本" w:id="418"/>
      <w:bookmarkEnd w:id="418"/>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799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799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799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799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0" w:lineRule="auto" w:before="46"/>
        <w:ind w:left="154" w:right="8592"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12"/>
        <w:rPr>
          <w:rFonts w:ascii="宋体" w:hAnsi="宋体" w:cs="宋体" w:eastAsia="宋体" w:hint="default"/>
          <w:sz w:val="19"/>
          <w:szCs w:val="19"/>
        </w:rPr>
      </w:pPr>
    </w:p>
    <w:p>
      <w:pPr>
        <w:pStyle w:val="Heading4"/>
        <w:spacing w:line="240" w:lineRule="auto"/>
        <w:ind w:right="1360"/>
        <w:jc w:val="left"/>
        <w:rPr>
          <w:b w:val="0"/>
          <w:bCs w:val="0"/>
        </w:rPr>
      </w:pPr>
      <w:bookmarkStart w:name="（3）合并日被合并方资产、负债的账面价值" w:id="419"/>
      <w:bookmarkEnd w:id="419"/>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823"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799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799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799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799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799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799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001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7998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001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799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004pt" strokecolor="#000000">
                <v:path arrowok="t"/>
              </v:shape>
              <v:shape style="position:absolute;left:3183;top:412;width:3202;height:402"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2"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60" w:lineRule="auto" w:before="46"/>
        <w:ind w:left="154" w:right="7512"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11"/>
        <w:rPr>
          <w:rFonts w:ascii="宋体" w:hAnsi="宋体" w:cs="宋体" w:eastAsia="宋体" w:hint="default"/>
          <w:sz w:val="19"/>
          <w:szCs w:val="19"/>
        </w:rPr>
      </w:pPr>
    </w:p>
    <w:p>
      <w:pPr>
        <w:pStyle w:val="Heading4"/>
        <w:spacing w:line="240" w:lineRule="auto"/>
        <w:ind w:right="1360"/>
        <w:jc w:val="left"/>
        <w:rPr>
          <w:b w:val="0"/>
          <w:bCs w:val="0"/>
        </w:rPr>
      </w:pPr>
      <w:bookmarkStart w:name="3、反向购买" w:id="420"/>
      <w:bookmarkEnd w:id="420"/>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spacing w:line="319" w:lineRule="auto"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性交易处理时调整权益的金额及其计算：</w:t>
      </w:r>
    </w:p>
    <w:p>
      <w:pPr>
        <w:spacing w:line="240" w:lineRule="auto" w:before="4"/>
        <w:rPr>
          <w:rFonts w:ascii="宋体" w:hAnsi="宋体" w:cs="宋体" w:eastAsia="宋体" w:hint="default"/>
          <w:sz w:val="22"/>
          <w:szCs w:val="22"/>
        </w:rPr>
      </w:pPr>
    </w:p>
    <w:p>
      <w:pPr>
        <w:pStyle w:val="Heading4"/>
        <w:spacing w:line="240" w:lineRule="auto"/>
        <w:ind w:right="1360"/>
        <w:jc w:val="left"/>
        <w:rPr>
          <w:b w:val="0"/>
          <w:bCs w:val="0"/>
        </w:rPr>
      </w:pPr>
      <w:bookmarkStart w:name="4、处置子公司" w:id="421"/>
      <w:bookmarkEnd w:id="421"/>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725"/>
        <w:gridCol w:w="736"/>
        <w:gridCol w:w="736"/>
        <w:gridCol w:w="735"/>
        <w:gridCol w:w="735"/>
        <w:gridCol w:w="735"/>
        <w:gridCol w:w="735"/>
        <w:gridCol w:w="735"/>
        <w:gridCol w:w="737"/>
        <w:gridCol w:w="737"/>
        <w:gridCol w:w="736"/>
        <w:gridCol w:w="736"/>
        <w:gridCol w:w="725"/>
      </w:tblGrid>
      <w:tr>
        <w:trPr>
          <w:trHeight w:val="705" w:hRule="exact"/>
        </w:trPr>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171"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92" w:right="92"/>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92" w:right="92"/>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2" w:right="90"/>
              <w:jc w:val="left"/>
              <w:rPr>
                <w:rFonts w:ascii="宋体" w:hAnsi="宋体" w:cs="宋体" w:eastAsia="宋体" w:hint="default"/>
                <w:sz w:val="18"/>
                <w:szCs w:val="18"/>
              </w:rPr>
            </w:pPr>
            <w:r>
              <w:rPr>
                <w:rFonts w:ascii="宋体" w:hAnsi="宋体" w:cs="宋体" w:eastAsia="宋体" w:hint="default"/>
                <w:sz w:val="18"/>
                <w:szCs w:val="18"/>
              </w:rPr>
              <w:t>丧失控 制权的</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2" w:right="92"/>
              <w:jc w:val="left"/>
              <w:rPr>
                <w:rFonts w:ascii="宋体" w:hAnsi="宋体" w:cs="宋体" w:eastAsia="宋体" w:hint="default"/>
                <w:sz w:val="18"/>
                <w:szCs w:val="18"/>
              </w:rPr>
            </w:pPr>
            <w:r>
              <w:rPr>
                <w:rFonts w:ascii="宋体" w:hAnsi="宋体" w:cs="宋体" w:eastAsia="宋体" w:hint="default"/>
                <w:sz w:val="18"/>
                <w:szCs w:val="18"/>
              </w:rPr>
              <w:t>丧失控 制权时</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2" w:right="90"/>
              <w:jc w:val="left"/>
              <w:rPr>
                <w:rFonts w:ascii="宋体" w:hAnsi="宋体" w:cs="宋体" w:eastAsia="宋体" w:hint="default"/>
                <w:sz w:val="18"/>
                <w:szCs w:val="18"/>
              </w:rPr>
            </w:pPr>
            <w:r>
              <w:rPr>
                <w:rFonts w:ascii="宋体" w:hAnsi="宋体" w:cs="宋体" w:eastAsia="宋体" w:hint="default"/>
                <w:sz w:val="18"/>
                <w:szCs w:val="18"/>
              </w:rPr>
              <w:t>处置价 款与处</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2" w:right="92"/>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4" w:right="92"/>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2" w:right="93"/>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2" w:right="92"/>
              <w:jc w:val="left"/>
              <w:rPr>
                <w:rFonts w:ascii="宋体" w:hAnsi="宋体" w:cs="宋体" w:eastAsia="宋体" w:hint="default"/>
                <w:sz w:val="18"/>
                <w:szCs w:val="18"/>
              </w:rPr>
            </w:pPr>
            <w:r>
              <w:rPr>
                <w:rFonts w:ascii="宋体" w:hAnsi="宋体" w:cs="宋体" w:eastAsia="宋体" w:hint="default"/>
                <w:sz w:val="18"/>
                <w:szCs w:val="18"/>
              </w:rPr>
              <w:t>按照公 允价值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2" w:right="91"/>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3" w:right="80"/>
              <w:jc w:val="left"/>
              <w:rPr>
                <w:rFonts w:ascii="宋体" w:hAnsi="宋体" w:cs="宋体" w:eastAsia="宋体" w:hint="default"/>
                <w:sz w:val="18"/>
                <w:szCs w:val="18"/>
              </w:rPr>
            </w:pPr>
            <w:r>
              <w:rPr>
                <w:rFonts w:ascii="宋体" w:hAnsi="宋体" w:cs="宋体" w:eastAsia="宋体" w:hint="default"/>
                <w:sz w:val="18"/>
                <w:szCs w:val="18"/>
              </w:rPr>
              <w:t>与原子 公司股</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171"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left"/>
              <w:rPr>
                <w:rFonts w:ascii="宋体" w:hAnsi="宋体" w:cs="宋体" w:eastAsia="宋体" w:hint="default"/>
                <w:sz w:val="18"/>
                <w:szCs w:val="18"/>
              </w:rPr>
            </w:pPr>
            <w:r>
              <w:rPr>
                <w:rFonts w:ascii="宋体" w:hAnsi="宋体" w:cs="宋体" w:eastAsia="宋体" w:hint="default"/>
                <w:sz w:val="18"/>
                <w:szCs w:val="18"/>
              </w:rPr>
              <w:t>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0"/>
              <w:jc w:val="center"/>
              <w:rPr>
                <w:rFonts w:ascii="宋体" w:hAnsi="宋体" w:cs="宋体" w:eastAsia="宋体" w:hint="default"/>
                <w:sz w:val="18"/>
                <w:szCs w:val="18"/>
              </w:rPr>
            </w:pPr>
            <w:r>
              <w:rPr>
                <w:rFonts w:ascii="宋体" w:hAnsi="宋体" w:cs="宋体" w:eastAsia="宋体" w:hint="default"/>
                <w:sz w:val="18"/>
                <w:szCs w:val="18"/>
              </w:rPr>
              <w:t>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3" w:right="91"/>
              <w:jc w:val="center"/>
              <w:rPr>
                <w:rFonts w:ascii="宋体" w:hAnsi="宋体" w:cs="宋体" w:eastAsia="宋体" w:hint="default"/>
                <w:sz w:val="18"/>
                <w:szCs w:val="18"/>
              </w:rPr>
            </w:pPr>
            <w:r>
              <w:rPr>
                <w:rFonts w:ascii="宋体" w:hAnsi="宋体" w:cs="宋体" w:eastAsia="宋体" w:hint="default"/>
                <w:sz w:val="18"/>
                <w:szCs w:val="18"/>
              </w:rPr>
              <w:t>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3"/>
              <w:jc w:val="center"/>
              <w:rPr>
                <w:rFonts w:ascii="宋体" w:hAnsi="宋体" w:cs="宋体" w:eastAsia="宋体" w:hint="default"/>
                <w:sz w:val="18"/>
                <w:szCs w:val="18"/>
              </w:rPr>
            </w:pPr>
            <w:r>
              <w:rPr>
                <w:rFonts w:ascii="宋体" w:hAnsi="宋体" w:cs="宋体" w:eastAsia="宋体" w:hint="default"/>
                <w:sz w:val="18"/>
                <w:szCs w:val="18"/>
              </w:rPr>
              <w:t>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center"/>
              <w:rPr>
                <w:rFonts w:ascii="宋体" w:hAnsi="宋体" w:cs="宋体" w:eastAsia="宋体" w:hint="default"/>
                <w:sz w:val="18"/>
                <w:szCs w:val="18"/>
              </w:rPr>
            </w:pPr>
            <w:r>
              <w:rPr>
                <w:rFonts w:ascii="宋体" w:hAnsi="宋体" w:cs="宋体" w:eastAsia="宋体" w:hint="default"/>
                <w:sz w:val="18"/>
                <w:szCs w:val="18"/>
              </w:rPr>
              <w:t>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3" w:right="91"/>
              <w:jc w:val="center"/>
              <w:rPr>
                <w:rFonts w:ascii="宋体" w:hAnsi="宋体" w:cs="宋体" w:eastAsia="宋体" w:hint="default"/>
                <w:sz w:val="18"/>
                <w:szCs w:val="18"/>
              </w:rPr>
            </w:pPr>
            <w:r>
              <w:rPr>
                <w:rFonts w:ascii="宋体" w:hAnsi="宋体" w:cs="宋体" w:eastAsia="宋体" w:hint="default"/>
                <w:sz w:val="18"/>
                <w:szCs w:val="18"/>
              </w:rPr>
              <w:t>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权投资 相关的 其他综 合收益 转入投 资损益 的金额</w:t>
            </w:r>
          </w:p>
        </w:tc>
      </w:tr>
      <w:tr>
        <w:trPr>
          <w:trHeight w:val="22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61"/>
              <w:jc w:val="left"/>
              <w:rPr>
                <w:rFonts w:ascii="宋体" w:hAnsi="宋体" w:cs="宋体" w:eastAsia="宋体" w:hint="default"/>
                <w:sz w:val="18"/>
                <w:szCs w:val="18"/>
              </w:rPr>
            </w:pPr>
            <w:r>
              <w:rPr>
                <w:rFonts w:ascii="宋体" w:hAnsi="宋体" w:cs="宋体" w:eastAsia="宋体" w:hint="default"/>
                <w:sz w:val="18"/>
                <w:szCs w:val="18"/>
              </w:rPr>
              <w:t>日本爱 华</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61"/>
              <w:jc w:val="left"/>
              <w:rPr>
                <w:rFonts w:ascii="宋体" w:hAnsi="宋体" w:cs="宋体" w:eastAsia="宋体" w:hint="default"/>
                <w:sz w:val="18"/>
                <w:szCs w:val="18"/>
              </w:rPr>
            </w:pPr>
            <w:r>
              <w:rPr>
                <w:rFonts w:ascii="宋体" w:hAnsi="宋体" w:cs="宋体" w:eastAsia="宋体" w:hint="default"/>
                <w:sz w:val="18"/>
                <w:szCs w:val="18"/>
              </w:rPr>
              <w:t>现金转 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就股权 转让事 宜达成 协议且 办理财 产交接 手续</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1,164,53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7.31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61"/>
              <w:jc w:val="left"/>
              <w:rPr>
                <w:rFonts w:ascii="宋体" w:hAnsi="宋体" w:cs="宋体" w:eastAsia="宋体" w:hint="default"/>
                <w:sz w:val="18"/>
                <w:szCs w:val="18"/>
              </w:rPr>
            </w:pPr>
            <w:r>
              <w:rPr>
                <w:rFonts w:ascii="宋体" w:hAnsi="宋体" w:cs="宋体" w:eastAsia="宋体" w:hint="default"/>
                <w:sz w:val="18"/>
                <w:szCs w:val="18"/>
              </w:rPr>
              <w:t>鱼骨头 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61"/>
              <w:jc w:val="left"/>
              <w:rPr>
                <w:rFonts w:ascii="宋体" w:hAnsi="宋体" w:cs="宋体" w:eastAsia="宋体" w:hint="default"/>
                <w:sz w:val="18"/>
                <w:szCs w:val="18"/>
              </w:rPr>
            </w:pPr>
            <w:r>
              <w:rPr>
                <w:rFonts w:ascii="宋体" w:hAnsi="宋体" w:cs="宋体" w:eastAsia="宋体" w:hint="default"/>
                <w:sz w:val="18"/>
                <w:szCs w:val="18"/>
              </w:rPr>
              <w:t>现金转 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就股权 转让事 宜达成 协议且 办理财 产交接 手续</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3,660,74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3.25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62" w:lineRule="auto"/>
              <w:ind w:left="22" w:right="62"/>
              <w:jc w:val="left"/>
              <w:rPr>
                <w:rFonts w:ascii="Times New Roman" w:hAnsi="Times New Roman" w:cs="Times New Roman" w:eastAsia="Times New Roman" w:hint="default"/>
                <w:sz w:val="18"/>
                <w:szCs w:val="18"/>
              </w:rPr>
            </w:pPr>
            <w:r>
              <w:rPr>
                <w:rFonts w:ascii="Times New Roman"/>
                <w:sz w:val="18"/>
              </w:rPr>
              <w:t>Costume</w:t>
            </w:r>
            <w:r>
              <w:rPr>
                <w:rFonts w:ascii="Times New Roman"/>
                <w:w w:val="99"/>
                <w:sz w:val="18"/>
              </w:rPr>
              <w:t> </w:t>
            </w:r>
            <w:r>
              <w:rPr>
                <w:rFonts w:ascii="Times New Roman"/>
                <w:sz w:val="18"/>
              </w:rPr>
              <w:t>Craze</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协议转 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公司失 去对子 公司的 控制且 无法获 取子公 司财务 报表</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5,898,23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9.26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right="1134"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日，子公司香港美盛与徐迪旻、株式会社爱华签订投资项目和解协议，协议约定香港美 盛以</w:t>
      </w:r>
      <w:r>
        <w:rPr>
          <w:rFonts w:ascii="Times New Roman" w:hAnsi="Times New Roman" w:cs="Times New Roman" w:eastAsia="Times New Roman" w:hint="default"/>
        </w:rPr>
        <w:t>1</w:t>
      </w:r>
      <w:r>
        <w:rPr/>
        <w:t>日元的价格向徐迪旻转让日本爱华</w:t>
      </w:r>
      <w:r>
        <w:rPr>
          <w:rFonts w:ascii="Times New Roman" w:hAnsi="Times New Roman" w:cs="Times New Roman" w:eastAsia="Times New Roman" w:hint="default"/>
        </w:rPr>
        <w:t>51%</w:t>
      </w:r>
      <w:r>
        <w:rPr/>
        <w:t>的股权。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月，公司与徐迪旻及株式会社爱华已办理相</w:t>
      </w:r>
      <w:r>
        <w:rPr>
          <w:spacing w:val="-100"/>
        </w:rPr>
        <w:t> </w:t>
      </w:r>
      <w:r>
        <w:rPr>
          <w:spacing w:val="-100"/>
        </w:rPr>
      </w:r>
      <w:r>
        <w:rPr/>
        <w:t>应的财产交接手续，故公司自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月起不再将日本爱华纳入合并范围。</w:t>
      </w:r>
    </w:p>
    <w:p>
      <w:pPr>
        <w:pStyle w:val="BodyText"/>
        <w:spacing w:line="240" w:lineRule="auto" w:before="5"/>
        <w:ind w:left="574"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月，公司与优加互娱公司签订股权转让协议，约定公司将子公司鱼骨头公司</w:t>
      </w:r>
      <w:r>
        <w:rPr>
          <w:rFonts w:ascii="Times New Roman" w:hAnsi="Times New Roman" w:cs="Times New Roman" w:eastAsia="Times New Roman" w:hint="default"/>
        </w:rPr>
        <w:t>100%</w:t>
      </w:r>
      <w:r>
        <w:rPr/>
        <w:t>的股权作价</w:t>
      </w:r>
    </w:p>
    <w:p>
      <w:pPr>
        <w:pStyle w:val="BodyText"/>
        <w:spacing w:line="256" w:lineRule="auto" w:before="21"/>
        <w:ind w:right="0"/>
        <w:jc w:val="left"/>
      </w:pPr>
      <w:r>
        <w:rPr>
          <w:rFonts w:ascii="Times New Roman" w:hAnsi="Times New Roman" w:cs="Times New Roman" w:eastAsia="Times New Roman" w:hint="default"/>
        </w:rPr>
        <w:t>40,000</w:t>
      </w:r>
      <w:r>
        <w:rPr/>
        <w:t>元转让给对方。本次交易完成后，公司失去对鱼骨头公司的控制，自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月开始不再将鱼骨头</w:t>
      </w:r>
      <w:r>
        <w:rPr>
          <w:spacing w:val="-77"/>
        </w:rPr>
        <w:t> </w:t>
      </w:r>
      <w:r>
        <w:rPr>
          <w:spacing w:val="-77"/>
        </w:rPr>
      </w:r>
      <w:r>
        <w:rPr/>
        <w:t>公司纳入公司合并范围。</w:t>
      </w:r>
    </w:p>
    <w:p>
      <w:pPr>
        <w:pStyle w:val="BodyText"/>
        <w:spacing w:line="256" w:lineRule="auto" w:before="23"/>
        <w:ind w:right="1130" w:firstLine="42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26"/>
        </w:rPr>
        <w:t> </w:t>
      </w:r>
      <w:r>
        <w:rPr/>
        <w:t>年</w:t>
      </w:r>
      <w:r>
        <w:rPr>
          <w:spacing w:val="-80"/>
        </w:rPr>
        <w:t> </w:t>
      </w: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spacing w:val="20"/>
        </w:rPr>
        <w:t>月，公司与</w:t>
      </w:r>
      <w:r>
        <w:rPr>
          <w:spacing w:val="-80"/>
        </w:rPr>
        <w:t> </w:t>
      </w:r>
      <w:r>
        <w:rPr>
          <w:rFonts w:ascii="Times New Roman" w:hAnsi="Times New Roman" w:cs="Times New Roman" w:eastAsia="Times New Roman" w:hint="default"/>
        </w:rPr>
        <w:t>Costume</w:t>
      </w:r>
      <w:r>
        <w:rPr>
          <w:rFonts w:ascii="Times New Roman" w:hAnsi="Times New Roman" w:cs="Times New Roman" w:eastAsia="Times New Roman" w:hint="default"/>
          <w:spacing w:val="5"/>
        </w:rPr>
        <w:t> </w:t>
      </w:r>
      <w:r>
        <w:rPr>
          <w:rFonts w:ascii="Times New Roman" w:hAnsi="Times New Roman" w:cs="Times New Roman" w:eastAsia="Times New Roman" w:hint="default"/>
        </w:rPr>
        <w:t>Craze</w:t>
      </w:r>
      <w:r>
        <w:rPr>
          <w:rFonts w:ascii="Times New Roman" w:hAnsi="Times New Roman" w:cs="Times New Roman" w:eastAsia="Times New Roman" w:hint="default"/>
          <w:spacing w:val="-26"/>
        </w:rPr>
        <w:t> </w:t>
      </w:r>
      <w:r>
        <w:rPr>
          <w:spacing w:val="20"/>
        </w:rPr>
        <w:t>公司原股东</w:t>
      </w:r>
      <w:r>
        <w:rPr>
          <w:spacing w:val="-79"/>
        </w:rPr>
        <w:t> </w:t>
      </w:r>
      <w:r>
        <w:rPr>
          <w:rFonts w:ascii="Times New Roman" w:hAnsi="Times New Roman" w:cs="Times New Roman" w:eastAsia="Times New Roman" w:hint="default"/>
        </w:rPr>
        <w:t>Makakama</w:t>
      </w:r>
      <w:r>
        <w:rPr>
          <w:rFonts w:ascii="Times New Roman" w:hAnsi="Times New Roman" w:cs="Times New Roman" w:eastAsia="Times New Roman" w:hint="default"/>
          <w:spacing w:val="5"/>
        </w:rPr>
        <w:t> </w:t>
      </w:r>
      <w:r>
        <w:rPr>
          <w:rFonts w:ascii="Times New Roman" w:hAnsi="Times New Roman" w:cs="Times New Roman" w:eastAsia="Times New Roman" w:hint="default"/>
        </w:rPr>
        <w:t>Holding</w:t>
      </w:r>
      <w:r>
        <w:rPr>
          <w:rFonts w:ascii="Times New Roman" w:hAnsi="Times New Roman" w:cs="Times New Roman" w:eastAsia="Times New Roman" w:hint="default"/>
          <w:spacing w:val="4"/>
        </w:rPr>
        <w:t> </w:t>
      </w:r>
      <w:r>
        <w:rPr>
          <w:rFonts w:ascii="Times New Roman" w:hAnsi="Times New Roman" w:cs="Times New Roman" w:eastAsia="Times New Roman" w:hint="default"/>
        </w:rPr>
        <w:t>co.</w:t>
      </w:r>
      <w:r>
        <w:rPr>
          <w:rFonts w:ascii="Times New Roman" w:hAnsi="Times New Roman" w:cs="Times New Roman" w:eastAsia="Times New Roman" w:hint="default"/>
          <w:spacing w:val="-26"/>
        </w:rPr>
        <w:t> </w:t>
      </w:r>
      <w:r>
        <w:rPr/>
        <w:t>、</w:t>
      </w:r>
      <w:r>
        <w:rPr>
          <w:spacing w:val="-81"/>
        </w:rPr>
        <w:t> </w:t>
      </w:r>
      <w:r>
        <w:rPr>
          <w:rFonts w:ascii="Times New Roman" w:hAnsi="Times New Roman" w:cs="Times New Roman" w:eastAsia="Times New Roman" w:hint="default"/>
        </w:rPr>
        <w:t>M</w:t>
      </w:r>
      <w:r>
        <w:rPr>
          <w:rFonts w:ascii="Times New Roman" w:hAnsi="Times New Roman" w:cs="Times New Roman" w:eastAsia="Times New Roman" w:hint="default"/>
          <w:spacing w:val="5"/>
        </w:rPr>
        <w:t> </w:t>
      </w:r>
      <w:r>
        <w:rPr>
          <w:rFonts w:ascii="Times New Roman" w:hAnsi="Times New Roman" w:cs="Times New Roman" w:eastAsia="Times New Roman" w:hint="default"/>
        </w:rPr>
        <w:t>Squad</w:t>
      </w:r>
      <w:r>
        <w:rPr>
          <w:rFonts w:ascii="Times New Roman" w:hAnsi="Times New Roman" w:cs="Times New Roman" w:eastAsia="Times New Roman" w:hint="default"/>
          <w:spacing w:val="5"/>
        </w:rPr>
        <w:t> </w:t>
      </w:r>
      <w:r>
        <w:rPr>
          <w:rFonts w:ascii="Times New Roman" w:hAnsi="Times New Roman" w:cs="Times New Roman" w:eastAsia="Times New Roman" w:hint="default"/>
        </w:rPr>
        <w:t>Family</w:t>
      </w:r>
      <w:r>
        <w:rPr>
          <w:rFonts w:ascii="Times New Roman" w:hAnsi="Times New Roman" w:cs="Times New Roman" w:eastAsia="Times New Roman" w:hint="default"/>
          <w:spacing w:val="4"/>
        </w:rPr>
        <w:t> </w:t>
      </w:r>
      <w:r>
        <w:rPr>
          <w:rFonts w:ascii="Times New Roman" w:hAnsi="Times New Roman" w:cs="Times New Roman" w:eastAsia="Times New Roman" w:hint="default"/>
        </w:rPr>
        <w:t>Limited</w:t>
      </w:r>
      <w:r>
        <w:rPr>
          <w:rFonts w:ascii="Times New Roman" w:hAnsi="Times New Roman" w:cs="Times New Roman" w:eastAsia="Times New Roman" w:hint="default"/>
        </w:rPr>
        <w:t> Partnership</w:t>
      </w:r>
      <w:r>
        <w:rPr/>
        <w:t>、</w:t>
      </w:r>
      <w:r>
        <w:rPr>
          <w:rFonts w:ascii="Times New Roman" w:hAnsi="Times New Roman" w:cs="Times New Roman" w:eastAsia="Times New Roman" w:hint="default"/>
        </w:rPr>
        <w:t>Kathryn</w:t>
      </w:r>
      <w:r>
        <w:rPr>
          <w:rFonts w:ascii="Times New Roman" w:hAnsi="Times New Roman" w:cs="Times New Roman" w:eastAsia="Times New Roman" w:hint="default"/>
          <w:spacing w:val="-13"/>
        </w:rPr>
        <w:t> </w:t>
      </w:r>
      <w:r>
        <w:rPr>
          <w:rFonts w:ascii="Times New Roman" w:hAnsi="Times New Roman" w:cs="Times New Roman" w:eastAsia="Times New Roman" w:hint="default"/>
        </w:rPr>
        <w:t>E.Maloney</w:t>
      </w:r>
      <w:r>
        <w:rPr>
          <w:rFonts w:ascii="Times New Roman" w:hAnsi="Times New Roman" w:cs="Times New Roman" w:eastAsia="Times New Roman" w:hint="default"/>
          <w:spacing w:val="-14"/>
        </w:rPr>
        <w:t> </w:t>
      </w:r>
      <w:r>
        <w:rPr>
          <w:rFonts w:ascii="Times New Roman" w:hAnsi="Times New Roman" w:cs="Times New Roman" w:eastAsia="Times New Roman" w:hint="default"/>
        </w:rPr>
        <w:t>Erfert</w:t>
      </w:r>
      <w:r>
        <w:rPr/>
        <w:t>、</w:t>
      </w:r>
      <w:r>
        <w:rPr>
          <w:rFonts w:ascii="Times New Roman" w:hAnsi="Times New Roman" w:cs="Times New Roman" w:eastAsia="Times New Roman" w:hint="default"/>
        </w:rPr>
        <w:t>Matthew</w:t>
      </w:r>
      <w:r>
        <w:rPr>
          <w:rFonts w:ascii="Times New Roman" w:hAnsi="Times New Roman" w:cs="Times New Roman" w:eastAsia="Times New Roman" w:hint="default"/>
          <w:spacing w:val="-14"/>
        </w:rPr>
        <w:t> </w:t>
      </w:r>
      <w:r>
        <w:rPr>
          <w:rFonts w:ascii="Times New Roman" w:hAnsi="Times New Roman" w:cs="Times New Roman" w:eastAsia="Times New Roman" w:hint="default"/>
        </w:rPr>
        <w:t>W.Maloney,Kathleen</w:t>
      </w:r>
      <w:r>
        <w:rPr>
          <w:rFonts w:ascii="Times New Roman" w:hAnsi="Times New Roman" w:cs="Times New Roman" w:eastAsia="Times New Roman" w:hint="default"/>
          <w:spacing w:val="-13"/>
        </w:rPr>
        <w:t> </w:t>
      </w:r>
      <w:r>
        <w:rPr>
          <w:rFonts w:ascii="Times New Roman" w:hAnsi="Times New Roman" w:cs="Times New Roman" w:eastAsia="Times New Roman" w:hint="default"/>
        </w:rPr>
        <w:t>S.Maloney</w:t>
      </w:r>
      <w:r>
        <w:rPr/>
        <w:t>（以下简称原股东）签订调 </w:t>
      </w:r>
      <w:r>
        <w:rPr>
          <w:spacing w:val="-3"/>
        </w:rPr>
        <w:t>解协议，约定</w:t>
      </w:r>
      <w:r>
        <w:rPr>
          <w:rFonts w:ascii="Times New Roman" w:hAnsi="Times New Roman" w:cs="Times New Roman" w:eastAsia="Times New Roman" w:hint="default"/>
          <w:spacing w:val="-3"/>
        </w:rPr>
        <w:t>Costume</w:t>
      </w:r>
      <w:r>
        <w:rPr>
          <w:rFonts w:ascii="Times New Roman" w:hAnsi="Times New Roman" w:cs="Times New Roman" w:eastAsia="Times New Roman" w:hint="default"/>
          <w:spacing w:val="-24"/>
        </w:rPr>
        <w:t> </w:t>
      </w:r>
      <w:r>
        <w:rPr>
          <w:rFonts w:ascii="Times New Roman" w:hAnsi="Times New Roman" w:cs="Times New Roman" w:eastAsia="Times New Roman" w:hint="default"/>
        </w:rPr>
        <w:t>Craze</w:t>
      </w:r>
      <w:r>
        <w:rPr/>
        <w:t>和原股东共向公司归还原借给</w:t>
      </w:r>
      <w:r>
        <w:rPr>
          <w:rFonts w:ascii="Times New Roman" w:hAnsi="Times New Roman" w:cs="Times New Roman" w:eastAsia="Times New Roman" w:hint="default"/>
        </w:rPr>
        <w:t>Costume</w:t>
      </w:r>
      <w:r>
        <w:rPr>
          <w:rFonts w:ascii="Times New Roman" w:hAnsi="Times New Roman" w:cs="Times New Roman" w:eastAsia="Times New Roman" w:hint="default"/>
          <w:spacing w:val="-24"/>
        </w:rPr>
        <w:t> </w:t>
      </w:r>
      <w:r>
        <w:rPr>
          <w:rFonts w:ascii="Times New Roman" w:hAnsi="Times New Roman" w:cs="Times New Roman" w:eastAsia="Times New Roman" w:hint="default"/>
        </w:rPr>
        <w:t>Craze</w:t>
      </w:r>
      <w:r>
        <w:rPr/>
        <w:t>作经营用款项</w:t>
      </w:r>
      <w:r>
        <w:rPr>
          <w:rFonts w:ascii="Times New Roman" w:hAnsi="Times New Roman" w:cs="Times New Roman" w:eastAsia="Times New Roman" w:hint="default"/>
        </w:rPr>
        <w:t>30</w:t>
      </w:r>
      <w:r>
        <w:rPr/>
        <w:t>万美元，公司无偿 放弃持有的</w:t>
      </w:r>
      <w:r>
        <w:rPr>
          <w:rFonts w:ascii="Times New Roman" w:hAnsi="Times New Roman" w:cs="Times New Roman" w:eastAsia="Times New Roman" w:hint="default"/>
        </w:rPr>
        <w:t>Costume Craze</w:t>
      </w:r>
      <w:r>
        <w:rPr/>
        <w:t>全部股权。因公司于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月开始便无法收到</w:t>
      </w:r>
      <w:r>
        <w:rPr>
          <w:rFonts w:ascii="Times New Roman" w:hAnsi="Times New Roman" w:cs="Times New Roman" w:eastAsia="Times New Roman" w:hint="default"/>
        </w:rPr>
        <w:t>Costume</w:t>
      </w:r>
      <w:r>
        <w:rPr>
          <w:rFonts w:ascii="Times New Roman" w:hAnsi="Times New Roman" w:cs="Times New Roman" w:eastAsia="Times New Roman" w:hint="default"/>
          <w:spacing w:val="17"/>
        </w:rPr>
        <w:t> </w:t>
      </w:r>
      <w:r>
        <w:rPr>
          <w:rFonts w:ascii="Times New Roman" w:hAnsi="Times New Roman" w:cs="Times New Roman" w:eastAsia="Times New Roman" w:hint="default"/>
        </w:rPr>
        <w:t>Craze</w:t>
      </w:r>
      <w:r>
        <w:rPr/>
        <w:t>的财务报表，且无</w:t>
      </w:r>
    </w:p>
    <w:p>
      <w:pPr>
        <w:spacing w:after="0" w:line="256"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122"/>
        <w:jc w:val="left"/>
      </w:pPr>
      <w:r>
        <w:rPr/>
        <w:t>法继续参与</w:t>
      </w:r>
      <w:r>
        <w:rPr>
          <w:rFonts w:ascii="Times New Roman" w:hAnsi="Times New Roman" w:cs="Times New Roman" w:eastAsia="Times New Roman" w:hint="default"/>
        </w:rPr>
        <w:t>Costume Craze</w:t>
      </w:r>
      <w:r>
        <w:rPr/>
        <w:t>的日常经营活动，实际已失去对</w:t>
      </w:r>
      <w:r>
        <w:rPr>
          <w:rFonts w:ascii="Times New Roman" w:hAnsi="Times New Roman" w:cs="Times New Roman" w:eastAsia="Times New Roman" w:hint="default"/>
        </w:rPr>
        <w:t>Costume</w:t>
      </w:r>
      <w:r>
        <w:rPr>
          <w:rFonts w:ascii="Times New Roman" w:hAnsi="Times New Roman" w:cs="Times New Roman" w:eastAsia="Times New Roman" w:hint="default"/>
          <w:spacing w:val="17"/>
        </w:rPr>
        <w:t> </w:t>
      </w:r>
      <w:r>
        <w:rPr>
          <w:rFonts w:ascii="Times New Roman" w:hAnsi="Times New Roman" w:cs="Times New Roman" w:eastAsia="Times New Roman" w:hint="default"/>
        </w:rPr>
        <w:t>Craze</w:t>
      </w:r>
      <w:r>
        <w:rPr/>
        <w:t>的控制，故公司自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月开始 不再将</w:t>
      </w:r>
      <w:r>
        <w:rPr>
          <w:rFonts w:ascii="Times New Roman" w:hAnsi="Times New Roman" w:cs="Times New Roman" w:eastAsia="Times New Roman" w:hint="default"/>
        </w:rPr>
        <w:t>Costume</w:t>
      </w:r>
      <w:r>
        <w:rPr>
          <w:rFonts w:ascii="Times New Roman" w:hAnsi="Times New Roman" w:cs="Times New Roman" w:eastAsia="Times New Roman" w:hint="default"/>
          <w:spacing w:val="-3"/>
        </w:rPr>
        <w:t> </w:t>
      </w:r>
      <w:r>
        <w:rPr>
          <w:rFonts w:ascii="Times New Roman" w:hAnsi="Times New Roman" w:cs="Times New Roman" w:eastAsia="Times New Roman" w:hint="default"/>
        </w:rPr>
        <w:t>Craze</w:t>
      </w:r>
      <w:r>
        <w:rPr/>
        <w:t>纳入合并范围。</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1"/>
          <w:szCs w:val="31"/>
        </w:rPr>
      </w:pPr>
    </w:p>
    <w:p>
      <w:pPr>
        <w:spacing w:before="0"/>
        <w:ind w:left="154" w:right="136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是否存在通过多次交易分步处置对子公司投资且在本期丧失控制权的情形</w:t>
      </w:r>
    </w:p>
    <w:p>
      <w:pPr>
        <w:spacing w:before="117"/>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1360"/>
        <w:jc w:val="left"/>
        <w:rPr>
          <w:b w:val="0"/>
          <w:bCs w:val="0"/>
        </w:rPr>
      </w:pPr>
      <w:bookmarkStart w:name="5、其他原因的合并范围变动" w:id="422"/>
      <w:bookmarkEnd w:id="422"/>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10"/>
        <w:rPr>
          <w:rFonts w:ascii="宋体" w:hAnsi="宋体" w:cs="宋体" w:eastAsia="宋体" w:hint="default"/>
          <w:sz w:val="26"/>
          <w:szCs w:val="26"/>
        </w:rPr>
      </w:pPr>
    </w:p>
    <w:p>
      <w:pPr>
        <w:spacing w:line="487" w:lineRule="auto" w:before="0"/>
        <w:ind w:left="154" w:right="7692" w:firstLine="0"/>
        <w:jc w:val="left"/>
        <w:rPr>
          <w:rFonts w:ascii="宋体" w:hAnsi="宋体" w:cs="宋体" w:eastAsia="宋体" w:hint="default"/>
          <w:sz w:val="21"/>
          <w:szCs w:val="21"/>
        </w:rPr>
      </w:pPr>
      <w:bookmarkStart w:name="6、其他" w:id="423"/>
      <w:bookmarkEnd w:id="42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24"/>
      <w:bookmarkEnd w:id="424"/>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25"/>
      <w:bookmarkEnd w:id="425"/>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3"/>
        <w:ind w:right="1360"/>
        <w:jc w:val="left"/>
        <w:rPr>
          <w:b w:val="0"/>
          <w:bCs w:val="0"/>
        </w:rPr>
      </w:pPr>
      <w:bookmarkStart w:name="（1）企业集团的构成" w:id="426"/>
      <w:bookmarkEnd w:id="42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下企业合并</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美盛电商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美盛动漫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香港美盛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美盛二次元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美盛爱彼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美国美盛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纽卡索尔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服装、投资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杭州业盛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下企业合并</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天津酷米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网站运营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下企业合并</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2832"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57" w:lineRule="auto" w:before="27"/>
        <w:ind w:left="15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360"/>
        <w:jc w:val="left"/>
        <w:rPr>
          <w:b w:val="0"/>
          <w:bCs w:val="0"/>
        </w:rPr>
      </w:pPr>
      <w:bookmarkStart w:name="（2）重要的非全资子公司" w:id="427"/>
      <w:bookmarkEnd w:id="427"/>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杭州业盛</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-7,279,402.92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18,454,000.15</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天津酷米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-1,196,632.50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3,255,953.32</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4"/>
        <w:spacing w:line="240" w:lineRule="auto"/>
        <w:ind w:right="1360"/>
        <w:jc w:val="left"/>
        <w:rPr>
          <w:b w:val="0"/>
          <w:bCs w:val="0"/>
        </w:rPr>
      </w:pPr>
      <w:bookmarkStart w:name="（3）重要非全资子公司的主要财务信息" w:id="428"/>
      <w:bookmarkEnd w:id="428"/>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杭州业 盛</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85,637,8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06.03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1,612,93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87,250,7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37.26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49,589,5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12.45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49,589,5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12.45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 w:right="0"/>
              <w:jc w:val="center"/>
              <w:rPr>
                <w:rFonts w:ascii="Times New Roman" w:hAnsi="Times New Roman" w:cs="Times New Roman" w:eastAsia="Times New Roman" w:hint="default"/>
                <w:sz w:val="18"/>
                <w:szCs w:val="18"/>
              </w:rPr>
            </w:pPr>
            <w:r>
              <w:rPr>
                <w:rFonts w:ascii="Times New Roman"/>
                <w:sz w:val="18"/>
              </w:rPr>
              <w:t>110,583,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260.91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3,963,62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6.37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 w:right="0"/>
              <w:jc w:val="center"/>
              <w:rPr>
                <w:rFonts w:ascii="Times New Roman" w:hAnsi="Times New Roman" w:cs="Times New Roman" w:eastAsia="Times New Roman" w:hint="default"/>
                <w:sz w:val="18"/>
                <w:szCs w:val="18"/>
              </w:rPr>
            </w:pPr>
            <w:r>
              <w:rPr>
                <w:rFonts w:ascii="Times New Roman"/>
                <w:sz w:val="18"/>
              </w:rPr>
              <w:t>114,546,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887.28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62,029,7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38.15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62,029,7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38.15</w:t>
            </w:r>
          </w:p>
        </w:tc>
      </w:tr>
      <w:tr>
        <w:trPr>
          <w:trHeight w:val="71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天津酷 米</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5,764,33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203,494.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5,967,82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532,176.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532,176.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10,810,7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52.85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155,295.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10,966,0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48.23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3,532,68</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2.92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3,532,68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2.92</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杭州业盛</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34,854,670.6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-14,856,070.3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-14,856,070.3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101,627.28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86,925,732.6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-3,985,476.08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-3,985,476.08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12,393.32</w:t>
            </w:r>
          </w:p>
        </w:tc>
      </w:tr>
      <w:tr>
        <w:trPr>
          <w:trHeight w:val="40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天津酷米</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1,074,771.72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-1,997,717.03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-1,997,717.03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-4,973,493.64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center"/>
              <w:rPr>
                <w:rFonts w:ascii="Times New Roman" w:hAnsi="Times New Roman" w:cs="Times New Roman" w:eastAsia="Times New Roman" w:hint="default"/>
                <w:sz w:val="18"/>
                <w:szCs w:val="18"/>
              </w:rPr>
            </w:pPr>
            <w:r>
              <w:rPr>
                <w:rFonts w:ascii="Times New Roman"/>
                <w:sz w:val="18"/>
              </w:rPr>
              <w:t>1,014,829.75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-3,314,007.26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-3,314,007.26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-232,072.35</w:t>
            </w:r>
            <w:r>
              <w:rPr>
                <w:rFonts w:ascii="Times New Roman"/>
                <w:sz w:val="18"/>
              </w:rPr>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4）使用企业集团资产和清偿企业集团债务的重大限制" w:id="429"/>
      <w:bookmarkEnd w:id="429"/>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60"/>
        <w:jc w:val="left"/>
        <w:rPr>
          <w:b w:val="0"/>
          <w:bCs w:val="0"/>
        </w:rPr>
      </w:pPr>
      <w:bookmarkStart w:name="（5）向纳入合并财务报表范围的结构化主体提供的财务支持或其他支持" w:id="430"/>
      <w:bookmarkEnd w:id="430"/>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360"/>
        <w:jc w:val="left"/>
        <w:rPr>
          <w:b w:val="0"/>
          <w:bCs w:val="0"/>
        </w:rPr>
      </w:pPr>
      <w:bookmarkStart w:name="2、在子公司的所有者权益份额发生变化且仍控制子公司的交易" w:id="431"/>
      <w:bookmarkEnd w:id="431"/>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60"/>
        <w:jc w:val="left"/>
        <w:rPr>
          <w:b w:val="0"/>
          <w:bCs w:val="0"/>
        </w:rPr>
      </w:pPr>
      <w:bookmarkStart w:name="（1）在子公司所有者权益份额发生变化的情况说明" w:id="432"/>
      <w:bookmarkEnd w:id="432"/>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360"/>
        <w:jc w:val="left"/>
        <w:rPr>
          <w:b w:val="0"/>
          <w:bCs w:val="0"/>
        </w:rPr>
      </w:pPr>
      <w:bookmarkStart w:name="（2）交易对于少数股东权益及归属于母公司所有者权益的影响" w:id="433"/>
      <w:bookmarkEnd w:id="433"/>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001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001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group>
          </v:group>
        </w:pict>
      </w:r>
      <w:r>
        <w:rPr>
          <w:rFonts w:ascii="宋体" w:hAnsi="宋体" w:cs="宋体" w:eastAsia="宋体" w:hint="default"/>
          <w:position w:val="-7"/>
          <w:sz w:val="20"/>
          <w:szCs w:val="20"/>
        </w:rPr>
      </w:r>
    </w:p>
    <w:p>
      <w:pPr>
        <w:spacing w:before="46"/>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3、在合营安排或联营企业中的权益" w:id="434"/>
      <w:bookmarkEnd w:id="434"/>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1）重要的合营企业或联营企业" w:id="435"/>
      <w:bookmarkEnd w:id="435"/>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Jakks</w:t>
            </w:r>
            <w:r>
              <w:rPr>
                <w:rFonts w:ascii="Times New Roman"/>
                <w:spacing w:val="-1"/>
                <w:sz w:val="18"/>
              </w:rPr>
              <w:t> </w:t>
            </w:r>
            <w:r>
              <w:rPr>
                <w:rFonts w:ascii="Times New Roman"/>
                <w:sz w:val="18"/>
              </w:rPr>
              <w:t>Pacific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洛杉矶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动漫产品销售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0" w:right="0"/>
              <w:jc w:val="left"/>
              <w:rPr>
                <w:rFonts w:ascii="Times New Roman" w:hAnsi="Times New Roman" w:cs="Times New Roman" w:eastAsia="Times New Roman" w:hint="default"/>
                <w:sz w:val="18"/>
                <w:szCs w:val="18"/>
              </w:rPr>
            </w:pPr>
            <w:r>
              <w:rPr>
                <w:rFonts w:ascii="Times New Roman"/>
                <w:sz w:val="18"/>
              </w:rPr>
              <w:t>17.96%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6"/>
        <w:ind w:left="154" w:right="136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pStyle w:val="BodyText"/>
        <w:spacing w:line="256" w:lineRule="auto" w:before="77"/>
        <w:ind w:right="1127" w:firstLine="42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月，子公司香港美盛与</w:t>
      </w:r>
      <w:r>
        <w:rPr>
          <w:rFonts w:ascii="Times New Roman" w:hAnsi="Times New Roman" w:cs="Times New Roman" w:eastAsia="Times New Roman" w:hint="default"/>
          <w:spacing w:val="-2"/>
        </w:rPr>
        <w:t>Jakks </w:t>
      </w:r>
      <w:r>
        <w:rPr>
          <w:rFonts w:ascii="Times New Roman" w:hAnsi="Times New Roman" w:cs="Times New Roman" w:eastAsia="Times New Roman" w:hint="default"/>
          <w:spacing w:val="-1"/>
        </w:rPr>
        <w:t>Pacific</w:t>
      </w:r>
      <w:r>
        <w:rPr>
          <w:spacing w:val="-1"/>
        </w:rPr>
        <w:t>签订投资协议，约定以每股</w:t>
      </w:r>
      <w:r>
        <w:rPr>
          <w:rFonts w:ascii="Times New Roman" w:hAnsi="Times New Roman" w:cs="Times New Roman" w:eastAsia="Times New Roman" w:hint="default"/>
          <w:spacing w:val="-1"/>
        </w:rPr>
        <w:t>5.275</w:t>
      </w:r>
      <w:r>
        <w:rPr>
          <w:spacing w:val="-1"/>
        </w:rPr>
        <w:t>美元的价格现金认购</w:t>
      </w:r>
      <w:r>
        <w:rPr>
          <w:rFonts w:ascii="Times New Roman" w:hAnsi="Times New Roman" w:cs="Times New Roman" w:eastAsia="Times New Roman" w:hint="default"/>
          <w:spacing w:val="-1"/>
        </w:rPr>
        <w:t>Jakks</w:t>
      </w:r>
      <w:r>
        <w:rPr>
          <w:rFonts w:ascii="Times New Roman" w:hAnsi="Times New Roman" w:cs="Times New Roman" w:eastAsia="Times New Roman" w:hint="default"/>
          <w:w w:val="99"/>
        </w:rPr>
        <w:t> </w:t>
      </w:r>
      <w:r>
        <w:rPr>
          <w:rFonts w:ascii="Times New Roman" w:hAnsi="Times New Roman" w:cs="Times New Roman" w:eastAsia="Times New Roman" w:hint="default"/>
          <w:spacing w:val="10"/>
        </w:rPr>
        <w:t>Pacific</w:t>
      </w:r>
      <w:r>
        <w:rPr>
          <w:spacing w:val="10"/>
        </w:rPr>
        <w:t>增发的普通股股票</w:t>
      </w:r>
      <w:r>
        <w:rPr>
          <w:rFonts w:ascii="Times New Roman" w:hAnsi="Times New Roman" w:cs="Times New Roman" w:eastAsia="Times New Roman" w:hint="default"/>
          <w:spacing w:val="10"/>
        </w:rPr>
        <w:t>3,660,891</w:t>
      </w:r>
      <w:r>
        <w:rPr>
          <w:spacing w:val="10"/>
        </w:rPr>
        <w:t>股。本次交易前，香港美盛已在二级市场上购入</w:t>
      </w:r>
      <w:r>
        <w:rPr>
          <w:rFonts w:ascii="Times New Roman" w:hAnsi="Times New Roman" w:cs="Times New Roman" w:eastAsia="Times New Roman" w:hint="default"/>
          <w:spacing w:val="10"/>
        </w:rPr>
        <w:t>Jakks</w:t>
      </w:r>
      <w:r>
        <w:rPr>
          <w:spacing w:val="10"/>
        </w:rPr>
        <w:t>普通股股票</w:t>
      </w:r>
      <w:r>
        <w:rPr>
          <w:spacing w:val="-75"/>
        </w:rPr>
        <w:t> </w:t>
      </w:r>
      <w:r>
        <w:rPr>
          <w:spacing w:val="-75"/>
        </w:rPr>
      </w:r>
      <w:r>
        <w:rPr>
          <w:rFonts w:ascii="Times New Roman" w:hAnsi="Times New Roman" w:cs="Times New Roman" w:eastAsia="Times New Roman" w:hint="default"/>
        </w:rPr>
        <w:t>1,578,647</w:t>
      </w:r>
      <w:r>
        <w:rPr/>
        <w:t>股。本次交易完成后，香港美盛共持有</w:t>
      </w:r>
      <w:r>
        <w:rPr>
          <w:rFonts w:ascii="Times New Roman" w:hAnsi="Times New Roman" w:cs="Times New Roman" w:eastAsia="Times New Roman" w:hint="default"/>
        </w:rPr>
        <w:t>Jakks Pacific</w:t>
      </w:r>
      <w:r>
        <w:rPr/>
        <w:t>普通股股票</w:t>
      </w:r>
      <w:r>
        <w:rPr>
          <w:rFonts w:ascii="Times New Roman" w:hAnsi="Times New Roman" w:cs="Times New Roman" w:eastAsia="Times New Roman" w:hint="default"/>
        </w:rPr>
        <w:t>5,239,538</w:t>
      </w:r>
      <w:r>
        <w:rPr/>
        <w:t>股，占</w:t>
      </w:r>
      <w:r>
        <w:rPr>
          <w:rFonts w:ascii="Times New Roman" w:hAnsi="Times New Roman" w:cs="Times New Roman" w:eastAsia="Times New Roman" w:hint="default"/>
        </w:rPr>
        <w:t>Jakks</w:t>
      </w:r>
      <w:r>
        <w:rPr>
          <w:rFonts w:ascii="Times New Roman" w:hAnsi="Times New Roman" w:cs="Times New Roman" w:eastAsia="Times New Roman" w:hint="default"/>
          <w:spacing w:val="25"/>
        </w:rPr>
        <w:t> </w:t>
      </w:r>
      <w:r>
        <w:rPr>
          <w:rFonts w:ascii="Times New Roman" w:hAnsi="Times New Roman" w:cs="Times New Roman" w:eastAsia="Times New Roman" w:hint="default"/>
        </w:rPr>
        <w:t>Pacific</w:t>
      </w:r>
      <w:r>
        <w:rPr/>
        <w:t>发行</w:t>
      </w:r>
      <w:r>
        <w:rPr>
          <w:spacing w:val="1"/>
        </w:rPr>
        <w:t> </w:t>
      </w:r>
      <w:r>
        <w:rPr/>
        <w:t>后股份总数的</w:t>
      </w:r>
      <w:r>
        <w:rPr>
          <w:rFonts w:ascii="Times New Roman" w:hAnsi="Times New Roman" w:cs="Times New Roman" w:eastAsia="Times New Roman" w:hint="default"/>
        </w:rPr>
        <w:t>19.50%</w:t>
      </w:r>
      <w:r>
        <w:rPr/>
        <w:t>。香港美盛向</w:t>
      </w:r>
      <w:r>
        <w:rPr>
          <w:rFonts w:ascii="Times New Roman" w:hAnsi="Times New Roman" w:cs="Times New Roman" w:eastAsia="Times New Roman" w:hint="default"/>
        </w:rPr>
        <w:t>Jakks Pacific</w:t>
      </w:r>
      <w:r>
        <w:rPr/>
        <w:t>派遣董事一名，因此，香港美盛能够对</w:t>
      </w:r>
      <w:r>
        <w:rPr>
          <w:rFonts w:ascii="Times New Roman" w:hAnsi="Times New Roman" w:cs="Times New Roman" w:eastAsia="Times New Roman" w:hint="default"/>
        </w:rPr>
        <w:t>Jakks</w:t>
      </w:r>
      <w:r>
        <w:rPr>
          <w:rFonts w:ascii="Times New Roman" w:hAnsi="Times New Roman" w:cs="Times New Roman" w:eastAsia="Times New Roman" w:hint="default"/>
          <w:spacing w:val="8"/>
        </w:rPr>
        <w:t> </w:t>
      </w:r>
      <w:r>
        <w:rPr>
          <w:rFonts w:ascii="Times New Roman" w:hAnsi="Times New Roman" w:cs="Times New Roman" w:eastAsia="Times New Roman" w:hint="default"/>
        </w:rPr>
        <w:t>Pacific</w:t>
      </w:r>
      <w:r>
        <w:rPr/>
        <w:t>董事会</w:t>
      </w:r>
      <w:r>
        <w:rPr>
          <w:spacing w:val="1"/>
          <w:w w:val="99"/>
        </w:rPr>
        <w:t> </w:t>
      </w:r>
      <w:r>
        <w:rPr/>
        <w:t>实施重大影响。受</w:t>
      </w:r>
      <w:r>
        <w:rPr>
          <w:rFonts w:ascii="Times New Roman" w:hAnsi="Times New Roman" w:cs="Times New Roman" w:eastAsia="Times New Roman" w:hint="default"/>
        </w:rPr>
        <w:t>Jakks Pacific</w:t>
      </w:r>
      <w:r>
        <w:rPr/>
        <w:t>可转换债券转换及限制性股票行权影响，</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月，公司持有</w:t>
      </w:r>
      <w:r>
        <w:rPr>
          <w:rFonts w:ascii="Times New Roman" w:hAnsi="Times New Roman" w:cs="Times New Roman" w:eastAsia="Times New Roman" w:hint="default"/>
        </w:rPr>
        <w:t>Jakks</w:t>
      </w:r>
      <w:r>
        <w:rPr>
          <w:rFonts w:ascii="Times New Roman" w:hAnsi="Times New Roman" w:cs="Times New Roman" w:eastAsia="Times New Roman" w:hint="default"/>
          <w:spacing w:val="-28"/>
        </w:rPr>
        <w:t> </w:t>
      </w:r>
      <w:r>
        <w:rPr>
          <w:rFonts w:ascii="Times New Roman" w:hAnsi="Times New Roman" w:cs="Times New Roman" w:eastAsia="Times New Roman" w:hint="default"/>
        </w:rPr>
        <w:t>Pacific</w:t>
      </w:r>
      <w:r>
        <w:rPr>
          <w:rFonts w:ascii="Times New Roman" w:hAnsi="Times New Roman" w:cs="Times New Roman" w:eastAsia="Times New Roman" w:hint="default"/>
        </w:rPr>
        <w:t> </w:t>
      </w:r>
      <w:r>
        <w:rPr/>
        <w:t>的股权变更为</w:t>
      </w:r>
      <w:r>
        <w:rPr>
          <w:rFonts w:ascii="Times New Roman" w:hAnsi="Times New Roman" w:cs="Times New Roman" w:eastAsia="Times New Roman" w:hint="default"/>
        </w:rPr>
        <w:t>17.96%</w:t>
      </w:r>
      <w:r>
        <w:rPr/>
        <w:t>，该变动不改变公司对</w:t>
      </w:r>
      <w:r>
        <w:rPr>
          <w:rFonts w:ascii="Times New Roman" w:hAnsi="Times New Roman" w:cs="Times New Roman" w:eastAsia="Times New Roman" w:hint="default"/>
        </w:rPr>
        <w:t>Jakks</w:t>
      </w:r>
      <w:r>
        <w:rPr>
          <w:rFonts w:ascii="Times New Roman" w:hAnsi="Times New Roman" w:cs="Times New Roman" w:eastAsia="Times New Roman" w:hint="default"/>
          <w:spacing w:val="-5"/>
        </w:rPr>
        <w:t> </w:t>
      </w:r>
      <w:r>
        <w:rPr>
          <w:rFonts w:ascii="Times New Roman" w:hAnsi="Times New Roman" w:cs="Times New Roman" w:eastAsia="Times New Roman" w:hint="default"/>
        </w:rPr>
        <w:t>Pacific</w:t>
      </w:r>
      <w:r>
        <w:rPr/>
        <w:t>董事会的重大影响。</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4"/>
        <w:spacing w:line="240" w:lineRule="auto"/>
        <w:ind w:right="1360"/>
        <w:jc w:val="left"/>
        <w:rPr>
          <w:b w:val="0"/>
          <w:bCs w:val="0"/>
        </w:rPr>
      </w:pPr>
      <w:bookmarkStart w:name="（2）重要合营企业的主要财务信息" w:id="436"/>
      <w:bookmarkEnd w:id="436"/>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9"/>
        <w:gridCol w:w="3191"/>
        <w:gridCol w:w="3179"/>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3）重要联营企业的主要财务信息" w:id="437"/>
      <w:bookmarkEnd w:id="437"/>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8" w:right="0"/>
              <w:jc w:val="left"/>
              <w:rPr>
                <w:rFonts w:ascii="Times New Roman" w:hAnsi="Times New Roman" w:cs="Times New Roman" w:eastAsia="Times New Roman" w:hint="default"/>
                <w:sz w:val="18"/>
                <w:szCs w:val="18"/>
              </w:rPr>
            </w:pPr>
            <w:r>
              <w:rPr>
                <w:rFonts w:ascii="Times New Roman"/>
                <w:sz w:val="18"/>
              </w:rPr>
              <w:t>1,716,781,437.60</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7" w:right="0"/>
              <w:jc w:val="left"/>
              <w:rPr>
                <w:rFonts w:ascii="Times New Roman" w:hAnsi="Times New Roman" w:cs="Times New Roman" w:eastAsia="Times New Roman" w:hint="default"/>
                <w:sz w:val="18"/>
                <w:szCs w:val="18"/>
              </w:rPr>
            </w:pPr>
            <w:r>
              <w:rPr>
                <w:rFonts w:ascii="Times New Roman"/>
                <w:sz w:val="18"/>
              </w:rPr>
              <w:t>1,847,015,779.80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636,204,913.60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572,918,656.00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2,352,986,351.20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2,419,934,435.80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989,000,846.40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887,069,923.60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1,009,508,088.00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915,297,667.60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1,998,508,934.40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1,802,367,591.20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6,301,494.20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6,683,837.00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348,175,922.60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610,883,007.60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62,532,395.70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118,755,656.68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5,493,029.62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5,493,029.62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-1,954,171.77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-2,231,138.88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-13,210,057.66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-9,919,480.24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52,861,195.89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112,098,067.18</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存在公开报价的联营企业权益投资的公 允价值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52,861,195.89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80,455,044.62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3,779,554,608.00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3,356,026,612.03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-277,345,821.60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-336,450,067.83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-19,238,404.00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24,930,460.31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-296,584,225.60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-311,519,607.52</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4）不重要的合营企业和联营企业的汇总财务信息" w:id="438"/>
      <w:bookmarkEnd w:id="438"/>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88,969,328.64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101,978,404.41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-2,222,655.94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1,048,166.47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-210,674.25</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-70,909.13</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-2,433,330.19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977,257.34</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360"/>
        <w:jc w:val="left"/>
        <w:rPr>
          <w:b w:val="0"/>
          <w:bCs w:val="0"/>
        </w:rPr>
      </w:pPr>
      <w:bookmarkStart w:name="（5）合营企业或联营企业向本公司转移资金的能力存在重大限制的说明" w:id="439"/>
      <w:bookmarkEnd w:id="439"/>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60"/>
        <w:jc w:val="left"/>
        <w:rPr>
          <w:b w:val="0"/>
          <w:bCs w:val="0"/>
        </w:rPr>
      </w:pPr>
      <w:bookmarkStart w:name="（6）合营企业或联营企业发生的超额亏损" w:id="440"/>
      <w:bookmarkEnd w:id="440"/>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52"/>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7）与合营企业投资相关的未确认承诺" w:id="441"/>
      <w:bookmarkEnd w:id="441"/>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60"/>
        <w:jc w:val="left"/>
        <w:rPr>
          <w:b w:val="0"/>
          <w:bCs w:val="0"/>
        </w:rPr>
      </w:pPr>
      <w:bookmarkStart w:name="（8）与合营企业或联营企业投资相关的或有负债" w:id="442"/>
      <w:bookmarkEnd w:id="442"/>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4、重要的共同经营" w:id="443"/>
      <w:bookmarkEnd w:id="443"/>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57" w:lineRule="auto" w:before="52"/>
        <w:ind w:left="154" w:right="5532"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9"/>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5、在未纳入合并财务报表范围的结构化主体中的权益" w:id="444"/>
      <w:bookmarkEnd w:id="444"/>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6、其他" w:id="445"/>
      <w:bookmarkEnd w:id="445"/>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1360"/>
        <w:jc w:val="left"/>
        <w:rPr>
          <w:b w:val="0"/>
          <w:bCs w:val="0"/>
        </w:rPr>
      </w:pPr>
      <w:bookmarkStart w:name="十、与金融工具相关的风险" w:id="446"/>
      <w:bookmarkEnd w:id="446"/>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31" w:firstLine="420"/>
        <w:jc w:val="both"/>
      </w:pPr>
      <w:r>
        <w:rPr>
          <w:spacing w:val="-1"/>
        </w:rPr>
        <w:t>本公司从事风险管理的目标是在风险和收益之间取得平衡，将风险对本公司经营业绩的负面影响降至</w:t>
      </w:r>
      <w:r>
        <w:rPr/>
        <w:t> </w:t>
      </w:r>
      <w:r>
        <w:rPr>
          <w:spacing w:val="-1"/>
        </w:rPr>
        <w:t>最低水平，使股东和其他权益投资者的利益最大化。基于该风险管理目标，本公司风险管理的基本策略是</w:t>
      </w:r>
      <w:r>
        <w:rPr>
          <w:spacing w:val="-83"/>
        </w:rPr>
        <w:t> </w:t>
      </w:r>
      <w:r>
        <w:rPr>
          <w:spacing w:val="-83"/>
        </w:rPr>
      </w:r>
      <w:r>
        <w:rPr>
          <w:spacing w:val="-1"/>
        </w:rPr>
        <w:t>确认和分析本公司面临的各种风险，建立适当的风险承受底线和进行风险管理，并及时可靠地对各种风险</w:t>
      </w:r>
      <w:r>
        <w:rPr>
          <w:spacing w:val="-81"/>
        </w:rPr>
        <w:t> </w:t>
      </w:r>
      <w:r>
        <w:rPr>
          <w:spacing w:val="-81"/>
        </w:rPr>
      </w:r>
      <w:r>
        <w:rPr/>
        <w:t>进行监督，将风险控制在限定的范围内。</w:t>
      </w:r>
    </w:p>
    <w:p>
      <w:pPr>
        <w:pStyle w:val="BodyText"/>
        <w:spacing w:line="273" w:lineRule="auto" w:before="7"/>
        <w:ind w:right="1131" w:firstLine="420"/>
        <w:jc w:val="both"/>
      </w:pPr>
      <w:r>
        <w:rPr>
          <w:spacing w:val="-1"/>
        </w:rPr>
        <w:t>本公司在日常活动中面临各种与金融工具相关的风险，主要包括信用风险、流动风险及市场风险。管</w:t>
      </w:r>
      <w:r>
        <w:rPr/>
        <w:t> 理层已审议并批准管理这些风险的政策，概括如下。</w:t>
      </w:r>
    </w:p>
    <w:p>
      <w:pPr>
        <w:pStyle w:val="BodyText"/>
        <w:spacing w:line="256" w:lineRule="auto" w:before="7"/>
        <w:ind w:left="574" w:right="2772"/>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信用风险</w:t>
      </w:r>
      <w:r>
        <w:rPr>
          <w:w w:val="99"/>
        </w:rPr>
        <w:t> </w:t>
      </w:r>
      <w:r>
        <w:rPr/>
        <w:t>信用风险，是指金融工具的一方不能履行义务，造成另一方发生财务损失的风险。</w:t>
      </w:r>
    </w:p>
    <w:p>
      <w:pPr>
        <w:pStyle w:val="BodyText"/>
        <w:spacing w:line="240" w:lineRule="auto" w:before="22"/>
        <w:ind w:left="574" w:right="0"/>
        <w:jc w:val="left"/>
      </w:pPr>
      <w:r>
        <w:rPr>
          <w:spacing w:val="-3"/>
        </w:rPr>
        <w:t>本公司的信用风险主要来自银行存款和应收款项。为控制上述相关风险，本公司分别采取了以下措施。</w:t>
      </w:r>
    </w:p>
    <w:p>
      <w:pPr>
        <w:pStyle w:val="BodyText"/>
        <w:spacing w:line="266" w:lineRule="auto" w:before="37"/>
        <w:ind w:left="574" w:right="361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银行存款 本公司将银行存款存放于信用评级较高的金融机构，故其信用风险较低。 </w:t>
      </w: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应收款项</w:t>
      </w:r>
    </w:p>
    <w:p>
      <w:pPr>
        <w:pStyle w:val="BodyText"/>
        <w:spacing w:line="273" w:lineRule="auto"/>
        <w:ind w:right="1131" w:firstLine="420"/>
        <w:jc w:val="both"/>
      </w:pPr>
      <w:r>
        <w:rPr>
          <w:spacing w:val="-1"/>
        </w:rPr>
        <w:t>本公司持续对采用信用方式交易的客户进行信用评估。根据信用评估结果，本公司选择与经认可的且</w:t>
      </w:r>
      <w:r>
        <w:rPr/>
        <w:t> 信用良好的客户进行交易，并对其应收款项余额进行监控，以确保本公司不会面临重大坏账风险。</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018" w:firstLine="420"/>
        <w:jc w:val="left"/>
      </w:pPr>
      <w:r>
        <w:rPr/>
        <w:t>由于本公司的应收账款风险点分布于多个合作方和多个客户，截至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日，本公司应收账款 </w:t>
      </w:r>
      <w:r>
        <w:rPr>
          <w:spacing w:val="-3"/>
        </w:rPr>
        <w:t>的</w:t>
      </w:r>
      <w:r>
        <w:rPr>
          <w:rFonts w:ascii="Times New Roman" w:hAnsi="Times New Roman" w:cs="Times New Roman" w:eastAsia="Times New Roman" w:hint="default"/>
          <w:spacing w:val="-3"/>
        </w:rPr>
        <w:t>35.43%</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w:t>
      </w:r>
      <w:r>
        <w:rPr>
          <w:rFonts w:ascii="Times New Roman" w:hAnsi="Times New Roman" w:cs="Times New Roman" w:eastAsia="Times New Roman" w:hint="default"/>
          <w:spacing w:val="-3"/>
        </w:rPr>
        <w:t>31.46%</w:t>
      </w:r>
      <w:r>
        <w:rPr>
          <w:spacing w:val="-3"/>
        </w:rPr>
        <w:t>）源于余额前五名客户，本公司应收账款不存在重大的信用集中风险。</w:t>
      </w:r>
    </w:p>
    <w:p>
      <w:pPr>
        <w:pStyle w:val="BodyText"/>
        <w:spacing w:line="256" w:lineRule="auto" w:before="5"/>
        <w:ind w:right="0" w:firstLine="420"/>
        <w:jc w:val="left"/>
      </w:pPr>
      <w:r>
        <w:rPr>
          <w:spacing w:val="-1"/>
        </w:rPr>
        <w:t>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日，公司应收美盛控股的款项余额为</w:t>
      </w:r>
      <w:r>
        <w:rPr>
          <w:rFonts w:ascii="Times New Roman" w:hAnsi="Times New Roman" w:cs="Times New Roman" w:eastAsia="Times New Roman" w:hint="default"/>
          <w:spacing w:val="-1"/>
        </w:rPr>
        <w:t>1,511,958,817.28</w:t>
      </w:r>
      <w:r>
        <w:rPr>
          <w:spacing w:val="-1"/>
        </w:rPr>
        <w:t>元，占公司全部其他应收款项</w:t>
      </w:r>
      <w:r>
        <w:rPr/>
        <w:t> 余额的</w:t>
      </w:r>
      <w:r>
        <w:rPr>
          <w:rFonts w:ascii="Times New Roman" w:hAnsi="Times New Roman" w:cs="Times New Roman" w:eastAsia="Times New Roman" w:hint="default"/>
        </w:rPr>
        <w:t>99.22%</w:t>
      </w:r>
      <w:r>
        <w:rPr/>
        <w:t>。公司其他应收款存在重大的信用集中风险。</w:t>
      </w:r>
    </w:p>
    <w:p>
      <w:pPr>
        <w:pStyle w:val="BodyText"/>
        <w:spacing w:line="256" w:lineRule="auto" w:before="5"/>
        <w:ind w:left="574" w:right="1092"/>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流动风险</w:t>
      </w:r>
      <w:r>
        <w:rPr>
          <w:w w:val="99"/>
        </w:rPr>
        <w:t> </w:t>
      </w:r>
      <w:r>
        <w:rPr/>
        <w:t>流动风险，是指本公司在履行以交付现金或其他金融资产的方式结算的义务时发生资金短缺的风险。</w:t>
      </w:r>
    </w:p>
    <w:p>
      <w:pPr>
        <w:pStyle w:val="BodyText"/>
        <w:spacing w:line="273" w:lineRule="auto" w:before="22"/>
        <w:ind w:right="0"/>
        <w:jc w:val="left"/>
      </w:pPr>
      <w:r>
        <w:rPr>
          <w:spacing w:val="-1"/>
        </w:rPr>
        <w:t>流动风险可能源于无法尽快以公允价值售出金融资产；或者源于对方无法偿还其合同债务；或者源于提前</w:t>
      </w:r>
      <w:r>
        <w:rPr>
          <w:spacing w:val="-81"/>
        </w:rPr>
        <w:t> </w:t>
      </w:r>
      <w:r>
        <w:rPr>
          <w:spacing w:val="-81"/>
        </w:rPr>
      </w:r>
      <w:r>
        <w:rPr/>
        <w:t>到期的债务；或者源于无法产生预期的现金流量。</w:t>
      </w:r>
    </w:p>
    <w:p>
      <w:pPr>
        <w:pStyle w:val="BodyText"/>
        <w:spacing w:line="240" w:lineRule="auto" w:before="7"/>
        <w:ind w:left="574" w:right="1360"/>
        <w:jc w:val="left"/>
      </w:pPr>
      <w:r>
        <w:rPr/>
        <w:t>金融负债按剩余到期日分类</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702"/>
        <w:gridCol w:w="1686"/>
        <w:gridCol w:w="1737"/>
        <w:gridCol w:w="1686"/>
        <w:gridCol w:w="1582"/>
        <w:gridCol w:w="1484"/>
      </w:tblGrid>
      <w:tr>
        <w:trPr>
          <w:trHeight w:val="347" w:hRule="exact"/>
        </w:trPr>
        <w:tc>
          <w:tcPr>
            <w:tcW w:w="1702" w:type="dxa"/>
            <w:vMerge w:val="restart"/>
            <w:tcBorders>
              <w:top w:val="single" w:sz="6" w:space="0" w:color="000000"/>
              <w:left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8175" w:type="dxa"/>
            <w:gridSpan w:val="5"/>
            <w:tcBorders>
              <w:top w:val="single" w:sz="6" w:space="0" w:color="000000"/>
              <w:left w:val="single" w:sz="6" w:space="0" w:color="000000"/>
              <w:bottom w:val="single" w:sz="6" w:space="0" w:color="000000"/>
              <w:right w:val="nil" w:sz="6" w:space="0" w:color="auto"/>
            </w:tcBorders>
          </w:tcPr>
          <w:p>
            <w:pPr>
              <w:pStyle w:val="TableParagraph"/>
              <w:spacing w:line="271" w:lineRule="exact"/>
              <w:ind w:right="6"/>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7" w:hRule="exact"/>
        </w:trPr>
        <w:tc>
          <w:tcPr>
            <w:tcW w:w="1702"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1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25" w:right="0"/>
              <w:jc w:val="left"/>
              <w:rPr>
                <w:rFonts w:ascii="宋体" w:hAnsi="宋体" w:cs="宋体" w:eastAsia="宋体" w:hint="default"/>
                <w:sz w:val="21"/>
                <w:szCs w:val="21"/>
              </w:rPr>
            </w:pPr>
            <w:r>
              <w:rPr>
                <w:rFonts w:ascii="宋体" w:hAnsi="宋体" w:cs="宋体" w:eastAsia="宋体" w:hint="default"/>
                <w:sz w:val="21"/>
                <w:szCs w:val="21"/>
              </w:rPr>
              <w:t>未折现合同金额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4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宋体" w:hAnsi="宋体" w:cs="宋体" w:eastAsia="宋体" w:hint="default"/>
                <w:sz w:val="21"/>
                <w:szCs w:val="21"/>
              </w:rPr>
              <w:t>年</w:t>
            </w:r>
          </w:p>
        </w:tc>
        <w:tc>
          <w:tcPr>
            <w:tcW w:w="1484" w:type="dxa"/>
            <w:tcBorders>
              <w:top w:val="single" w:sz="6" w:space="0" w:color="000000"/>
              <w:left w:val="single" w:sz="6" w:space="0" w:color="000000"/>
              <w:bottom w:val="single" w:sz="6" w:space="0" w:color="000000"/>
              <w:right w:val="nil" w:sz="6" w:space="0" w:color="auto"/>
            </w:tcBorders>
          </w:tcPr>
          <w:p>
            <w:pPr>
              <w:pStyle w:val="TableParagraph"/>
              <w:spacing w:line="287" w:lineRule="exact"/>
              <w:ind w:left="3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银行借款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558,905,600.00</w:t>
            </w:r>
          </w:p>
        </w:tc>
        <w:tc>
          <w:tcPr>
            <w:tcW w:w="1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579,984,881.39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509,353,131.39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70,631,750.00</w:t>
            </w:r>
          </w:p>
        </w:tc>
        <w:tc>
          <w:tcPr>
            <w:tcW w:w="1484" w:type="dxa"/>
            <w:tcBorders>
              <w:top w:val="single" w:sz="6" w:space="0" w:color="000000"/>
              <w:left w:val="single" w:sz="6" w:space="0" w:color="000000"/>
              <w:bottom w:val="single" w:sz="6" w:space="0" w:color="000000"/>
              <w:right w:val="nil" w:sz="6" w:space="0" w:color="auto"/>
            </w:tcBorders>
          </w:tcPr>
          <w:p>
            <w:pPr/>
          </w:p>
        </w:tc>
      </w:tr>
      <w:tr>
        <w:trPr>
          <w:trHeight w:val="66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left"/>
              <w:rPr>
                <w:rFonts w:ascii="宋体" w:hAnsi="宋体" w:cs="宋体" w:eastAsia="宋体" w:hint="default"/>
                <w:sz w:val="21"/>
                <w:szCs w:val="21"/>
              </w:rPr>
            </w:pPr>
            <w:r>
              <w:rPr>
                <w:rFonts w:ascii="宋体" w:hAnsi="宋体" w:cs="宋体" w:eastAsia="宋体" w:hint="default"/>
                <w:sz w:val="21"/>
                <w:szCs w:val="21"/>
              </w:rPr>
              <w:t>应付票据及应付账 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138,619,274.22</w:t>
            </w:r>
          </w:p>
        </w:tc>
        <w:tc>
          <w:tcPr>
            <w:tcW w:w="1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138,619,274.22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138,619,274.22</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32,285,289.25</w:t>
            </w:r>
          </w:p>
        </w:tc>
        <w:tc>
          <w:tcPr>
            <w:tcW w:w="1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32,285,289.25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32,285,289.25</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729,810,163.47</w:t>
            </w:r>
          </w:p>
        </w:tc>
        <w:tc>
          <w:tcPr>
            <w:tcW w:w="1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750,889,444.86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680,257,694.86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70,631,750.00</w:t>
            </w:r>
          </w:p>
        </w:tc>
        <w:tc>
          <w:tcPr>
            <w:tcW w:w="1484" w:type="dxa"/>
            <w:tcBorders>
              <w:top w:val="single" w:sz="6" w:space="0" w:color="000000"/>
              <w:left w:val="single" w:sz="6" w:space="0" w:color="000000"/>
              <w:bottom w:val="single" w:sz="6" w:space="0" w:color="000000"/>
              <w:right w:val="nil" w:sz="6" w:space="0" w:color="auto"/>
            </w:tcBorders>
          </w:tcPr>
          <w:p>
            <w:pPr/>
          </w:p>
        </w:tc>
      </w:tr>
    </w:tbl>
    <w:p>
      <w:pPr>
        <w:pStyle w:val="BodyText"/>
        <w:spacing w:line="276" w:lineRule="exact"/>
        <w:ind w:left="574" w:right="136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629"/>
        <w:gridCol w:w="1686"/>
        <w:gridCol w:w="1689"/>
        <w:gridCol w:w="1686"/>
        <w:gridCol w:w="1686"/>
        <w:gridCol w:w="1123"/>
      </w:tblGrid>
      <w:tr>
        <w:trPr>
          <w:trHeight w:val="348" w:hRule="exact"/>
        </w:trPr>
        <w:tc>
          <w:tcPr>
            <w:tcW w:w="1629" w:type="dxa"/>
            <w:vMerge w:val="restart"/>
            <w:tcBorders>
              <w:top w:val="single" w:sz="6" w:space="0" w:color="000000"/>
              <w:left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7870" w:type="dxa"/>
            <w:gridSpan w:val="5"/>
            <w:tcBorders>
              <w:top w:val="single" w:sz="6" w:space="0" w:color="000000"/>
              <w:left w:val="single" w:sz="6" w:space="0" w:color="000000"/>
              <w:bottom w:val="single" w:sz="6" w:space="0" w:color="000000"/>
              <w:right w:val="nil" w:sz="6" w:space="0" w:color="auto"/>
            </w:tcBorders>
          </w:tcPr>
          <w:p>
            <w:pPr>
              <w:pStyle w:val="TableParagraph"/>
              <w:spacing w:line="271" w:lineRule="exact"/>
              <w:ind w:right="6"/>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7" w:hRule="exact"/>
        </w:trPr>
        <w:tc>
          <w:tcPr>
            <w:tcW w:w="1629"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1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2" w:right="0"/>
              <w:jc w:val="left"/>
              <w:rPr>
                <w:rFonts w:ascii="宋体" w:hAnsi="宋体" w:cs="宋体" w:eastAsia="宋体" w:hint="default"/>
                <w:sz w:val="21"/>
                <w:szCs w:val="21"/>
              </w:rPr>
            </w:pPr>
            <w:r>
              <w:rPr>
                <w:rFonts w:ascii="宋体" w:hAnsi="宋体" w:cs="宋体" w:eastAsia="宋体" w:hint="default"/>
                <w:sz w:val="21"/>
                <w:szCs w:val="21"/>
              </w:rPr>
              <w:t>未折现合同金额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宋体" w:hAnsi="宋体" w:cs="宋体" w:eastAsia="宋体" w:hint="default"/>
                <w:sz w:val="21"/>
                <w:szCs w:val="21"/>
              </w:rPr>
              <w:t>年</w:t>
            </w:r>
          </w:p>
        </w:tc>
        <w:tc>
          <w:tcPr>
            <w:tcW w:w="1123" w:type="dxa"/>
            <w:tcBorders>
              <w:top w:val="single" w:sz="6" w:space="0" w:color="000000"/>
              <w:left w:val="single" w:sz="6" w:space="0" w:color="000000"/>
              <w:bottom w:val="single" w:sz="6" w:space="0" w:color="000000"/>
              <w:right w:val="nil" w:sz="6" w:space="0" w:color="auto"/>
            </w:tcBorders>
          </w:tcPr>
          <w:p>
            <w:pPr>
              <w:pStyle w:val="TableParagraph"/>
              <w:spacing w:line="285" w:lineRule="exact"/>
              <w:ind w:left="18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r>
      <w:tr>
        <w:trPr>
          <w:trHeight w:val="347" w:hRule="exact"/>
        </w:trPr>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银行借款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570,000,000.00</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594,390,604.17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466,562,604.17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127,828,000.00</w:t>
            </w:r>
          </w:p>
        </w:tc>
        <w:tc>
          <w:tcPr>
            <w:tcW w:w="1123" w:type="dxa"/>
            <w:tcBorders>
              <w:top w:val="single" w:sz="6" w:space="0" w:color="000000"/>
              <w:left w:val="single" w:sz="6" w:space="0" w:color="000000"/>
              <w:bottom w:val="single" w:sz="6" w:space="0" w:color="000000"/>
              <w:right w:val="nil" w:sz="6" w:space="0" w:color="auto"/>
            </w:tcBorders>
          </w:tcPr>
          <w:p>
            <w:pPr/>
          </w:p>
        </w:tc>
      </w:tr>
      <w:tr>
        <w:trPr>
          <w:trHeight w:val="659" w:hRule="exact"/>
        </w:trPr>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left"/>
              <w:rPr>
                <w:rFonts w:ascii="宋体" w:hAnsi="宋体" w:cs="宋体" w:eastAsia="宋体" w:hint="default"/>
                <w:sz w:val="21"/>
                <w:szCs w:val="21"/>
              </w:rPr>
            </w:pPr>
            <w:r>
              <w:rPr>
                <w:rFonts w:ascii="宋体" w:hAnsi="宋体" w:cs="宋体" w:eastAsia="宋体" w:hint="default"/>
                <w:spacing w:val="19"/>
                <w:sz w:val="21"/>
                <w:szCs w:val="21"/>
              </w:rPr>
              <w:t>应付票据及应付</w:t>
            </w:r>
            <w:r>
              <w:rPr>
                <w:rFonts w:ascii="宋体" w:hAnsi="宋体" w:cs="宋体" w:eastAsia="宋体" w:hint="default"/>
                <w:sz w:val="21"/>
                <w:szCs w:val="21"/>
              </w:rPr>
              <w:t> 帐款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135,168,933.27</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135,168,933.27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135,168,933.27</w:t>
            </w:r>
          </w:p>
        </w:tc>
        <w:tc>
          <w:tcPr>
            <w:tcW w:w="1686" w:type="dxa"/>
            <w:tcBorders>
              <w:top w:val="single" w:sz="6" w:space="0" w:color="000000"/>
              <w:left w:val="single" w:sz="6"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225,987,014.11</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225,987,014.11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225,987,014.11</w:t>
            </w:r>
          </w:p>
        </w:tc>
        <w:tc>
          <w:tcPr>
            <w:tcW w:w="1686" w:type="dxa"/>
            <w:tcBorders>
              <w:top w:val="single" w:sz="6" w:space="0" w:color="000000"/>
              <w:left w:val="single" w:sz="6"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38,000,000.00</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38,000,000.00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38,000,000.00</w:t>
            </w:r>
          </w:p>
        </w:tc>
        <w:tc>
          <w:tcPr>
            <w:tcW w:w="1686" w:type="dxa"/>
            <w:tcBorders>
              <w:top w:val="single" w:sz="6" w:space="0" w:color="000000"/>
              <w:left w:val="single" w:sz="6"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62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969,155,947.38</w:t>
            </w:r>
          </w:p>
        </w:tc>
        <w:tc>
          <w:tcPr>
            <w:tcW w:w="1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993,546,551.55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865,718,551.55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127,828,000.00</w:t>
            </w:r>
          </w:p>
        </w:tc>
        <w:tc>
          <w:tcPr>
            <w:tcW w:w="1123" w:type="dxa"/>
            <w:tcBorders>
              <w:top w:val="single" w:sz="6" w:space="0" w:color="000000"/>
              <w:left w:val="single" w:sz="6" w:space="0" w:color="000000"/>
              <w:bottom w:val="single" w:sz="6" w:space="0" w:color="000000"/>
              <w:right w:val="nil" w:sz="6" w:space="0" w:color="auto"/>
            </w:tcBorders>
          </w:tcPr>
          <w:p>
            <w:pPr/>
          </w:p>
        </w:tc>
      </w:tr>
    </w:tbl>
    <w:p>
      <w:pPr>
        <w:pStyle w:val="BodyText"/>
        <w:spacing w:line="276" w:lineRule="exact"/>
        <w:ind w:left="574" w:right="136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市场风险</w:t>
      </w:r>
    </w:p>
    <w:p>
      <w:pPr>
        <w:pStyle w:val="BodyText"/>
        <w:spacing w:line="273" w:lineRule="auto" w:before="21"/>
        <w:ind w:right="0" w:firstLine="420"/>
        <w:jc w:val="left"/>
      </w:pPr>
      <w:r>
        <w:rPr>
          <w:spacing w:val="-1"/>
        </w:rPr>
        <w:t>市场风险，是指金融工具的公允价值或未来现金流量因市场价格变动而发生波动的风险。市场风险主</w:t>
      </w:r>
      <w:r>
        <w:rPr/>
        <w:t> 要包括利率风险和外汇风险。</w:t>
      </w:r>
    </w:p>
    <w:p>
      <w:pPr>
        <w:pStyle w:val="BodyText"/>
        <w:spacing w:line="256" w:lineRule="auto" w:before="7"/>
        <w:ind w:left="574" w:right="11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利率风险 </w:t>
      </w:r>
      <w:r>
        <w:rPr>
          <w:spacing w:val="-1"/>
        </w:rPr>
        <w:t>利率风险，是指金融工具的公允价值或未来现金流量因市场利率变动而发生波动的风险。本公司借款</w:t>
      </w:r>
    </w:p>
    <w:p>
      <w:pPr>
        <w:pStyle w:val="BodyText"/>
        <w:spacing w:line="240" w:lineRule="auto" w:before="22"/>
        <w:ind w:right="1360"/>
        <w:jc w:val="left"/>
      </w:pPr>
      <w:r>
        <w:rPr/>
        <w:t>均为固定利率借款，不存在利率风险。</w:t>
      </w:r>
    </w:p>
    <w:p>
      <w:pPr>
        <w:pStyle w:val="BodyText"/>
        <w:spacing w:line="256" w:lineRule="auto" w:before="37"/>
        <w:ind w:left="574" w:right="111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外汇风险 </w:t>
      </w:r>
      <w:r>
        <w:rPr>
          <w:spacing w:val="-1"/>
        </w:rPr>
        <w:t>外汇风险，是指金融工具的公允价值或未来现金流量因外汇汇率变动而发生波动的风险。本公司面临</w:t>
      </w:r>
    </w:p>
    <w:p>
      <w:pPr>
        <w:pStyle w:val="BodyText"/>
        <w:spacing w:line="273" w:lineRule="auto" w:before="22"/>
        <w:ind w:right="1118"/>
        <w:jc w:val="left"/>
      </w:pPr>
      <w:r>
        <w:rPr>
          <w:spacing w:val="-1"/>
        </w:rPr>
        <w:t>的汇率变动的风险主要与本公司外币货币性资产和负债有关。对于外币资产和负债，如果出现短期的失衡</w:t>
      </w:r>
      <w:r>
        <w:rPr>
          <w:spacing w:val="-81"/>
        </w:rPr>
        <w:t> </w:t>
      </w:r>
      <w:r>
        <w:rPr>
          <w:spacing w:val="-81"/>
        </w:rPr>
      </w:r>
      <w:r>
        <w:rPr/>
        <w:t>情况，本公司会在必要时按市场汇率买卖外币，以确保将净风险敞口维持在可接受的水平。 </w:t>
      </w:r>
      <w:r>
        <w:rPr>
          <w:spacing w:val="3"/>
        </w:rPr>
        <w:t>本公司期末外币货币性资产和负债情况见本财务报表附注合并财务报表项目注释其他之外币货币性项目</w:t>
      </w:r>
      <w:r>
        <w:rPr>
          <w:spacing w:val="-82"/>
        </w:rPr>
        <w:t> </w:t>
      </w:r>
      <w:r>
        <w:rPr>
          <w:spacing w:val="-82"/>
        </w:rPr>
      </w:r>
      <w:r>
        <w:rPr/>
        <w:t>说明。</w:t>
      </w:r>
    </w:p>
    <w:p>
      <w:pPr>
        <w:spacing w:line="240" w:lineRule="auto" w:before="11"/>
        <w:rPr>
          <w:rFonts w:ascii="宋体" w:hAnsi="宋体" w:cs="宋体" w:eastAsia="宋体" w:hint="default"/>
          <w:sz w:val="21"/>
          <w:szCs w:val="21"/>
        </w:rPr>
      </w:pPr>
    </w:p>
    <w:p>
      <w:pPr>
        <w:pStyle w:val="Heading2"/>
        <w:spacing w:line="240" w:lineRule="auto"/>
        <w:ind w:right="1360"/>
        <w:jc w:val="left"/>
        <w:rPr>
          <w:b w:val="0"/>
          <w:bCs w:val="0"/>
        </w:rPr>
      </w:pPr>
      <w:bookmarkStart w:name="十一、公允价值的披露" w:id="447"/>
      <w:bookmarkEnd w:id="447"/>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360"/>
        <w:jc w:val="left"/>
        <w:rPr>
          <w:b w:val="0"/>
          <w:bCs w:val="0"/>
        </w:rPr>
      </w:pPr>
      <w:bookmarkStart w:name="1、以公允价值计量的资产和负债的期末公允价值" w:id="448"/>
      <w:bookmarkEnd w:id="448"/>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95" w:type="dxa"/>
            <w:vMerge w:val="restart"/>
            <w:tcBorders>
              <w:top w:val="nil" w:sz="6" w:space="0" w:color="auto"/>
              <w:left w:val="single" w:sz="4" w:space="0" w:color="000000"/>
              <w:right w:val="single" w:sz="4" w:space="0" w:color="000000"/>
            </w:tcBorders>
            <w:shd w:val="clear" w:color="auto" w:fill="D2D2D2"/>
          </w:tcPr>
          <w:p>
            <w:pPr/>
          </w:p>
        </w:tc>
        <w:tc>
          <w:tcPr>
            <w:tcW w:w="1838"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53"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5,504,434.32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5,504,434.32</w:t>
            </w:r>
          </w:p>
        </w:tc>
      </w:tr>
      <w:tr>
        <w:trPr>
          <w:trHeight w:val="16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995" w:type="dxa"/>
            <w:vMerge/>
            <w:tcBorders>
              <w:left w:val="single" w:sz="4" w:space="0" w:color="000000"/>
              <w:right w:val="single" w:sz="4" w:space="0" w:color="000000"/>
            </w:tcBorders>
            <w:shd w:val="clear" w:color="auto" w:fill="D2D2D2"/>
          </w:tcPr>
          <w:p>
            <w:pPr/>
          </w:p>
        </w:tc>
        <w:tc>
          <w:tcPr>
            <w:tcW w:w="1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53"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2、持续和非持续第一层次公允价值计量项目市价的确定依据" w:id="449"/>
      <w:bookmarkEnd w:id="449"/>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firstLine="420"/>
        <w:jc w:val="left"/>
      </w:pPr>
      <w:r>
        <w:rPr>
          <w:spacing w:val="3"/>
        </w:rPr>
        <w:t>持续和非持续第一层次公允价值计量项目为本公司向汇丰银行购买的美元收益基金和亚洲债券基金</w:t>
      </w:r>
      <w:r>
        <w:rPr/>
        <w:t> 以及向浙江合益智信投资管理有限责任公司购买的合益智信弘益一号</w:t>
      </w:r>
      <w:r>
        <w:rPr>
          <w:rFonts w:ascii="Times New Roman" w:hAnsi="Times New Roman" w:cs="Times New Roman" w:eastAsia="Times New Roman" w:hint="default"/>
        </w:rPr>
        <w:t>1</w:t>
      </w:r>
      <w:r>
        <w:rPr/>
        <w:t>期私募证券投资基金。</w:t>
      </w:r>
    </w:p>
    <w:p>
      <w:pPr>
        <w:pStyle w:val="BodyText"/>
        <w:spacing w:line="256" w:lineRule="auto"/>
        <w:ind w:right="1118" w:firstLine="420"/>
        <w:jc w:val="left"/>
      </w:pPr>
      <w:r>
        <w:rPr/>
        <w:t>采用的估值技术方法：期末，上述金融资产存在活跃市场报价，公司确认公允价值变动</w:t>
      </w:r>
      <w:r>
        <w:rPr>
          <w:rFonts w:ascii="Times New Roman" w:hAnsi="Times New Roman" w:cs="Times New Roman" w:eastAsia="Times New Roman" w:hint="default"/>
        </w:rPr>
        <w:t>-1,344,701.05 </w:t>
      </w:r>
      <w:r>
        <w:rPr/>
        <w:t>元。</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right="1360"/>
        <w:jc w:val="left"/>
        <w:rPr>
          <w:b w:val="0"/>
          <w:bCs w:val="0"/>
        </w:rPr>
      </w:pPr>
      <w:bookmarkStart w:name="3、持续和非持续第二层次公允价值计量项目，采用的估值技术和重要参数的定性及定量信" w:id="450"/>
      <w:bookmarkEnd w:id="450"/>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4、持续和非持续第三层次公允价值计量项目，采用的估值技术和重要参数的定性及定量信" w:id="451"/>
      <w:bookmarkEnd w:id="451"/>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5、持续的第三层次公允价值计量项目，期初与期末账面价值间的调节信息及不可观察参数" w:id="452"/>
      <w:bookmarkEnd w:id="452"/>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360"/>
        <w:jc w:val="left"/>
        <w:rPr>
          <w:b w:val="0"/>
          <w:bCs w:val="0"/>
        </w:rPr>
      </w:pPr>
      <w:bookmarkStart w:name="6、持续的公允价值计量项目，本期内发生各层级之间转换的，转换的原因及确定转换时点" w:id="453"/>
      <w:bookmarkEnd w:id="453"/>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7、本期内发生的估值技术变更及变更原因" w:id="454"/>
      <w:bookmarkEnd w:id="454"/>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8、不以公允价值计量的金融资产和金融负债的公允价值情况" w:id="455"/>
      <w:bookmarkEnd w:id="455"/>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692" w:firstLine="0"/>
        <w:jc w:val="left"/>
        <w:rPr>
          <w:rFonts w:ascii="宋体" w:hAnsi="宋体" w:cs="宋体" w:eastAsia="宋体" w:hint="default"/>
          <w:sz w:val="21"/>
          <w:szCs w:val="21"/>
        </w:rPr>
      </w:pPr>
      <w:bookmarkStart w:name="9、其他" w:id="456"/>
      <w:bookmarkEnd w:id="456"/>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57"/>
      <w:bookmarkEnd w:id="457"/>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58"/>
      <w:bookmarkEnd w:id="458"/>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21"/>
              <w:jc w:val="righ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美盛控股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0"/>
              <w:jc w:val="right"/>
              <w:rPr>
                <w:rFonts w:ascii="宋体" w:hAnsi="宋体" w:cs="宋体" w:eastAsia="宋体" w:hint="default"/>
                <w:sz w:val="18"/>
                <w:szCs w:val="18"/>
              </w:rPr>
            </w:pPr>
            <w:r>
              <w:rPr>
                <w:rFonts w:ascii="宋体" w:hAnsi="宋体" w:cs="宋体" w:eastAsia="宋体" w:hint="default"/>
                <w:sz w:val="18"/>
                <w:szCs w:val="18"/>
              </w:rPr>
              <w:t>浙江省绍兴市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37.76%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37.76%</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pStyle w:val="BodyText"/>
        <w:spacing w:line="261" w:lineRule="auto" w:before="91"/>
        <w:ind w:right="1130" w:firstLine="420"/>
        <w:jc w:val="both"/>
      </w:pPr>
      <w:r>
        <w:rPr>
          <w:spacing w:val="-1"/>
        </w:rPr>
        <w:t>美盛控股主要从事实业投资、资产管理咨询、项目投资咨询、房地产开发等业务。美盛控股由赵小强</w:t>
      </w:r>
      <w:r>
        <w:rPr/>
        <w:t> 持股</w:t>
      </w:r>
      <w:r>
        <w:rPr>
          <w:rFonts w:ascii="Times New Roman" w:hAnsi="Times New Roman" w:cs="Times New Roman" w:eastAsia="Times New Roman" w:hint="default"/>
        </w:rPr>
        <w:t>80%</w:t>
      </w:r>
      <w:r>
        <w:rPr/>
        <w:t>，由其配偶石炜萍持股</w:t>
      </w:r>
      <w:r>
        <w:rPr>
          <w:rFonts w:ascii="Times New Roman" w:hAnsi="Times New Roman" w:cs="Times New Roman" w:eastAsia="Times New Roman" w:hint="default"/>
        </w:rPr>
        <w:t>20%</w:t>
      </w:r>
      <w:r>
        <w:rPr/>
        <w:t>。此外，赵小强直接持有本公司股份</w:t>
      </w:r>
      <w:r>
        <w:rPr>
          <w:rFonts w:ascii="Times New Roman" w:hAnsi="Times New Roman" w:cs="Times New Roman" w:eastAsia="Times New Roman" w:hint="default"/>
        </w:rPr>
        <w:t>187,587,162</w:t>
      </w:r>
      <w:r>
        <w:rPr/>
        <w:t>股。因此，本公司最</w:t>
      </w:r>
      <w:r>
        <w:rPr>
          <w:spacing w:val="-66"/>
        </w:rPr>
        <w:t> </w:t>
      </w:r>
      <w:r>
        <w:rPr>
          <w:spacing w:val="-66"/>
        </w:rPr>
      </w:r>
      <w:r>
        <w:rPr>
          <w:spacing w:val="-1"/>
        </w:rPr>
        <w:t>终控制方是赵小强先生。截至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日，公司已被质押的股份数量为</w:t>
      </w:r>
      <w:r>
        <w:rPr>
          <w:rFonts w:ascii="Times New Roman" w:hAnsi="Times New Roman" w:cs="Times New Roman" w:eastAsia="Times New Roman" w:hint="default"/>
          <w:spacing w:val="-1"/>
        </w:rPr>
        <w:t>622,916,451</w:t>
      </w:r>
      <w:r>
        <w:rPr>
          <w:spacing w:val="-1"/>
        </w:rPr>
        <w:t>股，占公司全部股</w:t>
      </w:r>
      <w:r>
        <w:rPr>
          <w:spacing w:val="-79"/>
        </w:rPr>
        <w:t> </w:t>
      </w:r>
      <w:r>
        <w:rPr>
          <w:spacing w:val="-79"/>
        </w:rPr>
      </w:r>
      <w:r>
        <w:rPr>
          <w:spacing w:val="-1"/>
        </w:rPr>
        <w:t>份数量的</w:t>
      </w:r>
      <w:r>
        <w:rPr>
          <w:rFonts w:ascii="Times New Roman" w:hAnsi="Times New Roman" w:cs="Times New Roman" w:eastAsia="Times New Roman" w:hint="default"/>
          <w:spacing w:val="-1"/>
        </w:rPr>
        <w:t>68.48%</w:t>
      </w:r>
      <w:r>
        <w:rPr>
          <w:spacing w:val="-1"/>
        </w:rPr>
        <w:t>。其中，控股股东与实际控制人已质押的股份数量为</w:t>
      </w:r>
      <w:r>
        <w:rPr>
          <w:rFonts w:ascii="Times New Roman" w:hAnsi="Times New Roman" w:cs="Times New Roman" w:eastAsia="Times New Roman" w:hint="default"/>
          <w:spacing w:val="-1"/>
        </w:rPr>
        <w:t>521,381,410</w:t>
      </w:r>
      <w:r>
        <w:rPr>
          <w:spacing w:val="-1"/>
        </w:rPr>
        <w:t>股，占其持有股份数量的</w:t>
      </w:r>
    </w:p>
    <w:p>
      <w:pPr>
        <w:spacing w:after="0" w:line="261"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1360"/>
        <w:jc w:val="left"/>
      </w:pPr>
      <w:r>
        <w:rPr>
          <w:rFonts w:ascii="Times New Roman" w:hAnsi="Times New Roman" w:cs="Times New Roman" w:eastAsia="Times New Roman" w:hint="default"/>
        </w:rPr>
        <w:t>98.18%</w:t>
      </w:r>
      <w:r>
        <w:rPr/>
        <w:t>。</w:t>
      </w:r>
    </w:p>
    <w:p>
      <w:pPr>
        <w:spacing w:line="240" w:lineRule="auto" w:before="7"/>
        <w:rPr>
          <w:rFonts w:ascii="宋体" w:hAnsi="宋体" w:cs="宋体" w:eastAsia="宋体" w:hint="default"/>
          <w:sz w:val="30"/>
          <w:szCs w:val="30"/>
        </w:rPr>
      </w:pPr>
    </w:p>
    <w:p>
      <w:pPr>
        <w:spacing w:line="360"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本企业最终控制方是赵小强。 其他说明：</w:t>
      </w:r>
    </w:p>
    <w:p>
      <w:pPr>
        <w:spacing w:line="240" w:lineRule="auto" w:before="12"/>
        <w:rPr>
          <w:rFonts w:ascii="宋体" w:hAnsi="宋体" w:cs="宋体" w:eastAsia="宋体" w:hint="default"/>
          <w:sz w:val="19"/>
          <w:szCs w:val="19"/>
        </w:rPr>
      </w:pPr>
    </w:p>
    <w:p>
      <w:pPr>
        <w:pStyle w:val="Heading4"/>
        <w:spacing w:line="240" w:lineRule="auto"/>
        <w:ind w:right="1360"/>
        <w:jc w:val="left"/>
        <w:rPr>
          <w:b w:val="0"/>
          <w:bCs w:val="0"/>
        </w:rPr>
      </w:pPr>
      <w:bookmarkStart w:name="2、本企业的子公司情况" w:id="459"/>
      <w:bookmarkEnd w:id="459"/>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本企业子公司的情况详见附注在其他主体中的权益之说明。</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3、本企业合营和联营企业情况" w:id="460"/>
      <w:bookmarkEnd w:id="460"/>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2292"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本企业重要的合营或联营企业详见附注在其他主体中的权益之说明。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Jakks</w:t>
            </w:r>
            <w:r>
              <w:rPr>
                <w:rFonts w:ascii="Times New Roman"/>
                <w:spacing w:val="-1"/>
                <w:sz w:val="18"/>
              </w:rPr>
              <w:t> </w:t>
            </w:r>
            <w:r>
              <w:rPr>
                <w:rFonts w:ascii="Times New Roman"/>
                <w:sz w:val="18"/>
              </w:rPr>
              <w:t>Pacific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Jakks Pacific Trading</w:t>
            </w:r>
            <w:r>
              <w:rPr>
                <w:rFonts w:ascii="Times New Roman"/>
                <w:spacing w:val="-15"/>
                <w:sz w:val="18"/>
              </w:rPr>
              <w:t> </w:t>
            </w:r>
            <w:r>
              <w:rPr>
                <w:rFonts w:ascii="Times New Roman"/>
                <w:sz w:val="18"/>
              </w:rPr>
              <w:t>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before="68"/>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4、其他关联方情况" w:id="461"/>
      <w:bookmarkEnd w:id="461"/>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名扬文化公司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控股股东参股的公司</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5、关联交易情况" w:id="462"/>
      <w:bookmarkEnd w:id="462"/>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60"/>
        <w:jc w:val="left"/>
        <w:rPr>
          <w:b w:val="0"/>
          <w:bCs w:val="0"/>
        </w:rPr>
      </w:pPr>
      <w:bookmarkStart w:name="（1）购销商品、提供和接受劳务的关联交易" w:id="463"/>
      <w:bookmarkEnd w:id="463"/>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4" w:right="136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Jakks Pacific Trading</w:t>
            </w:r>
            <w:r>
              <w:rPr>
                <w:rFonts w:ascii="Times New Roman"/>
                <w:spacing w:val="-15"/>
                <w:sz w:val="18"/>
              </w:rPr>
              <w:t> </w:t>
            </w:r>
            <w:r>
              <w:rPr>
                <w:rFonts w:ascii="Times New Roman"/>
                <w:sz w:val="18"/>
              </w:rPr>
              <w:t>Ltd</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销售动漫衍生品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1,817,668.04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2,429,716.43</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Jakks</w:t>
            </w:r>
            <w:r>
              <w:rPr>
                <w:rFonts w:ascii="Times New Roman"/>
                <w:spacing w:val="-1"/>
                <w:sz w:val="18"/>
              </w:rPr>
              <w:t> </w:t>
            </w:r>
            <w:r>
              <w:rPr>
                <w:rFonts w:ascii="Times New Roman"/>
                <w:sz w:val="18"/>
              </w:rPr>
              <w:t>Pacific</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销售动漫衍生品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230,767,449.48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231,221,513.22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动画片制作服务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1,144,519.83</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360"/>
        <w:jc w:val="left"/>
        <w:rPr>
          <w:b w:val="0"/>
          <w:bCs w:val="0"/>
        </w:rPr>
      </w:pPr>
      <w:bookmarkStart w:name="（2）关联受托管理/承包及委托管理/出包情况" w:id="464"/>
      <w:bookmarkEnd w:id="464"/>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spacing w:before="44"/>
        <w:ind w:left="154" w:right="136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340" w:lineRule="auto"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45" w:space="6284"/>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2"/>
        <w:ind w:left="154" w:right="136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9"/>
        <w:rPr>
          <w:rFonts w:ascii="宋体" w:hAnsi="宋体" w:cs="宋体" w:eastAsia="宋体" w:hint="default"/>
          <w:sz w:val="25"/>
          <w:szCs w:val="25"/>
        </w:rPr>
      </w:pPr>
    </w:p>
    <w:p>
      <w:pPr>
        <w:pStyle w:val="Heading4"/>
        <w:spacing w:line="240" w:lineRule="auto"/>
        <w:ind w:right="1360"/>
        <w:jc w:val="left"/>
        <w:rPr>
          <w:b w:val="0"/>
          <w:bCs w:val="0"/>
        </w:rPr>
      </w:pPr>
      <w:bookmarkStart w:name="（3）关联租赁情况" w:id="465"/>
      <w:bookmarkEnd w:id="465"/>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spacing w:before="44"/>
        <w:ind w:left="154" w:right="136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4）关联担保情况" w:id="466"/>
      <w:bookmarkEnd w:id="466"/>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spacing w:before="44"/>
        <w:ind w:left="154" w:right="136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美盛控股、赵小强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美盛控股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美盛控股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赵小强、石炜萍、真趣 网络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赵小强、石炜萍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198,905,600.00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pStyle w:val="BodyText"/>
        <w:spacing w:line="240" w:lineRule="auto" w:before="90"/>
        <w:ind w:right="0"/>
        <w:jc w:val="left"/>
      </w:pPr>
      <w:r>
        <w:rPr/>
        <w:t>公司第三届董事会第十六次会议审议通过了《关于控股股东及其实际控制人为上市公司提供担保暨关联交</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18"/>
        <w:jc w:val="left"/>
      </w:pPr>
      <w:r>
        <w:rPr>
          <w:spacing w:val="-1"/>
        </w:rPr>
        <w:t>易的议案》，公司控股股股东美盛控股及实际控制人赵小强先生拟为公司向民生银行贷款事项提供连带责</w:t>
      </w:r>
      <w:r>
        <w:rPr>
          <w:spacing w:val="-81"/>
        </w:rPr>
        <w:t> </w:t>
      </w:r>
      <w:r>
        <w:rPr>
          <w:spacing w:val="-81"/>
        </w:rPr>
      </w:r>
      <w:r>
        <w:rPr/>
        <w:t>任担保， 担保金额拟不超过人民币</w:t>
      </w:r>
      <w:r>
        <w:rPr>
          <w:spacing w:val="-42"/>
        </w:rPr>
        <w:t> </w:t>
      </w:r>
      <w:r>
        <w:rPr>
          <w:rFonts w:ascii="Times New Roman" w:hAnsi="Times New Roman" w:cs="Times New Roman" w:eastAsia="Times New Roman" w:hint="default"/>
        </w:rPr>
        <w:t>1.20</w:t>
      </w:r>
      <w:r>
        <w:rPr/>
        <w:t>亿元。</w:t>
      </w:r>
    </w:p>
    <w:p>
      <w:pPr>
        <w:spacing w:line="240" w:lineRule="auto" w:before="2"/>
        <w:rPr>
          <w:rFonts w:ascii="宋体" w:hAnsi="宋体" w:cs="宋体" w:eastAsia="宋体" w:hint="default"/>
          <w:sz w:val="22"/>
          <w:szCs w:val="22"/>
        </w:rPr>
      </w:pPr>
    </w:p>
    <w:p>
      <w:pPr>
        <w:pStyle w:val="Heading4"/>
        <w:spacing w:line="240" w:lineRule="auto"/>
        <w:ind w:right="1360"/>
        <w:jc w:val="left"/>
        <w:rPr>
          <w:b w:val="0"/>
          <w:bCs w:val="0"/>
        </w:rPr>
      </w:pPr>
      <w:bookmarkStart w:name="（5）关联方资金拆借" w:id="467"/>
      <w:bookmarkEnd w:id="467"/>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4"/>
        <w:spacing w:line="240" w:lineRule="auto" w:before="35"/>
        <w:ind w:right="1360"/>
        <w:jc w:val="left"/>
        <w:rPr>
          <w:b w:val="0"/>
          <w:bCs w:val="0"/>
        </w:rPr>
      </w:pPr>
      <w:bookmarkStart w:name="（6）关联方资产转让、债务重组情况" w:id="468"/>
      <w:bookmarkEnd w:id="468"/>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7）关键管理人员报酬" w:id="469"/>
      <w:bookmarkEnd w:id="469"/>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3,193,200.00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3,173,400.00</w:t>
            </w:r>
          </w:p>
        </w:tc>
      </w:tr>
    </w:tbl>
    <w:p>
      <w:pPr>
        <w:spacing w:line="240" w:lineRule="auto" w:before="3"/>
        <w:rPr>
          <w:rFonts w:ascii="宋体" w:hAnsi="宋体" w:cs="宋体" w:eastAsia="宋体" w:hint="default"/>
          <w:sz w:val="19"/>
          <w:szCs w:val="19"/>
        </w:rPr>
      </w:pPr>
    </w:p>
    <w:p>
      <w:pPr>
        <w:pStyle w:val="Heading4"/>
        <w:spacing w:line="240" w:lineRule="auto" w:before="35"/>
        <w:ind w:right="1360"/>
        <w:jc w:val="left"/>
        <w:rPr>
          <w:b w:val="0"/>
          <w:bCs w:val="0"/>
        </w:rPr>
      </w:pPr>
      <w:bookmarkStart w:name="（8）其他关联交易" w:id="470"/>
      <w:bookmarkEnd w:id="470"/>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4"/>
          <w:szCs w:val="24"/>
        </w:rPr>
      </w:pPr>
    </w:p>
    <w:p>
      <w:pPr>
        <w:pStyle w:val="BodyText"/>
        <w:spacing w:line="261" w:lineRule="auto"/>
        <w:ind w:right="1131" w:firstLine="42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日，公司与美盛控股签订股权转让协议，约定公司以</w:t>
      </w:r>
      <w:r>
        <w:rPr>
          <w:rFonts w:ascii="Times New Roman" w:hAnsi="Times New Roman" w:cs="Times New Roman" w:eastAsia="Times New Roman" w:hint="default"/>
          <w:spacing w:val="-2"/>
        </w:rPr>
        <w:t>3.57</w:t>
      </w:r>
      <w:r>
        <w:rPr>
          <w:spacing w:val="-2"/>
        </w:rPr>
        <w:t>亿元收购美盛控股持有的捷木投</w:t>
      </w:r>
      <w:r>
        <w:rPr/>
        <w:t> 资</w:t>
      </w:r>
      <w:r>
        <w:rPr>
          <w:rFonts w:ascii="Times New Roman" w:hAnsi="Times New Roman" w:cs="Times New Roman" w:eastAsia="Times New Roman" w:hint="default"/>
        </w:rPr>
        <w:t>50%</w:t>
      </w:r>
      <w:r>
        <w:rPr/>
        <w:t>的股权和其对捷木投资的债权。该协议业经公司于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2017</w:t>
      </w:r>
      <w:r>
        <w:rPr/>
        <w:t>年度股东大会审议通</w:t>
      </w:r>
      <w:r>
        <w:rPr>
          <w:spacing w:val="-5"/>
        </w:rPr>
        <w:t> </w:t>
      </w:r>
      <w:r>
        <w:rPr>
          <w:spacing w:val="-5"/>
        </w:rPr>
      </w:r>
      <w:r>
        <w:rPr>
          <w:spacing w:val="-1"/>
        </w:rPr>
        <w:t>过。协议约定，公司应于其股东大会审议通过之日起一个月内支付转让款，美盛控股应于收到转让款后一</w:t>
      </w:r>
      <w:r>
        <w:rPr>
          <w:spacing w:val="-83"/>
        </w:rPr>
        <w:t> </w:t>
      </w:r>
      <w:r>
        <w:rPr>
          <w:spacing w:val="-83"/>
        </w:rPr>
      </w:r>
      <w:r>
        <w:rPr>
          <w:spacing w:val="2"/>
        </w:rPr>
        <w:t>个月内完成捷木投资股权变更的工商变更登记手续。公司于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21</w:t>
      </w:r>
      <w:r>
        <w:rPr>
          <w:spacing w:val="2"/>
        </w:rPr>
        <w:t>日支付交易金额</w:t>
      </w:r>
      <w:r>
        <w:rPr>
          <w:rFonts w:ascii="Times New Roman" w:hAnsi="Times New Roman" w:cs="Times New Roman" w:eastAsia="Times New Roman" w:hint="default"/>
          <w:spacing w:val="2"/>
        </w:rPr>
        <w:t>3.50</w:t>
      </w:r>
      <w:r>
        <w:rPr>
          <w:spacing w:val="2"/>
        </w:rPr>
        <w:t>亿元，并于</w:t>
      </w:r>
      <w:r>
        <w:rPr>
          <w:spacing w:val="-85"/>
        </w:rPr>
        <w:t> </w:t>
      </w:r>
      <w:r>
        <w:rPr>
          <w:spacing w:val="-85"/>
        </w:rPr>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31</w:t>
      </w:r>
      <w:r>
        <w:rPr>
          <w:spacing w:val="-2"/>
        </w:rPr>
        <w:t>日向捷木投资支付项目投资款</w:t>
      </w:r>
      <w:r>
        <w:rPr>
          <w:rFonts w:ascii="Times New Roman" w:hAnsi="Times New Roman" w:cs="Times New Roman" w:eastAsia="Times New Roman" w:hint="default"/>
          <w:spacing w:val="-2"/>
        </w:rPr>
        <w:t>16,769,389.50</w:t>
      </w:r>
      <w:r>
        <w:rPr>
          <w:spacing w:val="-2"/>
        </w:rPr>
        <w:t>元。在公司支付交易款项后，美盛控股一直未能按</w:t>
      </w:r>
      <w:r>
        <w:rPr>
          <w:spacing w:val="-71"/>
        </w:rPr>
        <w:t> </w:t>
      </w:r>
      <w:r>
        <w:rPr>
          <w:spacing w:val="-71"/>
        </w:rPr>
      </w:r>
      <w:r>
        <w:rPr/>
        <w:t>照协议约定完成工商变更登记手续。</w:t>
      </w:r>
    </w:p>
    <w:p>
      <w:pPr>
        <w:pStyle w:val="BodyText"/>
        <w:spacing w:line="256" w:lineRule="auto" w:before="18"/>
        <w:ind w:right="1132" w:firstLine="420"/>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20</w:t>
      </w:r>
      <w:r>
        <w:rPr>
          <w:spacing w:val="-1"/>
        </w:rPr>
        <w:t>日，公司与美盛控股及其实际控制人赵小强签订补充协议，约定终止收购捷木投资的交</w:t>
      </w:r>
      <w:r>
        <w:rPr/>
        <w:t> </w:t>
      </w:r>
      <w:r>
        <w:rPr>
          <w:spacing w:val="-2"/>
        </w:rPr>
        <w:t>易。同日，美盛控股归还交易金额</w:t>
      </w:r>
      <w:r>
        <w:rPr>
          <w:rFonts w:ascii="Times New Roman" w:hAnsi="Times New Roman" w:cs="Times New Roman" w:eastAsia="Times New Roman" w:hint="default"/>
          <w:spacing w:val="-2"/>
        </w:rPr>
        <w:t>1</w:t>
      </w:r>
      <w:r>
        <w:rPr>
          <w:spacing w:val="-2"/>
        </w:rPr>
        <w:t>亿元。剩余款项</w:t>
      </w:r>
      <w:r>
        <w:rPr>
          <w:rFonts w:ascii="Times New Roman" w:hAnsi="Times New Roman" w:cs="Times New Roman" w:eastAsia="Times New Roman" w:hint="default"/>
          <w:spacing w:val="-2"/>
        </w:rPr>
        <w:t>266,769,389.50</w:t>
      </w:r>
      <w:r>
        <w:rPr>
          <w:spacing w:val="-2"/>
        </w:rPr>
        <w:t>元已于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月偿还。并按照银行同期</w:t>
      </w:r>
      <w:r>
        <w:rPr>
          <w:spacing w:val="-76"/>
        </w:rPr>
        <w:t> </w:t>
      </w:r>
      <w:r>
        <w:rPr>
          <w:spacing w:val="-76"/>
        </w:rPr>
      </w:r>
      <w:r>
        <w:rPr>
          <w:spacing w:val="-2"/>
        </w:rPr>
        <w:t>贷款利率支付资金使用费。</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日，未归还款项</w:t>
      </w:r>
      <w:r>
        <w:rPr>
          <w:rFonts w:ascii="Times New Roman" w:hAnsi="Times New Roman" w:cs="Times New Roman" w:eastAsia="Times New Roman" w:hint="default"/>
          <w:spacing w:val="-2"/>
        </w:rPr>
        <w:t>266,769,389.50</w:t>
      </w:r>
      <w:r>
        <w:rPr>
          <w:spacing w:val="-2"/>
        </w:rPr>
        <w:t>元构成控股股东非经营性性资金占</w:t>
      </w:r>
      <w:r>
        <w:rPr>
          <w:spacing w:val="-71"/>
        </w:rPr>
        <w:t> </w:t>
      </w:r>
      <w:r>
        <w:rPr>
          <w:spacing w:val="-71"/>
        </w:rPr>
      </w:r>
      <w:r>
        <w:rPr/>
        <w:t>用。</w:t>
      </w:r>
    </w:p>
    <w:p>
      <w:pPr>
        <w:pStyle w:val="BodyText"/>
        <w:spacing w:line="240" w:lineRule="auto" w:before="22"/>
        <w:ind w:left="574" w:right="136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日，美盛控股已归还上述款项。</w:t>
      </w:r>
    </w:p>
    <w:p>
      <w:pPr>
        <w:pStyle w:val="BodyText"/>
        <w:spacing w:line="256" w:lineRule="auto" w:before="21"/>
        <w:ind w:right="1131" w:firstLine="420"/>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月，美盛文化公司与美盛控股签订深圳市同道大叔文化传播有限公司（以下简称同道大叔公</w:t>
      </w:r>
      <w:r>
        <w:rPr/>
        <w:t> </w:t>
      </w:r>
      <w:r>
        <w:rPr>
          <w:spacing w:val="2"/>
        </w:rPr>
        <w:t>司）股权转让协议，约定美盛文化公司以</w:t>
      </w:r>
      <w:r>
        <w:rPr>
          <w:rFonts w:ascii="Times New Roman" w:hAnsi="Times New Roman" w:cs="Times New Roman" w:eastAsia="Times New Roman" w:hint="default"/>
          <w:spacing w:val="2"/>
        </w:rPr>
        <w:t>217,500,000.00</w:t>
      </w:r>
      <w:r>
        <w:rPr>
          <w:spacing w:val="2"/>
        </w:rPr>
        <w:t>元的价格向美盛控股购买其持有的同道大叔公司</w:t>
      </w:r>
      <w:r>
        <w:rPr>
          <w:spacing w:val="-95"/>
        </w:rPr>
        <w:t> </w:t>
      </w:r>
      <w:r>
        <w:rPr>
          <w:spacing w:val="-95"/>
        </w:rPr>
      </w:r>
      <w:r>
        <w:rPr>
          <w:rFonts w:ascii="Times New Roman" w:hAnsi="Times New Roman" w:cs="Times New Roman" w:eastAsia="Times New Roman" w:hint="default"/>
          <w:spacing w:val="-1"/>
        </w:rPr>
        <w:t>72.50%</w:t>
      </w:r>
      <w:r>
        <w:rPr>
          <w:spacing w:val="-1"/>
        </w:rPr>
        <w:t>的股权。美盛文化公司于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月支付全部交易对价。截至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日，该项交易尚未经公</w:t>
      </w:r>
      <w:r>
        <w:rPr>
          <w:spacing w:val="-96"/>
        </w:rPr>
        <w:t> </w:t>
      </w:r>
      <w:r>
        <w:rPr>
          <w:spacing w:val="-96"/>
        </w:rPr>
      </w:r>
      <w:r>
        <w:rPr/>
        <w:t>司董事会和股东大会审议通过。</w:t>
      </w:r>
    </w:p>
    <w:p>
      <w:pPr>
        <w:pStyle w:val="BodyText"/>
        <w:spacing w:line="240" w:lineRule="auto" w:before="23"/>
        <w:ind w:right="1360"/>
        <w:jc w:val="left"/>
      </w:pPr>
      <w:r>
        <w:rPr/>
        <w:t>关联方其他股权交易事项详见本财务报表附注五</w:t>
      </w:r>
      <w:r>
        <w:rPr>
          <w:rFonts w:ascii="Times New Roman" w:hAnsi="Times New Roman" w:cs="Times New Roman" w:eastAsia="Times New Roman" w:hint="default"/>
        </w:rPr>
        <w:t>(</w:t>
      </w:r>
      <w:r>
        <w:rPr/>
        <w:t>一</w:t>
      </w:r>
      <w:r>
        <w:rPr>
          <w:rFonts w:ascii="Times New Roman" w:hAnsi="Times New Roman" w:cs="Times New Roman" w:eastAsia="Times New Roman" w:hint="default"/>
        </w:rPr>
        <w:t>)29</w:t>
      </w:r>
      <w:r>
        <w:rPr/>
        <w:t>资本公积之说明。</w:t>
      </w:r>
    </w:p>
    <w:p>
      <w:pPr>
        <w:spacing w:line="240" w:lineRule="auto" w:before="6"/>
        <w:rPr>
          <w:rFonts w:ascii="宋体" w:hAnsi="宋体" w:cs="宋体" w:eastAsia="宋体" w:hint="default"/>
          <w:sz w:val="25"/>
          <w:szCs w:val="25"/>
        </w:rPr>
      </w:pPr>
    </w:p>
    <w:p>
      <w:pPr>
        <w:pStyle w:val="BodyText"/>
        <w:spacing w:line="240" w:lineRule="auto"/>
        <w:ind w:right="1360"/>
        <w:jc w:val="left"/>
      </w:pPr>
      <w:r>
        <w:rPr/>
        <w:t>（</w:t>
      </w:r>
      <w:r>
        <w:rPr>
          <w:rFonts w:ascii="Times New Roman" w:hAnsi="Times New Roman" w:cs="Times New Roman" w:eastAsia="Times New Roman" w:hint="default"/>
        </w:rPr>
        <w:t>9</w:t>
      </w:r>
      <w:r>
        <w:rPr/>
        <w:t>）关联方资金拆借</w:t>
      </w:r>
    </w:p>
    <w:p>
      <w:pPr>
        <w:pStyle w:val="BodyText"/>
        <w:spacing w:line="240" w:lineRule="auto" w:before="21"/>
        <w:ind w:left="574" w:right="0"/>
        <w:jc w:val="left"/>
      </w:pPr>
      <w:r>
        <w:rPr>
          <w:rFonts w:ascii="Times New Roman" w:hAnsi="Times New Roman" w:cs="Times New Roman" w:eastAsia="Times New Roman" w:hint="default"/>
        </w:rPr>
        <w:t>2018</w:t>
      </w:r>
      <w:r>
        <w:rPr/>
        <w:t>年，公司通过间接划转款项的方式向美盛控股转出资金共计</w:t>
      </w:r>
      <w:r>
        <w:rPr>
          <w:rFonts w:ascii="Times New Roman" w:hAnsi="Times New Roman" w:cs="Times New Roman" w:eastAsia="Times New Roman" w:hint="default"/>
        </w:rPr>
        <w:t>1,484,189,427.78</w:t>
      </w:r>
      <w:r>
        <w:rPr/>
        <w:t>元，期间，美盛控股</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0"/>
        <w:jc w:val="left"/>
      </w:pPr>
      <w:r>
        <w:rPr/>
        <w:t>共偿还</w:t>
      </w:r>
      <w:r>
        <w:rPr>
          <w:rFonts w:ascii="Times New Roman" w:hAnsi="Times New Roman" w:cs="Times New Roman" w:eastAsia="Times New Roman" w:hint="default"/>
        </w:rPr>
        <w:t>239,000,000.00</w:t>
      </w:r>
      <w:r>
        <w:rPr/>
        <w:t>元。期末，公司应收美盛控股该项资金余额为</w:t>
      </w:r>
      <w:r>
        <w:rPr>
          <w:rFonts w:ascii="Times New Roman" w:hAnsi="Times New Roman" w:cs="Times New Roman" w:eastAsia="Times New Roman" w:hint="default"/>
        </w:rPr>
        <w:t>1,245,189,427.78</w:t>
      </w:r>
      <w:r>
        <w:rPr/>
        <w:t>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rFonts w:ascii="Times New Roman" w:hAnsi="Times New Roman" w:cs="Times New Roman" w:eastAsia="Times New Roman" w:hint="default"/>
          <w:spacing w:val="-25"/>
        </w:rPr>
        <w:t> </w:t>
      </w:r>
      <w:r>
        <w:rPr/>
        <w:t>日，美盛文化公司已收到美盛控股归还的上述款项。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3"/>
        <w:ind w:right="1360"/>
        <w:jc w:val="left"/>
        <w:rPr>
          <w:b w:val="0"/>
          <w:bCs w:val="0"/>
        </w:rPr>
      </w:pPr>
      <w:bookmarkStart w:name="6、关联方应收应付款项" w:id="471"/>
      <w:bookmarkEnd w:id="471"/>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1）应收项目" w:id="472"/>
      <w:bookmarkEnd w:id="472"/>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应收票据及应收账 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JAKKS</w:t>
            </w:r>
            <w:r>
              <w:rPr>
                <w:rFonts w:ascii="Times New Roman"/>
                <w:spacing w:val="-2"/>
                <w:sz w:val="18"/>
              </w:rPr>
              <w:t> </w:t>
            </w:r>
            <w:r>
              <w:rPr>
                <w:rFonts w:ascii="Times New Roman"/>
                <w:sz w:val="18"/>
              </w:rPr>
              <w:t>Pacific</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23,558,747.47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1,177,937.37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20,479,835.04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1,023,991.75</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81"/>
              <w:jc w:val="left"/>
              <w:rPr>
                <w:rFonts w:ascii="Times New Roman" w:hAnsi="Times New Roman" w:cs="Times New Roman" w:eastAsia="Times New Roman" w:hint="default"/>
                <w:sz w:val="18"/>
                <w:szCs w:val="18"/>
              </w:rPr>
            </w:pPr>
            <w:r>
              <w:rPr>
                <w:rFonts w:ascii="Times New Roman"/>
                <w:sz w:val="18"/>
              </w:rPr>
              <w:t>JAKKS</w:t>
            </w:r>
            <w:r>
              <w:rPr>
                <w:rFonts w:ascii="Times New Roman"/>
                <w:spacing w:val="-1"/>
                <w:sz w:val="18"/>
              </w:rPr>
              <w:t> </w:t>
            </w:r>
            <w:r>
              <w:rPr>
                <w:rFonts w:ascii="Times New Roman"/>
                <w:sz w:val="18"/>
              </w:rPr>
              <w:t>Pacific</w:t>
            </w:r>
            <w:r>
              <w:rPr>
                <w:rFonts w:ascii="Times New Roman"/>
                <w:sz w:val="18"/>
              </w:rPr>
              <w:t> Trading</w:t>
            </w:r>
            <w:r>
              <w:rPr>
                <w:rFonts w:ascii="Times New Roman"/>
                <w:spacing w:val="-8"/>
                <w:sz w:val="18"/>
              </w:rPr>
              <w:t> </w:t>
            </w:r>
            <w:r>
              <w:rPr>
                <w:rFonts w:ascii="Times New Roman"/>
                <w:sz w:val="18"/>
              </w:rPr>
              <w:t>Limited</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518,959.08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25,947.95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515,425.06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25,771.25</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24,077,706.55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1,203,885.32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20,995,260.10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1,049,763.00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美盛控股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1,511,958,817.28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1,511,958,817.28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2）应付项目" w:id="473"/>
      <w:bookmarkEnd w:id="473"/>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美盛控股</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44,000,000.00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44,000,000.00</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7、关联方承诺" w:id="474"/>
      <w:bookmarkEnd w:id="474"/>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4"/>
          <w:szCs w:val="24"/>
        </w:rPr>
      </w:pPr>
    </w:p>
    <w:p>
      <w:pPr>
        <w:pStyle w:val="BodyText"/>
        <w:spacing w:line="261" w:lineRule="auto"/>
        <w:ind w:left="574" w:right="4662"/>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重要承诺事项</w:t>
      </w:r>
      <w:r>
        <w:rPr>
          <w:w w:val="99"/>
        </w:rPr>
        <w:t> </w:t>
      </w:r>
      <w:r>
        <w:rPr/>
        <w:t>截至资产负债表日，本公司不存在需要披露的重要承诺事项。</w:t>
      </w:r>
      <w:r>
        <w:rPr>
          <w:w w:val="99"/>
        </w:rPr>
        <w:t>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或有事项</w:t>
      </w:r>
      <w:r>
        <w:rPr>
          <w:w w:val="99"/>
        </w:rPr>
        <w:t> </w:t>
      </w:r>
      <w:r>
        <w:rPr/>
        <w:t>截至资产负债表日，本公司不存在需要披露的重大或有事项。</w:t>
      </w:r>
    </w:p>
    <w:p>
      <w:pPr>
        <w:spacing w:after="0" w:line="261"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line="487" w:lineRule="auto" w:before="35"/>
        <w:ind w:left="154" w:right="8750" w:firstLine="0"/>
        <w:jc w:val="left"/>
        <w:rPr>
          <w:rFonts w:ascii="宋体" w:hAnsi="宋体" w:cs="宋体" w:eastAsia="宋体" w:hint="default"/>
          <w:sz w:val="21"/>
          <w:szCs w:val="21"/>
        </w:rPr>
      </w:pPr>
      <w:bookmarkStart w:name="8、其他" w:id="475"/>
      <w:bookmarkEnd w:id="47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76"/>
      <w:bookmarkEnd w:id="476"/>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77"/>
      <w:bookmarkEnd w:id="47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8"/>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1360"/>
        <w:jc w:val="left"/>
        <w:rPr>
          <w:b w:val="0"/>
          <w:bCs w:val="0"/>
        </w:rPr>
      </w:pPr>
      <w:bookmarkStart w:name="2、以权益结算的股份支付情况" w:id="478"/>
      <w:bookmarkEnd w:id="478"/>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1360"/>
        <w:jc w:val="left"/>
        <w:rPr>
          <w:b w:val="0"/>
          <w:bCs w:val="0"/>
        </w:rPr>
      </w:pPr>
      <w:bookmarkStart w:name="3、以现金结算的股份支付情况" w:id="479"/>
      <w:bookmarkEnd w:id="479"/>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1360"/>
        <w:jc w:val="left"/>
        <w:rPr>
          <w:b w:val="0"/>
          <w:bCs w:val="0"/>
        </w:rPr>
      </w:pPr>
      <w:bookmarkStart w:name="4、股份支付的修改、终止情况" w:id="480"/>
      <w:bookmarkEnd w:id="480"/>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8412" w:firstLine="0"/>
        <w:jc w:val="left"/>
        <w:rPr>
          <w:rFonts w:ascii="宋体" w:hAnsi="宋体" w:cs="宋体" w:eastAsia="宋体" w:hint="default"/>
          <w:sz w:val="21"/>
          <w:szCs w:val="21"/>
        </w:rPr>
      </w:pPr>
      <w:bookmarkStart w:name="5、其他" w:id="481"/>
      <w:bookmarkEnd w:id="48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82"/>
      <w:bookmarkEnd w:id="482"/>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83"/>
      <w:bookmarkEnd w:id="483"/>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8"/>
        <w:ind w:left="154" w:right="136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89"/>
        <w:ind w:left="574" w:right="1360"/>
        <w:jc w:val="left"/>
      </w:pPr>
      <w:r>
        <w:rPr/>
        <w:t>截至资产负债表日，本公司不存在需要披露的重要承诺事项。</w:t>
      </w:r>
    </w:p>
    <w:p>
      <w:pPr>
        <w:spacing w:line="240" w:lineRule="auto" w:before="11"/>
        <w:rPr>
          <w:rFonts w:ascii="宋体" w:hAnsi="宋体" w:cs="宋体" w:eastAsia="宋体" w:hint="default"/>
          <w:sz w:val="25"/>
          <w:szCs w:val="25"/>
        </w:rPr>
      </w:pPr>
    </w:p>
    <w:p>
      <w:pPr>
        <w:pStyle w:val="Heading4"/>
        <w:spacing w:line="240" w:lineRule="auto"/>
        <w:ind w:right="1360"/>
        <w:jc w:val="left"/>
        <w:rPr>
          <w:b w:val="0"/>
          <w:bCs w:val="0"/>
        </w:rPr>
      </w:pPr>
      <w:bookmarkStart w:name="2、或有事项" w:id="484"/>
      <w:bookmarkEnd w:id="484"/>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spacing w:line="506" w:lineRule="auto" w:before="0"/>
        <w:ind w:left="574" w:right="4662" w:hanging="420"/>
        <w:jc w:val="left"/>
        <w:rPr>
          <w:rFonts w:ascii="宋体" w:hAnsi="宋体" w:cs="宋体" w:eastAsia="宋体" w:hint="default"/>
          <w:sz w:val="21"/>
          <w:szCs w:val="21"/>
        </w:rPr>
      </w:pPr>
      <w:bookmarkStart w:name="（1）资产负债表日存在的重要或有事项" w:id="485"/>
      <w:bookmarkEnd w:id="4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截至资产负债表日，本公司不存在需要披露的重大或有事项。</w:t>
      </w:r>
    </w:p>
    <w:p>
      <w:pPr>
        <w:pStyle w:val="Heading4"/>
        <w:spacing w:line="240" w:lineRule="auto" w:before="105"/>
        <w:ind w:right="1360"/>
        <w:jc w:val="left"/>
        <w:rPr>
          <w:b w:val="0"/>
          <w:bCs w:val="0"/>
        </w:rPr>
      </w:pPr>
      <w:bookmarkStart w:name="（2）公司没有需要披露的重要或有事项，也应予以说明" w:id="486"/>
      <w:bookmarkEnd w:id="486"/>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54" w:right="7692" w:firstLine="0"/>
        <w:jc w:val="left"/>
        <w:rPr>
          <w:rFonts w:ascii="宋体" w:hAnsi="宋体" w:cs="宋体" w:eastAsia="宋体" w:hint="default"/>
          <w:sz w:val="21"/>
          <w:szCs w:val="21"/>
        </w:rPr>
      </w:pPr>
      <w:bookmarkStart w:name="3、其他" w:id="487"/>
      <w:bookmarkEnd w:id="48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88"/>
      <w:bookmarkEnd w:id="488"/>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89"/>
      <w:bookmarkEnd w:id="489"/>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2、利润分配情况" w:id="490"/>
      <w:bookmarkEnd w:id="490"/>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24"/>
          <w:szCs w:val="24"/>
        </w:rPr>
      </w:pPr>
    </w:p>
    <w:p>
      <w:pPr>
        <w:pStyle w:val="Heading4"/>
        <w:spacing w:line="240" w:lineRule="auto" w:before="35"/>
        <w:ind w:right="1360"/>
        <w:jc w:val="left"/>
        <w:rPr>
          <w:b w:val="0"/>
          <w:bCs w:val="0"/>
        </w:rPr>
      </w:pPr>
      <w:bookmarkStart w:name="3、销售退回" w:id="491"/>
      <w:bookmarkEnd w:id="491"/>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4、其他资产负债表日后事项说明" w:id="492"/>
      <w:bookmarkEnd w:id="492"/>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8"/>
        <w:rPr>
          <w:rFonts w:ascii="宋体" w:hAnsi="宋体" w:cs="宋体" w:eastAsia="宋体" w:hint="default"/>
          <w:b/>
          <w:bCs/>
          <w:sz w:val="24"/>
          <w:szCs w:val="24"/>
        </w:rPr>
      </w:pPr>
    </w:p>
    <w:p>
      <w:pPr>
        <w:pStyle w:val="BodyText"/>
        <w:spacing w:line="256" w:lineRule="auto"/>
        <w:ind w:right="1062" w:firstLine="420"/>
        <w:jc w:val="both"/>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23</w:t>
      </w:r>
      <w:r>
        <w:rPr>
          <w:spacing w:val="-5"/>
        </w:rPr>
        <w:t>日，公司第三届董事会第三十二次会议审议通过了《关于收购</w:t>
      </w:r>
      <w:r>
        <w:rPr>
          <w:rFonts w:ascii="Times New Roman" w:hAnsi="Times New Roman" w:cs="Times New Roman" w:eastAsia="Times New Roman" w:hint="default"/>
          <w:spacing w:val="-5"/>
        </w:rPr>
        <w:t>NEW </w:t>
      </w:r>
      <w:r>
        <w:rPr>
          <w:rFonts w:ascii="Times New Roman" w:hAnsi="Times New Roman" w:cs="Times New Roman" w:eastAsia="Times New Roman" w:hint="default"/>
        </w:rPr>
        <w:t>TIME</w:t>
      </w:r>
      <w:r>
        <w:rPr>
          <w:rFonts w:ascii="Times New Roman" w:hAnsi="Times New Roman" w:cs="Times New Roman" w:eastAsia="Times New Roman" w:hint="default"/>
          <w:spacing w:val="-5"/>
        </w:rPr>
        <w:t> </w:t>
      </w:r>
      <w:r>
        <w:rPr>
          <w:rFonts w:ascii="Times New Roman" w:hAnsi="Times New Roman" w:cs="Times New Roman" w:eastAsia="Times New Roman" w:hint="default"/>
        </w:rPr>
        <w:t>GROUP(HK)</w:t>
      </w:r>
      <w:r>
        <w:rPr>
          <w:rFonts w:ascii="Times New Roman" w:hAnsi="Times New Roman" w:cs="Times New Roman" w:eastAsia="Times New Roman" w:hint="default"/>
          <w:w w:val="99"/>
        </w:rPr>
        <w:t> </w:t>
      </w:r>
      <w:r>
        <w:rPr>
          <w:rFonts w:ascii="Times New Roman" w:hAnsi="Times New Roman" w:cs="Times New Roman" w:eastAsia="Times New Roman" w:hint="default"/>
          <w:spacing w:val="-2"/>
        </w:rPr>
        <w:t>LIMITED</w:t>
      </w:r>
      <w:r>
        <w:rPr>
          <w:spacing w:val="-2"/>
        </w:rPr>
        <w:t>公司</w:t>
      </w:r>
      <w:r>
        <w:rPr>
          <w:rFonts w:ascii="Times New Roman" w:hAnsi="Times New Roman" w:cs="Times New Roman" w:eastAsia="Times New Roman" w:hint="default"/>
          <w:spacing w:val="-2"/>
        </w:rPr>
        <w:t>100%</w:t>
      </w:r>
      <w:r>
        <w:rPr>
          <w:spacing w:val="-2"/>
        </w:rPr>
        <w:t>股权的议案》。公司以</w:t>
      </w:r>
      <w:r>
        <w:rPr>
          <w:rFonts w:ascii="Times New Roman" w:hAnsi="Times New Roman" w:cs="Times New Roman" w:eastAsia="Times New Roman" w:hint="default"/>
          <w:spacing w:val="-2"/>
        </w:rPr>
        <w:t>57,750</w:t>
      </w:r>
      <w:r>
        <w:rPr>
          <w:spacing w:val="-2"/>
        </w:rPr>
        <w:t>万元的价格向曾华伟、曾华雄、朱海锋和胡相林购买其持</w:t>
      </w:r>
      <w:r>
        <w:rPr>
          <w:spacing w:val="-65"/>
        </w:rPr>
        <w:t> </w:t>
      </w:r>
      <w:r>
        <w:rPr>
          <w:spacing w:val="-65"/>
        </w:rPr>
      </w:r>
      <w:r>
        <w:rPr/>
        <w:t>有的</w:t>
      </w:r>
      <w:r>
        <w:rPr>
          <w:rFonts w:ascii="Times New Roman" w:hAnsi="Times New Roman" w:cs="Times New Roman" w:eastAsia="Times New Roman" w:hint="default"/>
        </w:rPr>
        <w:t>NEW TIME GROUP(HK)</w:t>
      </w:r>
      <w:r>
        <w:rPr>
          <w:rFonts w:ascii="Times New Roman" w:hAnsi="Times New Roman" w:cs="Times New Roman" w:eastAsia="Times New Roman" w:hint="default"/>
          <w:spacing w:val="-5"/>
        </w:rPr>
        <w:t> </w:t>
      </w:r>
      <w:r>
        <w:rPr>
          <w:rFonts w:ascii="Times New Roman" w:hAnsi="Times New Roman" w:cs="Times New Roman" w:eastAsia="Times New Roman" w:hint="default"/>
        </w:rPr>
        <w:t>LIMITED</w:t>
      </w:r>
      <w:r>
        <w:rPr/>
        <w:t>公司</w:t>
      </w:r>
      <w:r>
        <w:rPr>
          <w:rFonts w:ascii="Times New Roman" w:hAnsi="Times New Roman" w:cs="Times New Roman" w:eastAsia="Times New Roman" w:hint="default"/>
        </w:rPr>
        <w:t>100%</w:t>
      </w:r>
      <w:r>
        <w:rPr/>
        <w:t>股权。截至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日，公司已支付全部交易对价， </w:t>
      </w:r>
      <w:r>
        <w:rPr>
          <w:rFonts w:ascii="Times New Roman" w:hAnsi="Times New Roman" w:cs="Times New Roman" w:eastAsia="Times New Roman" w:hint="default"/>
        </w:rPr>
        <w:t>NEW TIME GROUP(HK)</w:t>
      </w:r>
      <w:r>
        <w:rPr>
          <w:rFonts w:ascii="Times New Roman" w:hAnsi="Times New Roman" w:cs="Times New Roman" w:eastAsia="Times New Roman" w:hint="default"/>
          <w:spacing w:val="-3"/>
        </w:rPr>
        <w:t> </w:t>
      </w:r>
      <w:r>
        <w:rPr>
          <w:rFonts w:ascii="Times New Roman" w:hAnsi="Times New Roman" w:cs="Times New Roman" w:eastAsia="Times New Roman" w:hint="default"/>
        </w:rPr>
        <w:t>LIMITED</w:t>
      </w:r>
      <w:r>
        <w:rPr/>
        <w:t>公司已办理完成本次股权交易的相关登记手续。</w:t>
      </w:r>
    </w:p>
    <w:p>
      <w:pPr>
        <w:pStyle w:val="BodyText"/>
        <w:spacing w:line="256" w:lineRule="auto" w:before="5"/>
        <w:ind w:right="1128" w:firstLine="420"/>
        <w:jc w:val="both"/>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日，美盛控股及其实际控制人赵小强与中合国信</w:t>
      </w:r>
      <w:r>
        <w:rPr>
          <w:rFonts w:ascii="Times New Roman" w:hAnsi="Times New Roman" w:cs="Times New Roman" w:eastAsia="Times New Roman" w:hint="default"/>
        </w:rPr>
        <w:t>(</w:t>
      </w:r>
      <w:r>
        <w:rPr/>
        <w:t>杭州</w:t>
      </w:r>
      <w:r>
        <w:rPr>
          <w:rFonts w:ascii="Times New Roman" w:hAnsi="Times New Roman" w:cs="Times New Roman" w:eastAsia="Times New Roman" w:hint="default"/>
        </w:rPr>
        <w:t>)</w:t>
      </w:r>
      <w:r>
        <w:rPr/>
        <w:t>实业发展有限公司</w:t>
      </w:r>
      <w:r>
        <w:rPr>
          <w:rFonts w:ascii="Times New Roman" w:hAnsi="Times New Roman" w:cs="Times New Roman" w:eastAsia="Times New Roman" w:hint="default"/>
        </w:rPr>
        <w:t>(</w:t>
      </w:r>
      <w:r>
        <w:rPr/>
        <w:t>以下简称</w:t>
      </w:r>
      <w:r>
        <w:rPr>
          <w:w w:val="99"/>
        </w:rPr>
        <w:t> </w:t>
      </w:r>
      <w:r>
        <w:rPr>
          <w:rFonts w:ascii="Times New Roman" w:hAnsi="Times New Roman" w:cs="Times New Roman" w:eastAsia="Times New Roman" w:hint="default"/>
        </w:rPr>
        <w:t>“</w:t>
      </w:r>
      <w:r>
        <w:rPr/>
        <w:t>中合国信</w:t>
      </w:r>
      <w:r>
        <w:rPr>
          <w:rFonts w:ascii="Times New Roman" w:hAnsi="Times New Roman" w:cs="Times New Roman" w:eastAsia="Times New Roman" w:hint="default"/>
        </w:rPr>
        <w:t>”)</w:t>
      </w:r>
      <w:r>
        <w:rPr/>
        <w:t>、宁波锋尚融房投资合伙企业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锋尚融房</w:t>
      </w:r>
      <w:r>
        <w:rPr>
          <w:rFonts w:ascii="Times New Roman" w:hAnsi="Times New Roman" w:cs="Times New Roman" w:eastAsia="Times New Roman" w:hint="default"/>
        </w:rPr>
        <w:t>”)</w:t>
      </w:r>
      <w:r>
        <w:rPr/>
        <w:t>、西安明丰置业有限公司</w:t>
      </w:r>
      <w:r>
        <w:rPr>
          <w:rFonts w:ascii="Times New Roman" w:hAnsi="Times New Roman" w:cs="Times New Roman" w:eastAsia="Times New Roman" w:hint="default"/>
        </w:rPr>
        <w:t>(</w:t>
      </w:r>
      <w:r>
        <w:rPr/>
        <w:t>以下</w:t>
      </w:r>
      <w:r>
        <w:rPr>
          <w:spacing w:val="-89"/>
        </w:rPr>
        <w:t> </w:t>
      </w:r>
      <w:r>
        <w:rPr>
          <w:spacing w:val="2"/>
        </w:rPr>
        <w:t>简称</w:t>
      </w:r>
      <w:r>
        <w:rPr>
          <w:rFonts w:ascii="Times New Roman" w:hAnsi="Times New Roman" w:cs="Times New Roman" w:eastAsia="Times New Roman" w:hint="default"/>
          <w:spacing w:val="2"/>
        </w:rPr>
        <w:t>“</w:t>
      </w:r>
      <w:r>
        <w:rPr>
          <w:spacing w:val="2"/>
        </w:rPr>
        <w:t>西安明丰</w:t>
      </w:r>
      <w:r>
        <w:rPr>
          <w:rFonts w:ascii="Times New Roman" w:hAnsi="Times New Roman" w:cs="Times New Roman" w:eastAsia="Times New Roman" w:hint="default"/>
          <w:spacing w:val="2"/>
        </w:rPr>
        <w:t>”)</w:t>
      </w:r>
      <w:r>
        <w:rPr>
          <w:spacing w:val="2"/>
        </w:rPr>
        <w:t>及深圳前海欧米茄资产管理有限公司</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前海欧米茄</w:t>
      </w:r>
      <w:r>
        <w:rPr>
          <w:rFonts w:ascii="Times New Roman" w:hAnsi="Times New Roman" w:cs="Times New Roman" w:eastAsia="Times New Roman" w:hint="default"/>
          <w:spacing w:val="2"/>
        </w:rPr>
        <w:t>”)</w:t>
      </w:r>
      <w:r>
        <w:rPr>
          <w:spacing w:val="2"/>
        </w:rPr>
        <w:t>四方于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27</w:t>
      </w:r>
      <w:r>
        <w:rPr>
          <w:spacing w:val="2"/>
        </w:rPr>
        <w:t>日分别</w:t>
      </w:r>
      <w:r>
        <w:rPr>
          <w:spacing w:val="-94"/>
        </w:rPr>
        <w:t> </w:t>
      </w:r>
      <w:r>
        <w:rPr>
          <w:spacing w:val="5"/>
        </w:rPr>
        <w:t>签署了</w:t>
      </w:r>
      <w:r>
        <w:rPr>
          <w:rFonts w:ascii="Times New Roman" w:hAnsi="Times New Roman" w:cs="Times New Roman" w:eastAsia="Times New Roman" w:hint="default"/>
          <w:spacing w:val="5"/>
        </w:rPr>
        <w:t>4</w:t>
      </w:r>
      <w:r>
        <w:rPr>
          <w:spacing w:val="5"/>
        </w:rPr>
        <w:t>份《股份转让框架协定》。美盛控股及其实际控制人拟以协议转让的方式将其持有的美盛文化</w:t>
      </w:r>
      <w:r>
        <w:rPr>
          <w:spacing w:val="-81"/>
        </w:rPr>
        <w:t> </w:t>
      </w:r>
      <w:r>
        <w:rPr>
          <w:spacing w:val="-81"/>
        </w:rPr>
      </w:r>
      <w:r>
        <w:rPr>
          <w:rFonts w:ascii="Times New Roman" w:hAnsi="Times New Roman" w:cs="Times New Roman" w:eastAsia="Times New Roman" w:hint="default"/>
          <w:spacing w:val="-1"/>
        </w:rPr>
        <w:t>364,750,000</w:t>
      </w:r>
      <w:r>
        <w:rPr>
          <w:spacing w:val="-1"/>
        </w:rPr>
        <w:t>股股份转让给中国合信、锋尚融房、西安明丰和前海欧米茄。本次交易完成后，中合国信将持</w:t>
      </w:r>
      <w:r>
        <w:rPr>
          <w:spacing w:val="-81"/>
        </w:rPr>
        <w:t> </w:t>
      </w:r>
      <w:r>
        <w:rPr>
          <w:spacing w:val="-81"/>
        </w:rPr>
      </w:r>
      <w:r>
        <w:rPr>
          <w:spacing w:val="2"/>
        </w:rPr>
        <w:t>有本公司总股本的</w:t>
      </w:r>
      <w:r>
        <w:rPr>
          <w:rFonts w:ascii="Times New Roman" w:hAnsi="Times New Roman" w:cs="Times New Roman" w:eastAsia="Times New Roman" w:hint="default"/>
          <w:spacing w:val="2"/>
        </w:rPr>
        <w:t>24.80%</w:t>
      </w:r>
      <w:r>
        <w:rPr>
          <w:spacing w:val="2"/>
        </w:rPr>
        <w:t>，成为本公司第一大股东及实际控制人。其他三家将分别持有本公司总股本的</w:t>
      </w:r>
      <w:r>
        <w:rPr>
          <w:spacing w:val="-59"/>
        </w:rPr>
        <w:t> </w:t>
      </w:r>
      <w:r>
        <w:rPr>
          <w:spacing w:val="-59"/>
        </w:rPr>
      </w:r>
      <w:r>
        <w:rPr>
          <w:rFonts w:ascii="Times New Roman" w:hAnsi="Times New Roman" w:cs="Times New Roman" w:eastAsia="Times New Roman" w:hint="default"/>
        </w:rPr>
        <w:t>5.1%</w:t>
      </w:r>
      <w:r>
        <w:rPr/>
        <w:t>。该交易有待进一步实施。</w:t>
      </w:r>
    </w:p>
    <w:p>
      <w:pPr>
        <w:pStyle w:val="BodyText"/>
        <w:spacing w:line="256" w:lineRule="auto" w:before="5"/>
        <w:ind w:right="1132" w:firstLine="420"/>
        <w:jc w:val="both"/>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日，公司与浙商银行股份有限公司杭州分行签订最高额保证合同，约定公司向美盛控</w:t>
      </w:r>
      <w:r>
        <w:rPr>
          <w:w w:val="99"/>
        </w:rPr>
        <w:t> </w:t>
      </w:r>
      <w:r>
        <w:rPr>
          <w:spacing w:val="-1"/>
        </w:rPr>
        <w:t>股提供不超过</w:t>
      </w:r>
      <w:r>
        <w:rPr>
          <w:rFonts w:ascii="Times New Roman" w:hAnsi="Times New Roman" w:cs="Times New Roman" w:eastAsia="Times New Roman" w:hint="default"/>
          <w:spacing w:val="-1"/>
        </w:rPr>
        <w:t>15,950.00</w:t>
      </w:r>
      <w:r>
        <w:rPr>
          <w:spacing w:val="-1"/>
        </w:rPr>
        <w:t>万元的担保，担保期限自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4</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4</w:t>
      </w:r>
      <w:r>
        <w:rPr>
          <w:spacing w:val="-1"/>
        </w:rPr>
        <w:t>日。上述事项业经公司第三届</w:t>
      </w:r>
      <w:r>
        <w:rPr>
          <w:spacing w:val="-79"/>
        </w:rPr>
        <w:t> </w:t>
      </w:r>
      <w:r>
        <w:rPr>
          <w:spacing w:val="-79"/>
        </w:rPr>
      </w:r>
      <w:r>
        <w:rPr/>
        <w:t>董事会第二十五次会议和</w:t>
      </w:r>
      <w:r>
        <w:rPr>
          <w:rFonts w:ascii="Times New Roman" w:hAnsi="Times New Roman" w:cs="Times New Roman" w:eastAsia="Times New Roman" w:hint="default"/>
        </w:rPr>
        <w:t>2017</w:t>
      </w:r>
      <w:r>
        <w:rPr/>
        <w:t>年度股东大会审议通过。</w:t>
      </w:r>
    </w:p>
    <w:p>
      <w:pPr>
        <w:pStyle w:val="BodyText"/>
        <w:spacing w:line="256" w:lineRule="auto" w:before="5"/>
        <w:ind w:right="1131" w:firstLine="420"/>
        <w:jc w:val="both"/>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根据公司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日第三届董事会第三十三次会议决议，公司将自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日起执行新金</w:t>
      </w:r>
      <w:r>
        <w:rPr>
          <w:w w:val="99"/>
        </w:rPr>
        <w:t> </w:t>
      </w:r>
      <w:r>
        <w:rPr/>
        <w:t>融工具准则。</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2"/>
        <w:spacing w:line="240" w:lineRule="auto"/>
        <w:ind w:right="1360"/>
        <w:jc w:val="left"/>
        <w:rPr>
          <w:b w:val="0"/>
          <w:bCs w:val="0"/>
        </w:rPr>
      </w:pPr>
      <w:bookmarkStart w:name="十六、其他重要事项" w:id="493"/>
      <w:bookmarkEnd w:id="493"/>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1、前期会计差错更正" w:id="494"/>
      <w:bookmarkEnd w:id="494"/>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1）追溯重述法" w:id="495"/>
      <w:bookmarkEnd w:id="495"/>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2）未来适用法" w:id="496"/>
      <w:bookmarkEnd w:id="496"/>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5"/>
        <w:ind w:right="1360"/>
        <w:jc w:val="left"/>
        <w:rPr>
          <w:b w:val="0"/>
          <w:bCs w:val="0"/>
        </w:rPr>
      </w:pPr>
      <w:bookmarkStart w:name="2、债务重组" w:id="497"/>
      <w:bookmarkEnd w:id="497"/>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3、资产置换" w:id="498"/>
      <w:bookmarkEnd w:id="498"/>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360"/>
        <w:jc w:val="left"/>
        <w:rPr>
          <w:b w:val="0"/>
          <w:bCs w:val="0"/>
        </w:rPr>
      </w:pPr>
      <w:bookmarkStart w:name="（1）非货币性资产交换" w:id="499"/>
      <w:bookmarkEnd w:id="499"/>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2）其他资产置换" w:id="500"/>
      <w:bookmarkEnd w:id="500"/>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4、年金计划" w:id="501"/>
      <w:bookmarkEnd w:id="501"/>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5、终止经营" w:id="502"/>
      <w:bookmarkEnd w:id="502"/>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6、分部信息" w:id="503"/>
      <w:bookmarkEnd w:id="503"/>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60"/>
        <w:jc w:val="left"/>
        <w:rPr>
          <w:b w:val="0"/>
          <w:bCs w:val="0"/>
        </w:rPr>
      </w:pPr>
      <w:bookmarkStart w:name="（1）报告分部的确定依据与会计政策" w:id="504"/>
      <w:bookmarkEnd w:id="504"/>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3"/>
          <w:szCs w:val="23"/>
        </w:rPr>
      </w:pPr>
    </w:p>
    <w:p>
      <w:pPr>
        <w:pStyle w:val="Heading3"/>
        <w:spacing w:line="259" w:lineRule="auto"/>
        <w:ind w:right="1118"/>
        <w:jc w:val="left"/>
        <w:rPr>
          <w:i w:val="0"/>
        </w:rPr>
      </w:pPr>
      <w:r>
        <w:rPr>
          <w:spacing w:val="-1"/>
          <w:w w:val="95"/>
        </w:rPr>
        <w:t>公司以内部组织结构、管理要求、内部报告制度等为依据确定报告分部，并以产品分部为基础确定报</w:t>
      </w:r>
      <w:r>
        <w:rPr>
          <w:w w:val="95"/>
        </w:rPr>
        <w:t> </w:t>
      </w:r>
      <w:r>
        <w:rPr/>
        <w:t>告分部。</w:t>
      </w:r>
      <w:r>
        <w:rPr>
          <w:i w:val="0"/>
        </w:rPr>
      </w:r>
    </w:p>
    <w:p>
      <w:pPr>
        <w:spacing w:line="240" w:lineRule="auto" w:before="0"/>
        <w:rPr>
          <w:rFonts w:ascii="宋体" w:hAnsi="宋体" w:cs="宋体" w:eastAsia="宋体" w:hint="default"/>
          <w:i/>
          <w:sz w:val="22"/>
          <w:szCs w:val="22"/>
        </w:rPr>
      </w:pPr>
    </w:p>
    <w:p>
      <w:pPr>
        <w:spacing w:line="240" w:lineRule="auto" w:before="3"/>
        <w:rPr>
          <w:rFonts w:ascii="宋体" w:hAnsi="宋体" w:cs="宋体" w:eastAsia="宋体" w:hint="default"/>
          <w:i/>
          <w:sz w:val="26"/>
          <w:szCs w:val="26"/>
        </w:rPr>
      </w:pPr>
    </w:p>
    <w:p>
      <w:pPr>
        <w:pStyle w:val="Heading4"/>
        <w:spacing w:line="240" w:lineRule="auto"/>
        <w:ind w:right="1360"/>
        <w:jc w:val="left"/>
        <w:rPr>
          <w:b w:val="0"/>
          <w:bCs w:val="0"/>
        </w:rPr>
      </w:pPr>
      <w:bookmarkStart w:name="（2）报告分部的财务信息" w:id="505"/>
      <w:bookmarkEnd w:id="505"/>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2" w:hRule="exact"/>
        </w:trPr>
        <w:tc>
          <w:tcPr>
            <w:tcW w:w="134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动漫服饰</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非动漫服饰</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动漫、游戏等</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服务平台收入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325,769,899.29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46,638,851.93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8,558,171.74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385,416,041.19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766,382,964.15</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222,149,877.64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39,277,259.68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15,783,637.75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237,694,198.23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514,904,973.30</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3）公司无报告分部的，或者不能披露各报告分部的资产总额和负债总额的，应说明原因" w:id="506"/>
      <w:bookmarkEnd w:id="506"/>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4）其他说明" w:id="507"/>
      <w:bookmarkEnd w:id="507"/>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360"/>
        <w:jc w:val="left"/>
        <w:rPr>
          <w:b w:val="0"/>
          <w:bCs w:val="0"/>
        </w:rPr>
      </w:pPr>
      <w:bookmarkStart w:name="7、其他对投资者决策有影响的重要交易和事项" w:id="508"/>
      <w:bookmarkEnd w:id="508"/>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574" w:right="136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业绩承诺事项</w:t>
      </w:r>
    </w:p>
    <w:p>
      <w:pPr>
        <w:pStyle w:val="BodyText"/>
        <w:spacing w:line="240" w:lineRule="auto" w:before="21"/>
        <w:ind w:left="574" w:right="1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日本爱华业绩承诺补偿</w:t>
      </w:r>
    </w:p>
    <w:p>
      <w:pPr>
        <w:pStyle w:val="BodyText"/>
        <w:spacing w:line="256" w:lineRule="auto" w:before="21"/>
        <w:ind w:right="1129" w:firstLine="420"/>
        <w:jc w:val="left"/>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8</w:t>
      </w:r>
      <w:r>
        <w:rPr>
          <w:spacing w:val="-1"/>
        </w:rPr>
        <w:t>月，公司向日本爱华增资</w:t>
      </w:r>
      <w:r>
        <w:rPr>
          <w:rFonts w:ascii="Times New Roman" w:hAnsi="Times New Roman" w:cs="Times New Roman" w:eastAsia="Times New Roman" w:hint="default"/>
          <w:spacing w:val="-1"/>
        </w:rPr>
        <w:t>10,176,123.47</w:t>
      </w:r>
      <w:r>
        <w:rPr>
          <w:spacing w:val="-1"/>
        </w:rPr>
        <w:t>元，增资完成后公司持有日本爱华</w:t>
      </w:r>
      <w:r>
        <w:rPr>
          <w:rFonts w:ascii="Times New Roman" w:hAnsi="Times New Roman" w:cs="Times New Roman" w:eastAsia="Times New Roman" w:hint="default"/>
          <w:spacing w:val="-1"/>
        </w:rPr>
        <w:t>51%</w:t>
      </w:r>
      <w:r>
        <w:rPr>
          <w:spacing w:val="-1"/>
        </w:rPr>
        <w:t>的股权。日本爱</w:t>
      </w:r>
      <w:r>
        <w:rPr/>
        <w:t> </w:t>
      </w:r>
      <w:r>
        <w:rPr>
          <w:spacing w:val="-1"/>
        </w:rPr>
        <w:t>华原股东向本公司承诺，日本爱华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2017</w:t>
      </w:r>
      <w:r>
        <w:rPr>
          <w:spacing w:val="-1"/>
        </w:rPr>
        <w:t>年及</w:t>
      </w:r>
      <w:r>
        <w:rPr>
          <w:rFonts w:ascii="Times New Roman" w:hAnsi="Times New Roman" w:cs="Times New Roman" w:eastAsia="Times New Roman" w:hint="default"/>
          <w:spacing w:val="-1"/>
        </w:rPr>
        <w:t>2018</w:t>
      </w:r>
      <w:r>
        <w:rPr>
          <w:spacing w:val="-1"/>
        </w:rPr>
        <w:t>年度按照中国企业会计准则编制经审计的净利润</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0"/>
        <w:jc w:val="left"/>
      </w:pPr>
      <w:r>
        <w:rPr>
          <w:spacing w:val="-1"/>
        </w:rPr>
        <w:t>分别不低于人民币</w:t>
      </w:r>
      <w:r>
        <w:rPr>
          <w:rFonts w:ascii="Times New Roman" w:hAnsi="Times New Roman" w:cs="Times New Roman" w:eastAsia="Times New Roman" w:hint="default"/>
          <w:spacing w:val="-1"/>
        </w:rPr>
        <w:t>100</w:t>
      </w:r>
      <w:r>
        <w:rPr>
          <w:spacing w:val="-1"/>
        </w:rPr>
        <w:t>万元、</w:t>
      </w:r>
      <w:r>
        <w:rPr>
          <w:rFonts w:ascii="Times New Roman" w:hAnsi="Times New Roman" w:cs="Times New Roman" w:eastAsia="Times New Roman" w:hint="default"/>
          <w:spacing w:val="-1"/>
        </w:rPr>
        <w:t>300</w:t>
      </w:r>
      <w:r>
        <w:rPr>
          <w:spacing w:val="-1"/>
        </w:rPr>
        <w:t>万元和</w:t>
      </w:r>
      <w:r>
        <w:rPr>
          <w:rFonts w:ascii="Times New Roman" w:hAnsi="Times New Roman" w:cs="Times New Roman" w:eastAsia="Times New Roman" w:hint="default"/>
          <w:spacing w:val="-1"/>
        </w:rPr>
        <w:t>500</w:t>
      </w:r>
      <w:r>
        <w:rPr>
          <w:spacing w:val="-1"/>
        </w:rPr>
        <w:t>万元。三年合计实现的净利润若小于</w:t>
      </w:r>
      <w:r>
        <w:rPr>
          <w:rFonts w:ascii="Times New Roman" w:hAnsi="Times New Roman" w:cs="Times New Roman" w:eastAsia="Times New Roman" w:hint="default"/>
          <w:spacing w:val="-1"/>
        </w:rPr>
        <w:t>900</w:t>
      </w:r>
      <w:r>
        <w:rPr>
          <w:spacing w:val="-1"/>
        </w:rPr>
        <w:t>万元人民币，日本爱华</w:t>
      </w:r>
      <w:r>
        <w:rPr>
          <w:spacing w:val="-82"/>
        </w:rPr>
        <w:t> </w:t>
      </w:r>
      <w:r>
        <w:rPr>
          <w:spacing w:val="-82"/>
        </w:rPr>
      </w:r>
      <w:r>
        <w:rPr/>
        <w:t>应对不足部分对公司进行现金补偿。</w:t>
      </w:r>
    </w:p>
    <w:p>
      <w:pPr>
        <w:pStyle w:val="BodyText"/>
        <w:spacing w:line="266" w:lineRule="auto" w:before="22"/>
        <w:ind w:right="1129" w:firstLine="420"/>
        <w:jc w:val="both"/>
      </w:pPr>
      <w:r>
        <w:rPr>
          <w:rFonts w:ascii="Times New Roman" w:hAnsi="Times New Roman" w:cs="Times New Roman" w:eastAsia="Times New Roman" w:hint="default"/>
        </w:rPr>
        <w:t>2017</w:t>
      </w:r>
      <w:r>
        <w:rPr/>
        <w:t>年度，公司确认日本爱华业绩承诺补偿</w:t>
      </w:r>
      <w:r>
        <w:rPr>
          <w:rFonts w:ascii="Times New Roman" w:hAnsi="Times New Roman" w:cs="Times New Roman" w:eastAsia="Times New Roman" w:hint="default"/>
        </w:rPr>
        <w:t>5,655,202.61</w:t>
      </w:r>
      <w:r>
        <w:rPr/>
        <w:t>元，本期已收到赔偿款</w:t>
      </w:r>
      <w:r>
        <w:rPr>
          <w:rFonts w:ascii="Times New Roman" w:hAnsi="Times New Roman" w:cs="Times New Roman" w:eastAsia="Times New Roman" w:hint="default"/>
        </w:rPr>
        <w:t>2,320,422.70</w:t>
      </w:r>
      <w:r>
        <w:rPr/>
        <w:t>元。因公</w:t>
      </w:r>
      <w:r>
        <w:rPr>
          <w:spacing w:val="2"/>
        </w:rPr>
        <w:t> </w:t>
      </w:r>
      <w:r>
        <w:rPr>
          <w:spacing w:val="-1"/>
        </w:rPr>
        <w:t>司目前已无法与徐迪旻取得联系，预计未来收到剩余赔偿款的可能性较低，故本期终止确认剩余应收业绩</w:t>
      </w:r>
      <w:r>
        <w:rPr>
          <w:spacing w:val="-81"/>
        </w:rPr>
        <w:t> </w:t>
      </w:r>
      <w:r>
        <w:rPr>
          <w:spacing w:val="-81"/>
        </w:rPr>
      </w:r>
      <w:r>
        <w:rPr/>
        <w:t>补偿款。</w:t>
      </w:r>
    </w:p>
    <w:p>
      <w:pPr>
        <w:pStyle w:val="BodyText"/>
        <w:spacing w:line="256" w:lineRule="auto" w:before="14"/>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真趣网络业绩承诺补偿 </w:t>
      </w:r>
      <w:r>
        <w:rPr>
          <w:spacing w:val="-1"/>
        </w:rPr>
        <w:t>经公司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w:t>
      </w:r>
      <w:r>
        <w:rPr>
          <w:spacing w:val="-1"/>
        </w:rPr>
        <w:t>日三届九次董事会批准，本公司与美盛控股签订股权转让意向协议，约定以人民币</w:t>
      </w:r>
    </w:p>
    <w:p>
      <w:pPr>
        <w:pStyle w:val="BodyText"/>
        <w:spacing w:line="256" w:lineRule="auto" w:before="5"/>
        <w:ind w:right="0"/>
        <w:jc w:val="left"/>
      </w:pPr>
      <w:r>
        <w:rPr>
          <w:rFonts w:ascii="Times New Roman" w:hAnsi="Times New Roman" w:cs="Times New Roman" w:eastAsia="Times New Roman" w:hint="default"/>
        </w:rPr>
        <w:t>11.11</w:t>
      </w:r>
      <w:r>
        <w:rPr>
          <w:rFonts w:ascii="Times New Roman" w:hAnsi="Times New Roman" w:cs="Times New Roman" w:eastAsia="Times New Roman" w:hint="default"/>
          <w:spacing w:val="22"/>
        </w:rPr>
        <w:t> </w:t>
      </w:r>
      <w:r>
        <w:rPr/>
        <w:t>亿元购买其持有的真趣网络</w:t>
      </w:r>
      <w:r>
        <w:rPr>
          <w:rFonts w:ascii="Times New Roman" w:hAnsi="Times New Roman" w:cs="Times New Roman" w:eastAsia="Times New Roman" w:hint="default"/>
        </w:rPr>
        <w:t>100%</w:t>
      </w:r>
      <w:r>
        <w:rPr/>
        <w:t>的股权。美盛控股承诺，真趣网络经审计的</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2018</w:t>
      </w:r>
      <w:r>
        <w:rPr/>
        <w:t>和</w:t>
      </w:r>
      <w:r>
        <w:rPr>
          <w:rFonts w:ascii="Times New Roman" w:hAnsi="Times New Roman" w:cs="Times New Roman" w:eastAsia="Times New Roman" w:hint="default"/>
        </w:rPr>
        <w:t>2019</w:t>
      </w:r>
      <w:r>
        <w:rPr/>
        <w:t>年度 </w:t>
      </w:r>
      <w:r>
        <w:rPr>
          <w:spacing w:val="7"/>
        </w:rPr>
        <w:t>扣除非经常性损益（依法取得的财政补贴除外）后归属于母公司的净利润分别不低于</w:t>
      </w:r>
      <w:r>
        <w:rPr>
          <w:rFonts w:ascii="Times New Roman" w:hAnsi="Times New Roman" w:cs="Times New Roman" w:eastAsia="Times New Roman" w:hint="default"/>
          <w:spacing w:val="7"/>
        </w:rPr>
        <w:t>10,200.00</w:t>
      </w:r>
      <w:r>
        <w:rPr>
          <w:spacing w:val="7"/>
        </w:rPr>
        <w:t>万元、</w:t>
      </w:r>
      <w:r>
        <w:rPr>
          <w:spacing w:val="-60"/>
        </w:rPr>
        <w:t> </w:t>
      </w:r>
      <w:r>
        <w:rPr>
          <w:rFonts w:ascii="Times New Roman" w:hAnsi="Times New Roman" w:cs="Times New Roman" w:eastAsia="Times New Roman" w:hint="default"/>
        </w:rPr>
        <w:t>11,800.00</w:t>
      </w:r>
      <w:r>
        <w:rPr/>
        <w:t>万元和</w:t>
      </w:r>
      <w:r>
        <w:rPr>
          <w:rFonts w:ascii="Times New Roman" w:hAnsi="Times New Roman" w:cs="Times New Roman" w:eastAsia="Times New Roman" w:hint="default"/>
        </w:rPr>
        <w:t>13,700.00</w:t>
      </w:r>
      <w:r>
        <w:rPr/>
        <w:t>万元。如果真趣网络的实际净利润低于承诺净利润，美盛控股应向本公司补足。 </w:t>
      </w:r>
      <w:r>
        <w:rPr>
          <w:spacing w:val="-3"/>
        </w:rPr>
        <w:t>本年度处于第二个业绩承诺期。</w:t>
      </w:r>
      <w:r>
        <w:rPr>
          <w:rFonts w:ascii="Times New Roman" w:hAnsi="Times New Roman" w:cs="Times New Roman" w:eastAsia="Times New Roman" w:hint="default"/>
          <w:spacing w:val="-3"/>
        </w:rPr>
        <w:t>2018</w:t>
      </w:r>
      <w:r>
        <w:rPr>
          <w:spacing w:val="-3"/>
        </w:rPr>
        <w:t>年度真趣网络经审计的扣除非经常性损益（依法取得的财政补贴除外）</w:t>
      </w:r>
      <w:r>
        <w:rPr>
          <w:spacing w:val="-87"/>
        </w:rPr>
        <w:t> </w:t>
      </w:r>
      <w:r>
        <w:rPr>
          <w:spacing w:val="-87"/>
        </w:rPr>
      </w:r>
      <w:r>
        <w:rPr/>
        <w:t>后归属于母公司的净利润为</w:t>
      </w:r>
      <w:r>
        <w:rPr>
          <w:rFonts w:ascii="Times New Roman" w:hAnsi="Times New Roman" w:cs="Times New Roman" w:eastAsia="Times New Roman" w:hint="default"/>
        </w:rPr>
        <w:t>11,530.60</w:t>
      </w:r>
      <w:r>
        <w:rPr/>
        <w:t>万元，美盛控股本年度需向本公司支付承诺补偿款</w:t>
      </w:r>
      <w:r>
        <w:rPr>
          <w:rFonts w:ascii="Times New Roman" w:hAnsi="Times New Roman" w:cs="Times New Roman" w:eastAsia="Times New Roman" w:hint="default"/>
        </w:rPr>
        <w:t>269.40</w:t>
      </w:r>
      <w:r>
        <w:rPr/>
        <w:t>万元。</w:t>
      </w:r>
    </w:p>
    <w:p>
      <w:pPr>
        <w:spacing w:line="240" w:lineRule="auto" w:before="5"/>
        <w:rPr>
          <w:rFonts w:ascii="宋体" w:hAnsi="宋体" w:cs="宋体" w:eastAsia="宋体" w:hint="default"/>
          <w:sz w:val="23"/>
          <w:szCs w:val="23"/>
        </w:rPr>
      </w:pPr>
    </w:p>
    <w:p>
      <w:pPr>
        <w:spacing w:line="487" w:lineRule="auto" w:before="0"/>
        <w:ind w:left="154" w:right="6792" w:firstLine="0"/>
        <w:jc w:val="left"/>
        <w:rPr>
          <w:rFonts w:ascii="宋体" w:hAnsi="宋体" w:cs="宋体" w:eastAsia="宋体" w:hint="default"/>
          <w:sz w:val="21"/>
          <w:szCs w:val="21"/>
        </w:rPr>
      </w:pPr>
      <w:bookmarkStart w:name="8、其他" w:id="509"/>
      <w:bookmarkEnd w:id="50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510"/>
      <w:bookmarkEnd w:id="510"/>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票据及应收账款" w:id="511"/>
      <w:bookmarkEnd w:id="511"/>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66,963,327.61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80,353,576.52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66,963,327.61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80,353,576.52</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1）应收票据" w:id="512"/>
      <w:bookmarkEnd w:id="512"/>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spacing w:before="44"/>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before="51"/>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4"/>
        <w:spacing w:line="240" w:lineRule="auto" w:before="35"/>
        <w:ind w:right="1360"/>
        <w:jc w:val="left"/>
        <w:rPr>
          <w:b w:val="0"/>
          <w:bCs w:val="0"/>
        </w:rPr>
      </w:pPr>
      <w:bookmarkStart w:name="4)期末公司因出票人未履约而将其转应收账款的票据" w:id="513"/>
      <w:bookmarkEnd w:id="513"/>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360"/>
        <w:jc w:val="left"/>
        <w:rPr>
          <w:b w:val="0"/>
          <w:bCs w:val="0"/>
        </w:rPr>
      </w:pPr>
      <w:bookmarkStart w:name="（2）应收账款" w:id="514"/>
      <w:bookmarkEnd w:id="514"/>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spacing w:before="44"/>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8"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80,262,0</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97.44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13,298,7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69.83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16.57%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66,963,32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7.61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88,231,</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747.99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7,878,171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80,353,576.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52</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80,262,0</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97.44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13,298,7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69.83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16.57%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66,963,32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7.61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88,231,</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747.99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7,878,171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8.93%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80,353,576.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52</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37,202,712.67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1,860,135.63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29,306,927.57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2,930,692.76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8,313,414.38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4,156,707.19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3,937,829.63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3,150,263.70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1,501,213.19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1,200,970.55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80,262,097.44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13,298,769.83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360" w:lineRule="auto" w:before="51"/>
        <w:ind w:left="154" w:right="15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8" w:lineRule="auto" w:before="26"/>
        <w:ind w:left="154" w:right="19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40" w:lineRule="auto" w:before="12"/>
        <w:ind w:left="154" w:right="-17"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8,030,310.58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1"/>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049" w:space="2780"/>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2"/>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本期实际核销应收账款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2,609,712.22</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2"/>
        <w:ind w:left="154" w:right="136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before="116"/>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pStyle w:val="BodyText"/>
        <w:spacing w:line="256" w:lineRule="auto" w:before="77"/>
        <w:ind w:right="0" w:firstLine="420"/>
        <w:jc w:val="left"/>
      </w:pPr>
      <w:r>
        <w:rPr>
          <w:spacing w:val="-3"/>
        </w:rPr>
        <w:t>期末余额前</w:t>
      </w:r>
      <w:r>
        <w:rPr>
          <w:rFonts w:ascii="Times New Roman" w:hAnsi="Times New Roman" w:cs="Times New Roman" w:eastAsia="Times New Roman" w:hint="default"/>
          <w:spacing w:val="-3"/>
        </w:rPr>
        <w:t>5</w:t>
      </w:r>
      <w:r>
        <w:rPr>
          <w:spacing w:val="-3"/>
        </w:rPr>
        <w:t>名的应收账款合计数为</w:t>
      </w:r>
      <w:r>
        <w:rPr>
          <w:rFonts w:ascii="Times New Roman" w:hAnsi="Times New Roman" w:cs="Times New Roman" w:eastAsia="Times New Roman" w:hint="default"/>
          <w:spacing w:val="-3"/>
        </w:rPr>
        <w:t>59,980,457.67</w:t>
      </w:r>
      <w:r>
        <w:rPr>
          <w:spacing w:val="-3"/>
        </w:rPr>
        <w:t>元，占应收账款期末余额合计数的比例为</w:t>
      </w:r>
      <w:r>
        <w:rPr>
          <w:rFonts w:ascii="Times New Roman" w:hAnsi="Times New Roman" w:cs="Times New Roman" w:eastAsia="Times New Roman" w:hint="default"/>
          <w:spacing w:val="-3"/>
        </w:rPr>
        <w:t>74.73%</w:t>
      </w:r>
      <w:r>
        <w:rPr>
          <w:spacing w:val="-3"/>
        </w:rPr>
        <w:t>，相</w:t>
      </w:r>
      <w:r>
        <w:rPr>
          <w:spacing w:val="-46"/>
        </w:rPr>
        <w:t> </w:t>
      </w:r>
      <w:r>
        <w:rPr/>
        <w:t>应计提的坏账准备合计数为</w:t>
      </w:r>
      <w:r>
        <w:rPr>
          <w:rFonts w:ascii="Times New Roman" w:hAnsi="Times New Roman" w:cs="Times New Roman" w:eastAsia="Times New Roman" w:hint="default"/>
        </w:rPr>
        <w:t>8,145,474.15</w:t>
      </w:r>
      <w:r>
        <w:rPr/>
        <w:t>元。</w:t>
      </w:r>
    </w:p>
    <w:p>
      <w:pPr>
        <w:spacing w:line="240" w:lineRule="auto" w:before="4"/>
        <w:rPr>
          <w:rFonts w:ascii="宋体" w:hAnsi="宋体" w:cs="宋体" w:eastAsia="宋体" w:hint="default"/>
          <w:sz w:val="29"/>
          <w:szCs w:val="29"/>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spacing w:line="340" w:lineRule="auto" w:before="102"/>
        <w:ind w:left="154" w:right="68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12"/>
        <w:rPr>
          <w:rFonts w:ascii="宋体" w:hAnsi="宋体" w:cs="宋体" w:eastAsia="宋体" w:hint="default"/>
          <w:sz w:val="20"/>
          <w:szCs w:val="20"/>
        </w:rPr>
      </w:pPr>
    </w:p>
    <w:p>
      <w:pPr>
        <w:pStyle w:val="Heading4"/>
        <w:spacing w:line="240" w:lineRule="auto"/>
        <w:ind w:right="1360"/>
        <w:jc w:val="left"/>
        <w:rPr>
          <w:b w:val="0"/>
          <w:bCs w:val="0"/>
        </w:rPr>
      </w:pPr>
      <w:bookmarkStart w:name="2、其他应收款" w:id="515"/>
      <w:bookmarkEnd w:id="51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64,824.65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9,699,030.68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1,384,799,409.18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1,493,126.63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1,384,864,233.83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11,192,157.31</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1）应收利息" w:id="516"/>
      <w:bookmarkEnd w:id="516"/>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spacing w:before="44"/>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64,824.65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9,699,030.68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64,824.65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9,699,030.68</w:t>
            </w:r>
          </w:p>
        </w:tc>
      </w:tr>
    </w:tbl>
    <w:p>
      <w:pPr>
        <w:spacing w:before="51"/>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2"/>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1360"/>
        <w:jc w:val="left"/>
        <w:rPr>
          <w:b w:val="0"/>
          <w:bCs w:val="0"/>
        </w:rPr>
      </w:pPr>
      <w:bookmarkStart w:name="（2）应收股利" w:id="517"/>
      <w:bookmarkEnd w:id="517"/>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9"/>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年的应收股利</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1360"/>
        <w:jc w:val="left"/>
        <w:rPr>
          <w:b w:val="0"/>
          <w:bCs w:val="0"/>
        </w:rPr>
      </w:pPr>
      <w:bookmarkStart w:name="（3）其他应收款" w:id="518"/>
      <w:bookmarkEnd w:id="518"/>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spacing w:before="44"/>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1,176,95</w:t>
            </w:r>
          </w:p>
          <w:p>
            <w:pPr>
              <w:pStyle w:val="TableParagraph"/>
              <w:spacing w:line="240" w:lineRule="auto" w:before="106"/>
              <w:ind w:left="99" w:right="0"/>
              <w:jc w:val="left"/>
              <w:rPr>
                <w:rFonts w:ascii="Times New Roman" w:hAnsi="Times New Roman" w:cs="Times New Roman" w:eastAsia="Times New Roman" w:hint="default"/>
                <w:sz w:val="18"/>
                <w:szCs w:val="18"/>
              </w:rPr>
            </w:pPr>
            <w:r>
              <w:rPr>
                <w:rFonts w:ascii="Times New Roman"/>
                <w:sz w:val="18"/>
              </w:rPr>
              <w:t>8,817.28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84.30%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1,176,958</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,817.28</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219,124,</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704.87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11,284,1</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12.97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5.15%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207,840,5</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91.90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2,722,6</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90.55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1,229,563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45.16%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1,493,126.6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1,396,08</w:t>
            </w:r>
          </w:p>
          <w:p>
            <w:pPr>
              <w:pStyle w:val="TableParagraph"/>
              <w:spacing w:line="240" w:lineRule="auto" w:before="106"/>
              <w:ind w:left="105" w:right="0"/>
              <w:jc w:val="left"/>
              <w:rPr>
                <w:rFonts w:ascii="Times New Roman" w:hAnsi="Times New Roman" w:cs="Times New Roman" w:eastAsia="Times New Roman" w:hint="default"/>
                <w:sz w:val="18"/>
                <w:szCs w:val="18"/>
              </w:rPr>
            </w:pPr>
            <w:r>
              <w:rPr>
                <w:rFonts w:ascii="Times New Roman"/>
                <w:sz w:val="18"/>
              </w:rPr>
              <w:t>3,522.15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11,284,1</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12.97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0.81%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1,384,799</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,409.18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2,722,6</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90.55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1,229,563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45.16%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1,493,126.6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26"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美盛控股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1,176,958,817.28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单项金额重大并预计能 够收回，因此不计提坏 账准备。</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1,176,958,817.28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92"/>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471"/>
        <w:gridCol w:w="2307"/>
        <w:gridCol w:w="2391"/>
        <w:gridCol w:w="2389"/>
      </w:tblGrid>
      <w:tr>
        <w:trPr>
          <w:trHeight w:val="402"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218,631,220.33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10,931,561.02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65,977.75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6,597.78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407,763.10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326,210.48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19,743.69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19,743.69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219,124,704.87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11,284,112.97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360" w:lineRule="auto" w:before="51"/>
        <w:ind w:left="154" w:right="146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4" w:right="18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3"/>
        <w:ind w:left="154" w:right="-18"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10,054,549.05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139" w:space="2690"/>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before="52"/>
        <w:ind w:left="154" w:right="-2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25" w:space="600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5,927,642.27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923,782.55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211,212,630.00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1,672,620.00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1,717,366.48</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占用款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1,176,958,817.28</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267,066.12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126,288.00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1,396,083,522.15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2,722,690.55</w:t>
            </w:r>
          </w:p>
        </w:tc>
      </w:tr>
    </w:tbl>
    <w:p>
      <w:pPr>
        <w:spacing w:before="51"/>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5"/>
        <w:gridCol w:w="1551"/>
        <w:gridCol w:w="1552"/>
        <w:gridCol w:w="1553"/>
        <w:gridCol w:w="1614"/>
        <w:gridCol w:w="1604"/>
      </w:tblGrid>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1" w:right="0"/>
              <w:jc w:val="left"/>
              <w:rPr>
                <w:rFonts w:ascii="宋体" w:hAnsi="宋体" w:cs="宋体" w:eastAsia="宋体" w:hint="default"/>
                <w:sz w:val="18"/>
                <w:szCs w:val="18"/>
              </w:rPr>
            </w:pPr>
            <w:r>
              <w:rPr>
                <w:rFonts w:ascii="宋体" w:hAnsi="宋体" w:cs="宋体" w:eastAsia="宋体" w:hint="default"/>
                <w:sz w:val="18"/>
                <w:szCs w:val="18"/>
              </w:rPr>
              <w:t>占其他应收款期末</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36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81"/>
              <w:jc w:val="right"/>
              <w:rPr>
                <w:rFonts w:ascii="宋体" w:hAnsi="宋体" w:cs="宋体" w:eastAsia="宋体" w:hint="default"/>
                <w:sz w:val="18"/>
                <w:szCs w:val="18"/>
              </w:rPr>
            </w:pPr>
            <w:r>
              <w:rPr>
                <w:rFonts w:ascii="宋体" w:hAnsi="宋体" w:cs="宋体" w:eastAsia="宋体" w:hint="default"/>
                <w:sz w:val="18"/>
                <w:szCs w:val="18"/>
              </w:rPr>
              <w:t>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美盛控股</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1,176,958,817.28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84.30%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曾华雄</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1,717,366.48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85,868.32</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杭州市下城区际遇酒 店</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505,625.70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25,281.29</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杭州北部软件园</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39,693.75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3,969.38</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367,763.10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294,210.48</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1,184,589,266.31</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86.90%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659,329.47</w:t>
            </w:r>
          </w:p>
        </w:tc>
      </w:tr>
    </w:tbl>
    <w:p>
      <w:pPr>
        <w:spacing w:before="51"/>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5"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before="51"/>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w:t>
      </w:r>
    </w:p>
    <w:p>
      <w:pPr>
        <w:spacing w:line="338" w:lineRule="auto" w:before="103"/>
        <w:ind w:left="154" w:right="66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pStyle w:val="Heading4"/>
        <w:spacing w:line="240" w:lineRule="auto"/>
        <w:ind w:right="1360"/>
        <w:jc w:val="left"/>
        <w:rPr>
          <w:b w:val="0"/>
          <w:bCs w:val="0"/>
        </w:rPr>
      </w:pPr>
      <w:bookmarkStart w:name="3、长期股权投资" w:id="519"/>
      <w:bookmarkEnd w:id="519"/>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1,798,724,392.84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215,209,871.66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1,583,514,521.18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1,798,724,392.84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18,657,180.19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1,780,067,212.65</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68,926,393.09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68,926,393.09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69,709,211.75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69,709,211.75</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1,867,650,785.93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215,209,871.66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1,652,440,914.27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1,868,433,604.59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18,657,180.19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1,849,776,424.40</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1）对子公司投资" w:id="520"/>
      <w:bookmarkEnd w:id="520"/>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美源饰品</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9,860,000.00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9,860,000.00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美盛游戏</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63,668,000.00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63,668,000.00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美盛动漫</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香港美盛</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240,448,352.84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240,448,352.84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星梦工坊</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16,180,000.00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16,180,000.00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1" w:right="0"/>
              <w:jc w:val="left"/>
              <w:rPr>
                <w:rFonts w:ascii="Times New Roman" w:hAnsi="Times New Roman" w:cs="Times New Roman" w:eastAsia="Times New Roman" w:hint="default"/>
                <w:sz w:val="18"/>
                <w:szCs w:val="18"/>
              </w:rPr>
            </w:pPr>
            <w:r>
              <w:rPr>
                <w:rFonts w:ascii="Times New Roman"/>
                <w:sz w:val="18"/>
              </w:rPr>
              <w:t>9,876,030.45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美盛电商</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美盛二次元</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美国美盛</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115,568,040.00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115,568,040.00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天津酷米</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26,945,460.47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35,726,610.21</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美盛爱彼</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真趣网络</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1,111,000,000.00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169,607,231.00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169,607,231.00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1,798,724,392.84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1,798,724,392.84</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196,552,691.47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215,209,871.66</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2）对联营、合营企业投资" w:id="521"/>
      <w:bookmarkEnd w:id="521"/>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微媒互动</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69,709,21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-782,818.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北京微媒 互动科技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68,926,39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3.09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69,709,21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-782,818.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68,926,39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3.09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69,709,21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-782,818.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68,926,39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3.09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3）其他说明" w:id="522"/>
      <w:bookmarkEnd w:id="522"/>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4、营业收入和营业成本" w:id="523"/>
      <w:bookmarkEnd w:id="52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5"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269,803,012.45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196,198,875.02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355,587,613.21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204,117,378.02</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5,896,310.97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5,015,269.80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7,409,475.11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4,325,894.63</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275,699,323.42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201,214,144.82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362,997,088.32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208,443,272.65</w:t>
            </w:r>
          </w:p>
        </w:tc>
      </w:tr>
    </w:tbl>
    <w:p>
      <w:pPr>
        <w:spacing w:before="51"/>
        <w:ind w:left="154" w:right="136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360"/>
        <w:jc w:val="left"/>
        <w:rPr>
          <w:b w:val="0"/>
          <w:bCs w:val="0"/>
        </w:rPr>
      </w:pPr>
      <w:bookmarkStart w:name="5、投资收益" w:id="524"/>
      <w:bookmarkEnd w:id="52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-782,818.66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1,249,072.01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20,029,694.95</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1,183,561.64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7,548,576.17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2,739,888.68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540,062.69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33,564,979.51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72,651,573.94</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36,705,611.17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102,018,979.76</w:t>
            </w:r>
          </w:p>
        </w:tc>
      </w:tr>
    </w:tbl>
    <w:p>
      <w:pPr>
        <w:spacing w:line="240" w:lineRule="auto" w:before="2"/>
        <w:rPr>
          <w:rFonts w:ascii="宋体" w:hAnsi="宋体" w:cs="宋体" w:eastAsia="宋体" w:hint="default"/>
          <w:sz w:val="19"/>
          <w:szCs w:val="19"/>
        </w:rPr>
      </w:pPr>
    </w:p>
    <w:p>
      <w:pPr>
        <w:pStyle w:val="Heading4"/>
        <w:spacing w:line="240" w:lineRule="auto" w:before="35"/>
        <w:ind w:right="1360"/>
        <w:jc w:val="left"/>
        <w:rPr>
          <w:b w:val="0"/>
          <w:bCs w:val="0"/>
        </w:rPr>
      </w:pPr>
      <w:bookmarkStart w:name="6、其他" w:id="525"/>
      <w:bookmarkEnd w:id="525"/>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1360"/>
        <w:jc w:val="left"/>
        <w:rPr>
          <w:b w:val="0"/>
          <w:bCs w:val="0"/>
        </w:rPr>
      </w:pPr>
      <w:bookmarkStart w:name="十八、补充资料" w:id="526"/>
      <w:bookmarkEnd w:id="526"/>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1、当期非经常性损益明细表" w:id="527"/>
      <w:bookmarkEnd w:id="52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10,907,887.70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9,758,069.63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33,564,979.51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-472,503.04</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-71,438.33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-2,475,317.84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无需支付浮动投资款产生的收益</w:t>
            </w:r>
          </w:p>
        </w:tc>
        <w:tc>
          <w:tcPr>
            <w:tcW w:w="3071"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9,967,635.23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153,128.96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41,090,913.44</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4"/>
        <w:spacing w:line="240" w:lineRule="auto"/>
        <w:ind w:right="1360"/>
        <w:jc w:val="left"/>
        <w:rPr>
          <w:b w:val="0"/>
          <w:bCs w:val="0"/>
        </w:rPr>
      </w:pPr>
      <w:bookmarkStart w:name="2、净资产收益率及每股收益" w:id="528"/>
      <w:bookmarkEnd w:id="52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-0.25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-0.25</w:t>
            </w:r>
            <w:r>
              <w:rPr>
                <w:rFonts w:ascii="Times New Roman"/>
                <w:sz w:val="18"/>
              </w:rPr>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-0.30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-0.30</w:t>
            </w:r>
            <w:r>
              <w:rPr>
                <w:rFonts w:ascii="Times New Roman"/>
                <w:sz w:val="18"/>
              </w:rPr>
            </w:r>
          </w:p>
        </w:tc>
      </w:tr>
    </w:tbl>
    <w:p>
      <w:pPr>
        <w:spacing w:line="240" w:lineRule="auto" w:before="2"/>
        <w:rPr>
          <w:rFonts w:ascii="宋体" w:hAnsi="宋体" w:cs="宋体" w:eastAsia="宋体" w:hint="default"/>
          <w:b/>
          <w:bCs/>
          <w:sz w:val="19"/>
          <w:szCs w:val="19"/>
        </w:rPr>
      </w:pPr>
    </w:p>
    <w:p>
      <w:pPr>
        <w:pStyle w:val="Heading4"/>
        <w:spacing w:line="240" w:lineRule="auto" w:before="35"/>
        <w:ind w:right="1360"/>
        <w:jc w:val="left"/>
        <w:rPr>
          <w:b w:val="0"/>
          <w:bCs w:val="0"/>
        </w:rPr>
      </w:pPr>
      <w:bookmarkStart w:name="3、境内外会计准则下会计数据差异" w:id="529"/>
      <w:bookmarkEnd w:id="529"/>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1）同时按照国际会计准则与按中国会计准则披露的财务报告中净利润和净资产差异情况" w:id="530"/>
      <w:bookmarkEnd w:id="530"/>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1360"/>
        <w:jc w:val="left"/>
        <w:rPr>
          <w:b w:val="0"/>
          <w:bCs w:val="0"/>
        </w:rPr>
      </w:pPr>
      <w:bookmarkStart w:name="（2）同时按照境外会计准则与按中国会计准则披露的财务报告中净利润和净资产差异情况" w:id="531"/>
      <w:bookmarkEnd w:id="531"/>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1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59" w:lineRule="auto"/>
        <w:ind w:right="0"/>
        <w:jc w:val="left"/>
        <w:rPr>
          <w:b w:val="0"/>
          <w:bCs w:val="0"/>
        </w:rPr>
      </w:pPr>
      <w:bookmarkStart w:name="（3）境内外会计准则下会计数据差异原因说明，对已经境外审计机构审计的数据进行差异" w:id="532"/>
      <w:bookmarkEnd w:id="532"/>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360"/>
        <w:jc w:val="left"/>
        <w:rPr>
          <w:b w:val="0"/>
          <w:bCs w:val="0"/>
        </w:rPr>
      </w:pPr>
      <w:bookmarkStart w:name="4、其他" w:id="533"/>
      <w:bookmarkEnd w:id="533"/>
      <w:r>
        <w:rPr>
          <w:b w:val="0"/>
          <w:bCs w:val="0"/>
        </w:rPr>
      </w: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4" w:right="1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加权平均净资产收益率的计算过程</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102"/>
        <w:gridCol w:w="3972"/>
        <w:gridCol w:w="1272"/>
        <w:gridCol w:w="2316"/>
      </w:tblGrid>
      <w:tr>
        <w:trPr>
          <w:trHeight w:val="347" w:hRule="exact"/>
        </w:trPr>
        <w:tc>
          <w:tcPr>
            <w:tcW w:w="50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3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348" w:hRule="exact"/>
        </w:trPr>
        <w:tc>
          <w:tcPr>
            <w:tcW w:w="50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 w:right="0"/>
              <w:jc w:val="center"/>
              <w:rPr>
                <w:rFonts w:ascii="Times New Roman" w:hAnsi="Times New Roman" w:cs="Times New Roman" w:eastAsia="Times New Roman" w:hint="default"/>
                <w:sz w:val="18"/>
                <w:szCs w:val="18"/>
              </w:rPr>
            </w:pPr>
            <w:r>
              <w:rPr>
                <w:rFonts w:ascii="Times New Roman"/>
                <w:w w:val="99"/>
                <w:sz w:val="18"/>
              </w:rPr>
              <w:t>A</w:t>
            </w:r>
            <w:r>
              <w:rPr>
                <w:rFonts w:ascii="Times New Roman"/>
                <w:sz w:val="18"/>
              </w:rPr>
            </w:r>
          </w:p>
        </w:tc>
        <w:tc>
          <w:tcPr>
            <w:tcW w:w="23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-229,516,119.48</w:t>
            </w:r>
          </w:p>
        </w:tc>
      </w:tr>
      <w:tr>
        <w:trPr>
          <w:trHeight w:val="347" w:hRule="exact"/>
        </w:trPr>
        <w:tc>
          <w:tcPr>
            <w:tcW w:w="50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6" w:right="0"/>
              <w:jc w:val="center"/>
              <w:rPr>
                <w:rFonts w:ascii="Times New Roman" w:hAnsi="Times New Roman" w:cs="Times New Roman" w:eastAsia="Times New Roman" w:hint="default"/>
                <w:sz w:val="18"/>
                <w:szCs w:val="18"/>
              </w:rPr>
            </w:pPr>
            <w:r>
              <w:rPr>
                <w:rFonts w:ascii="Times New Roman"/>
                <w:sz w:val="18"/>
              </w:rPr>
              <w:t>B</w:t>
            </w:r>
          </w:p>
        </w:tc>
        <w:tc>
          <w:tcPr>
            <w:tcW w:w="23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41,090,913.44</w:t>
            </w:r>
          </w:p>
        </w:tc>
      </w:tr>
      <w:tr>
        <w:trPr>
          <w:trHeight w:val="347" w:hRule="exact"/>
        </w:trPr>
        <w:tc>
          <w:tcPr>
            <w:tcW w:w="50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76" w:right="0"/>
              <w:jc w:val="left"/>
              <w:rPr>
                <w:rFonts w:ascii="Times New Roman" w:hAnsi="Times New Roman" w:cs="Times New Roman" w:eastAsia="Times New Roman" w:hint="default"/>
                <w:sz w:val="18"/>
                <w:szCs w:val="18"/>
              </w:rPr>
            </w:pPr>
            <w:r>
              <w:rPr>
                <w:rFonts w:ascii="Times New Roman"/>
                <w:sz w:val="18"/>
              </w:rPr>
              <w:t>C=A-B</w:t>
            </w:r>
          </w:p>
        </w:tc>
        <w:tc>
          <w:tcPr>
            <w:tcW w:w="23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-270,607,032.92</w:t>
            </w:r>
          </w:p>
        </w:tc>
      </w:tr>
      <w:tr>
        <w:trPr>
          <w:trHeight w:val="347" w:hRule="exact"/>
        </w:trPr>
        <w:tc>
          <w:tcPr>
            <w:tcW w:w="50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 w:right="0"/>
              <w:jc w:val="center"/>
              <w:rPr>
                <w:rFonts w:ascii="Times New Roman" w:hAnsi="Times New Roman" w:cs="Times New Roman" w:eastAsia="Times New Roman" w:hint="default"/>
                <w:sz w:val="18"/>
                <w:szCs w:val="18"/>
              </w:rPr>
            </w:pPr>
            <w:r>
              <w:rPr>
                <w:rFonts w:ascii="Times New Roman"/>
                <w:w w:val="99"/>
                <w:sz w:val="18"/>
              </w:rPr>
              <w:t>D</w:t>
            </w:r>
            <w:r>
              <w:rPr>
                <w:rFonts w:ascii="Times New Roman"/>
                <w:sz w:val="18"/>
              </w:rPr>
            </w:r>
          </w:p>
        </w:tc>
        <w:tc>
          <w:tcPr>
            <w:tcW w:w="23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3,484,851,136.60</w:t>
            </w:r>
          </w:p>
        </w:tc>
      </w:tr>
      <w:tr>
        <w:trPr>
          <w:trHeight w:val="347" w:hRule="exact"/>
        </w:trPr>
        <w:tc>
          <w:tcPr>
            <w:tcW w:w="50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发行新股或债转股等新增的、归属于公司普通股股东的净资产</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 w:right="0"/>
              <w:jc w:val="center"/>
              <w:rPr>
                <w:rFonts w:ascii="Times New Roman" w:hAnsi="Times New Roman" w:cs="Times New Roman" w:eastAsia="Times New Roman" w:hint="default"/>
                <w:sz w:val="18"/>
                <w:szCs w:val="18"/>
              </w:rPr>
            </w:pPr>
            <w:r>
              <w:rPr>
                <w:rFonts w:ascii="Times New Roman"/>
                <w:sz w:val="18"/>
              </w:rPr>
              <w:t>E</w:t>
            </w:r>
          </w:p>
        </w:tc>
        <w:tc>
          <w:tcPr>
            <w:tcW w:w="2316"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50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8" w:right="0"/>
              <w:jc w:val="center"/>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2316"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50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 w:right="0"/>
              <w:jc w:val="center"/>
              <w:rPr>
                <w:rFonts w:ascii="Times New Roman" w:hAnsi="Times New Roman" w:cs="Times New Roman" w:eastAsia="Times New Roman" w:hint="default"/>
                <w:sz w:val="18"/>
                <w:szCs w:val="18"/>
              </w:rPr>
            </w:pPr>
            <w:r>
              <w:rPr>
                <w:rFonts w:ascii="Times New Roman"/>
                <w:w w:val="99"/>
                <w:sz w:val="18"/>
              </w:rPr>
              <w:t>G</w:t>
            </w:r>
            <w:r>
              <w:rPr>
                <w:rFonts w:ascii="Times New Roman"/>
                <w:sz w:val="18"/>
              </w:rPr>
            </w:r>
          </w:p>
        </w:tc>
        <w:tc>
          <w:tcPr>
            <w:tcW w:w="2316"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50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6" w:right="0"/>
              <w:jc w:val="center"/>
              <w:rPr>
                <w:rFonts w:ascii="Times New Roman" w:hAnsi="Times New Roman" w:cs="Times New Roman" w:eastAsia="Times New Roman" w:hint="default"/>
                <w:sz w:val="18"/>
                <w:szCs w:val="18"/>
              </w:rPr>
            </w:pPr>
            <w:r>
              <w:rPr>
                <w:rFonts w:ascii="Times New Roman"/>
                <w:w w:val="99"/>
                <w:sz w:val="18"/>
              </w:rPr>
              <w:t>H</w:t>
            </w:r>
            <w:r>
              <w:rPr>
                <w:rFonts w:ascii="Times New Roman"/>
                <w:sz w:val="18"/>
              </w:rPr>
            </w:r>
          </w:p>
        </w:tc>
        <w:tc>
          <w:tcPr>
            <w:tcW w:w="2316"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102"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外币报表折算差异</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13,840,884.36</w:t>
            </w:r>
          </w:p>
        </w:tc>
        <w:tc>
          <w:tcPr>
            <w:tcW w:w="23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13,840,884.36</w:t>
            </w:r>
          </w:p>
        </w:tc>
      </w:tr>
      <w:tr>
        <w:trPr>
          <w:trHeight w:val="347" w:hRule="exact"/>
        </w:trPr>
        <w:tc>
          <w:tcPr>
            <w:tcW w:w="1102" w:type="dxa"/>
            <w:vMerge/>
            <w:tcBorders>
              <w:left w:val="single" w:sz="6" w:space="0" w:color="000000"/>
              <w:right w:val="single" w:sz="6" w:space="0" w:color="000000"/>
            </w:tcBorders>
          </w:tcPr>
          <w:p>
            <w:pPr/>
          </w:p>
        </w:tc>
        <w:tc>
          <w:tcPr>
            <w:tcW w:w="3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w:t>
            </w:r>
          </w:p>
        </w:tc>
        <w:tc>
          <w:tcPr>
            <w:tcW w:w="23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6</w:t>
            </w:r>
          </w:p>
        </w:tc>
      </w:tr>
      <w:tr>
        <w:trPr>
          <w:trHeight w:val="347" w:hRule="exact"/>
        </w:trPr>
        <w:tc>
          <w:tcPr>
            <w:tcW w:w="1102" w:type="dxa"/>
            <w:vMerge/>
            <w:tcBorders>
              <w:left w:val="single" w:sz="6" w:space="0" w:color="000000"/>
              <w:right w:val="single" w:sz="6" w:space="0" w:color="000000"/>
            </w:tcBorders>
          </w:tcPr>
          <w:p>
            <w:pPr/>
          </w:p>
        </w:tc>
        <w:tc>
          <w:tcPr>
            <w:tcW w:w="3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权益法核算的长期股权投资其他权益变动</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-6,167,311.84</w:t>
            </w:r>
          </w:p>
        </w:tc>
        <w:tc>
          <w:tcPr>
            <w:tcW w:w="23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-6,167,311.84</w:t>
            </w:r>
          </w:p>
        </w:tc>
      </w:tr>
      <w:tr>
        <w:trPr>
          <w:trHeight w:val="348" w:hRule="exact"/>
        </w:trPr>
        <w:tc>
          <w:tcPr>
            <w:tcW w:w="1102" w:type="dxa"/>
            <w:vMerge/>
            <w:tcBorders>
              <w:left w:val="single" w:sz="6" w:space="0" w:color="000000"/>
              <w:bottom w:val="single" w:sz="6" w:space="0" w:color="000000"/>
              <w:right w:val="single" w:sz="6" w:space="0" w:color="000000"/>
            </w:tcBorders>
          </w:tcPr>
          <w:p>
            <w:pPr/>
          </w:p>
        </w:tc>
        <w:tc>
          <w:tcPr>
            <w:tcW w:w="3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w:t>
            </w:r>
          </w:p>
        </w:tc>
        <w:tc>
          <w:tcPr>
            <w:tcW w:w="23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102"/>
        <w:gridCol w:w="3972"/>
        <w:gridCol w:w="1272"/>
        <w:gridCol w:w="2316"/>
      </w:tblGrid>
      <w:tr>
        <w:trPr>
          <w:trHeight w:val="347" w:hRule="exact"/>
        </w:trPr>
        <w:tc>
          <w:tcPr>
            <w:tcW w:w="1102" w:type="dxa"/>
            <w:vMerge w:val="restart"/>
            <w:tcBorders>
              <w:top w:val="single" w:sz="6" w:space="0" w:color="000000"/>
              <w:left w:val="single" w:sz="6" w:space="0" w:color="000000"/>
              <w:right w:val="single" w:sz="6" w:space="0" w:color="000000"/>
            </w:tcBorders>
          </w:tcPr>
          <w:p>
            <w:pPr/>
          </w:p>
        </w:tc>
        <w:tc>
          <w:tcPr>
            <w:tcW w:w="3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权益法核算长期股权投资其他综合收益变化</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-485,696.62</w:t>
            </w:r>
            <w:r>
              <w:rPr>
                <w:rFonts w:ascii="Times New Roman"/>
                <w:sz w:val="18"/>
              </w:rPr>
            </w:r>
          </w:p>
        </w:tc>
        <w:tc>
          <w:tcPr>
            <w:tcW w:w="23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w w:val="95"/>
                <w:sz w:val="18"/>
              </w:rPr>
              <w:t>-485,696.62</w:t>
            </w:r>
            <w:r>
              <w:rPr>
                <w:rFonts w:ascii="Times New Roman"/>
                <w:sz w:val="18"/>
              </w:rPr>
            </w:r>
          </w:p>
        </w:tc>
      </w:tr>
      <w:tr>
        <w:trPr>
          <w:trHeight w:val="347" w:hRule="exact"/>
        </w:trPr>
        <w:tc>
          <w:tcPr>
            <w:tcW w:w="1102" w:type="dxa"/>
            <w:vMerge/>
            <w:tcBorders>
              <w:left w:val="single" w:sz="6" w:space="0" w:color="000000"/>
              <w:right w:val="single" w:sz="6" w:space="0" w:color="000000"/>
            </w:tcBorders>
          </w:tcPr>
          <w:p>
            <w:pPr/>
          </w:p>
        </w:tc>
        <w:tc>
          <w:tcPr>
            <w:tcW w:w="3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w:t>
            </w:r>
          </w:p>
        </w:tc>
        <w:tc>
          <w:tcPr>
            <w:tcW w:w="23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6</w:t>
            </w:r>
          </w:p>
        </w:tc>
      </w:tr>
      <w:tr>
        <w:trPr>
          <w:trHeight w:val="348" w:hRule="exact"/>
        </w:trPr>
        <w:tc>
          <w:tcPr>
            <w:tcW w:w="1102" w:type="dxa"/>
            <w:vMerge/>
            <w:tcBorders>
              <w:left w:val="single" w:sz="6" w:space="0" w:color="000000"/>
              <w:right w:val="single" w:sz="6" w:space="0" w:color="000000"/>
            </w:tcBorders>
          </w:tcPr>
          <w:p>
            <w:pPr/>
          </w:p>
        </w:tc>
        <w:tc>
          <w:tcPr>
            <w:tcW w:w="3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关联方交易形成的资本公积</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28,446,299.63</w:t>
            </w:r>
          </w:p>
        </w:tc>
        <w:tc>
          <w:tcPr>
            <w:tcW w:w="23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28,446,299.63</w:t>
            </w:r>
          </w:p>
        </w:tc>
      </w:tr>
      <w:tr>
        <w:trPr>
          <w:trHeight w:val="347" w:hRule="exact"/>
        </w:trPr>
        <w:tc>
          <w:tcPr>
            <w:tcW w:w="1102" w:type="dxa"/>
            <w:vMerge/>
            <w:tcBorders>
              <w:left w:val="single" w:sz="6" w:space="0" w:color="000000"/>
              <w:right w:val="single" w:sz="6" w:space="0" w:color="000000"/>
            </w:tcBorders>
          </w:tcPr>
          <w:p>
            <w:pPr/>
          </w:p>
        </w:tc>
        <w:tc>
          <w:tcPr>
            <w:tcW w:w="3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11</w:t>
            </w:r>
          </w:p>
        </w:tc>
        <w:tc>
          <w:tcPr>
            <w:tcW w:w="23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z w:val="18"/>
              </w:rPr>
              <w:t>11</w:t>
            </w:r>
          </w:p>
        </w:tc>
      </w:tr>
      <w:tr>
        <w:trPr>
          <w:trHeight w:val="347" w:hRule="exact"/>
        </w:trPr>
        <w:tc>
          <w:tcPr>
            <w:tcW w:w="1102" w:type="dxa"/>
            <w:vMerge/>
            <w:tcBorders>
              <w:left w:val="single" w:sz="6" w:space="0" w:color="000000"/>
              <w:right w:val="single" w:sz="6" w:space="0" w:color="000000"/>
            </w:tcBorders>
          </w:tcPr>
          <w:p>
            <w:pPr/>
          </w:p>
        </w:tc>
        <w:tc>
          <w:tcPr>
            <w:tcW w:w="3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-1,344,701.05</w:t>
            </w:r>
          </w:p>
        </w:tc>
        <w:tc>
          <w:tcPr>
            <w:tcW w:w="23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-1,344,701.05</w:t>
            </w:r>
          </w:p>
        </w:tc>
      </w:tr>
      <w:tr>
        <w:trPr>
          <w:trHeight w:val="347" w:hRule="exact"/>
        </w:trPr>
        <w:tc>
          <w:tcPr>
            <w:tcW w:w="1102" w:type="dxa"/>
            <w:vMerge/>
            <w:tcBorders>
              <w:left w:val="single" w:sz="6" w:space="0" w:color="000000"/>
              <w:right w:val="single" w:sz="6" w:space="0" w:color="000000"/>
            </w:tcBorders>
          </w:tcPr>
          <w:p>
            <w:pPr/>
          </w:p>
        </w:tc>
        <w:tc>
          <w:tcPr>
            <w:tcW w:w="3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w:t>
            </w:r>
          </w:p>
        </w:tc>
        <w:tc>
          <w:tcPr>
            <w:tcW w:w="23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6</w:t>
            </w:r>
          </w:p>
        </w:tc>
      </w:tr>
      <w:tr>
        <w:trPr>
          <w:trHeight w:val="347" w:hRule="exact"/>
        </w:trPr>
        <w:tc>
          <w:tcPr>
            <w:tcW w:w="1102" w:type="dxa"/>
            <w:vMerge/>
            <w:tcBorders>
              <w:left w:val="single" w:sz="6" w:space="0" w:color="000000"/>
              <w:right w:val="single" w:sz="6" w:space="0" w:color="000000"/>
            </w:tcBorders>
          </w:tcPr>
          <w:p>
            <w:pPr/>
          </w:p>
        </w:tc>
        <w:tc>
          <w:tcPr>
            <w:tcW w:w="3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处置日本公司转出的其他综合收益</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-35,149.97</w:t>
            </w:r>
            <w:r>
              <w:rPr>
                <w:rFonts w:ascii="Times New Roman"/>
                <w:sz w:val="18"/>
              </w:rPr>
            </w:r>
          </w:p>
        </w:tc>
        <w:tc>
          <w:tcPr>
            <w:tcW w:w="23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w w:val="95"/>
                <w:sz w:val="18"/>
              </w:rPr>
              <w:t>-35,149.97</w:t>
            </w:r>
            <w:r>
              <w:rPr>
                <w:rFonts w:ascii="Times New Roman"/>
                <w:sz w:val="18"/>
              </w:rPr>
            </w:r>
          </w:p>
        </w:tc>
      </w:tr>
      <w:tr>
        <w:trPr>
          <w:trHeight w:val="347" w:hRule="exact"/>
        </w:trPr>
        <w:tc>
          <w:tcPr>
            <w:tcW w:w="1102" w:type="dxa"/>
            <w:vMerge/>
            <w:tcBorders>
              <w:left w:val="single" w:sz="6" w:space="0" w:color="000000"/>
              <w:right w:val="single" w:sz="6" w:space="0" w:color="000000"/>
            </w:tcBorders>
          </w:tcPr>
          <w:p>
            <w:pPr/>
          </w:p>
        </w:tc>
        <w:tc>
          <w:tcPr>
            <w:tcW w:w="3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w:t>
            </w:r>
          </w:p>
        </w:tc>
        <w:tc>
          <w:tcPr>
            <w:tcW w:w="23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7</w:t>
            </w:r>
          </w:p>
        </w:tc>
      </w:tr>
      <w:tr>
        <w:trPr>
          <w:trHeight w:val="348" w:hRule="exact"/>
        </w:trPr>
        <w:tc>
          <w:tcPr>
            <w:tcW w:w="1102" w:type="dxa"/>
            <w:vMerge/>
            <w:tcBorders>
              <w:left w:val="single" w:sz="6" w:space="0" w:color="000000"/>
              <w:right w:val="single" w:sz="6" w:space="0" w:color="000000"/>
            </w:tcBorders>
          </w:tcPr>
          <w:p>
            <w:pPr/>
          </w:p>
        </w:tc>
        <w:tc>
          <w:tcPr>
            <w:tcW w:w="3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处置</w:t>
            </w:r>
            <w:r>
              <w:rPr>
                <w:rFonts w:ascii="Times New Roman" w:hAnsi="Times New Roman" w:cs="Times New Roman" w:eastAsia="Times New Roman" w:hint="default"/>
                <w:sz w:val="18"/>
                <w:szCs w:val="18"/>
              </w:rPr>
              <w:t>Costume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Craze</w:t>
            </w:r>
            <w:r>
              <w:rPr>
                <w:rFonts w:ascii="宋体" w:hAnsi="宋体" w:cs="宋体" w:eastAsia="宋体" w:hint="default"/>
                <w:sz w:val="18"/>
                <w:szCs w:val="18"/>
              </w:rPr>
              <w:t>转出的其他综合收益</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402,793.71</w:t>
            </w:r>
          </w:p>
        </w:tc>
        <w:tc>
          <w:tcPr>
            <w:tcW w:w="23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402,793.71</w:t>
            </w:r>
          </w:p>
        </w:tc>
      </w:tr>
      <w:tr>
        <w:trPr>
          <w:trHeight w:val="347" w:hRule="exact"/>
        </w:trPr>
        <w:tc>
          <w:tcPr>
            <w:tcW w:w="1102" w:type="dxa"/>
            <w:vMerge/>
            <w:tcBorders>
              <w:left w:val="single" w:sz="6" w:space="0" w:color="000000"/>
              <w:bottom w:val="single" w:sz="6" w:space="0" w:color="000000"/>
              <w:right w:val="single" w:sz="6" w:space="0" w:color="000000"/>
            </w:tcBorders>
          </w:tcPr>
          <w:p>
            <w:pPr/>
          </w:p>
        </w:tc>
        <w:tc>
          <w:tcPr>
            <w:tcW w:w="3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10</w:t>
            </w:r>
          </w:p>
        </w:tc>
        <w:tc>
          <w:tcPr>
            <w:tcW w:w="23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z w:val="18"/>
              </w:rPr>
              <w:t>10</w:t>
            </w:r>
          </w:p>
        </w:tc>
      </w:tr>
      <w:tr>
        <w:trPr>
          <w:trHeight w:val="347" w:hRule="exact"/>
        </w:trPr>
        <w:tc>
          <w:tcPr>
            <w:tcW w:w="50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 w:right="0"/>
              <w:jc w:val="center"/>
              <w:rPr>
                <w:rFonts w:ascii="Times New Roman" w:hAnsi="Times New Roman" w:cs="Times New Roman" w:eastAsia="Times New Roman" w:hint="default"/>
                <w:sz w:val="18"/>
                <w:szCs w:val="18"/>
              </w:rPr>
            </w:pPr>
            <w:r>
              <w:rPr>
                <w:rFonts w:ascii="Times New Roman"/>
                <w:w w:val="99"/>
                <w:sz w:val="18"/>
              </w:rPr>
              <w:t>K</w:t>
            </w:r>
            <w:r>
              <w:rPr>
                <w:rFonts w:ascii="Times New Roman"/>
                <w:sz w:val="18"/>
              </w:rPr>
            </w:r>
          </w:p>
        </w:tc>
        <w:tc>
          <w:tcPr>
            <w:tcW w:w="23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12</w:t>
            </w:r>
          </w:p>
        </w:tc>
      </w:tr>
      <w:tr>
        <w:trPr>
          <w:trHeight w:val="971" w:hRule="exact"/>
        </w:trPr>
        <w:tc>
          <w:tcPr>
            <w:tcW w:w="50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1"/>
              <w:ind w:left="2" w:right="1" w:firstLine="27"/>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 D+A/2+ E×F/K-G×H/K±I</w:t>
            </w:r>
          </w:p>
          <w:p>
            <w:pPr>
              <w:pStyle w:val="TableParagraph"/>
              <w:spacing w:line="240" w:lineRule="auto" w:before="3"/>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×J/K</w:t>
            </w:r>
          </w:p>
        </w:tc>
        <w:tc>
          <w:tcPr>
            <w:tcW w:w="23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3,396,719,511.06</w:t>
            </w:r>
          </w:p>
        </w:tc>
      </w:tr>
      <w:tr>
        <w:trPr>
          <w:trHeight w:val="347" w:hRule="exact"/>
        </w:trPr>
        <w:tc>
          <w:tcPr>
            <w:tcW w:w="50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5" w:right="0"/>
              <w:jc w:val="left"/>
              <w:rPr>
                <w:rFonts w:ascii="Times New Roman" w:hAnsi="Times New Roman" w:cs="Times New Roman" w:eastAsia="Times New Roman" w:hint="default"/>
                <w:sz w:val="18"/>
                <w:szCs w:val="18"/>
              </w:rPr>
            </w:pPr>
            <w:r>
              <w:rPr>
                <w:rFonts w:ascii="Times New Roman"/>
                <w:sz w:val="18"/>
              </w:rPr>
              <w:t>M=A/L</w:t>
            </w:r>
          </w:p>
        </w:tc>
        <w:tc>
          <w:tcPr>
            <w:tcW w:w="23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-6.76%</w:t>
            </w:r>
          </w:p>
        </w:tc>
      </w:tr>
      <w:tr>
        <w:trPr>
          <w:trHeight w:val="348" w:hRule="exact"/>
        </w:trPr>
        <w:tc>
          <w:tcPr>
            <w:tcW w:w="50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6" w:right="0"/>
              <w:jc w:val="left"/>
              <w:rPr>
                <w:rFonts w:ascii="Times New Roman" w:hAnsi="Times New Roman" w:cs="Times New Roman" w:eastAsia="Times New Roman" w:hint="default"/>
                <w:sz w:val="18"/>
                <w:szCs w:val="18"/>
              </w:rPr>
            </w:pPr>
            <w:r>
              <w:rPr>
                <w:rFonts w:ascii="Times New Roman"/>
                <w:sz w:val="18"/>
              </w:rPr>
              <w:t>N=C/L</w:t>
            </w:r>
          </w:p>
        </w:tc>
        <w:tc>
          <w:tcPr>
            <w:tcW w:w="23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-7.97%</w:t>
            </w:r>
          </w:p>
        </w:tc>
      </w:tr>
    </w:tbl>
    <w:p>
      <w:pPr>
        <w:pStyle w:val="BodyText"/>
        <w:spacing w:line="276" w:lineRule="exact"/>
        <w:ind w:left="574" w:right="13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基本每股收益和稀释每股收益的计算过程</w:t>
      </w:r>
    </w:p>
    <w:p>
      <w:pPr>
        <w:pStyle w:val="BodyText"/>
        <w:spacing w:line="240" w:lineRule="auto" w:before="21"/>
        <w:ind w:left="574" w:right="1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基本每股收益的计算过程</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4538"/>
        <w:gridCol w:w="1099"/>
        <w:gridCol w:w="2704"/>
      </w:tblGrid>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A</w:t>
            </w:r>
            <w:r>
              <w:rPr>
                <w:rFonts w:ascii="Times New Roman"/>
                <w:sz w:val="18"/>
              </w:rPr>
            </w:r>
          </w:p>
        </w:tc>
        <w:tc>
          <w:tcPr>
            <w:tcW w:w="2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-229,516,119.48</w:t>
            </w:r>
          </w:p>
        </w:tc>
      </w:tr>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B</w:t>
            </w:r>
          </w:p>
        </w:tc>
        <w:tc>
          <w:tcPr>
            <w:tcW w:w="2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41,090,913.44</w:t>
            </w:r>
          </w:p>
        </w:tc>
      </w:tr>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C=A-B</w:t>
            </w:r>
          </w:p>
        </w:tc>
        <w:tc>
          <w:tcPr>
            <w:tcW w:w="2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-270,607,032.92</w:t>
            </w:r>
          </w:p>
        </w:tc>
      </w:tr>
      <w:tr>
        <w:trPr>
          <w:trHeight w:val="348"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D</w:t>
            </w:r>
            <w:r>
              <w:rPr>
                <w:rFonts w:ascii="Times New Roman"/>
                <w:sz w:val="18"/>
              </w:rPr>
            </w:r>
          </w:p>
        </w:tc>
        <w:tc>
          <w:tcPr>
            <w:tcW w:w="2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909,572,725</w:t>
            </w:r>
          </w:p>
        </w:tc>
      </w:tr>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E</w:t>
            </w:r>
          </w:p>
        </w:tc>
        <w:tc>
          <w:tcPr>
            <w:tcW w:w="2704"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2704"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G</w:t>
            </w:r>
            <w:r>
              <w:rPr>
                <w:rFonts w:ascii="Times New Roman"/>
                <w:sz w:val="18"/>
              </w:rPr>
            </w:r>
          </w:p>
        </w:tc>
        <w:tc>
          <w:tcPr>
            <w:tcW w:w="2704"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H</w:t>
            </w:r>
            <w:r>
              <w:rPr>
                <w:rFonts w:ascii="Times New Roman"/>
                <w:sz w:val="18"/>
              </w:rPr>
            </w:r>
          </w:p>
        </w:tc>
        <w:tc>
          <w:tcPr>
            <w:tcW w:w="2704"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I</w:t>
            </w:r>
            <w:r>
              <w:rPr>
                <w:rFonts w:ascii="Times New Roman"/>
                <w:sz w:val="18"/>
              </w:rPr>
            </w:r>
          </w:p>
        </w:tc>
        <w:tc>
          <w:tcPr>
            <w:tcW w:w="2704"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w w:val="99"/>
                <w:sz w:val="18"/>
              </w:rPr>
              <w:t>J</w:t>
            </w:r>
            <w:r>
              <w:rPr>
                <w:rFonts w:ascii="Times New Roman"/>
                <w:sz w:val="18"/>
              </w:rPr>
            </w:r>
          </w:p>
        </w:tc>
        <w:tc>
          <w:tcPr>
            <w:tcW w:w="2704"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K</w:t>
            </w:r>
            <w:r>
              <w:rPr>
                <w:rFonts w:ascii="Times New Roman"/>
                <w:sz w:val="18"/>
              </w:rPr>
            </w:r>
          </w:p>
        </w:tc>
        <w:tc>
          <w:tcPr>
            <w:tcW w:w="2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z w:val="18"/>
              </w:rPr>
              <w:t>12</w:t>
            </w:r>
          </w:p>
        </w:tc>
      </w:tr>
      <w:tr>
        <w:trPr>
          <w:trHeight w:val="659"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1"/>
              <w:ind w:left="146" w:right="22" w:hanging="1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L=D+E+F×G/</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K-H×I/K-J</w:t>
            </w:r>
          </w:p>
        </w:tc>
        <w:tc>
          <w:tcPr>
            <w:tcW w:w="2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909,572,725</w:t>
            </w:r>
          </w:p>
        </w:tc>
      </w:tr>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M=A/L</w:t>
            </w:r>
          </w:p>
        </w:tc>
        <w:tc>
          <w:tcPr>
            <w:tcW w:w="2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w w:val="95"/>
                <w:sz w:val="18"/>
              </w:rPr>
              <w:t>-0.25</w:t>
            </w:r>
            <w:r>
              <w:rPr>
                <w:rFonts w:ascii="Times New Roman"/>
                <w:sz w:val="18"/>
              </w:rPr>
            </w:r>
          </w:p>
        </w:tc>
      </w:tr>
      <w:tr>
        <w:trPr>
          <w:trHeight w:val="348"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N=C/L</w:t>
            </w:r>
          </w:p>
        </w:tc>
        <w:tc>
          <w:tcPr>
            <w:tcW w:w="2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w w:val="95"/>
                <w:sz w:val="18"/>
              </w:rPr>
              <w:t>-0.30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1360"/>
        <w:jc w:val="left"/>
        <w:rPr>
          <w:b w:val="0"/>
          <w:bCs w:val="0"/>
        </w:rPr>
      </w:pPr>
      <w:bookmarkStart w:name="第十二节 备查文件目录" w:id="534"/>
      <w:bookmarkEnd w:id="534"/>
      <w:r>
        <w:rPr>
          <w:b w:val="0"/>
          <w:bCs w:val="0"/>
        </w:rPr>
      </w:r>
      <w:bookmarkStart w:name="_bookmark11" w:id="535"/>
      <w:bookmarkEnd w:id="535"/>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spacing w:line="314" w:lineRule="auto" w:before="0"/>
        <w:ind w:left="154" w:right="3372" w:firstLine="0"/>
        <w:jc w:val="left"/>
        <w:rPr>
          <w:rFonts w:ascii="宋体" w:hAnsi="宋体" w:cs="宋体" w:eastAsia="宋体" w:hint="default"/>
          <w:sz w:val="18"/>
          <w:szCs w:val="18"/>
        </w:rPr>
      </w:pPr>
      <w:r>
        <w:rPr>
          <w:rFonts w:ascii="宋体" w:hAnsi="宋体" w:cs="宋体" w:eastAsia="宋体" w:hint="default"/>
          <w:sz w:val="18"/>
          <w:szCs w:val="18"/>
        </w:rPr>
        <w:t>一、载有公司法定代表人签名的</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年度报告及摘要原件； 二、载有公司法定代表人、主管会计工作负责人、会计机构负责人签名并盖章的财务报告； 三、载有会计师事务所盖章、注册会计师签名并盖章的审计报告原件； 四、报告期内在中国证监会指定信息披露载体上公开披露过的所有公司文件正本及公告原稿； 五、以上备查文件备置地点：公司董事会办公室。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4"/>
          <w:szCs w:val="24"/>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美盛文化创意股份有限公司董事会</w:t>
      </w:r>
    </w:p>
    <w:p>
      <w:pPr>
        <w:spacing w:before="76"/>
        <w:ind w:left="0" w:right="1130" w:firstLine="0"/>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91384" type="#_x0000_t75" stroked="false">
          <v:imagedata r:id="rId1" o:title=""/>
        </v:shape>
      </w:pict>
    </w:r>
    <w:r>
      <w:rPr/>
      <w:pict>
        <v:shape style="position:absolute;margin-left:533.179993pt;margin-top:795.517944pt;width:6.5pt;height:11pt;mso-position-horizontal-relative:page;mso-position-vertical-relative:page;z-index:-9913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91336" type="#_x0000_t75" stroked="false">
          <v:imagedata r:id="rId1" o:title=""/>
        </v:shape>
      </w:pict>
    </w:r>
    <w:r>
      <w:rPr/>
      <w:pict>
        <v:shape style="position:absolute;margin-left:527.679993pt;margin-top:781.957947pt;width:13pt;height:11pt;mso-position-horizontal-relative:page;mso-position-vertical-relative:page;z-index:-991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91288" type="#_x0000_t75" stroked="false">
          <v:imagedata r:id="rId1" o:title=""/>
        </v:shape>
      </w:pict>
    </w:r>
    <w:r>
      <w:rPr/>
      <w:pict>
        <v:shape style="position:absolute;margin-left:524.179993pt;margin-top:781.957947pt;width:15.5pt;height:11pt;mso-position-horizontal-relative:page;mso-position-vertical-relative:page;z-index:-9912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91240" type="#_x0000_t75" stroked="false">
          <v:imagedata r:id="rId1" o:title=""/>
        </v:shape>
      </w:pict>
    </w:r>
    <w:r>
      <w:rPr/>
      <w:pict>
        <v:shape style="position:absolute;margin-left:523.179993pt;margin-top:781.957947pt;width:17.5pt;height:11pt;mso-position-horizontal-relative:page;mso-position-vertical-relative:page;z-index:-991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9914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美盛文化创意股份有限公司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61"/>
      <w:ind w:left="154"/>
    </w:pPr>
    <w:rPr>
      <w:rFonts w:ascii="宋体" w:hAnsi="宋体" w:eastAsia="宋体"/>
      <w:sz w:val="21"/>
      <w:szCs w:val="21"/>
    </w:rPr>
  </w:style>
  <w:style w:styleId="BodyText" w:type="paragraph">
    <w:name w:val="Body Text"/>
    <w:basedOn w:val="Normal"/>
    <w:uiPriority w:val="1"/>
    <w:qFormat/>
    <w:pPr>
      <w:ind w:left="154"/>
    </w:pPr>
    <w:rPr>
      <w:rFonts w:ascii="宋体" w:hAnsi="宋体" w:eastAsia="宋体"/>
      <w:sz w:val="21"/>
      <w:szCs w:val="21"/>
    </w:rPr>
  </w:style>
  <w:style w:styleId="Heading1" w:type="paragraph">
    <w:name w:val="Heading 1"/>
    <w:basedOn w:val="Normal"/>
    <w:uiPriority w:val="1"/>
    <w:qFormat/>
    <w:pPr>
      <w:spacing w:before="1"/>
      <w:ind w:left="2786"/>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firstLine="420"/>
      <w:outlineLvl w:val="3"/>
    </w:pPr>
    <w:rPr>
      <w:rFonts w:ascii="宋体" w:hAnsi="宋体" w:eastAsia="宋体"/>
      <w:i/>
      <w:sz w:val="22"/>
      <w:szCs w:val="22"/>
    </w:rPr>
  </w:style>
  <w:style w:styleId="Heading4" w:type="paragraph">
    <w:name w:val="Heading 4"/>
    <w:basedOn w:val="Normal"/>
    <w:uiPriority w:val="1"/>
    <w:qFormat/>
    <w:pPr>
      <w:ind w:left="154"/>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chinarising.com.cn/" TargetMode="External"/><Relationship Id="rId10" Type="http://schemas.openxmlformats.org/officeDocument/2006/relationships/hyperlink" Target="mailto:Office@chianrising.com.cn" TargetMode="External"/><Relationship Id="rId11" Type="http://schemas.openxmlformats.org/officeDocument/2006/relationships/hyperlink" Target="mailto:office@chinarising.com.cn" TargetMode="External"/><Relationship Id="rId12" Type="http://schemas.openxmlformats.org/officeDocument/2006/relationships/hyperlink" Target="http://www.cninfo.com.cn/" TargetMode="External"/><Relationship Id="rId13" Type="http://schemas.openxmlformats.org/officeDocument/2006/relationships/hyperlink" Target="http://www.uwowo.com/" TargetMode="External"/><Relationship Id="rId14" Type="http://schemas.openxmlformats.org/officeDocument/2006/relationships/hyperlink" Target="http://www.kumi.cn/" TargetMode="External"/><Relationship Id="rId15" Type="http://schemas.openxmlformats.org/officeDocument/2006/relationships/image" Target="media/image3.jpeg"/><Relationship Id="rId16" Type="http://schemas.openxmlformats.org/officeDocument/2006/relationships/footer" Target="footer3.xml"/><Relationship Id="rId17"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美盛文化创意股份有限公司</dc:creator>
  <dc:title>美盛文化创意股份有限公司2018年年度报告全文</dc:title>
  <dcterms:created xsi:type="dcterms:W3CDTF">2020-05-05T05:37:27Z</dcterms:created>
  <dcterms:modified xsi:type="dcterms:W3CDTF">2020-05-05T05:37:27Z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2019-05-09T00:00:00Z</vt:filetime>
  </property>
  <property fmtid="{D5CDD505-2E9C-101B-9397-08002B2CF9AE}" pid="3" name="Creator">
    <vt:lpwstr>Microsoft® Office Word 2007</vt:lpwstr>
  </property>
  <property fmtid="{D5CDD505-2E9C-101B-9397-08002B2CF9AE}" pid="4" name="LastSaved">
    <vt:filetime>2020-05-04T00:00:00Z</vt:filetime>
  </property>
</Properties>
</file>