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488" w:right="1456" w:firstLine="0"/>
        <w:jc w:val="center"/>
        <w:rPr>
          <w:rFonts w:ascii="宋体" w:hAnsi="宋体" w:cs="宋体" w:eastAsia="宋体" w:hint="default"/>
          <w:sz w:val="36"/>
          <w:szCs w:val="36"/>
        </w:rPr>
      </w:pPr>
      <w:r>
        <w:rPr/>
        <w:pict>
          <v:group style="position:absolute;margin-left:55.575001pt;margin-top:-84.151588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z w:val="36"/>
          <w:szCs w:val="36"/>
        </w:rPr>
        <w:t>美盛文化创意股份有限公司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488" w:right="1455"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488" w:right="1455"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_TOC_250012" w:id="1"/>
      <w:bookmarkStart w:name="第一节重要提示、目录和释义" w:id="2"/>
      <w:r>
        <w:rPr>
          <w:b w:val="0"/>
          <w:bCs w:val="0"/>
        </w:rPr>
      </w:r>
      <w:r>
        <w:rPr>
          <w:spacing w:val="6"/>
        </w:rPr>
        <w:t>第一节重要提示、目录和释义</w:t>
      </w:r>
      <w:bookmarkEnd w:id="1"/>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公司负责人袁贤苗、主管会计工作负责人石军龙及会计机构负责人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石军龙声明：保证年度报告中财务报告的真实、准确、完整。</w:t>
      </w:r>
      <w:r>
        <w:rPr>
          <w:rFonts w:ascii="宋体" w:hAnsi="宋体" w:cs="宋体" w:eastAsia="宋体" w:hint="default"/>
          <w:spacing w:val="-4"/>
          <w:sz w:val="28"/>
          <w:szCs w:val="28"/>
        </w:rPr>
      </w:r>
    </w:p>
    <w:p>
      <w:pPr>
        <w:spacing w:line="472" w:lineRule="auto"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可能存在文化产业政策变化，文创产业发展不及预期，资源整合及内控管</w:t>
      </w:r>
      <w:r>
        <w:rPr>
          <w:rFonts w:ascii="宋体" w:hAnsi="宋体" w:cs="宋体" w:eastAsia="宋体" w:hint="default"/>
          <w:spacing w:val="-1"/>
          <w:sz w:val="28"/>
          <w:szCs w:val="28"/>
        </w:rPr>
      </w:r>
    </w:p>
    <w:p>
      <w:pPr>
        <w:spacing w:line="412" w:lineRule="auto" w:before="0"/>
        <w:ind w:left="141" w:right="0" w:firstLine="0"/>
        <w:jc w:val="left"/>
        <w:rPr>
          <w:rFonts w:ascii="宋体" w:hAnsi="宋体" w:cs="宋体" w:eastAsia="宋体" w:hint="default"/>
          <w:sz w:val="28"/>
          <w:szCs w:val="28"/>
        </w:rPr>
      </w:pPr>
      <w:r>
        <w:rPr>
          <w:rFonts w:ascii="宋体" w:hAnsi="宋体" w:cs="宋体" w:eastAsia="宋体" w:hint="default"/>
          <w:b/>
          <w:bCs/>
          <w:spacing w:val="-1"/>
          <w:sz w:val="28"/>
          <w:szCs w:val="28"/>
        </w:rPr>
        <w:t>理不够完善，国际需求下降，市场需求变化，行业竞争加剧，出口退税政策变</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化，汇率波动等风险。</w:t>
      </w:r>
      <w:r>
        <w:rPr>
          <w:rFonts w:ascii="宋体" w:hAnsi="宋体" w:cs="宋体" w:eastAsia="宋体" w:hint="default"/>
          <w:spacing w:val="-4"/>
          <w:sz w:val="28"/>
          <w:szCs w:val="28"/>
        </w:rPr>
      </w:r>
    </w:p>
    <w:p>
      <w:pPr>
        <w:spacing w:before="152"/>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公司计划不派发现金红利，不送红股，不以公积金转增股本。</w:t>
      </w:r>
      <w:r>
        <w:rPr>
          <w:rFonts w:ascii="宋体" w:hAnsi="宋体" w:cs="宋体" w:eastAsia="宋体" w:hint="default"/>
          <w:spacing w:val="-4"/>
          <w:sz w:val="28"/>
          <w:szCs w:val="28"/>
        </w:rPr>
      </w:r>
    </w:p>
    <w:p>
      <w:pPr>
        <w:spacing w:after="0"/>
        <w:jc w:val="left"/>
        <w:rPr>
          <w:rFonts w:ascii="宋体" w:hAnsi="宋体" w:cs="宋体" w:eastAsia="宋体" w:hint="default"/>
          <w:sz w:val="28"/>
          <w:szCs w:val="28"/>
        </w:rPr>
        <w:sectPr>
          <w:footerReference w:type="default" r:id="rId7"/>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488" w:right="14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6"/>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11">
            <w:r>
              <w:rPr/>
              <w:t>第二节</w:t>
            </w:r>
            <w:r>
              <w:rPr>
                <w:spacing w:val="-16"/>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7"/>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TOC_250009">
            <w:r>
              <w:rPr/>
              <w:t>第四节</w:t>
            </w:r>
            <w:r>
              <w:rPr>
                <w:spacing w:val="-16"/>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7"/>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6"/>
              </w:rPr>
              <w:t> </w:t>
            </w:r>
            <w:r>
              <w:rPr/>
              <w:t>股份变动及股东情况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6">
            <w:r>
              <w:rPr/>
              <w:t>第七节</w:t>
            </w:r>
            <w:r>
              <w:rPr>
                <w:spacing w:val="-17"/>
              </w:rPr>
              <w:t> </w:t>
            </w:r>
            <w:r>
              <w:rPr>
                <w:spacing w:val="2"/>
              </w:rPr>
              <w:t>优先股相关情况</w:t>
            </w:r>
            <w:r>
              <w:rPr>
                <w:rFonts w:ascii="Times New Roman" w:hAnsi="Times New Roman" w:cs="Times New Roman" w:eastAsia="Times New Roman" w:hint="default"/>
                <w:spacing w:val="2"/>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6"/>
              </w:rPr>
              <w:t> </w:t>
            </w:r>
            <w:r>
              <w:rPr/>
              <w:t>可转换公司债券相关情况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7"/>
              </w:rPr>
              <w:t> </w:t>
            </w:r>
            <w:r>
              <w:rPr/>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7"/>
              </w:rPr>
              <w:t> </w:t>
            </w:r>
            <w:r>
              <w:rPr/>
              <w:t>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2"/>
            <w:ind w:right="0"/>
            <w:jc w:val="left"/>
            <w:rPr>
              <w:rFonts w:ascii="Times New Roman" w:hAnsi="Times New Roman" w:cs="Times New Roman" w:eastAsia="Times New Roman" w:hint="default"/>
              <w:b w:val="0"/>
              <w:bCs w:val="0"/>
            </w:rPr>
          </w:pPr>
          <w:hyperlink w:history="true" w:anchor="_TOC_250002">
            <w:r>
              <w:rPr/>
              <w:t>第十一节</w:t>
            </w:r>
            <w:r>
              <w:rPr>
                <w:spacing w:val="-16"/>
              </w:rPr>
              <w:t> </w:t>
            </w:r>
            <w:r>
              <w:rPr/>
              <w:t>公司债券相关情况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7"/>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31" w:footer="981" w:top="1040" w:bottom="1180" w:left="1000" w:right="0"/>
        </w:sectPr>
      </w:pPr>
    </w:p>
    <w:p>
      <w:pPr>
        <w:spacing w:before="953"/>
        <w:ind w:left="488" w:right="1442"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美盛控股集团有限公司，公司控股股东</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杭州美盛动漫有限公司，公司全资子公司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香港美盛文化有限公司，公司全资子公司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杭州美盛游戏技术开发有限公司，公司全资子公司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杭州星梦工坊文化创意有限公司，公司控股子公司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天津酷米网络科技有限责任公司，公司控股子公司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杭州美盛二次元文化发展有限公司，公司全资子公司</w:t>
            </w:r>
          </w:p>
        </w:tc>
      </w:tr>
      <w:tr>
        <w:trPr>
          <w:trHeight w:val="158" w:hRule="exact"/>
        </w:trPr>
        <w:tc>
          <w:tcPr>
            <w:tcW w:w="3545"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88" w:lineRule="auto" w:before="45"/>
              <w:ind w:left="30"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w:t>
            </w:r>
            <w:r>
              <w:rPr>
                <w:rFonts w:ascii="Times New Roman" w:hAnsi="Times New Roman" w:cs="Times New Roman" w:eastAsia="Times New Roman" w:hint="default"/>
                <w:spacing w:val="-3"/>
                <w:sz w:val="18"/>
                <w:szCs w:val="18"/>
              </w:rPr>
              <w:t>en </w:t>
            </w:r>
            <w:r>
              <w:rPr>
                <w:rFonts w:ascii="Times New Roman" w:hAnsi="Times New Roman" w:cs="Times New Roman" w:eastAsia="Times New Roman" w:hint="default"/>
                <w:sz w:val="18"/>
                <w:szCs w:val="18"/>
              </w:rPr>
              <w:t>Handelsmij Scheepers</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B.V.</w:t>
            </w:r>
            <w:r>
              <w:rPr>
                <w:rFonts w:ascii="宋体" w:hAnsi="宋体" w:cs="宋体" w:eastAsia="宋体" w:hint="default"/>
                <w:spacing w:val="-3"/>
                <w:sz w:val="18"/>
                <w:szCs w:val="18"/>
              </w:rPr>
              <w:t>，公司全资子公司香港美盛的</w:t>
            </w:r>
            <w:r>
              <w:rPr>
                <w:rFonts w:ascii="宋体" w:hAnsi="宋体" w:cs="宋体" w:eastAsia="宋体" w:hint="default"/>
                <w:sz w:val="18"/>
                <w:szCs w:val="18"/>
              </w:rPr>
              <w:t> 控股子公司</w:t>
            </w:r>
          </w:p>
        </w:tc>
      </w:tr>
      <w:tr>
        <w:trPr>
          <w:trHeight w:val="390" w:hRule="exact"/>
        </w:trPr>
        <w:tc>
          <w:tcPr>
            <w:tcW w:w="3545" w:type="dxa"/>
            <w:vMerge/>
            <w:tcBorders>
              <w:left w:val="single" w:sz="6" w:space="0" w:color="000000"/>
              <w:right w:val="single" w:sz="12"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45" w:type="dxa"/>
            <w:vMerge/>
            <w:tcBorders>
              <w:left w:val="single" w:sz="6" w:space="0" w:color="000000"/>
              <w:bottom w:val="single" w:sz="6" w:space="0" w:color="000000"/>
              <w:right w:val="single" w:sz="12"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58"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3"/>
                <w:sz w:val="18"/>
              </w:rPr>
              <w:t>JAKKS</w:t>
            </w:r>
            <w:r>
              <w:rPr>
                <w:rFonts w:ascii="Times New Roman"/>
                <w:spacing w:val="-7"/>
                <w:sz w:val="18"/>
              </w:rPr>
              <w:t> </w:t>
            </w:r>
            <w:r>
              <w:rPr>
                <w:rFonts w:ascii="Times New Roman"/>
                <w:spacing w:val="-3"/>
                <w:sz w:val="18"/>
              </w:rPr>
              <w:t>PACIFIC</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0" w:lineRule="auto" w:before="59"/>
              <w:ind w:left="30" w:right="97"/>
              <w:jc w:val="left"/>
              <w:rPr>
                <w:rFonts w:ascii="宋体" w:hAnsi="宋体" w:cs="宋体" w:eastAsia="宋体" w:hint="default"/>
                <w:sz w:val="18"/>
                <w:szCs w:val="18"/>
              </w:rPr>
            </w:pPr>
            <w:r>
              <w:rPr>
                <w:rFonts w:ascii="宋体" w:hAnsi="宋体" w:cs="宋体" w:eastAsia="宋体" w:hint="default"/>
                <w:sz w:val="18"/>
                <w:szCs w:val="18"/>
              </w:rPr>
              <w:t>杰克仕太平洋贸易有限公司，英文名称 </w:t>
            </w:r>
            <w:r>
              <w:rPr>
                <w:rFonts w:ascii="Times New Roman" w:hAnsi="Times New Roman" w:cs="Times New Roman" w:eastAsia="Times New Roman" w:hint="default"/>
                <w:spacing w:val="3"/>
                <w:sz w:val="18"/>
                <w:szCs w:val="18"/>
              </w:rPr>
              <w:t>JAKKS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，公司全资子公司香港美盛的参股公司</w:t>
            </w:r>
          </w:p>
        </w:tc>
      </w:tr>
      <w:tr>
        <w:trPr>
          <w:trHeight w:val="391"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7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广州创幻数码科技有限公司，公司参股子公司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北京微媒互动科技有限公司，公司参股子公司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创新工场</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北京创新工场创业投资中心（有限合伙）</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  </w:t>
            </w:r>
            <w:r>
              <w:rPr>
                <w:rFonts w:ascii="宋体" w:hAnsi="宋体" w:cs="宋体" w:eastAsia="宋体" w:hint="default"/>
                <w:sz w:val="18"/>
                <w:szCs w:val="18"/>
              </w:rPr>
              <w:t>夜</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杭州业盛实业有限公司，公司全资子公司美盛爱彼控股子公司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同道大叔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深圳市同道大叔文化传播有限公司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触手</w:t>
            </w:r>
            <w:r>
              <w:rPr>
                <w:rFonts w:ascii="宋体" w:hAnsi="宋体" w:cs="宋体" w:eastAsia="宋体" w:hint="default"/>
                <w:spacing w:val="-1"/>
                <w:sz w:val="18"/>
                <w:szCs w:val="18"/>
              </w:rPr>
              <w:t> </w:t>
            </w:r>
            <w:r>
              <w:rPr>
                <w:rFonts w:ascii="Times New Roman" w:hAnsi="Times New Roman" w:cs="Times New Roman" w:eastAsia="Times New Roman" w:hint="default"/>
                <w:spacing w:val="10"/>
                <w:sz w:val="18"/>
                <w:szCs w:val="18"/>
              </w:rPr>
              <w:t>TV</w:t>
            </w:r>
            <w:r>
              <w:rPr>
                <w:rFonts w:ascii="Times New Roman" w:hAnsi="Times New Roman" w:cs="Times New Roman" w:eastAsia="Times New Roman" w:hint="default"/>
                <w:sz w:val="18"/>
                <w:szCs w:val="18"/>
              </w:rPr>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杭州开迅科技有限公司，公司参股子公司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白熊阅读</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上海豆萌科技有限公司，公司参股子公司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杭州真趣网络科技有限公司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530"/>
        <w:gridCol w:w="608"/>
        <w:gridCol w:w="5444"/>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保荐人、华林证券</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会计师、大信</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171.229996pt;margin-top:273.25pt;width:363.45pt;height:19.5pt;mso-position-horizontal-relative:page;mso-position-vertical-relative:page;z-index:-1111024"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9"/>
        <w:ind w:left="2709" w:right="0"/>
        <w:jc w:val="left"/>
        <w:rPr>
          <w:b w:val="0"/>
          <w:bCs w:val="0"/>
        </w:rPr>
      </w:pPr>
      <w:bookmarkStart w:name="_TOC_250011" w:id="3"/>
      <w:bookmarkStart w:name="第二节公司简介和主要财务指标" w:id="4"/>
      <w:r>
        <w:rPr>
          <w:b w:val="0"/>
          <w:bCs w:val="0"/>
        </w:rPr>
      </w:r>
      <w:r>
        <w:rPr>
          <w:spacing w:val="5"/>
        </w:rPr>
        <w:t>第二节公司简介和主要财务指标</w:t>
      </w:r>
      <w:bookmarkEnd w:id="3"/>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002699</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Meisheng Cultural &amp; Creative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2"/>
                <w:sz w:val="18"/>
                <w:szCs w:val="18"/>
              </w:rPr>
              <w:t>Corp</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3" w:right="0"/>
              <w:jc w:val="left"/>
              <w:rPr>
                <w:rFonts w:ascii="Times New Roman" w:hAnsi="Times New Roman" w:cs="Times New Roman" w:eastAsia="Times New Roman" w:hint="default"/>
                <w:sz w:val="18"/>
                <w:szCs w:val="18"/>
              </w:rPr>
            </w:pPr>
            <w:r>
              <w:rPr>
                <w:rFonts w:ascii="宋体" w:hAnsi="宋体" w:cs="宋体" w:eastAsia="宋体" w:hint="default"/>
                <w:spacing w:val="-29"/>
                <w:position w:val="1"/>
                <w:sz w:val="18"/>
                <w:szCs w:val="18"/>
              </w:rPr>
              <w:t>）</w:t>
            </w:r>
            <w:r>
              <w:rPr>
                <w:rFonts w:ascii="Times New Roman" w:hAnsi="Times New Roman" w:cs="Times New Roman" w:eastAsia="Times New Roman" w:hint="default"/>
                <w:spacing w:val="-29"/>
                <w:sz w:val="18"/>
                <w:szCs w:val="18"/>
              </w:rPr>
              <w:t>M </w:t>
            </w:r>
            <w:r>
              <w:rPr>
                <w:rFonts w:ascii="Times New Roman" w:hAnsi="Times New Roman" w:cs="Times New Roman" w:eastAsia="Times New Roman" w:hint="default"/>
                <w:sz w:val="18"/>
                <w:szCs w:val="18"/>
              </w:rPr>
              <w:t>eisheng</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Cultural</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袁贤苗</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312500</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312500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8">
              <w:r>
                <w:rPr>
                  <w:rFonts w:ascii="Times New Roman"/>
                  <w:sz w:val="18"/>
                </w:rPr>
                <w:t>www.chinarising.com.cn</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Office@chianrising.com.cn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376.230011pt;margin-top:73.870628pt;width:158.450pt;height:21.05pt;mso-position-horizontal-relative:page;mso-position-vertical-relative:paragraph;z-index:-1111000" coordorigin="7525,1477" coordsize="3169,421">
            <v:group style="position:absolute;left:7540;top:1492;width:2;height:391" coordorigin="7540,1492" coordsize="2,391">
              <v:shape style="position:absolute;left:7540;top:1492;width:2;height:391" coordorigin="7540,1492" coordsize="0,391" path="m7540,1492l7540,1883e" filled="false" stroked="true" strokeweight="1.5pt" strokecolor="#ffffff">
                <v:path arrowok="t"/>
              </v:shape>
            </v:group>
            <v:group style="position:absolute;left:7555;top:1492;width:3139;height:391" coordorigin="7555,1492" coordsize="3139,391">
              <v:shape style="position:absolute;left:7555;top:1492;width:3139;height:391" coordorigin="7555,1492" coordsize="3139,391" path="m7555,1883l10694,1883,10694,1492,7555,1492,7555,1883xe" filled="true" fillcolor="#ffffff" stroked="false">
                <v:path arrowok="t"/>
                <v:fill type="solid"/>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石丹锋</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left="14" w:right="0"/>
              <w:jc w:val="left"/>
              <w:rPr>
                <w:rFonts w:ascii="Times New Roman" w:hAnsi="Times New Roman" w:cs="Times New Roman" w:eastAsia="Times New Roman" w:hint="default"/>
                <w:sz w:val="18"/>
                <w:szCs w:val="18"/>
              </w:rPr>
            </w:pPr>
            <w:r>
              <w:rPr>
                <w:rFonts w:ascii="Times New Roman"/>
                <w:sz w:val="18"/>
              </w:rPr>
              <w:t>0575-86226885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0575-86288588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hyperlink r:id="rId10">
              <w:r>
                <w:rPr>
                  <w:rFonts w:ascii="Times New Roman"/>
                  <w:sz w:val="18"/>
                </w:rPr>
                <w:t>office@chinarising.com.cn</w:t>
              </w:r>
            </w:hyperlink>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6398"/>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913300007384284925</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1504 </w:t>
            </w:r>
            <w:r>
              <w:rPr>
                <w:rFonts w:ascii="宋体" w:hAnsi="宋体" w:cs="宋体" w:eastAsia="宋体" w:hint="default"/>
                <w:sz w:val="18"/>
                <w:szCs w:val="18"/>
              </w:rPr>
              <w:t>室</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郭东星、李嘉宁</w:t>
            </w:r>
          </w:p>
        </w:tc>
      </w:tr>
    </w:tbl>
    <w:p>
      <w:pPr>
        <w:pStyle w:val="BodyText"/>
        <w:spacing w:line="240" w:lineRule="auto"/>
        <w:ind w:right="0"/>
        <w:jc w:val="left"/>
      </w:pPr>
      <w:r>
        <w:rPr/>
        <w:t>公司聘请的报告期内履行持续督导职责的保荐机构</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right="0"/>
        <w:jc w:val="left"/>
      </w:pPr>
      <w:r>
        <w:rPr/>
        <w:t>公司是否需追溯调整或重述以前年度会计数据</w:t>
      </w:r>
    </w:p>
    <w:p>
      <w:pPr>
        <w:pStyle w:val="BodyText"/>
        <w:spacing w:line="343" w:lineRule="auto" w:before="125"/>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追溯调整或重述原因 同一控制下企业合并</w:t>
      </w:r>
    </w:p>
    <w:p>
      <w:pPr>
        <w:spacing w:line="240" w:lineRule="auto" w:before="8"/>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343"/>
        <w:gridCol w:w="1209"/>
        <w:gridCol w:w="1202"/>
        <w:gridCol w:w="1201"/>
        <w:gridCol w:w="1216"/>
        <w:gridCol w:w="1202"/>
        <w:gridCol w:w="1201"/>
      </w:tblGrid>
      <w:tr>
        <w:trPr>
          <w:trHeight w:val="158" w:hRule="exact"/>
        </w:trPr>
        <w:tc>
          <w:tcPr>
            <w:tcW w:w="2343" w:type="dxa"/>
            <w:vMerge w:val="restart"/>
            <w:tcBorders>
              <w:top w:val="single" w:sz="6" w:space="0" w:color="000000"/>
              <w:left w:val="single" w:sz="6" w:space="0" w:color="000000"/>
              <w:right w:val="single" w:sz="6" w:space="0" w:color="000000"/>
            </w:tcBorders>
            <w:shd w:val="clear" w:color="auto" w:fill="D2D2D2"/>
          </w:tcPr>
          <w:p>
            <w:pPr/>
          </w:p>
        </w:tc>
        <w:tc>
          <w:tcPr>
            <w:tcW w:w="1209" w:type="dxa"/>
            <w:vMerge w:val="restart"/>
            <w:tcBorders>
              <w:top w:val="single" w:sz="6" w:space="0" w:color="000000"/>
              <w:left w:val="single" w:sz="6" w:space="0" w:color="000000"/>
              <w:right w:val="single" w:sz="6" w:space="0" w:color="000000"/>
            </w:tcBorders>
            <w:shd w:val="clear" w:color="auto" w:fill="D2D2D2"/>
          </w:tcPr>
          <w:p>
            <w:pP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510" w:right="59" w:hanging="451"/>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343"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216" w:type="dxa"/>
            <w:vMerge/>
            <w:tcBorders>
              <w:left w:val="single" w:sz="6" w:space="0" w:color="000000"/>
              <w:right w:val="single" w:sz="6" w:space="0" w:color="000000"/>
            </w:tcBorders>
            <w:shd w:val="clear" w:color="auto" w:fill="D2D2D2"/>
          </w:tcPr>
          <w:p>
            <w:pPr/>
          </w:p>
        </w:tc>
        <w:tc>
          <w:tcPr>
            <w:tcW w:w="2403"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195" w:hRule="exact"/>
        </w:trPr>
        <w:tc>
          <w:tcPr>
            <w:tcW w:w="2343" w:type="dxa"/>
            <w:vMerge w:val="restart"/>
            <w:tcBorders>
              <w:top w:val="nil" w:sz="6" w:space="0" w:color="auto"/>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59"/>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gridSpan w:val="2"/>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right w:val="single" w:sz="6" w:space="0" w:color="000000"/>
            </w:tcBorders>
            <w:shd w:val="clear" w:color="auto" w:fill="D2D2D2"/>
          </w:tcPr>
          <w:p>
            <w:pPr/>
          </w:p>
        </w:tc>
        <w:tc>
          <w:tcPr>
            <w:tcW w:w="2403" w:type="dxa"/>
            <w:gridSpan w:val="2"/>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343"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c>
          <w:tcPr>
            <w:tcW w:w="2403" w:type="dxa"/>
            <w:gridSpan w:val="2"/>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234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7" w:hRule="exact"/>
        </w:trPr>
        <w:tc>
          <w:tcPr>
            <w:tcW w:w="2343"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9"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1,379,754,926.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74</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777,805,656.58</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835,775,647.18</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65.09%</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912,207,963.04</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978,393,027.20</w:t>
            </w:r>
          </w:p>
        </w:tc>
      </w:tr>
      <w:tr>
        <w:trPr>
          <w:trHeight w:val="390" w:hRule="exact"/>
        </w:trPr>
        <w:tc>
          <w:tcPr>
            <w:tcW w:w="234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9"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73" w:hRule="exact"/>
        </w:trPr>
        <w:tc>
          <w:tcPr>
            <w:tcW w:w="2343"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9"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8"/>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37,561,253.38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-229,516,119.4</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-233,913,937.0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190,785,271.54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198,919,372.98</w:t>
            </w:r>
          </w:p>
        </w:tc>
      </w:tr>
      <w:tr>
        <w:trPr>
          <w:trHeight w:val="721"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0"/>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23,333,617.46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-270,607,032.9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-274,251,774.9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76,293,507.99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84,350,851.52</w:t>
            </w:r>
          </w:p>
        </w:tc>
      </w:tr>
      <w:tr>
        <w:trPr>
          <w:trHeight w:val="720"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8"/>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-3,153,862.60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136,570,390.50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148,521,878.98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-102.12%</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200,721,806.97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185,031,359.04</w:t>
            </w:r>
          </w:p>
        </w:tc>
      </w:tr>
      <w:tr>
        <w:trPr>
          <w:trHeight w:val="390"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-0.25</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0.22</w:t>
            </w:r>
          </w:p>
        </w:tc>
      </w:tr>
      <w:tr>
        <w:trPr>
          <w:trHeight w:val="406"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-0.25</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0.22</w:t>
            </w: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-6.76%</w:t>
            </w:r>
          </w:p>
        </w:tc>
        <w:tc>
          <w:tcPr>
            <w:tcW w:w="1216" w:type="dxa"/>
            <w:tcBorders>
              <w:top w:val="single" w:sz="6" w:space="0" w:color="000000"/>
              <w:left w:val="single" w:sz="6" w:space="0" w:color="000000"/>
              <w:bottom w:val="single" w:sz="12"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5.51%</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2.41%</w:t>
            </w:r>
            <w:r>
              <w:rPr>
                <w:rFonts w:ascii="Times New Roman"/>
                <w:sz w:val="18"/>
              </w:rPr>
            </w:r>
          </w:p>
        </w:tc>
      </w:tr>
      <w:tr>
        <w:trPr>
          <w:trHeight w:val="390"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59"/>
              <w:jc w:val="right"/>
              <w:rPr>
                <w:rFonts w:ascii="宋体" w:hAnsi="宋体" w:cs="宋体" w:eastAsia="宋体" w:hint="default"/>
                <w:sz w:val="18"/>
                <w:szCs w:val="18"/>
              </w:rPr>
            </w:pPr>
            <w:r>
              <w:rPr>
                <w:rFonts w:ascii="宋体" w:hAnsi="宋体" w:cs="宋体" w:eastAsia="宋体" w:hint="default"/>
                <w:sz w:val="18"/>
                <w:szCs w:val="18"/>
              </w:rPr>
              <w:t>本年末比上年</w:t>
            </w:r>
          </w:p>
        </w:tc>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351"/>
        <w:gridCol w:w="1201"/>
        <w:gridCol w:w="1202"/>
        <w:gridCol w:w="1201"/>
        <w:gridCol w:w="1216"/>
        <w:gridCol w:w="1202"/>
        <w:gridCol w:w="1201"/>
      </w:tblGrid>
      <w:tr>
        <w:trPr>
          <w:trHeight w:val="360"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7" w:hRule="exact"/>
        </w:trPr>
        <w:tc>
          <w:tcPr>
            <w:tcW w:w="23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3,732,547,084.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4,123,693,522.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49</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3,895,562,544.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51</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-4.18%</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4,587,891,731.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98</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4,646,665,223.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23</w:t>
            </w:r>
          </w:p>
        </w:tc>
      </w:tr>
      <w:tr>
        <w:trPr>
          <w:trHeight w:val="390" w:hRule="exact"/>
        </w:trPr>
        <w:tc>
          <w:tcPr>
            <w:tcW w:w="23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1" w:type="dxa"/>
            <w:vMerge/>
            <w:tcBorders>
              <w:left w:val="single" w:sz="12" w:space="0" w:color="D2D2D2"/>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72" w:hRule="exact"/>
        </w:trPr>
        <w:tc>
          <w:tcPr>
            <w:tcW w:w="23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12" w:space="0" w:color="D2D2D2"/>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06" w:hRule="exact"/>
        </w:trPr>
        <w:tc>
          <w:tcPr>
            <w:tcW w:w="23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3,144,607,676.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3,289,256,847.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3,049,864,975.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3.11%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3,484,851,136.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3,535,308,702.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83</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128,618,342.79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388,676,574.50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491,892,759.53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370,567,249.92</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11,432,201.61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-28,455,752.61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107,744,594.51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-53,159,790.13</w:t>
            </w:r>
            <w:r>
              <w:rPr>
                <w:rFonts w:ascii="Times New Roman"/>
                <w:sz w:val="18"/>
              </w:rPr>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7,659,514.34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-42,050,173.16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100,279,907.73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-43,806,914.46</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-32,100,403.65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-119,990,003.16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w w:val="95"/>
                <w:sz w:val="18"/>
              </w:rPr>
              <w:t>-42,581,378.59</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191,517,922.80</w:t>
            </w:r>
          </w:p>
        </w:tc>
      </w:tr>
    </w:tbl>
    <w:p>
      <w:pPr>
        <w:pStyle w:val="BodyText"/>
        <w:spacing w:line="240" w:lineRule="auto" w:before="45"/>
        <w:ind w:right="0"/>
        <w:jc w:val="left"/>
      </w:pPr>
      <w:r>
        <w:rPr/>
        <w:t>上述财务指标或其加总数是否与公司已披露季度报告、半年度报告相关财务指标存在重大差异</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-1,768,543.72</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10,868,719.32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49,338,885.41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67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10,293,664.77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9,758,069.63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13,324,635.07</w:t>
            </w: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36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3,957,550.00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33,564,979.51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73,189,013.20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-1,733,699.17</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30"/>
              <w:ind w:left="15" w:right="1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7,519,777.26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-1,602,503.04</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6,674,980.75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-1,673,508.09</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93,629.38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824,329.46</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-2,475,317.84</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2,416,239.75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9,716,610.06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28,275,186.62</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-48,634.62</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153,128.96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508,135.81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14,227,635.92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40,337,837.94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114,568,521.46</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88" w:lineRule="auto" w:before="96"/>
        <w:ind w:right="1115"/>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8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0" w:right="0"/>
        <w:jc w:val="left"/>
        <w:rPr>
          <w:b w:val="0"/>
          <w:bCs w:val="0"/>
        </w:rPr>
      </w:pPr>
      <w:bookmarkStart w:name="_TOC_250010" w:id="16"/>
      <w:bookmarkStart w:name="第三节公司业务概要" w:id="17"/>
      <w:r>
        <w:rPr>
          <w:b w:val="0"/>
          <w:bCs w:val="0"/>
        </w:rPr>
      </w:r>
      <w:r>
        <w:rPr>
          <w:spacing w:val="5"/>
        </w:rPr>
        <w:t>第三节公司业务概要</w:t>
      </w:r>
      <w:bookmarkEnd w:id="16"/>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441" w:right="0"/>
        <w:jc w:val="left"/>
      </w:pPr>
      <w:r>
        <w:rPr/>
        <w:t>一、公司的主营业务</w:t>
      </w:r>
    </w:p>
    <w:p>
      <w:pPr>
        <w:pStyle w:val="BodyText"/>
        <w:spacing w:line="436" w:lineRule="exact" w:before="61"/>
        <w:ind w:left="501" w:right="0" w:hanging="60"/>
        <w:jc w:val="left"/>
      </w:pPr>
      <w:r>
        <w:rPr/>
        <w:t>（一）公司的主营业务 </w:t>
      </w:r>
      <w:r>
        <w:rPr>
          <w:spacing w:val="-2"/>
        </w:rPr>
        <w:t>公司紧密围绕文化产业发展，致力于文化产业相关业务。自公司上市以来，在原有动漫衍生品的基础上，公司重点开拓</w:t>
      </w:r>
    </w:p>
    <w:p>
      <w:pPr>
        <w:pStyle w:val="BodyText"/>
        <w:spacing w:line="336" w:lineRule="auto" w:before="2"/>
        <w:ind w:right="1126"/>
        <w:jc w:val="both"/>
      </w:pPr>
      <w:r>
        <w:rPr>
          <w:spacing w:val="-2"/>
        </w:rPr>
        <w:t>上下游业务，完善产业链，在文化产业链包括动漫、游戏、影视、衍生品等上下游进行战略布局，实现转型升级，初步完成</w:t>
      </w:r>
      <w:r>
        <w:rPr>
          <w:spacing w:val="-62"/>
        </w:rPr>
        <w:t> </w:t>
      </w:r>
      <w:r>
        <w:rPr>
          <w:spacing w:val="-62"/>
        </w:rPr>
      </w:r>
      <w:r>
        <w:rPr/>
        <w:t>了</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的文化生态圈的构建。</w:t>
      </w:r>
    </w:p>
    <w:p>
      <w:pPr>
        <w:pStyle w:val="BodyText"/>
        <w:spacing w:line="240" w:lineRule="auto" w:before="91"/>
        <w:ind w:left="501" w:right="0"/>
        <w:jc w:val="left"/>
      </w:pPr>
      <w:r>
        <w:rPr/>
        <w:t>（二）公司的主要产品及其用途</w:t>
      </w:r>
    </w:p>
    <w:p>
      <w:pPr>
        <w:pStyle w:val="BodyText"/>
        <w:spacing w:line="430" w:lineRule="atLeast" w:before="34"/>
        <w:ind w:left="501" w:right="1101"/>
        <w:jc w:val="left"/>
      </w:pPr>
      <w:r>
        <w:rPr/>
        <w:t>公司产品主要包括</w:t>
      </w:r>
      <w:r>
        <w:rPr>
          <w:rFonts w:ascii="Times New Roman" w:hAnsi="Times New Roman" w:cs="Times New Roman" w:eastAsia="Times New Roman" w:hint="default"/>
        </w:rPr>
        <w:t>IP</w:t>
      </w:r>
      <w:r>
        <w:rPr/>
        <w:t>衍生品、动漫、游戏、影视等文化类产品及经营轻游戏服务平台业务等服务。</w:t>
      </w:r>
      <w:r>
        <w:rPr>
          <w:spacing w:val="-85"/>
        </w:rPr>
        <w:t> </w:t>
      </w:r>
      <w:r>
        <w:rPr>
          <w:spacing w:val="-1"/>
        </w:rPr>
        <w:t>公司及子公司的</w:t>
      </w:r>
      <w:r>
        <w:rPr>
          <w:rFonts w:ascii="Times New Roman" w:hAnsi="Times New Roman" w:cs="Times New Roman" w:eastAsia="Times New Roman" w:hint="default"/>
          <w:spacing w:val="-1"/>
        </w:rPr>
        <w:t>IP</w:t>
      </w:r>
      <w:r>
        <w:rPr>
          <w:spacing w:val="-1"/>
        </w:rPr>
        <w:t>衍生产品，主要作为动漫服饰、动漫玩具等作为文化消费品使用。公司的动漫和影视作品主要通过电</w:t>
      </w:r>
    </w:p>
    <w:p>
      <w:pPr>
        <w:pStyle w:val="BodyText"/>
        <w:spacing w:line="321" w:lineRule="auto" w:before="36"/>
        <w:ind w:right="1129"/>
        <w:jc w:val="both"/>
      </w:pPr>
      <w:r>
        <w:rPr>
          <w:spacing w:val="-2"/>
        </w:rPr>
        <w:t>视台和网络渠道面向观众播放；公司的游戏产品主要在国内大型游戏运营平台运营，满足玩家的娱乐消费需求。轻游戏服务</w:t>
      </w:r>
      <w:r>
        <w:rPr>
          <w:spacing w:val="-75"/>
        </w:rPr>
        <w:t> </w:t>
      </w:r>
      <w:r>
        <w:rPr>
          <w:spacing w:val="-75"/>
        </w:rPr>
      </w:r>
      <w:r>
        <w:rPr>
          <w:spacing w:val="-2"/>
        </w:rPr>
        <w:t>平台业务要向游戏开发商和发行商提供游戏推广和变现过程中所必须的计费接入、数据统计及智能分析、智能更新、负载均</w:t>
      </w:r>
      <w:r>
        <w:rPr>
          <w:spacing w:val="-68"/>
        </w:rPr>
        <w:t> </w:t>
      </w:r>
      <w:r>
        <w:rPr>
          <w:spacing w:val="-68"/>
        </w:rPr>
      </w:r>
      <w:r>
        <w:rPr/>
        <w:t>衡及下载加速、数据结算等技术支撑和服务，向移动游戏渠道商提供游戏产品资源整合服务。</w:t>
      </w:r>
    </w:p>
    <w:p>
      <w:pPr>
        <w:pStyle w:val="BodyText"/>
        <w:spacing w:line="240" w:lineRule="auto" w:before="138"/>
        <w:ind w:left="501" w:right="0"/>
        <w:jc w:val="left"/>
      </w:pPr>
      <w:r>
        <w:rPr/>
        <w:t>（三）公司经营模式</w:t>
      </w:r>
    </w:p>
    <w:p>
      <w:pPr>
        <w:spacing w:line="240" w:lineRule="auto" w:before="5"/>
        <w:rPr>
          <w:rFonts w:ascii="宋体" w:hAnsi="宋体" w:cs="宋体" w:eastAsia="宋体" w:hint="default"/>
          <w:sz w:val="16"/>
          <w:szCs w:val="16"/>
        </w:rPr>
      </w:pPr>
    </w:p>
    <w:p>
      <w:pPr>
        <w:pStyle w:val="BodyText"/>
        <w:spacing w:line="292" w:lineRule="auto" w:before="0"/>
        <w:ind w:right="1095" w:firstLine="360"/>
        <w:jc w:val="both"/>
      </w:pPr>
      <w:r>
        <w:rPr>
          <w:spacing w:val="-1"/>
        </w:rPr>
        <w:t>公司的业务发展，是基于文化创意行业产业链和泛娱乐经营模式进行的业务布局。一方面，基于自身优势的</w:t>
      </w:r>
      <w:r>
        <w:rPr>
          <w:rFonts w:ascii="Times New Roman" w:hAnsi="Times New Roman" w:cs="Times New Roman" w:eastAsia="Times New Roman" w:hint="default"/>
          <w:spacing w:val="-1"/>
        </w:rPr>
        <w:t>IP</w:t>
      </w:r>
      <w:r>
        <w:rPr>
          <w:spacing w:val="-1"/>
        </w:rPr>
        <w:t>衍生品和</w:t>
      </w:r>
      <w:r>
        <w:rPr/>
        <w:t> </w:t>
      </w:r>
      <w:r>
        <w:rPr>
          <w:spacing w:val="-3"/>
        </w:rPr>
        <w:t>新媒体业务，向泛娱乐其他业务版块延伸；另一方面，基于完整的泛娱乐生态圈，向产业链源头</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IP</w:t>
      </w:r>
      <w:r>
        <w:rPr>
          <w:spacing w:val="-3"/>
        </w:rPr>
        <w:t>延伸。从而构建起</w:t>
      </w:r>
      <w:r>
        <w:rPr>
          <w:rFonts w:ascii="Times New Roman" w:hAnsi="Times New Roman" w:cs="Times New Roman" w:eastAsia="Times New Roman" w:hint="default"/>
          <w:spacing w:val="-3"/>
        </w:rPr>
        <w:t>“</w:t>
      </w:r>
      <w:r>
        <w:rPr>
          <w:spacing w:val="-3"/>
        </w:rPr>
        <w:t>自</w:t>
      </w:r>
      <w:r>
        <w:rPr>
          <w:spacing w:val="-52"/>
        </w:rPr>
        <w:t> </w:t>
      </w:r>
      <w:r>
        <w:rPr/>
        <w:t>有</w:t>
      </w:r>
      <w:r>
        <w:rPr>
          <w:rFonts w:ascii="Times New Roman" w:hAnsi="Times New Roman" w:cs="Times New Roman" w:eastAsia="Times New Roman" w:hint="default"/>
        </w:rPr>
        <w:t>IP+</w:t>
      </w:r>
      <w:r>
        <w:rPr/>
        <w:t>内容制作（动漫、游戏、电影、儿童剧）</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w:t>
      </w:r>
      <w:r>
        <w:rPr>
          <w:spacing w:val="-23"/>
        </w:rPr>
        <w:t> </w:t>
      </w:r>
      <w:r>
        <w:rPr/>
        <w:t>生态圈。</w:t>
      </w:r>
    </w:p>
    <w:p>
      <w:pPr>
        <w:pStyle w:val="BodyText"/>
        <w:spacing w:line="450" w:lineRule="exact" w:before="10"/>
        <w:ind w:left="501" w:right="0"/>
        <w:jc w:val="left"/>
      </w:pPr>
      <w:r>
        <w:rPr/>
        <w:t>（四）主要的业绩驱动因素 </w:t>
      </w:r>
      <w:r>
        <w:rPr>
          <w:spacing w:val="-2"/>
        </w:rPr>
        <w:t>泛娱乐化时代开启，衍生品经济乘东风。基于互联网与移动互联网的多领域共生，以</w:t>
      </w:r>
      <w:r>
        <w:rPr>
          <w:rFonts w:ascii="Times New Roman" w:hAnsi="Times New Roman" w:cs="Times New Roman" w:eastAsia="Times New Roman" w:hint="default"/>
          <w:spacing w:val="-2"/>
        </w:rPr>
        <w:t>IP</w:t>
      </w:r>
      <w:r>
        <w:rPr>
          <w:spacing w:val="-2"/>
        </w:rPr>
        <w:t>为核心，进行跨领域、跨平台衍</w:t>
      </w:r>
    </w:p>
    <w:p>
      <w:pPr>
        <w:pStyle w:val="BodyText"/>
        <w:spacing w:line="312" w:lineRule="auto" w:before="0"/>
        <w:ind w:right="1100"/>
        <w:jc w:val="both"/>
      </w:pPr>
      <w:r>
        <w:rPr>
          <w:spacing w:val="-2"/>
        </w:rPr>
        <w:t>生的粉丝经济，即泛娱乐化时代到来。目前，包括动漫、游戏、影视、网红、明星等泛娱乐领域多点开花，</w:t>
      </w:r>
      <w:r>
        <w:rPr>
          <w:rFonts w:ascii="Times New Roman" w:hAnsi="Times New Roman" w:cs="Times New Roman" w:eastAsia="Times New Roman" w:hint="default"/>
          <w:spacing w:val="-2"/>
        </w:rPr>
        <w:t>IP</w:t>
      </w:r>
      <w:r>
        <w:rPr>
          <w:spacing w:val="-2"/>
        </w:rPr>
        <w:t>内容产业表现</w:t>
      </w:r>
      <w:r>
        <w:rPr>
          <w:spacing w:val="-45"/>
        </w:rPr>
        <w:t> </w:t>
      </w:r>
      <w:r>
        <w:rPr>
          <w:spacing w:val="-2"/>
        </w:rPr>
        <w:t>出井喷态势，未来也有望保持高速发展态势。以迪士尼为代表的美国市场，是由全产业链运作的大型娱乐集团主导，基于高</w:t>
      </w:r>
      <w:r>
        <w:rPr>
          <w:spacing w:val="-42"/>
        </w:rPr>
        <w:t> </w:t>
      </w:r>
      <w:r>
        <w:rPr>
          <w:spacing w:val="-42"/>
        </w:rPr>
      </w:r>
      <w:r>
        <w:rPr>
          <w:spacing w:val="-1"/>
        </w:rPr>
        <w:t>质量</w:t>
      </w:r>
      <w:r>
        <w:rPr>
          <w:rFonts w:ascii="Times New Roman" w:hAnsi="Times New Roman" w:cs="Times New Roman" w:eastAsia="Times New Roman" w:hint="default"/>
          <w:spacing w:val="-1"/>
        </w:rPr>
        <w:t>IP</w:t>
      </w:r>
      <w:r>
        <w:rPr>
          <w:spacing w:val="-1"/>
        </w:rPr>
        <w:t>的开发运作及成熟的衍生品授权体系。国内市场，</w:t>
      </w:r>
      <w:r>
        <w:rPr>
          <w:rFonts w:ascii="Times New Roman" w:hAnsi="Times New Roman" w:cs="Times New Roman" w:eastAsia="Times New Roman" w:hint="default"/>
          <w:spacing w:val="-1"/>
        </w:rPr>
        <w:t>IP</w:t>
      </w:r>
      <w:r>
        <w:rPr>
          <w:spacing w:val="-1"/>
        </w:rPr>
        <w:t>内容市场火爆的同时，变现端渠道相对有限，衍生品、游戏、影</w:t>
      </w:r>
    </w:p>
    <w:p>
      <w:pPr>
        <w:pStyle w:val="BodyText"/>
        <w:spacing w:line="405" w:lineRule="auto" w:before="6"/>
        <w:ind w:left="501" w:right="5189" w:hanging="361"/>
        <w:jc w:val="left"/>
      </w:pPr>
      <w:r>
        <w:rPr/>
        <w:t>视、动漫等作为</w:t>
      </w:r>
      <w:r>
        <w:rPr>
          <w:rFonts w:ascii="Times New Roman" w:hAnsi="Times New Roman" w:cs="Times New Roman" w:eastAsia="Times New Roman" w:hint="default"/>
        </w:rPr>
        <w:t>IP</w:t>
      </w:r>
      <w:r>
        <w:rPr/>
        <w:t>变现中非常重要的环节，在我国具备较大提升空间。</w:t>
      </w:r>
      <w:r>
        <w:rPr>
          <w:spacing w:val="-86"/>
        </w:rPr>
        <w:t> </w:t>
      </w:r>
      <w:r>
        <w:rPr/>
        <w:t>二、公司所属行业发展阶段、周期性特点及公司所处行业地位</w:t>
      </w:r>
    </w:p>
    <w:p>
      <w:pPr>
        <w:pStyle w:val="BodyText"/>
        <w:spacing w:line="221" w:lineRule="exact" w:before="0"/>
        <w:ind w:right="0" w:firstLine="225"/>
        <w:jc w:val="left"/>
      </w:pPr>
      <w:r>
        <w:rPr/>
        <w:t>近年来，国内外文化产业发展迅速，市场规模不断扩大，对经济增长和增加就业的贡献不断增强，已成为许多经济体的</w:t>
      </w:r>
    </w:p>
    <w:p>
      <w:pPr>
        <w:pStyle w:val="BodyText"/>
        <w:spacing w:line="316" w:lineRule="auto" w:before="80"/>
        <w:ind w:right="1097"/>
        <w:jc w:val="both"/>
      </w:pPr>
      <w:r>
        <w:rPr>
          <w:spacing w:val="-2"/>
        </w:rPr>
        <w:t>支柱产业之一。随着居民消费结构升级，发达国家文化消费支出不断增加，这是发达国家发展进程中的共同规律。目前，世</w:t>
      </w:r>
      <w:r>
        <w:rPr>
          <w:spacing w:val="-57"/>
        </w:rPr>
        <w:t> </w:t>
      </w:r>
      <w:r>
        <w:rPr>
          <w:spacing w:val="-57"/>
        </w:rPr>
      </w:r>
      <w:r>
        <w:rPr>
          <w:spacing w:val="-2"/>
        </w:rPr>
        <w:t>界主要经济体文化产业发展速度普遍高于经济发展速度，文化产业发展动力极为强劲。我国拥有巨大的、快速扩张的国内市</w:t>
      </w:r>
      <w:r>
        <w:rPr>
          <w:spacing w:val="-75"/>
        </w:rPr>
        <w:t> </w:t>
      </w:r>
      <w:r>
        <w:rPr>
          <w:spacing w:val="-75"/>
        </w:rPr>
      </w:r>
      <w:r>
        <w:rPr>
          <w:spacing w:val="-2"/>
        </w:rPr>
        <w:t>场等优势，且政府正逐步将文化产业由政府主导转向市场主导，我国的文化产业发展拥有巨大的可挖掘潜力。目前公司正处</w:t>
      </w:r>
      <w:r>
        <w:rPr>
          <w:spacing w:val="-75"/>
        </w:rPr>
        <w:t> </w:t>
      </w:r>
      <w:r>
        <w:rPr>
          <w:spacing w:val="-75"/>
        </w:rPr>
      </w:r>
      <w:r>
        <w:rPr/>
        <w:t>于一个产业整合的阶段，向泛娱乐其他业务板块延伸，构建</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w:t>
      </w:r>
      <w:r>
        <w:rPr>
          <w:spacing w:val="-71"/>
        </w:rPr>
        <w:t> </w:t>
      </w:r>
      <w:r>
        <w:rPr/>
        <w:t>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的泛娱乐文化生态圈。</w:t>
      </w:r>
    </w:p>
    <w:p>
      <w:pPr>
        <w:spacing w:after="0" w:line="316" w:lineRule="auto"/>
        <w:jc w:val="both"/>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751"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11"/>
        <w:rPr>
          <w:rFonts w:ascii="宋体" w:hAnsi="宋体" w:cs="宋体" w:eastAsia="宋体" w:hint="default"/>
          <w:b/>
          <w:bCs/>
          <w:sz w:val="19"/>
          <w:szCs w:val="19"/>
        </w:rPr>
      </w:pPr>
    </w:p>
    <w:p>
      <w:pPr>
        <w:pStyle w:val="Heading4"/>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pStyle w:val="BodyText"/>
        <w:spacing w:line="430" w:lineRule="atLeast" w:before="132"/>
        <w:ind w:left="501" w:right="1133"/>
        <w:jc w:val="left"/>
      </w:pPr>
      <w:r>
        <w:rPr/>
        <w:t>一、原创内容的核心价值优势 </w:t>
      </w:r>
      <w:r>
        <w:rPr>
          <w:spacing w:val="-2"/>
        </w:rPr>
        <w:t>原创内容作为产业发展和衍生的基础，正在文化传播领域和动漫产业链中占据越来越重要的地位。原创内容的具体表现</w:t>
      </w:r>
    </w:p>
    <w:p>
      <w:pPr>
        <w:pStyle w:val="BodyText"/>
        <w:spacing w:line="297" w:lineRule="auto" w:before="95"/>
        <w:ind w:right="0"/>
        <w:jc w:val="left"/>
      </w:pPr>
      <w:r>
        <w:rPr/>
        <w:t>形式即是</w:t>
      </w:r>
      <w:r>
        <w:rPr>
          <w:rFonts w:ascii="Times New Roman" w:hAnsi="Times New Roman" w:cs="Times New Roman" w:eastAsia="Times New Roman" w:hint="default"/>
        </w:rPr>
        <w:t>IP</w:t>
      </w:r>
      <w:r>
        <w:rPr/>
        <w:t>，其来源主要包括动漫、游戏、影视、文学等原创性资源，通常具有独特的指向性和较高的识别度，易于被喜爱 </w:t>
      </w:r>
      <w:r>
        <w:rPr>
          <w:spacing w:val="-2"/>
        </w:rPr>
        <w:t>的人群所接受。在国内</w:t>
      </w:r>
      <w:r>
        <w:rPr>
          <w:rFonts w:ascii="Times New Roman" w:hAnsi="Times New Roman" w:cs="Times New Roman" w:eastAsia="Times New Roman" w:hint="default"/>
          <w:spacing w:val="-2"/>
        </w:rPr>
        <w:t>IP</w:t>
      </w:r>
      <w:r>
        <w:rPr>
          <w:spacing w:val="-2"/>
        </w:rPr>
        <w:t>市场如此火爆的背景下，公司更加专注于开发和培育优质原创</w:t>
      </w:r>
      <w:r>
        <w:rPr>
          <w:rFonts w:ascii="Times New Roman" w:hAnsi="Times New Roman" w:cs="Times New Roman" w:eastAsia="Times New Roman" w:hint="default"/>
          <w:spacing w:val="-2"/>
        </w:rPr>
        <w:t>IP</w:t>
      </w:r>
      <w:r>
        <w:rPr>
          <w:spacing w:val="-2"/>
        </w:rPr>
        <w:t>，一方面提升公司原创</w:t>
      </w:r>
      <w:r>
        <w:rPr>
          <w:rFonts w:ascii="Times New Roman" w:hAnsi="Times New Roman" w:cs="Times New Roman" w:eastAsia="Times New Roman" w:hint="default"/>
          <w:spacing w:val="-2"/>
        </w:rPr>
        <w:t>IP</w:t>
      </w:r>
      <w:r>
        <w:rPr>
          <w:spacing w:val="-2"/>
        </w:rPr>
        <w:t>的丰富度，</w:t>
      </w:r>
      <w:r>
        <w:rPr>
          <w:spacing w:val="-60"/>
        </w:rPr>
        <w:t> </w:t>
      </w:r>
      <w:r>
        <w:rPr/>
        <w:t>另一方面加强捕捉优质</w:t>
      </w:r>
      <w:r>
        <w:rPr>
          <w:rFonts w:ascii="Times New Roman" w:hAnsi="Times New Roman" w:cs="Times New Roman" w:eastAsia="Times New Roman" w:hint="default"/>
        </w:rPr>
        <w:t>IP</w:t>
      </w:r>
      <w:r>
        <w:rPr/>
        <w:t>的能力。</w:t>
      </w:r>
    </w:p>
    <w:p>
      <w:pPr>
        <w:pStyle w:val="BodyText"/>
        <w:spacing w:line="240" w:lineRule="auto" w:before="138"/>
        <w:ind w:left="501"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、不断丰富原创</w:t>
      </w:r>
      <w:r>
        <w:rPr>
          <w:rFonts w:ascii="Times New Roman" w:hAnsi="Times New Roman" w:cs="Times New Roman" w:eastAsia="Times New Roman" w:hint="default"/>
        </w:rPr>
        <w:t>IP</w:t>
      </w:r>
    </w:p>
    <w:p>
      <w:pPr>
        <w:spacing w:line="240" w:lineRule="auto" w:before="2"/>
        <w:rPr>
          <w:rFonts w:ascii="Times New Roman" w:hAnsi="Times New Roman" w:cs="Times New Roman" w:eastAsia="Times New Roman" w:hint="default"/>
          <w:sz w:val="16"/>
          <w:szCs w:val="16"/>
        </w:rPr>
      </w:pPr>
    </w:p>
    <w:p>
      <w:pPr>
        <w:pStyle w:val="BodyText"/>
        <w:spacing w:line="240" w:lineRule="auto" w:before="0"/>
        <w:ind w:left="501" w:right="0"/>
        <w:jc w:val="left"/>
      </w:pPr>
      <w:r>
        <w:rPr/>
        <w:t>公司目前拥有</w:t>
      </w:r>
      <w:r>
        <w:rPr>
          <w:rFonts w:ascii="Times New Roman" w:hAnsi="Times New Roman" w:cs="Times New Roman" w:eastAsia="Times New Roman" w:hint="default"/>
        </w:rPr>
        <w:t>“</w:t>
      </w:r>
      <w:r>
        <w:rPr/>
        <w:t>同道大叔</w:t>
      </w:r>
      <w:r>
        <w:rPr>
          <w:rFonts w:ascii="Times New Roman" w:hAnsi="Times New Roman" w:cs="Times New Roman" w:eastAsia="Times New Roman" w:hint="default"/>
        </w:rPr>
        <w:t>”</w:t>
      </w:r>
      <w:r>
        <w:rPr/>
        <w:t>等国内知名原创精品</w:t>
      </w:r>
      <w:r>
        <w:rPr>
          <w:rFonts w:ascii="Times New Roman" w:hAnsi="Times New Roman" w:cs="Times New Roman" w:eastAsia="Times New Roman" w:hint="default"/>
        </w:rPr>
        <w:t>IP</w:t>
      </w:r>
      <w:r>
        <w:rPr/>
        <w:t>，《小小勇者村》、《纸牌三国》、《光之契约》、《挂出个大侠》、</w:t>
      </w:r>
    </w:p>
    <w:p>
      <w:pPr>
        <w:pStyle w:val="BodyText"/>
        <w:spacing w:line="309" w:lineRule="auto" w:before="51"/>
        <w:ind w:right="1100"/>
        <w:jc w:val="both"/>
      </w:pPr>
      <w:r>
        <w:rPr>
          <w:spacing w:val="-2"/>
        </w:rPr>
        <w:t>《陆战风云》、《行星远征》等优秀网页游戏和手机游戏，《莫麟传奇》、《爵士兔》、《坦坦小动员》、《星学院》系列</w:t>
      </w:r>
      <w:r>
        <w:rPr>
          <w:spacing w:val="-42"/>
        </w:rPr>
        <w:t> </w:t>
      </w:r>
      <w:r>
        <w:rPr>
          <w:spacing w:val="-42"/>
        </w:rPr>
      </w:r>
      <w:r>
        <w:rPr>
          <w:spacing w:val="-1"/>
        </w:rPr>
        <w:t>等优秀原创动漫作品。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w:t>
      </w:r>
      <w:r>
        <w:rPr>
          <w:spacing w:val="-1"/>
        </w:rPr>
        <w:t>同道大叔</w:t>
      </w:r>
      <w:r>
        <w:rPr>
          <w:rFonts w:ascii="Times New Roman" w:hAnsi="Times New Roman" w:cs="Times New Roman" w:eastAsia="Times New Roman" w:hint="default"/>
          <w:spacing w:val="-1"/>
        </w:rPr>
        <w:t>”</w:t>
      </w:r>
      <w:r>
        <w:rPr>
          <w:spacing w:val="-1"/>
        </w:rPr>
        <w:t>成为进驻上海进博会中唯一的泛娱乐头部</w:t>
      </w:r>
      <w:r>
        <w:rPr>
          <w:rFonts w:ascii="Times New Roman" w:hAnsi="Times New Roman" w:cs="Times New Roman" w:eastAsia="Times New Roman" w:hint="default"/>
          <w:spacing w:val="-1"/>
        </w:rPr>
        <w:t>IP</w:t>
      </w:r>
      <w:r>
        <w:rPr>
          <w:spacing w:val="-1"/>
        </w:rPr>
        <w:t>，在保证双微阅读量和粉丝数稳定增</w:t>
      </w:r>
      <w:r>
        <w:rPr>
          <w:spacing w:val="-58"/>
        </w:rPr>
        <w:t> </w:t>
      </w:r>
      <w:r>
        <w:rPr>
          <w:spacing w:val="-58"/>
        </w:rPr>
      </w:r>
      <w:r>
        <w:rPr>
          <w:spacing w:val="-1"/>
        </w:rPr>
        <w:t>长的同时，不断积极探索短视频、跨界合作等全新的营销变现模式；</w:t>
      </w:r>
      <w:r>
        <w:rPr>
          <w:rFonts w:ascii="Times New Roman" w:hAnsi="Times New Roman" w:cs="Times New Roman" w:eastAsia="Times New Roman" w:hint="default"/>
          <w:spacing w:val="-1"/>
        </w:rPr>
        <w:t>“</w:t>
      </w:r>
      <w:r>
        <w:rPr>
          <w:spacing w:val="-1"/>
        </w:rPr>
        <w:t>双十一</w:t>
      </w:r>
      <w:r>
        <w:rPr>
          <w:rFonts w:ascii="Times New Roman" w:hAnsi="Times New Roman" w:cs="Times New Roman" w:eastAsia="Times New Roman" w:hint="default"/>
          <w:spacing w:val="-1"/>
        </w:rPr>
        <w:t>”</w:t>
      </w:r>
      <w:r>
        <w:rPr>
          <w:spacing w:val="-1"/>
        </w:rPr>
        <w:t>期间，同道大叔与北美最大亚洲商品购物平台</w:t>
      </w:r>
      <w:r>
        <w:rPr>
          <w:spacing w:val="-83"/>
        </w:rPr>
        <w:t> </w:t>
      </w:r>
      <w:r>
        <w:rPr>
          <w:spacing w:val="-83"/>
        </w:rPr>
      </w:r>
      <w:r>
        <w:rPr/>
        <w:t>亚米（</w:t>
      </w:r>
      <w:r>
        <w:rPr>
          <w:rFonts w:ascii="Times New Roman" w:hAnsi="Times New Roman" w:cs="Times New Roman" w:eastAsia="Times New Roman" w:hint="default"/>
        </w:rPr>
        <w:t>Yamibuy</w:t>
      </w:r>
      <w:r>
        <w:rPr/>
        <w:t>）达成合作，向北美市场投放</w:t>
      </w:r>
      <w:r>
        <w:rPr>
          <w:rFonts w:ascii="Times New Roman" w:hAnsi="Times New Roman" w:cs="Times New Roman" w:eastAsia="Times New Roman" w:hint="default"/>
        </w:rPr>
        <w:t>20</w:t>
      </w:r>
      <w:r>
        <w:rPr/>
        <w:t>多万个星座快递盒，开启</w:t>
      </w:r>
      <w:r>
        <w:rPr>
          <w:rFonts w:ascii="Times New Roman" w:hAnsi="Times New Roman" w:cs="Times New Roman" w:eastAsia="Times New Roman" w:hint="default"/>
        </w:rPr>
        <w:t>IP</w:t>
      </w:r>
      <w:r>
        <w:rPr/>
        <w:t>国际化进程。美盛爱彼原创漫画《神机学园》、</w:t>
      </w:r>
    </w:p>
    <w:p>
      <w:pPr>
        <w:pStyle w:val="BodyText"/>
        <w:spacing w:line="300" w:lineRule="auto" w:before="8"/>
        <w:ind w:right="1094"/>
        <w:jc w:val="both"/>
        <w:rPr>
          <w:rFonts w:ascii="Times New Roman" w:hAnsi="Times New Roman" w:cs="Times New Roman" w:eastAsia="Times New Roman" w:hint="default"/>
        </w:rPr>
      </w:pPr>
      <w:r>
        <w:rPr>
          <w:spacing w:val="-2"/>
        </w:rPr>
        <w:t>《青冥箓》已于</w:t>
      </w:r>
      <w:r>
        <w:rPr>
          <w:rFonts w:ascii="Times New Roman" w:hAnsi="Times New Roman" w:cs="Times New Roman" w:eastAsia="Times New Roman" w:hint="default"/>
          <w:spacing w:val="-2"/>
        </w:rPr>
        <w:t>17</w:t>
      </w:r>
      <w:r>
        <w:rPr>
          <w:spacing w:val="-2"/>
        </w:rPr>
        <w:t>年开启周更连载，人气火爆。《星学院》是国内首部原创美少女三维动画，被国家新闻出版广电总局推荐</w:t>
      </w:r>
      <w:r>
        <w:rPr>
          <w:spacing w:val="-70"/>
        </w:rPr>
        <w:t> </w:t>
      </w:r>
      <w:r>
        <w:rPr>
          <w:spacing w:val="-70"/>
        </w:rPr>
      </w:r>
      <w:r>
        <w:rPr>
          <w:spacing w:val="-2"/>
        </w:rPr>
        <w:t>为优秀国产动画片，获精品动画二等奖。《星学院第二季月灵手环》和《星学院Ⅲ之潘朵拉秘境》相继于</w:t>
      </w:r>
      <w:r>
        <w:rPr>
          <w:rFonts w:ascii="Times New Roman" w:hAnsi="Times New Roman" w:cs="Times New Roman" w:eastAsia="Times New Roman" w:hint="default"/>
          <w:spacing w:val="-2"/>
        </w:rPr>
        <w:t>2016</w:t>
      </w:r>
      <w:r>
        <w:rPr>
          <w:spacing w:val="-2"/>
        </w:rPr>
        <w:t>年和</w:t>
      </w:r>
      <w:r>
        <w:rPr>
          <w:rFonts w:ascii="Times New Roman" w:hAnsi="Times New Roman" w:cs="Times New Roman" w:eastAsia="Times New Roman" w:hint="default"/>
          <w:spacing w:val="-2"/>
        </w:rPr>
        <w:t>2017</w:t>
      </w:r>
      <w:r>
        <w:rPr>
          <w:spacing w:val="-2"/>
        </w:rPr>
        <w:t>年上</w:t>
      </w:r>
      <w:r>
        <w:rPr>
          <w:spacing w:val="-56"/>
        </w:rPr>
        <w:t> </w:t>
      </w:r>
      <w:r>
        <w:rPr/>
        <w:t>线，反应热烈，收视率与播放量排名靠前。</w:t>
      </w:r>
      <w:r>
        <w:rPr>
          <w:rFonts w:ascii="Times New Roman" w:hAnsi="Times New Roman" w:cs="Times New Roman" w:eastAsia="Times New Roman" w:hint="default"/>
        </w:rPr>
        <w:t>2018</w:t>
      </w:r>
      <w:r>
        <w:rPr/>
        <w:t>年，《星学院Ⅱ之月灵手环》入选中国版权保护中心</w:t>
      </w:r>
      <w:r>
        <w:rPr>
          <w:rFonts w:ascii="Times New Roman" w:hAnsi="Times New Roman" w:cs="Times New Roman" w:eastAsia="Times New Roman" w:hint="default"/>
        </w:rPr>
        <w:t>“</w:t>
      </w:r>
      <w:r>
        <w:rPr/>
        <w:t>优秀原创动漫作品版</w:t>
      </w:r>
      <w:r>
        <w:rPr>
          <w:spacing w:val="-72"/>
        </w:rPr>
        <w:t> </w:t>
      </w:r>
      <w:r>
        <w:rPr/>
        <w:t>权开发奖励计划</w:t>
      </w:r>
      <w:r>
        <w:rPr>
          <w:rFonts w:ascii="Times New Roman" w:hAnsi="Times New Roman" w:cs="Times New Roman" w:eastAsia="Times New Roman" w:hint="default"/>
        </w:rPr>
        <w:t>”</w:t>
      </w:r>
      <w:r>
        <w:rPr/>
        <w:t>，并摘得该计划</w:t>
      </w:r>
      <w:r>
        <w:rPr>
          <w:rFonts w:ascii="Times New Roman" w:hAnsi="Times New Roman" w:cs="Times New Roman" w:eastAsia="Times New Roman" w:hint="default"/>
        </w:rPr>
        <w:t>“</w:t>
      </w:r>
      <w:r>
        <w:rPr/>
        <w:t>内容开发类</w:t>
      </w:r>
      <w:r>
        <w:rPr>
          <w:rFonts w:ascii="Times New Roman" w:hAnsi="Times New Roman" w:cs="Times New Roman" w:eastAsia="Times New Roman" w:hint="default"/>
        </w:rPr>
        <w:t>”</w:t>
      </w:r>
      <w:r>
        <w:rPr/>
        <w:t>铜奖；《星学院Ⅲ之潘朵拉秘境》入选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t>原动力</w:t>
      </w:r>
      <w:r>
        <w:rPr>
          <w:rFonts w:ascii="Times New Roman" w:hAnsi="Times New Roman" w:cs="Times New Roman" w:eastAsia="Times New Roman" w:hint="default"/>
        </w:rPr>
        <w:t>”</w:t>
      </w:r>
      <w:r>
        <w:rPr/>
        <w:t>中国原创动漫出版扶</w:t>
      </w:r>
      <w:r>
        <w:rPr>
          <w:spacing w:val="-34"/>
        </w:rPr>
        <w:t> </w:t>
      </w:r>
      <w:r>
        <w:rPr>
          <w:spacing w:val="-34"/>
        </w:rPr>
      </w:r>
      <w:r>
        <w:rPr>
          <w:spacing w:val="-1"/>
        </w:rPr>
        <w:t>持计划</w:t>
      </w:r>
      <w:r>
        <w:rPr>
          <w:rFonts w:ascii="Times New Roman" w:hAnsi="Times New Roman" w:cs="Times New Roman" w:eastAsia="Times New Roman" w:hint="default"/>
          <w:spacing w:val="-1"/>
        </w:rPr>
        <w:t>“</w:t>
      </w:r>
      <w:r>
        <w:rPr>
          <w:spacing w:val="-1"/>
        </w:rPr>
        <w:t>网络动画类项目</w:t>
      </w:r>
      <w:r>
        <w:rPr>
          <w:rFonts w:ascii="Times New Roman" w:hAnsi="Times New Roman" w:cs="Times New Roman" w:eastAsia="Times New Roman" w:hint="default"/>
          <w:spacing w:val="-1"/>
        </w:rPr>
        <w:t>”</w:t>
      </w:r>
      <w:r>
        <w:rPr>
          <w:spacing w:val="-1"/>
        </w:rPr>
        <w:t>；主角</w:t>
      </w:r>
      <w:r>
        <w:rPr>
          <w:rFonts w:ascii="Times New Roman" w:hAnsi="Times New Roman" w:cs="Times New Roman" w:eastAsia="Times New Roman" w:hint="default"/>
          <w:spacing w:val="-1"/>
        </w:rPr>
        <w:t>“</w:t>
      </w:r>
      <w:r>
        <w:rPr>
          <w:spacing w:val="-1"/>
        </w:rPr>
        <w:t>菲洛</w:t>
      </w:r>
      <w:r>
        <w:rPr>
          <w:rFonts w:ascii="Times New Roman" w:hAnsi="Times New Roman" w:cs="Times New Roman" w:eastAsia="Times New Roman" w:hint="default"/>
          <w:spacing w:val="-1"/>
        </w:rPr>
        <w:t>”</w:t>
      </w:r>
      <w:r>
        <w:rPr>
          <w:spacing w:val="-1"/>
        </w:rPr>
        <w:t>动漫形象更是被评为</w:t>
      </w:r>
      <w:r>
        <w:rPr>
          <w:rFonts w:ascii="Times New Roman" w:hAnsi="Times New Roman" w:cs="Times New Roman" w:eastAsia="Times New Roman" w:hint="default"/>
          <w:spacing w:val="-1"/>
        </w:rPr>
        <w:t>“</w:t>
      </w:r>
      <w:r>
        <w:rPr>
          <w:spacing w:val="-1"/>
        </w:rPr>
        <w:t>影</w:t>
      </w:r>
      <w:r>
        <w:rPr>
          <w:rFonts w:ascii="Times New Roman" w:hAnsi="Times New Roman" w:cs="Times New Roman" w:eastAsia="Times New Roman" w:hint="default"/>
          <w:spacing w:val="-1"/>
        </w:rPr>
        <w:t>•</w:t>
      </w:r>
      <w:r>
        <w:rPr>
          <w:spacing w:val="-1"/>
        </w:rPr>
        <w:t>响</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w:t>
      </w:r>
      <w:r>
        <w:rPr>
          <w:spacing w:val="-1"/>
        </w:rPr>
        <w:t>十大浙产动漫形象</w:t>
      </w:r>
      <w:r>
        <w:rPr>
          <w:rFonts w:ascii="Times New Roman" w:hAnsi="Times New Roman" w:cs="Times New Roman" w:eastAsia="Times New Roman" w:hint="default"/>
          <w:spacing w:val="-1"/>
        </w:rPr>
        <w:t>”</w:t>
      </w:r>
      <w:r>
        <w:rPr>
          <w:spacing w:val="-1"/>
        </w:rPr>
        <w:t>。截止</w:t>
      </w:r>
      <w:r>
        <w:rPr>
          <w:rFonts w:ascii="Times New Roman" w:hAnsi="Times New Roman" w:cs="Times New Roman" w:eastAsia="Times New Roman" w:hint="default"/>
          <w:spacing w:val="-1"/>
        </w:rPr>
        <w:t>19</w:t>
      </w:r>
      <w:r>
        <w:rPr>
          <w:spacing w:val="-1"/>
        </w:rPr>
        <w:t>年底，《星学院》系</w:t>
      </w:r>
      <w:r>
        <w:rPr>
          <w:spacing w:val="-87"/>
        </w:rPr>
        <w:t> </w:t>
      </w:r>
      <w:r>
        <w:rPr>
          <w:spacing w:val="-87"/>
        </w:rPr>
      </w:r>
      <w:r>
        <w:rPr>
          <w:spacing w:val="-2"/>
        </w:rPr>
        <w:t>列全网累计播放量逾</w:t>
      </w:r>
      <w:r>
        <w:rPr>
          <w:rFonts w:ascii="Times New Roman" w:hAnsi="Times New Roman" w:cs="Times New Roman" w:eastAsia="Times New Roman" w:hint="default"/>
          <w:spacing w:val="-2"/>
        </w:rPr>
        <w:t>16</w:t>
      </w:r>
      <w:r>
        <w:rPr>
          <w:spacing w:val="-2"/>
        </w:rPr>
        <w:t>亿。目前《星学院》第四季正在紧张制作之中。公司将围绕动漫作品、手机游戏、儿童剧和衍生品四</w:t>
      </w:r>
      <w:r>
        <w:rPr>
          <w:spacing w:val="-68"/>
        </w:rPr>
        <w:t> </w:t>
      </w:r>
      <w:r>
        <w:rPr>
          <w:spacing w:val="-68"/>
        </w:rPr>
      </w:r>
      <w:r>
        <w:rPr/>
        <w:t>个方面打造</w:t>
      </w:r>
      <w:r>
        <w:rPr>
          <w:rFonts w:ascii="Times New Roman" w:hAnsi="Times New Roman" w:cs="Times New Roman" w:eastAsia="Times New Roman" w:hint="default"/>
        </w:rPr>
        <w:t>“</w:t>
      </w:r>
      <w:r>
        <w:rPr/>
        <w:t>星学院生态</w:t>
      </w:r>
      <w:r>
        <w:rPr>
          <w:rFonts w:ascii="Times New Roman" w:hAnsi="Times New Roman" w:cs="Times New Roman" w:eastAsia="Times New Roman" w:hint="default"/>
        </w:rPr>
        <w:t>”</w:t>
      </w:r>
      <w:r>
        <w:rPr/>
        <w:t>，将成为公司原创内容环节未来几年发展的核心战略之一。《妖神记》是一部由公司打造的</w:t>
      </w:r>
      <w:r>
        <w:rPr>
          <w:rFonts w:ascii="Times New Roman" w:hAnsi="Times New Roman" w:cs="Times New Roman" w:eastAsia="Times New Roman" w:hint="default"/>
        </w:rPr>
        <w:t>3D</w:t>
      </w:r>
      <w:r>
        <w:rPr/>
        <w:t>动</w:t>
      </w:r>
      <w:r>
        <w:rPr>
          <w:spacing w:val="-15"/>
        </w:rPr>
        <w:t> </w:t>
      </w:r>
      <w:r>
        <w:rPr/>
        <w:t>画网剧，于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月正式上线。上线一个月，居全网</w:t>
      </w:r>
      <w:r>
        <w:rPr>
          <w:rFonts w:ascii="Times New Roman" w:hAnsi="Times New Roman" w:cs="Times New Roman" w:eastAsia="Times New Roman" w:hint="default"/>
        </w:rPr>
        <w:t>5</w:t>
      </w:r>
      <w:r>
        <w:rPr/>
        <w:t>月新增作品播放量排行榜第二，并屡次进入</w:t>
      </w:r>
      <w:r>
        <w:rPr>
          <w:rFonts w:ascii="Times New Roman" w:hAnsi="Times New Roman" w:cs="Times New Roman" w:eastAsia="Times New Roman" w:hint="default"/>
        </w:rPr>
        <w:t>b</w:t>
      </w:r>
      <w:r>
        <w:rPr/>
        <w:t>站国产动画热门榜单前</w:t>
      </w:r>
      <w:r>
        <w:rPr>
          <w:spacing w:val="-84"/>
        </w:rPr>
        <w:t> </w:t>
      </w:r>
      <w:r>
        <w:rPr/>
        <w:t>三、百度动漫风云榜前三，多次摘得</w:t>
      </w:r>
      <w:r>
        <w:rPr>
          <w:rFonts w:ascii="Times New Roman" w:hAnsi="Times New Roman" w:cs="Times New Roman" w:eastAsia="Times New Roman" w:hint="default"/>
        </w:rPr>
        <w:t>“</w:t>
      </w:r>
      <w:r>
        <w:rPr/>
        <w:t>爱奇艺动漫风云榜</w:t>
      </w:r>
      <w:r>
        <w:rPr>
          <w:rFonts w:ascii="Times New Roman" w:hAnsi="Times New Roman" w:cs="Times New Roman" w:eastAsia="Times New Roman" w:hint="default"/>
        </w:rPr>
        <w:t>”</w:t>
      </w:r>
      <w:r>
        <w:rPr/>
        <w:t>桂冠。</w:t>
      </w:r>
      <w:r>
        <w:rPr>
          <w:rFonts w:ascii="Times New Roman" w:hAnsi="Times New Roman" w:cs="Times New Roman" w:eastAsia="Times New Roman" w:hint="default"/>
        </w:rPr>
        <w:t>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日，《妖神记》第二季火热来袭，登陆</w:t>
      </w:r>
      <w:r>
        <w:rPr>
          <w:rFonts w:ascii="Times New Roman" w:hAnsi="Times New Roman" w:cs="Times New Roman" w:eastAsia="Times New Roman" w:hint="default"/>
        </w:rPr>
        <w:t>B</w:t>
      </w:r>
      <w:r>
        <w:rPr/>
        <w:t>站、芒果</w:t>
      </w:r>
      <w:r>
        <w:rPr>
          <w:spacing w:val="-77"/>
        </w:rPr>
        <w:t> </w:t>
      </w:r>
      <w:r>
        <w:rPr>
          <w:rFonts w:ascii="Times New Roman" w:hAnsi="Times New Roman" w:cs="Times New Roman" w:eastAsia="Times New Roman" w:hint="default"/>
        </w:rPr>
        <w:t>TV</w:t>
      </w:r>
      <w:r>
        <w:rPr/>
        <w:t>、搜狐视频等网络平台同步播出，观众反应热烈；播出期间屡次登上骨朵数据国漫日播榜榜首，周榜、月榜</w:t>
      </w:r>
      <w:r>
        <w:rPr>
          <w:rFonts w:ascii="Times New Roman" w:hAnsi="Times New Roman" w:cs="Times New Roman" w:eastAsia="Times New Roman" w:hint="default"/>
        </w:rPr>
        <w:t>top3</w:t>
      </w:r>
      <w:r>
        <w:rPr/>
        <w:t>，引发 </w:t>
      </w:r>
      <w:r>
        <w:rPr>
          <w:spacing w:val="-1"/>
        </w:rPr>
        <w:t>新的国漫热。《妖神记》动画网剧上榜</w:t>
      </w:r>
      <w:r>
        <w:rPr>
          <w:rFonts w:ascii="Times New Roman" w:hAnsi="Times New Roman" w:cs="Times New Roman" w:eastAsia="Times New Roman" w:hint="default"/>
          <w:spacing w:val="-1"/>
        </w:rPr>
        <w:t>“2018</w:t>
      </w:r>
      <w:r>
        <w:rPr>
          <w:spacing w:val="-1"/>
        </w:rPr>
        <w:t>猫片</w:t>
      </w:r>
      <w:r>
        <w:rPr>
          <w:rFonts w:ascii="Times New Roman" w:hAnsi="Times New Roman" w:cs="Times New Roman" w:eastAsia="Times New Roman" w:hint="default"/>
          <w:spacing w:val="-1"/>
        </w:rPr>
        <w:t>·</w:t>
      </w:r>
      <w:r>
        <w:rPr>
          <w:spacing w:val="-1"/>
        </w:rPr>
        <w:t>胡润原创动漫</w:t>
      </w:r>
      <w:r>
        <w:rPr>
          <w:rFonts w:ascii="Times New Roman" w:hAnsi="Times New Roman" w:cs="Times New Roman" w:eastAsia="Times New Roman" w:hint="default"/>
          <w:spacing w:val="-1"/>
        </w:rPr>
        <w:t>IP</w:t>
      </w:r>
      <w:r>
        <w:rPr>
          <w:spacing w:val="-1"/>
        </w:rPr>
        <w:t>价值榜</w:t>
      </w:r>
      <w:r>
        <w:rPr>
          <w:rFonts w:ascii="Times New Roman" w:hAnsi="Times New Roman" w:cs="Times New Roman" w:eastAsia="Times New Roman" w:hint="default"/>
          <w:spacing w:val="-1"/>
        </w:rPr>
        <w:t>”top30</w:t>
      </w:r>
      <w:r>
        <w:rPr>
          <w:spacing w:val="-1"/>
        </w:rPr>
        <w:t>、三文娱</w:t>
      </w:r>
      <w:r>
        <w:rPr>
          <w:rFonts w:ascii="Times New Roman" w:hAnsi="Times New Roman" w:cs="Times New Roman" w:eastAsia="Times New Roman" w:hint="default"/>
          <w:spacing w:val="-1"/>
        </w:rPr>
        <w:t>“</w:t>
      </w:r>
      <w:r>
        <w:rPr>
          <w:spacing w:val="-1"/>
        </w:rPr>
        <w:t>中国动漫行业</w:t>
      </w:r>
      <w:r>
        <w:rPr>
          <w:rFonts w:ascii="Times New Roman" w:hAnsi="Times New Roman" w:cs="Times New Roman" w:eastAsia="Times New Roman" w:hint="default"/>
          <w:spacing w:val="-1"/>
        </w:rPr>
        <w:t>2018</w:t>
      </w:r>
      <w:r>
        <w:rPr>
          <w:spacing w:val="-1"/>
        </w:rPr>
        <w:t>年度榜单动画</w:t>
      </w:r>
      <w:r>
        <w:rPr>
          <w:rFonts w:ascii="Times New Roman" w:hAnsi="Times New Roman" w:cs="Times New Roman" w:eastAsia="Times New Roman" w:hint="default"/>
          <w:spacing w:val="-1"/>
        </w:rPr>
        <w:t>30</w:t>
      </w:r>
    </w:p>
    <w:p>
      <w:pPr>
        <w:pStyle w:val="BodyText"/>
        <w:spacing w:line="273" w:lineRule="auto" w:before="16"/>
        <w:ind w:right="1129"/>
        <w:jc w:val="both"/>
      </w:pPr>
      <w:r>
        <w:rPr/>
        <w:t>强</w:t>
      </w:r>
      <w:r>
        <w:rPr>
          <w:rFonts w:ascii="Times New Roman" w:hAnsi="Times New Roman" w:cs="Times New Roman" w:eastAsia="Times New Roman" w:hint="default"/>
        </w:rPr>
        <w:t>”</w:t>
      </w:r>
      <w:r>
        <w:rPr/>
        <w:t>在同名小说和漫画内容的基础上，公司通过动画作品对《妖神记》</w:t>
      </w:r>
      <w:r>
        <w:rPr>
          <w:rFonts w:ascii="Times New Roman" w:hAnsi="Times New Roman" w:cs="Times New Roman" w:eastAsia="Times New Roman" w:hint="default"/>
        </w:rPr>
        <w:t>IP</w:t>
      </w:r>
      <w:r>
        <w:rPr/>
        <w:t>进行品牌提炼，并以开发研发相关游戏、售卖周边</w:t>
      </w:r>
      <w:r>
        <w:rPr>
          <w:spacing w:val="-58"/>
        </w:rPr>
        <w:t> </w:t>
      </w:r>
      <w:r>
        <w:rPr>
          <w:spacing w:val="-58"/>
        </w:rPr>
      </w:r>
      <w:r>
        <w:rPr/>
        <w:t>产品等方式实现泛娱乐化经营。</w:t>
      </w:r>
    </w:p>
    <w:p>
      <w:pPr>
        <w:spacing w:line="240" w:lineRule="auto" w:before="6"/>
        <w:rPr>
          <w:rFonts w:ascii="宋体" w:hAnsi="宋体" w:cs="宋体" w:eastAsia="宋体" w:hint="default"/>
          <w:sz w:val="14"/>
          <w:szCs w:val="14"/>
        </w:rPr>
      </w:pPr>
    </w:p>
    <w:p>
      <w:pPr>
        <w:pStyle w:val="BodyText"/>
        <w:spacing w:line="240" w:lineRule="auto" w:before="0"/>
        <w:ind w:left="501" w:right="0"/>
        <w:jc w:val="left"/>
      </w:pPr>
      <w:r>
        <w:rPr>
          <w:rFonts w:ascii="Times New Roman" w:hAnsi="Times New Roman" w:cs="Times New Roman" w:eastAsia="Times New Roman" w:hint="default"/>
        </w:rPr>
        <w:t>2</w:t>
      </w:r>
      <w:r>
        <w:rPr/>
        <w:t>、与顶级</w:t>
      </w:r>
      <w:r>
        <w:rPr>
          <w:rFonts w:ascii="Times New Roman" w:hAnsi="Times New Roman" w:cs="Times New Roman" w:eastAsia="Times New Roman" w:hint="default"/>
        </w:rPr>
        <w:t>IP</w:t>
      </w:r>
      <w:r>
        <w:rPr/>
        <w:t>进行深层次的合作开发</w:t>
      </w:r>
    </w:p>
    <w:p>
      <w:pPr>
        <w:spacing w:line="240" w:lineRule="auto" w:before="3"/>
        <w:rPr>
          <w:rFonts w:ascii="宋体" w:hAnsi="宋体" w:cs="宋体" w:eastAsia="宋体" w:hint="default"/>
          <w:sz w:val="14"/>
          <w:szCs w:val="14"/>
        </w:rPr>
      </w:pPr>
    </w:p>
    <w:p>
      <w:pPr>
        <w:pStyle w:val="BodyText"/>
        <w:spacing w:line="300" w:lineRule="auto" w:before="0"/>
        <w:ind w:right="1110" w:firstLine="360"/>
        <w:jc w:val="both"/>
      </w:pPr>
      <w:r>
        <w:rPr/>
        <w:t>公司深化与迪士尼、漫威、任天堂等公司的合作，共同开发</w:t>
      </w:r>
      <w:r>
        <w:rPr>
          <w:rFonts w:ascii="Times New Roman" w:hAnsi="Times New Roman" w:cs="Times New Roman" w:eastAsia="Times New Roman" w:hint="default"/>
        </w:rPr>
        <w:t>“</w:t>
      </w:r>
      <w:r>
        <w:rPr/>
        <w:t>星球大战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冰雪奇缘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魔兽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超级马里奥</w:t>
      </w:r>
      <w:r>
        <w:rPr>
          <w:rFonts w:ascii="Times New Roman" w:hAnsi="Times New Roman" w:cs="Times New Roman" w:eastAsia="Times New Roman" w:hint="default"/>
        </w:rPr>
        <w:t>”</w:t>
      </w:r>
      <w:r>
        <w:rPr/>
        <w:t>、漫威英 </w:t>
      </w:r>
      <w:r>
        <w:rPr>
          <w:spacing w:val="-2"/>
        </w:rPr>
        <w:t>雄系列等</w:t>
      </w:r>
      <w:r>
        <w:rPr>
          <w:rFonts w:ascii="Times New Roman" w:hAnsi="Times New Roman" w:cs="Times New Roman" w:eastAsia="Times New Roman" w:hint="default"/>
          <w:spacing w:val="-2"/>
        </w:rPr>
        <w:t>IP</w:t>
      </w:r>
      <w:r>
        <w:rPr>
          <w:spacing w:val="-2"/>
        </w:rPr>
        <w:t>衍生品。</w:t>
      </w:r>
      <w:r>
        <w:rPr>
          <w:rFonts w:ascii="Times New Roman" w:hAnsi="Times New Roman" w:cs="Times New Roman" w:eastAsia="Times New Roman" w:hint="default"/>
          <w:spacing w:val="-2"/>
        </w:rPr>
        <w:t>2019</w:t>
      </w:r>
      <w:r>
        <w:rPr>
          <w:spacing w:val="-2"/>
        </w:rPr>
        <w:t>年初，公司收购了新时代集团，进一步拓展和丰富了公司</w:t>
      </w:r>
      <w:r>
        <w:rPr>
          <w:rFonts w:ascii="Times New Roman" w:hAnsi="Times New Roman" w:cs="Times New Roman" w:eastAsia="Times New Roman" w:hint="default"/>
          <w:spacing w:val="-2"/>
        </w:rPr>
        <w:t>IP</w:t>
      </w:r>
      <w:r>
        <w:rPr>
          <w:spacing w:val="-2"/>
        </w:rPr>
        <w:t>衍生品种类和产品线，完善了美盛的</w:t>
      </w:r>
      <w:r>
        <w:rPr>
          <w:spacing w:val="-8"/>
        </w:rPr>
        <w:t> </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spacing w:val="-5"/>
        </w:rPr>
        <w:t>衍生品产业链；</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11</w:t>
      </w:r>
      <w:r>
        <w:rPr>
          <w:spacing w:val="-5"/>
        </w:rPr>
        <w:t>月，《冰雪奇缘</w:t>
      </w:r>
      <w:r>
        <w:rPr>
          <w:rFonts w:ascii="Times New Roman" w:hAnsi="Times New Roman" w:cs="Times New Roman" w:eastAsia="Times New Roman" w:hint="default"/>
          <w:spacing w:val="-5"/>
        </w:rPr>
        <w:t>2</w:t>
      </w:r>
      <w:r>
        <w:rPr>
          <w:spacing w:val="-5"/>
        </w:rPr>
        <w:t>》全球热映，票房席卷</w:t>
      </w:r>
      <w:r>
        <w:rPr>
          <w:rFonts w:ascii="Times New Roman" w:hAnsi="Times New Roman" w:cs="Times New Roman" w:eastAsia="Times New Roman" w:hint="default"/>
          <w:spacing w:val="-5"/>
        </w:rPr>
        <w:t>14</w:t>
      </w:r>
      <w:r>
        <w:rPr>
          <w:spacing w:val="-5"/>
        </w:rPr>
        <w:t>亿美元，带动全球衍生品销量激增；</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22</w:t>
      </w:r>
      <w:r>
        <w:rPr>
          <w:spacing w:val="-5"/>
        </w:rPr>
        <w:t>日，《超</w:t>
      </w:r>
      <w:r>
        <w:rPr>
          <w:spacing w:val="-41"/>
        </w:rPr>
        <w:t> </w:t>
      </w:r>
      <w:r>
        <w:rPr>
          <w:spacing w:val="-41"/>
        </w:rPr>
      </w:r>
      <w:r>
        <w:rPr/>
        <w:t>人总动员</w:t>
      </w:r>
      <w:r>
        <w:rPr>
          <w:rFonts w:ascii="Times New Roman" w:hAnsi="Times New Roman" w:cs="Times New Roman" w:eastAsia="Times New Roman" w:hint="default"/>
        </w:rPr>
        <w:t>2</w:t>
      </w:r>
      <w:r>
        <w:rPr/>
        <w:t>》强势回归，其系列产品由</w:t>
      </w:r>
      <w:r>
        <w:rPr>
          <w:rFonts w:ascii="Times New Roman" w:hAnsi="Times New Roman" w:cs="Times New Roman" w:eastAsia="Times New Roman" w:hint="default"/>
        </w:rPr>
        <w:t>JAKKS</w:t>
      </w:r>
      <w:r>
        <w:rPr/>
        <w:t>授权开发并同期上市。公司与</w:t>
      </w:r>
      <w:r>
        <w:rPr>
          <w:rFonts w:ascii="Times New Roman" w:hAnsi="Times New Roman" w:cs="Times New Roman" w:eastAsia="Times New Roman" w:hint="default"/>
        </w:rPr>
        <w:t>JAKKS</w:t>
      </w:r>
      <w:r>
        <w:rPr/>
        <w:t>合作销售《超人总动员</w:t>
      </w:r>
      <w:r>
        <w:rPr>
          <w:rFonts w:ascii="Times New Roman" w:hAnsi="Times New Roman" w:cs="Times New Roman" w:eastAsia="Times New Roman" w:hint="default"/>
        </w:rPr>
        <w:t>2</w:t>
      </w:r>
      <w:r>
        <w:rPr/>
        <w:t>》弹力女超人摩</w:t>
      </w:r>
    </w:p>
    <w:p>
      <w:pPr>
        <w:spacing w:after="0" w:line="300"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444" w:lineRule="auto"/>
        <w:ind w:left="501" w:right="5350" w:hanging="361"/>
        <w:jc w:val="left"/>
      </w:pPr>
      <w:r>
        <w:rPr/>
        <w:t>托车、发声小杰、快艇套装、迷你公仔套装等产品，再现完美经典。 二、丰富的平台部署优势</w:t>
      </w:r>
    </w:p>
    <w:p>
      <w:pPr>
        <w:pStyle w:val="BodyText"/>
        <w:spacing w:line="391" w:lineRule="auto" w:before="61"/>
        <w:ind w:left="501" w:right="1029"/>
        <w:jc w:val="left"/>
      </w:pPr>
      <w:r>
        <w:rPr>
          <w:rFonts w:ascii="Times New Roman" w:hAnsi="Times New Roman" w:cs="Times New Roman" w:eastAsia="Times New Roman" w:hint="default"/>
        </w:rPr>
        <w:t>1</w:t>
      </w:r>
      <w:r>
        <w:rPr/>
        <w:t>、完整的衍生品分发平台优势 平台是内容的展示场所，是粉丝群体的聚集家园，是衍生产品转化收益的通道。公司目前已经部署了丰富的平台资源，</w:t>
      </w:r>
    </w:p>
    <w:p>
      <w:pPr>
        <w:pStyle w:val="BodyText"/>
        <w:spacing w:line="231" w:lineRule="exact" w:before="0"/>
        <w:ind w:right="0"/>
        <w:jc w:val="left"/>
      </w:pPr>
      <w:r>
        <w:rPr/>
        <w:t>为公司各条产业链打造了立体化的出口：公司通过收购酷米网（</w:t>
      </w:r>
      <w:hyperlink r:id="rId12">
        <w:r>
          <w:rPr>
            <w:rFonts w:ascii="Times New Roman" w:hAnsi="Times New Roman" w:cs="Times New Roman" w:eastAsia="Times New Roman" w:hint="default"/>
          </w:rPr>
          <w:t>http://www.kumi.cn</w:t>
        </w:r>
      </w:hyperlink>
      <w:r>
        <w:rPr/>
        <w:t>），搭建了以儿童及家长为主要对象的</w:t>
      </w:r>
    </w:p>
    <w:p>
      <w:pPr>
        <w:pStyle w:val="BodyText"/>
        <w:spacing w:line="319" w:lineRule="auto" w:before="51"/>
        <w:ind w:right="1029"/>
        <w:jc w:val="left"/>
      </w:pPr>
      <w:r>
        <w:rPr/>
        <w:t>动漫视听节目播出平台和互联网动漫娱乐服务平台；公司通过美盛游戏打造了美盛游戏平台和游戏港口等游戏类门户网站，</w:t>
      </w:r>
      <w:r>
        <w:rPr>
          <w:spacing w:val="-83"/>
        </w:rPr>
        <w:t> </w:t>
      </w:r>
      <w:r>
        <w:rPr>
          <w:spacing w:val="-83"/>
        </w:rPr>
      </w:r>
      <w:r>
        <w:rPr/>
        <w:t>为自身优秀游戏作品提供了稳定的运营平台；公司通过星梦工坊完善了演艺平台的建立，为公司自身核心</w:t>
      </w:r>
      <w:r>
        <w:rPr>
          <w:rFonts w:ascii="Times New Roman" w:hAnsi="Times New Roman" w:cs="Times New Roman" w:eastAsia="Times New Roman" w:hint="default"/>
        </w:rPr>
        <w:t>IP</w:t>
      </w:r>
      <w:r>
        <w:rPr/>
        <w:t>提供了舞台剧等 </w:t>
      </w:r>
      <w:r>
        <w:rPr>
          <w:spacing w:val="-2"/>
        </w:rPr>
        <w:t>新的展示平台；公司通过投资瑛麒动漫，建立漫画分发平台；公司通过收购荷兰渠道商</w:t>
      </w:r>
      <w:r>
        <w:rPr>
          <w:rFonts w:ascii="Times New Roman" w:hAnsi="Times New Roman" w:cs="Times New Roman" w:eastAsia="Times New Roman" w:hint="default"/>
          <w:spacing w:val="-2"/>
        </w:rPr>
        <w:t>ScheepersB.V.</w:t>
      </w:r>
      <w:r>
        <w:rPr>
          <w:spacing w:val="-2"/>
        </w:rPr>
        <w:t>，拥有了境外线上线下</w:t>
      </w:r>
    </w:p>
    <w:p>
      <w:pPr>
        <w:pStyle w:val="BodyText"/>
        <w:spacing w:line="235" w:lineRule="exact" w:before="0"/>
        <w:ind w:right="0"/>
        <w:jc w:val="left"/>
      </w:pPr>
      <w:r>
        <w:rPr/>
        <w:t>销售平台；公司通过与合作伙伴</w:t>
      </w:r>
      <w:r>
        <w:rPr>
          <w:rFonts w:ascii="Times New Roman" w:hAnsi="Times New Roman" w:cs="Times New Roman" w:eastAsia="Times New Roman" w:hint="default"/>
        </w:rPr>
        <w:t>Jakks  Pacific</w:t>
      </w:r>
      <w:r>
        <w:rPr/>
        <w:t>共同设立的杰克仕美盛营销平台将为国内的消费者带来国外最新潮的玩具、动</w:t>
      </w:r>
    </w:p>
    <w:p>
      <w:pPr>
        <w:pStyle w:val="BodyText"/>
        <w:spacing w:line="302" w:lineRule="auto" w:before="66"/>
        <w:ind w:right="0"/>
        <w:jc w:val="left"/>
      </w:pPr>
      <w:r>
        <w:rPr>
          <w:spacing w:val="-1"/>
        </w:rPr>
        <w:t>漫服饰流行体验，有利于国内市场的快速发展，将为公司来带新的利润增长点；公司通过投资</w:t>
      </w:r>
      <w:r>
        <w:rPr>
          <w:rFonts w:ascii="Times New Roman" w:hAnsi="Times New Roman" w:cs="Times New Roman" w:eastAsia="Times New Roman" w:hint="default"/>
          <w:spacing w:val="-1"/>
        </w:rPr>
        <w:t>1001</w:t>
      </w:r>
      <w:r>
        <w:rPr>
          <w:spacing w:val="-1"/>
        </w:rPr>
        <w:t>夜</w:t>
      </w:r>
      <w:r>
        <w:rPr>
          <w:rFonts w:ascii="Times New Roman" w:hAnsi="Times New Roman" w:cs="Times New Roman" w:eastAsia="Times New Roman" w:hint="default"/>
          <w:spacing w:val="-1"/>
        </w:rPr>
        <w:t>,</w:t>
      </w:r>
      <w:r>
        <w:rPr>
          <w:spacing w:val="-1"/>
        </w:rPr>
        <w:t>对原有的线上</w:t>
      </w:r>
      <w:r>
        <w:rPr>
          <w:rFonts w:ascii="Times New Roman" w:hAnsi="Times New Roman" w:cs="Times New Roman" w:eastAsia="Times New Roman" w:hint="default"/>
          <w:spacing w:val="-1"/>
        </w:rPr>
        <w:t>+</w:t>
      </w:r>
      <w:r>
        <w:rPr>
          <w:spacing w:val="-1"/>
        </w:rPr>
        <w:t>线下衍</w:t>
      </w:r>
      <w:r>
        <w:rPr>
          <w:spacing w:val="-67"/>
        </w:rPr>
        <w:t> </w:t>
      </w:r>
      <w:r>
        <w:rPr/>
        <w:t>生品运营平台进行完善和补充，</w:t>
      </w:r>
      <w:r>
        <w:rPr>
          <w:rFonts w:ascii="Times New Roman" w:hAnsi="Times New Roman" w:cs="Times New Roman" w:eastAsia="Times New Roman" w:hint="default"/>
        </w:rPr>
        <w:t>1001</w:t>
      </w:r>
      <w:r>
        <w:rPr/>
        <w:t>夜在全国覆盖</w:t>
      </w:r>
      <w:r>
        <w:rPr>
          <w:rFonts w:ascii="Times New Roman" w:hAnsi="Times New Roman" w:cs="Times New Roman" w:eastAsia="Times New Roman" w:hint="default"/>
        </w:rPr>
        <w:t>800</w:t>
      </w:r>
      <w:r>
        <w:rPr/>
        <w:t>余家线下门店，持续提高公司产业链变现能力。</w:t>
      </w:r>
    </w:p>
    <w:p>
      <w:pPr>
        <w:pStyle w:val="BodyText"/>
        <w:spacing w:line="420" w:lineRule="exact" w:before="9"/>
        <w:ind w:left="501" w:right="0"/>
        <w:jc w:val="left"/>
      </w:pPr>
      <w:r>
        <w:rPr>
          <w:rFonts w:ascii="Times New Roman" w:hAnsi="Times New Roman" w:cs="Times New Roman" w:eastAsia="Times New Roman" w:hint="default"/>
        </w:rPr>
        <w:t>2</w:t>
      </w:r>
      <w:r>
        <w:rPr/>
        <w:t>、新媒体平台优势 </w:t>
      </w:r>
      <w:r>
        <w:rPr>
          <w:spacing w:val="-2"/>
        </w:rPr>
        <w:t>另一方面，公司牢牢把握近几年新媒体引起的传媒产业革命新浪潮，致力于打造新媒体平台。与传统媒体相比而言，新</w:t>
      </w:r>
    </w:p>
    <w:p>
      <w:pPr>
        <w:pStyle w:val="BodyText"/>
        <w:spacing w:line="319" w:lineRule="auto" w:before="5"/>
        <w:ind w:right="1027"/>
        <w:jc w:val="both"/>
      </w:pPr>
      <w:r>
        <w:rPr>
          <w:spacing w:val="-2"/>
        </w:rPr>
        <w:t>媒体具有个性化突出、受众选择性增多、表现形式多样、信息发布实时等新特点，具有交互性、全息化、数字化、网络化等</w:t>
      </w:r>
      <w:r>
        <w:rPr>
          <w:spacing w:val="-73"/>
        </w:rPr>
        <w:t> </w:t>
      </w:r>
      <w:r>
        <w:rPr>
          <w:spacing w:val="-73"/>
        </w:rPr>
      </w:r>
      <w:r>
        <w:rPr>
          <w:spacing w:val="-2"/>
        </w:rPr>
        <w:t>优势。公司精准切入</w:t>
      </w:r>
      <w:r>
        <w:rPr>
          <w:rFonts w:ascii="Times New Roman" w:hAnsi="Times New Roman" w:cs="Times New Roman" w:eastAsia="Times New Roman" w:hint="default"/>
          <w:spacing w:val="-2"/>
        </w:rPr>
        <w:t>AR</w:t>
      </w:r>
      <w:r>
        <w:rPr>
          <w:spacing w:val="-2"/>
        </w:rPr>
        <w:t>、</w:t>
      </w:r>
      <w:r>
        <w:rPr>
          <w:rFonts w:ascii="Times New Roman" w:hAnsi="Times New Roman" w:cs="Times New Roman" w:eastAsia="Times New Roman" w:hint="default"/>
          <w:spacing w:val="-2"/>
        </w:rPr>
        <w:t>VR</w:t>
      </w:r>
      <w:r>
        <w:rPr>
          <w:spacing w:val="-2"/>
        </w:rPr>
        <w:t>领域，与国内领先的</w:t>
      </w:r>
      <w:r>
        <w:rPr>
          <w:rFonts w:ascii="Times New Roman" w:hAnsi="Times New Roman" w:cs="Times New Roman" w:eastAsia="Times New Roman" w:hint="default"/>
          <w:spacing w:val="-2"/>
        </w:rPr>
        <w:t>AR</w:t>
      </w:r>
      <w:r>
        <w:rPr>
          <w:spacing w:val="-2"/>
        </w:rPr>
        <w:t>、</w:t>
      </w:r>
      <w:r>
        <w:rPr>
          <w:rFonts w:ascii="Times New Roman" w:hAnsi="Times New Roman" w:cs="Times New Roman" w:eastAsia="Times New Roman" w:hint="default"/>
          <w:spacing w:val="-2"/>
        </w:rPr>
        <w:t>VR</w:t>
      </w:r>
      <w:r>
        <w:rPr>
          <w:spacing w:val="-2"/>
        </w:rPr>
        <w:t>内容创造和发行商创幻科技和</w:t>
      </w:r>
      <w:r>
        <w:rPr>
          <w:rFonts w:ascii="Times New Roman" w:hAnsi="Times New Roman" w:cs="Times New Roman" w:eastAsia="Times New Roman" w:hint="default"/>
          <w:spacing w:val="-2"/>
        </w:rPr>
        <w:t>VR</w:t>
      </w:r>
      <w:r>
        <w:rPr>
          <w:spacing w:val="-2"/>
        </w:rPr>
        <w:t>线下体验互动平台超级队长展开</w:t>
      </w:r>
      <w:r>
        <w:rPr>
          <w:spacing w:val="-53"/>
        </w:rPr>
        <w:t> </w:t>
      </w:r>
      <w:r>
        <w:rPr/>
        <w:t>合作，进行虚拟现实领域的前瞻性产业布局。公司又从当前火热的直播平台这一新兴产业领域入手，投资触手</w:t>
      </w:r>
      <w:r>
        <w:rPr>
          <w:rFonts w:ascii="Times New Roman" w:hAnsi="Times New Roman" w:cs="Times New Roman" w:eastAsia="Times New Roman" w:hint="default"/>
        </w:rPr>
        <w:t>TV</w:t>
      </w:r>
      <w:r>
        <w:rPr/>
        <w:t>，目前触</w:t>
      </w:r>
    </w:p>
    <w:p>
      <w:pPr>
        <w:pStyle w:val="BodyText"/>
        <w:spacing w:line="302" w:lineRule="auto" w:before="0"/>
        <w:ind w:right="1003"/>
        <w:jc w:val="left"/>
      </w:pPr>
      <w:r>
        <w:rPr>
          <w:spacing w:val="-2"/>
        </w:rPr>
        <w:t>手</w:t>
      </w:r>
      <w:r>
        <w:rPr>
          <w:rFonts w:ascii="Times New Roman" w:hAnsi="Times New Roman" w:cs="Times New Roman" w:eastAsia="Times New Roman" w:hint="default"/>
          <w:spacing w:val="-2"/>
        </w:rPr>
        <w:t>TV</w:t>
      </w:r>
      <w:r>
        <w:rPr>
          <w:spacing w:val="-2"/>
        </w:rPr>
        <w:t>已成为国内最大的手游直播平台；公司投资白熊阅读</w:t>
      </w:r>
      <w:r>
        <w:rPr>
          <w:rFonts w:ascii="Times New Roman" w:hAnsi="Times New Roman" w:cs="Times New Roman" w:eastAsia="Times New Roman" w:hint="default"/>
          <w:spacing w:val="-2"/>
        </w:rPr>
        <w:t>,</w:t>
      </w:r>
      <w:r>
        <w:rPr>
          <w:spacing w:val="-2"/>
        </w:rPr>
        <w:t>布局二次元文学创作与阅读平台，并且通过签约优秀的漫画作家、</w:t>
      </w:r>
      <w:r>
        <w:rPr>
          <w:spacing w:val="-64"/>
        </w:rPr>
        <w:t> </w:t>
      </w:r>
      <w:r>
        <w:rPr>
          <w:spacing w:val="-64"/>
        </w:rPr>
      </w:r>
      <w:r>
        <w:rPr>
          <w:spacing w:val="2"/>
        </w:rPr>
        <w:t>文学作家，进一步提高对优秀</w:t>
      </w:r>
      <w:r>
        <w:rPr>
          <w:rFonts w:ascii="Times New Roman" w:hAnsi="Times New Roman" w:cs="Times New Roman" w:eastAsia="Times New Roman" w:hint="default"/>
          <w:spacing w:val="2"/>
        </w:rPr>
        <w:t>IP</w:t>
      </w:r>
      <w:r>
        <w:rPr>
          <w:spacing w:val="2"/>
        </w:rPr>
        <w:t>的捕捉能力及前瞻性布局。近年公司在新媒体领域业务发展尤其迅速，公司投资</w:t>
      </w:r>
      <w:r>
        <w:rPr>
          <w:rFonts w:ascii="Times New Roman" w:hAnsi="Times New Roman" w:cs="Times New Roman" w:eastAsia="Times New Roman" w:hint="default"/>
          <w:spacing w:val="2"/>
        </w:rPr>
        <w:t>WeMedia</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新媒体集团发起成立的</w:t>
      </w:r>
      <w:r>
        <w:rPr>
          <w:rFonts w:ascii="Times New Roman" w:hAnsi="Times New Roman" w:cs="Times New Roman" w:eastAsia="Times New Roman" w:hint="default"/>
        </w:rPr>
        <w:t>WeMedia</w:t>
      </w:r>
      <w:r>
        <w:rPr/>
        <w:t>自媒体联盟，已签约各行业精英自媒体近</w:t>
      </w:r>
      <w:r>
        <w:rPr>
          <w:rFonts w:ascii="Times New Roman" w:hAnsi="Times New Roman" w:cs="Times New Roman" w:eastAsia="Times New Roman" w:hint="default"/>
        </w:rPr>
        <w:t>500</w:t>
      </w:r>
      <w:r>
        <w:rPr/>
        <w:t>人，覆盖逾</w:t>
      </w:r>
      <w:r>
        <w:rPr>
          <w:rFonts w:ascii="Times New Roman" w:hAnsi="Times New Roman" w:cs="Times New Roman" w:eastAsia="Times New Roman" w:hint="default"/>
        </w:rPr>
        <w:t>5000</w:t>
      </w:r>
      <w:r>
        <w:rPr/>
        <w:t>万用户，是当前中国最大的自</w:t>
      </w:r>
      <w:r>
        <w:rPr>
          <w:spacing w:val="-76"/>
        </w:rPr>
        <w:t> </w:t>
      </w:r>
      <w:r>
        <w:rPr>
          <w:spacing w:val="-76"/>
        </w:rPr>
      </w:r>
      <w:r>
        <w:rPr>
          <w:spacing w:val="-2"/>
        </w:rPr>
        <w:t>媒体联盟；公司投资同道大叔，以同道大叔个人</w:t>
      </w:r>
      <w:r>
        <w:rPr>
          <w:rFonts w:ascii="Times New Roman" w:hAnsi="Times New Roman" w:cs="Times New Roman" w:eastAsia="Times New Roman" w:hint="default"/>
          <w:spacing w:val="-2"/>
        </w:rPr>
        <w:t>IP</w:t>
      </w:r>
      <w:r>
        <w:rPr>
          <w:spacing w:val="-2"/>
        </w:rPr>
        <w:t>为载体</w:t>
      </w:r>
      <w:r>
        <w:rPr>
          <w:rFonts w:ascii="Times New Roman" w:hAnsi="Times New Roman" w:cs="Times New Roman" w:eastAsia="Times New Roman" w:hint="default"/>
          <w:spacing w:val="-2"/>
        </w:rPr>
        <w:t>,</w:t>
      </w:r>
      <w:r>
        <w:rPr>
          <w:spacing w:val="-2"/>
        </w:rPr>
        <w:t>以媒体运营、</w:t>
      </w:r>
      <w:r>
        <w:rPr>
          <w:rFonts w:ascii="Times New Roman" w:hAnsi="Times New Roman" w:cs="Times New Roman" w:eastAsia="Times New Roman" w:hint="default"/>
          <w:spacing w:val="-2"/>
        </w:rPr>
        <w:t>IP</w:t>
      </w:r>
      <w:r>
        <w:rPr>
          <w:spacing w:val="-2"/>
        </w:rPr>
        <w:t>内容开发与运营等形式构建泛娱乐消费平台。丰富</w:t>
      </w:r>
      <w:r>
        <w:rPr>
          <w:spacing w:val="-38"/>
        </w:rPr>
        <w:t> </w:t>
      </w:r>
      <w:r>
        <w:rPr>
          <w:spacing w:val="-38"/>
        </w:rPr>
      </w:r>
      <w:r>
        <w:rPr>
          <w:spacing w:val="-2"/>
        </w:rPr>
        <w:t>的平台资源充分发挥了公司全产业链布局的综合优势，实现了产业上下游资源的整合，也为消费者提供了多元化的泛娱乐体</w:t>
      </w:r>
      <w:r>
        <w:rPr>
          <w:spacing w:val="-71"/>
        </w:rPr>
        <w:t> </w:t>
      </w:r>
      <w:r>
        <w:rPr>
          <w:spacing w:val="-71"/>
        </w:rPr>
      </w:r>
      <w:r>
        <w:rPr/>
        <w:t>验。</w:t>
      </w:r>
    </w:p>
    <w:p>
      <w:pPr>
        <w:pStyle w:val="BodyText"/>
        <w:spacing w:line="436" w:lineRule="exact" w:before="14"/>
        <w:ind w:left="501" w:right="1122"/>
        <w:jc w:val="left"/>
      </w:pPr>
      <w:r>
        <w:rPr/>
        <w:t>三、泛文化生态圈优势 </w:t>
      </w:r>
      <w:r>
        <w:rPr>
          <w:spacing w:val="-1"/>
        </w:rPr>
        <w:t>自公司上市以来，紧密围绕文化产业发展，重点开发</w:t>
      </w:r>
      <w:r>
        <w:rPr>
          <w:rFonts w:ascii="Times New Roman" w:hAnsi="Times New Roman" w:cs="Times New Roman" w:eastAsia="Times New Roman" w:hint="default"/>
          <w:spacing w:val="-1"/>
        </w:rPr>
        <w:t>IP</w:t>
      </w:r>
      <w:r>
        <w:rPr>
          <w:spacing w:val="-1"/>
        </w:rPr>
        <w:t>衍生品产业相关业务。近年来，公司在不断加强和巩固国内</w:t>
      </w:r>
      <w:r>
        <w:rPr>
          <w:rFonts w:ascii="Times New Roman" w:hAnsi="Times New Roman" w:cs="Times New Roman" w:eastAsia="Times New Roman" w:hint="default"/>
          <w:spacing w:val="-1"/>
        </w:rPr>
        <w:t>IP</w:t>
      </w:r>
      <w:r>
        <w:rPr>
          <w:spacing w:val="-1"/>
        </w:rPr>
        <w:t>衍</w:t>
      </w:r>
    </w:p>
    <w:p>
      <w:pPr>
        <w:pStyle w:val="BodyText"/>
        <w:spacing w:line="319" w:lineRule="auto" w:before="3"/>
        <w:ind w:right="1104"/>
        <w:jc w:val="both"/>
      </w:pPr>
      <w:r>
        <w:rPr>
          <w:spacing w:val="-2"/>
        </w:rPr>
        <w:t>生品龙头企业地位的基础上，重点开拓上下游业务，完善产业链，在文化产业链包括动漫、游戏、影视、衍生品等上下游进</w:t>
      </w:r>
      <w:r>
        <w:rPr>
          <w:spacing w:val="-72"/>
        </w:rPr>
        <w:t> </w:t>
      </w:r>
      <w:r>
        <w:rPr>
          <w:spacing w:val="-72"/>
        </w:rPr>
      </w:r>
      <w:r>
        <w:rPr/>
        <w:t>行战略布局，实现转型升级，完成了</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的文化生态圈的构建。文化生态圈相关产业的联动发展又使得公司在</w:t>
      </w:r>
      <w:r>
        <w:rPr>
          <w:rFonts w:ascii="Times New Roman" w:hAnsi="Times New Roman" w:cs="Times New Roman" w:eastAsia="Times New Roman" w:hint="default"/>
        </w:rPr>
        <w:t>IP</w:t>
      </w:r>
      <w:r>
        <w:rPr/>
        <w:t>衍生品领域的优势更为突出。</w:t>
      </w:r>
    </w:p>
    <w:p>
      <w:pPr>
        <w:pStyle w:val="BodyText"/>
        <w:spacing w:line="297" w:lineRule="auto" w:before="120"/>
        <w:ind w:right="1003" w:firstLine="360"/>
        <w:jc w:val="left"/>
      </w:pPr>
      <w:r>
        <w:rPr/>
        <w:t>基于公司丰富的平台优势、泛文化生态圈优势，结合公司原创优质</w:t>
      </w:r>
      <w:r>
        <w:rPr>
          <w:rFonts w:ascii="Times New Roman" w:hAnsi="Times New Roman" w:cs="Times New Roman" w:eastAsia="Times New Roman" w:hint="default"/>
        </w:rPr>
        <w:t>IP</w:t>
      </w:r>
      <w:r>
        <w:rPr/>
        <w:t>开发成功的典型案例：同道文化以同道大叔个人</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t>为载体</w:t>
      </w:r>
      <w:r>
        <w:rPr>
          <w:rFonts w:ascii="Times New Roman" w:hAnsi="Times New Roman" w:cs="Times New Roman" w:eastAsia="Times New Roman" w:hint="default"/>
        </w:rPr>
        <w:t>,</w:t>
      </w:r>
      <w:r>
        <w:rPr/>
        <w:t>以媒体运营、</w:t>
      </w:r>
      <w:r>
        <w:rPr>
          <w:rFonts w:ascii="Times New Roman" w:hAnsi="Times New Roman" w:cs="Times New Roman" w:eastAsia="Times New Roman" w:hint="default"/>
        </w:rPr>
        <w:t>IP</w:t>
      </w:r>
      <w:r>
        <w:rPr/>
        <w:t>内容开发与运营等形式构建泛娱乐消费场景。目前已有包括网剧《星座啪啪啪》和《超星星学园》、</w:t>
      </w:r>
      <w:r>
        <w:rPr>
          <w:spacing w:val="-86"/>
        </w:rPr>
        <w:t> </w:t>
      </w:r>
      <w:r>
        <w:rPr>
          <w:rFonts w:ascii="Times New Roman" w:hAnsi="Times New Roman" w:cs="Times New Roman" w:eastAsia="Times New Roman" w:hint="default"/>
        </w:rPr>
        <w:t>12</w:t>
      </w:r>
      <w:r>
        <w:rPr/>
        <w:t>星座咖啡厅、同道文化衍生品等周边。依托于公司的泛娱乐平台优势</w:t>
      </w:r>
      <w:r>
        <w:rPr>
          <w:rFonts w:ascii="Times New Roman" w:hAnsi="Times New Roman" w:cs="Times New Roman" w:eastAsia="Times New Roman" w:hint="default"/>
        </w:rPr>
        <w:t>,</w:t>
      </w:r>
      <w:r>
        <w:rPr/>
        <w:t>同道星座文化将持续进行全方位推广，涉及包括星</w:t>
      </w:r>
      <w:r>
        <w:rPr>
          <w:spacing w:val="-42"/>
        </w:rPr>
        <w:t> </w:t>
      </w:r>
      <w:r>
        <w:rPr>
          <w:spacing w:val="-42"/>
        </w:rPr>
      </w:r>
      <w:r>
        <w:rPr/>
        <w:t>座、动漫、趣味、娱乐、创意等各个领域。相比于传统媒体</w:t>
      </w:r>
      <w:r>
        <w:rPr>
          <w:rFonts w:ascii="Times New Roman" w:hAnsi="Times New Roman" w:cs="Times New Roman" w:eastAsia="Times New Roman" w:hint="default"/>
        </w:rPr>
        <w:t>,</w:t>
      </w:r>
      <w:r>
        <w:rPr/>
        <w:t>新媒体平台主观情感色彩更浓烈</w:t>
      </w:r>
      <w:r>
        <w:rPr>
          <w:rFonts w:ascii="Times New Roman" w:hAnsi="Times New Roman" w:cs="Times New Roman" w:eastAsia="Times New Roman" w:hint="default"/>
        </w:rPr>
        <w:t>,</w:t>
      </w:r>
      <w:r>
        <w:rPr/>
        <w:t>与公司的衍生品受众群特征更</w:t>
      </w:r>
      <w:r>
        <w:rPr>
          <w:spacing w:val="-82"/>
        </w:rPr>
        <w:t> </w:t>
      </w:r>
      <w:r>
        <w:rPr/>
        <w:t>为契合</w:t>
      </w:r>
      <w:r>
        <w:rPr>
          <w:rFonts w:ascii="Times New Roman" w:hAnsi="Times New Roman" w:cs="Times New Roman" w:eastAsia="Times New Roman" w:hint="default"/>
        </w:rPr>
        <w:t>,</w:t>
      </w:r>
      <w:r>
        <w:rPr/>
        <w:t>更适合作为公司的</w:t>
      </w:r>
      <w:r>
        <w:rPr>
          <w:rFonts w:ascii="Times New Roman" w:hAnsi="Times New Roman" w:cs="Times New Roman" w:eastAsia="Times New Roman" w:hint="default"/>
        </w:rPr>
        <w:t>IP</w:t>
      </w:r>
      <w:r>
        <w:rPr/>
        <w:t>衍生品宣发渠道。同道文化作为全网领先的顶级</w:t>
      </w:r>
      <w:r>
        <w:rPr>
          <w:rFonts w:ascii="Times New Roman" w:hAnsi="Times New Roman" w:cs="Times New Roman" w:eastAsia="Times New Roman" w:hint="default"/>
        </w:rPr>
        <w:t>IP</w:t>
      </w:r>
      <w:r>
        <w:rPr/>
        <w:t>，选择与公司强强合作，彰显出公司构建的</w:t>
      </w:r>
      <w:r>
        <w:rPr>
          <w:rFonts w:ascii="Times New Roman" w:hAnsi="Times New Roman" w:cs="Times New Roman" w:eastAsia="Times New Roman" w:hint="default"/>
        </w:rPr>
        <w:t>IP</w:t>
      </w:r>
      <w:r>
        <w:rPr>
          <w:rFonts w:ascii="Times New Roman" w:hAnsi="Times New Roman" w:cs="Times New Roman" w:eastAsia="Times New Roman" w:hint="default"/>
          <w:w w:val="99"/>
        </w:rPr>
        <w:t> </w:t>
      </w:r>
      <w:r>
        <w:rPr>
          <w:spacing w:val="-3"/>
        </w:rPr>
        <w:t>文化生态圈体系的核心价值，公司有望凭借其在</w:t>
      </w:r>
      <w:r>
        <w:rPr>
          <w:rFonts w:ascii="Times New Roman" w:hAnsi="Times New Roman" w:cs="Times New Roman" w:eastAsia="Times New Roman" w:hint="default"/>
          <w:spacing w:val="-3"/>
        </w:rPr>
        <w:t>IP</w:t>
      </w:r>
      <w:r>
        <w:rPr>
          <w:spacing w:val="-3"/>
        </w:rPr>
        <w:t>领域的竞争优势，加速同道的品牌化转变及变现。同道大叔与公司的合作，</w:t>
      </w:r>
      <w:r>
        <w:rPr>
          <w:spacing w:val="-49"/>
        </w:rPr>
        <w:t> </w:t>
      </w:r>
      <w:r>
        <w:rPr>
          <w:spacing w:val="-49"/>
        </w:rPr>
      </w:r>
      <w:r>
        <w:rPr/>
        <w:t>是国内第一个顶级</w:t>
      </w:r>
      <w:r>
        <w:rPr>
          <w:rFonts w:ascii="Times New Roman" w:hAnsi="Times New Roman" w:cs="Times New Roman" w:eastAsia="Times New Roman" w:hint="default"/>
        </w:rPr>
        <w:t>IP</w:t>
      </w:r>
      <w:r>
        <w:rPr/>
        <w:t>商业化、品牌化的探索，价值巨大，同时也标志着公司</w:t>
      </w:r>
      <w:r>
        <w:rPr>
          <w:rFonts w:ascii="Times New Roman" w:hAnsi="Times New Roman" w:cs="Times New Roman" w:eastAsia="Times New Roman" w:hint="default"/>
        </w:rPr>
        <w:t>IP</w:t>
      </w:r>
      <w:r>
        <w:rPr/>
        <w:t>长效价值变现战略的正式启动。基于公司泛娱 </w:t>
      </w:r>
      <w:r>
        <w:rPr>
          <w:spacing w:val="-2"/>
        </w:rPr>
        <w:t>乐平台优势，进一步对星座文化进行推广。《星座啪啪啪》是公司参与出品的一部青春网络剧，于</w:t>
      </w:r>
      <w:r>
        <w:rPr>
          <w:rFonts w:ascii="Times New Roman" w:hAnsi="Times New Roman" w:cs="Times New Roman" w:eastAsia="Times New Roman" w:hint="default"/>
          <w:spacing w:val="-2"/>
        </w:rPr>
        <w:t>2016</w:t>
      </w:r>
      <w:r>
        <w:rPr>
          <w:spacing w:val="-2"/>
        </w:rPr>
        <w:t>年播出，凭借新颖的</w:t>
      </w:r>
      <w:r>
        <w:rPr>
          <w:spacing w:val="-60"/>
        </w:rPr>
        <w:t> </w:t>
      </w:r>
      <w:r>
        <w:rPr>
          <w:spacing w:val="-60"/>
        </w:rPr>
      </w:r>
      <w:r>
        <w:rPr/>
        <w:t>星座题材、搞笑的人设、脑洞大开的剧情反转赢得了观众的口碑，成为</w:t>
      </w:r>
      <w:r>
        <w:rPr>
          <w:rFonts w:ascii="Times New Roman" w:hAnsi="Times New Roman" w:cs="Times New Roman" w:eastAsia="Times New Roman" w:hint="default"/>
        </w:rPr>
        <w:t>2016</w:t>
      </w:r>
      <w:r>
        <w:rPr/>
        <w:t>年暑假档网剧的</w:t>
      </w:r>
      <w:r>
        <w:rPr>
          <w:rFonts w:ascii="Times New Roman" w:hAnsi="Times New Roman" w:cs="Times New Roman" w:eastAsia="Times New Roman" w:hint="default"/>
        </w:rPr>
        <w:t>“</w:t>
      </w:r>
      <w:r>
        <w:rPr/>
        <w:t>黑马</w:t>
      </w:r>
      <w:r>
        <w:rPr>
          <w:rFonts w:ascii="Times New Roman" w:hAnsi="Times New Roman" w:cs="Times New Roman" w:eastAsia="Times New Roman" w:hint="default"/>
        </w:rPr>
        <w:t>”</w:t>
      </w:r>
      <w:r>
        <w:rPr/>
        <w:t>。上线第二天全网点击量 排名第三，播放量达到</w:t>
      </w:r>
      <w:r>
        <w:rPr>
          <w:rFonts w:ascii="Times New Roman" w:hAnsi="Times New Roman" w:cs="Times New Roman" w:eastAsia="Times New Roman" w:hint="default"/>
        </w:rPr>
        <w:t>1.2</w:t>
      </w:r>
      <w:r>
        <w:rPr/>
        <w:t>亿次，乐视视频评分</w:t>
      </w:r>
      <w:r>
        <w:rPr>
          <w:rFonts w:ascii="Times New Roman" w:hAnsi="Times New Roman" w:cs="Times New Roman" w:eastAsia="Times New Roman" w:hint="default"/>
        </w:rPr>
        <w:t>9.8</w:t>
      </w:r>
      <w:r>
        <w:rPr/>
        <w:t>分。另外公司参与出品同道大叔监制的青春校园超能力网络剧《超星星学</w:t>
      </w:r>
      <w:r>
        <w:rPr>
          <w:spacing w:val="-86"/>
        </w:rPr>
        <w:t> </w:t>
      </w:r>
      <w:r>
        <w:rPr/>
        <w:t>园》也于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日在腾讯视频独家上线，其热度一度飙升，上线首日微博实时热门话题排行第一，上线仅</w:t>
      </w:r>
      <w:r>
        <w:rPr>
          <w:rFonts w:ascii="Times New Roman" w:hAnsi="Times New Roman" w:cs="Times New Roman" w:eastAsia="Times New Roman" w:hint="default"/>
        </w:rPr>
        <w:t>3</w:t>
      </w:r>
      <w:r>
        <w:rPr/>
        <w:t>天播放量破 亿</w:t>
      </w:r>
      <w:r>
        <w:rPr>
          <w:spacing w:val="16"/>
        </w:rPr>
        <w:t> </w:t>
      </w:r>
      <w:r>
        <w:rPr>
          <w:spacing w:val="-2"/>
        </w:rPr>
        <w:t>，同时还入驻炫舞时代游戏，吸引了一大批观剧粉丝和游戏玩家。公司还参与出品青春音乐网剧《薛定谔的猫》等作品。</w:t>
      </w:r>
    </w:p>
    <w:p>
      <w:pPr>
        <w:pStyle w:val="BodyText"/>
        <w:spacing w:line="304" w:lineRule="auto" w:before="51"/>
        <w:ind w:right="1104"/>
        <w:jc w:val="left"/>
      </w:pPr>
      <w:r>
        <w:rPr>
          <w:rFonts w:ascii="Times New Roman" w:hAnsi="Times New Roman" w:cs="Times New Roman" w:eastAsia="Times New Roman" w:hint="default"/>
        </w:rPr>
        <w:t>18</w:t>
      </w:r>
      <w:r>
        <w:rPr/>
        <w:t>年</w:t>
      </w:r>
      <w:r>
        <w:rPr>
          <w:rFonts w:ascii="Times New Roman" w:hAnsi="Times New Roman" w:cs="Times New Roman" w:eastAsia="Times New Roman" w:hint="default"/>
        </w:rPr>
        <w:t>4</w:t>
      </w:r>
      <w:r>
        <w:rPr/>
        <w:t>月，由美盛文化、新昌舞唐影业有限公司、北京星座女神文化传媒有限公司出品，同道大叔监制的网剧星座啪啪啪系 </w:t>
      </w:r>
      <w:r>
        <w:rPr>
          <w:spacing w:val="-1"/>
        </w:rPr>
        <w:t>列第二季《防水逆联盟》在爱奇艺独家上线，并入围第八届北京国际电影节第二届网影盛典</w:t>
      </w:r>
      <w:r>
        <w:rPr>
          <w:rFonts w:ascii="Times New Roman" w:hAnsi="Times New Roman" w:cs="Times New Roman" w:eastAsia="Times New Roman" w:hint="default"/>
          <w:spacing w:val="-1"/>
        </w:rPr>
        <w:t>“</w:t>
      </w:r>
      <w:r>
        <w:rPr>
          <w:spacing w:val="-1"/>
        </w:rPr>
        <w:t>年度十佳网络剧</w:t>
      </w:r>
      <w:r>
        <w:rPr>
          <w:rFonts w:ascii="Times New Roman" w:hAnsi="Times New Roman" w:cs="Times New Roman" w:eastAsia="Times New Roman" w:hint="default"/>
          <w:spacing w:val="-1"/>
        </w:rPr>
        <w:t>”</w:t>
      </w:r>
      <w:r>
        <w:rPr>
          <w:spacing w:val="-1"/>
        </w:rPr>
        <w:t>，导演李晨恺</w:t>
      </w:r>
    </w:p>
    <w:p>
      <w:pPr>
        <w:spacing w:after="0" w:line="304"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4" w:lineRule="auto"/>
        <w:ind w:right="1096"/>
        <w:jc w:val="both"/>
      </w:pPr>
      <w:r>
        <w:rPr/>
        <w:t>入围</w:t>
      </w:r>
      <w:r>
        <w:rPr>
          <w:rFonts w:ascii="Times New Roman" w:hAnsi="Times New Roman" w:cs="Times New Roman" w:eastAsia="Times New Roman" w:hint="default"/>
        </w:rPr>
        <w:t>“</w:t>
      </w:r>
      <w:r>
        <w:rPr/>
        <w:t>年度十佳网络剧导演</w:t>
      </w:r>
      <w:r>
        <w:rPr>
          <w:rFonts w:ascii="Times New Roman" w:hAnsi="Times New Roman" w:cs="Times New Roman" w:eastAsia="Times New Roman" w:hint="default"/>
        </w:rPr>
        <w:t>”</w:t>
      </w:r>
      <w:r>
        <w:rPr/>
        <w:t>。优秀原创</w:t>
      </w:r>
      <w:r>
        <w:rPr>
          <w:rFonts w:ascii="Times New Roman" w:hAnsi="Times New Roman" w:cs="Times New Roman" w:eastAsia="Times New Roman" w:hint="default"/>
        </w:rPr>
        <w:t>IP</w:t>
      </w:r>
      <w:r>
        <w:rPr/>
        <w:t>形象的推出将建立对最终消费者的情感代入，增强消费者对</w:t>
      </w:r>
      <w:r>
        <w:rPr>
          <w:rFonts w:ascii="Times New Roman" w:hAnsi="Times New Roman" w:cs="Times New Roman" w:eastAsia="Times New Roman" w:hint="default"/>
        </w:rPr>
        <w:t>IP</w:t>
      </w:r>
      <w:r>
        <w:rPr/>
        <w:t>的认同度及粘性，同</w:t>
      </w:r>
      <w:r>
        <w:rPr>
          <w:spacing w:val="-83"/>
        </w:rPr>
        <w:t> </w:t>
      </w:r>
      <w:r>
        <w:rPr>
          <w:spacing w:val="-2"/>
        </w:rPr>
        <w:t>时也有助于提升广大消费者对美盛品牌的认知，对公司蕴含价值和文化的认同，不断为公司带来市场人气和用户沉淀，也将</w:t>
      </w:r>
      <w:r>
        <w:rPr>
          <w:spacing w:val="-75"/>
        </w:rPr>
        <w:t> </w:t>
      </w:r>
      <w:r>
        <w:rPr>
          <w:spacing w:val="-75"/>
        </w:rPr>
      </w:r>
      <w:r>
        <w:rPr/>
        <w:t>为文化生态圈下游产业输送创作源泉。丰富的原创内容已形成公司的核心优势。</w:t>
      </w:r>
    </w:p>
    <w:p>
      <w:pPr>
        <w:pStyle w:val="BodyText"/>
        <w:spacing w:line="288" w:lineRule="auto" w:before="151"/>
        <w:ind w:right="1101" w:firstLine="360"/>
        <w:jc w:val="left"/>
      </w:pPr>
      <w:r>
        <w:rPr>
          <w:spacing w:val="-1"/>
        </w:rPr>
        <w:t>未来公司将对各类渠道进行持续整合，更好的与整个泛娱乐生态圈对接。一体化经营有助于公司实现</w:t>
      </w:r>
      <w:r>
        <w:rPr>
          <w:rFonts w:ascii="Times New Roman" w:hAnsi="Times New Roman" w:cs="Times New Roman" w:eastAsia="Times New Roman" w:hint="default"/>
          <w:spacing w:val="-1"/>
        </w:rPr>
        <w:t>IP</w:t>
      </w:r>
      <w:r>
        <w:rPr>
          <w:spacing w:val="-1"/>
        </w:rPr>
        <w:t>资源的全产业链</w:t>
      </w:r>
      <w:r>
        <w:rPr/>
        <w:t> 开发和运营，实现不同文化产品的交叉销售，从而提高用户黏性和付费水平，实现公司文化生态圈的闭环。</w:t>
      </w:r>
    </w:p>
    <w:p>
      <w:pPr>
        <w:pStyle w:val="BodyText"/>
        <w:spacing w:line="436" w:lineRule="exact" w:before="25"/>
        <w:ind w:left="501" w:right="1133"/>
        <w:jc w:val="left"/>
      </w:pPr>
      <w:r>
        <w:rPr/>
        <w:t>四、人才优势 </w:t>
      </w:r>
      <w:r>
        <w:rPr>
          <w:spacing w:val="-2"/>
        </w:rPr>
        <w:t>公司始终坚持以人为本，多年来持续加强人力资源建设，注重人才引进和人才培养，目前已聚集了对公司文化和发展战</w:t>
      </w:r>
    </w:p>
    <w:p>
      <w:pPr>
        <w:pStyle w:val="BodyText"/>
        <w:spacing w:line="307" w:lineRule="auto" w:before="17"/>
        <w:ind w:right="1106"/>
        <w:jc w:val="both"/>
      </w:pPr>
      <w:r>
        <w:rPr>
          <w:spacing w:val="-2"/>
        </w:rPr>
        <w:t>略高度认同的优秀管理人才及由国内一流的动漫、游戏、影视、儿童剧、衍生品等文化产业各领域的高级专业人才组成的具</w:t>
      </w:r>
      <w:r>
        <w:rPr>
          <w:spacing w:val="-42"/>
        </w:rPr>
        <w:t> </w:t>
      </w:r>
      <w:r>
        <w:rPr>
          <w:spacing w:val="-42"/>
        </w:rPr>
      </w:r>
      <w:r>
        <w:rPr/>
        <w:t>有高度凝聚力的人才队伍。公司的人才优势为全产业链布局的协同效应的发挥提供了有力的保障。</w:t>
      </w:r>
    </w:p>
    <w:p>
      <w:pPr>
        <w:spacing w:after="0" w:line="307"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_TOC_250009" w:id="23"/>
      <w:bookmarkStart w:name="第四节经营情况讨论与分析" w:id="24"/>
      <w:r>
        <w:rPr>
          <w:b w:val="0"/>
          <w:bCs w:val="0"/>
        </w:rPr>
      </w:r>
      <w:r>
        <w:rPr>
          <w:spacing w:val="5"/>
        </w:rPr>
        <w:t>第四节经营情况讨论与分析</w:t>
      </w:r>
      <w:bookmarkEnd w:id="23"/>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2"/>
        <w:rPr>
          <w:rFonts w:ascii="宋体" w:hAnsi="宋体" w:cs="宋体" w:eastAsia="宋体" w:hint="default"/>
          <w:b/>
          <w:bCs/>
          <w:sz w:val="27"/>
          <w:szCs w:val="27"/>
        </w:rPr>
      </w:pPr>
    </w:p>
    <w:p>
      <w:pPr>
        <w:spacing w:line="336" w:lineRule="auto" w:before="0"/>
        <w:ind w:left="141" w:right="0" w:firstLine="0"/>
        <w:jc w:val="left"/>
        <w:rPr>
          <w:rFonts w:ascii="宋体" w:hAnsi="宋体" w:cs="宋体" w:eastAsia="宋体" w:hint="default"/>
          <w:sz w:val="16"/>
          <w:szCs w:val="16"/>
        </w:rPr>
      </w:pPr>
      <w:r>
        <w:rPr>
          <w:rFonts w:ascii="宋体" w:hAnsi="宋体" w:cs="宋体" w:eastAsia="宋体" w:hint="default"/>
          <w:spacing w:val="-4"/>
          <w:w w:val="105"/>
          <w:sz w:val="16"/>
          <w:szCs w:val="16"/>
        </w:rPr>
        <w:t>本期末货币资金</w:t>
      </w:r>
      <w:r>
        <w:rPr>
          <w:rFonts w:ascii="Times New Roman" w:hAnsi="Times New Roman" w:cs="Times New Roman" w:eastAsia="Times New Roman" w:hint="default"/>
          <w:spacing w:val="-4"/>
          <w:w w:val="105"/>
          <w:sz w:val="16"/>
          <w:szCs w:val="16"/>
        </w:rPr>
        <w:t>877700736.08</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134.09%</w:t>
      </w:r>
      <w:r>
        <w:rPr>
          <w:rFonts w:ascii="宋体" w:hAnsi="宋体" w:cs="宋体" w:eastAsia="宋体" w:hint="default"/>
          <w:spacing w:val="-4"/>
          <w:w w:val="105"/>
          <w:sz w:val="16"/>
          <w:szCs w:val="16"/>
        </w:rPr>
        <w:t>，主因收回往来款项。</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本期末应收账款</w:t>
      </w:r>
      <w:r>
        <w:rPr>
          <w:rFonts w:ascii="Times New Roman" w:hAnsi="Times New Roman" w:cs="Times New Roman" w:eastAsia="Times New Roman" w:hint="default"/>
          <w:spacing w:val="-5"/>
          <w:w w:val="105"/>
          <w:sz w:val="16"/>
          <w:szCs w:val="16"/>
        </w:rPr>
        <w:t>372193614.86</w:t>
      </w:r>
      <w:r>
        <w:rPr>
          <w:rFonts w:ascii="宋体" w:hAnsi="宋体" w:cs="宋体" w:eastAsia="宋体" w:hint="default"/>
          <w:spacing w:val="-5"/>
          <w:w w:val="105"/>
          <w:sz w:val="16"/>
          <w:szCs w:val="16"/>
        </w:rPr>
        <w:t>元，较期初数增加</w:t>
      </w:r>
      <w:r>
        <w:rPr>
          <w:rFonts w:ascii="Times New Roman" w:hAnsi="Times New Roman" w:cs="Times New Roman" w:eastAsia="Times New Roman" w:hint="default"/>
          <w:spacing w:val="-5"/>
          <w:w w:val="105"/>
          <w:sz w:val="16"/>
          <w:szCs w:val="16"/>
        </w:rPr>
        <w:t>56.83%</w:t>
      </w:r>
      <w:r>
        <w:rPr>
          <w:rFonts w:ascii="宋体" w:hAnsi="宋体" w:cs="宋体" w:eastAsia="宋体" w:hint="default"/>
          <w:spacing w:val="-5"/>
          <w:w w:val="105"/>
          <w:sz w:val="16"/>
          <w:szCs w:val="16"/>
        </w:rPr>
        <w:t>，主因公司收购</w:t>
      </w:r>
      <w:r>
        <w:rPr>
          <w:rFonts w:ascii="Times New Roman" w:hAnsi="Times New Roman" w:cs="Times New Roman" w:eastAsia="Times New Roman" w:hint="default"/>
          <w:spacing w:val="-5"/>
          <w:w w:val="105"/>
          <w:sz w:val="16"/>
          <w:szCs w:val="16"/>
        </w:rPr>
        <w:t>NT,</w:t>
      </w:r>
      <w:r>
        <w:rPr>
          <w:rFonts w:ascii="宋体" w:hAnsi="宋体" w:cs="宋体" w:eastAsia="宋体" w:hint="default"/>
          <w:spacing w:val="-5"/>
          <w:w w:val="105"/>
          <w:sz w:val="16"/>
          <w:szCs w:val="16"/>
        </w:rPr>
        <w:t>合并范围扩大，因此应收账款增加较为明显。</w:t>
      </w:r>
      <w:r>
        <w:rPr>
          <w:rFonts w:ascii="宋体" w:hAnsi="宋体" w:cs="宋体" w:eastAsia="宋体" w:hint="default"/>
          <w:w w:val="103"/>
          <w:sz w:val="16"/>
          <w:szCs w:val="16"/>
        </w:rPr>
        <w:t> </w:t>
      </w:r>
      <w:r>
        <w:rPr>
          <w:rFonts w:ascii="宋体" w:hAnsi="宋体" w:cs="宋体" w:eastAsia="宋体" w:hint="default"/>
          <w:spacing w:val="-4"/>
          <w:sz w:val="16"/>
          <w:szCs w:val="16"/>
        </w:rPr>
        <w:t>本期末预付款项</w:t>
      </w:r>
      <w:r>
        <w:rPr>
          <w:rFonts w:ascii="Times New Roman" w:hAnsi="Times New Roman" w:cs="Times New Roman" w:eastAsia="Times New Roman" w:hint="default"/>
          <w:spacing w:val="-4"/>
          <w:sz w:val="16"/>
          <w:szCs w:val="16"/>
        </w:rPr>
        <w:t>88193550.21</w:t>
      </w:r>
      <w:r>
        <w:rPr>
          <w:rFonts w:ascii="宋体" w:hAnsi="宋体" w:cs="宋体" w:eastAsia="宋体" w:hint="default"/>
          <w:spacing w:val="-4"/>
          <w:sz w:val="16"/>
          <w:szCs w:val="16"/>
        </w:rPr>
        <w:t>元，较期初数增加</w:t>
      </w:r>
      <w:r>
        <w:rPr>
          <w:rFonts w:ascii="Times New Roman" w:hAnsi="Times New Roman" w:cs="Times New Roman" w:eastAsia="Times New Roman" w:hint="default"/>
          <w:spacing w:val="-4"/>
          <w:sz w:val="16"/>
          <w:szCs w:val="16"/>
        </w:rPr>
        <w:t>203.31%</w:t>
      </w:r>
      <w:r>
        <w:rPr>
          <w:rFonts w:ascii="宋体" w:hAnsi="宋体" w:cs="宋体" w:eastAsia="宋体" w:hint="default"/>
          <w:spacing w:val="-4"/>
          <w:sz w:val="16"/>
          <w:szCs w:val="16"/>
        </w:rPr>
        <w:t>，主因公司本期收购</w:t>
      </w:r>
      <w:r>
        <w:rPr>
          <w:rFonts w:ascii="Times New Roman" w:hAnsi="Times New Roman" w:cs="Times New Roman" w:eastAsia="Times New Roman" w:hint="default"/>
          <w:spacing w:val="-4"/>
          <w:sz w:val="16"/>
          <w:szCs w:val="16"/>
        </w:rPr>
        <w:t>NEW </w:t>
      </w:r>
      <w:r>
        <w:rPr>
          <w:rFonts w:ascii="Times New Roman" w:hAnsi="Times New Roman" w:cs="Times New Roman" w:eastAsia="Times New Roman" w:hint="default"/>
          <w:spacing w:val="-5"/>
          <w:sz w:val="16"/>
          <w:szCs w:val="16"/>
        </w:rPr>
        <w:t>TIME</w:t>
      </w:r>
      <w:r>
        <w:rPr>
          <w:rFonts w:ascii="宋体" w:hAnsi="宋体" w:cs="宋体" w:eastAsia="宋体" w:hint="default"/>
          <w:spacing w:val="-5"/>
          <w:sz w:val="16"/>
          <w:szCs w:val="16"/>
        </w:rPr>
        <w:t>，四季度订单因《冰雪奇缘</w:t>
      </w:r>
      <w:r>
        <w:rPr>
          <w:rFonts w:ascii="Times New Roman" w:hAnsi="Times New Roman" w:cs="Times New Roman" w:eastAsia="Times New Roman" w:hint="default"/>
          <w:spacing w:val="-5"/>
          <w:sz w:val="16"/>
          <w:szCs w:val="16"/>
        </w:rPr>
        <w:t>2</w:t>
      </w:r>
      <w:r>
        <w:rPr>
          <w:rFonts w:ascii="宋体" w:hAnsi="宋体" w:cs="宋体" w:eastAsia="宋体" w:hint="default"/>
          <w:spacing w:val="-5"/>
          <w:sz w:val="16"/>
          <w:szCs w:val="16"/>
        </w:rPr>
        <w:t>》的上映有所增加，需</w:t>
      </w:r>
      <w:r>
        <w:rPr>
          <w:rFonts w:ascii="宋体" w:hAnsi="宋体" w:cs="宋体" w:eastAsia="宋体" w:hint="default"/>
          <w:spacing w:val="33"/>
          <w:sz w:val="16"/>
          <w:szCs w:val="16"/>
        </w:rPr>
        <w:t> </w:t>
      </w:r>
      <w:r>
        <w:rPr>
          <w:rFonts w:ascii="宋体" w:hAnsi="宋体" w:cs="宋体" w:eastAsia="宋体" w:hint="default"/>
          <w:spacing w:val="33"/>
          <w:sz w:val="16"/>
          <w:szCs w:val="16"/>
        </w:rPr>
      </w:r>
      <w:r>
        <w:rPr>
          <w:rFonts w:ascii="宋体" w:hAnsi="宋体" w:cs="宋体" w:eastAsia="宋体" w:hint="default"/>
          <w:spacing w:val="-3"/>
          <w:w w:val="105"/>
          <w:sz w:val="16"/>
          <w:szCs w:val="16"/>
        </w:rPr>
        <w:t>预订生产所需原物料。</w:t>
      </w:r>
      <w:r>
        <w:rPr>
          <w:rFonts w:ascii="宋体" w:hAnsi="宋体" w:cs="宋体" w:eastAsia="宋体" w:hint="default"/>
          <w:spacing w:val="-3"/>
          <w:sz w:val="16"/>
          <w:szCs w:val="16"/>
        </w:rPr>
      </w:r>
    </w:p>
    <w:p>
      <w:pPr>
        <w:spacing w:line="338" w:lineRule="auto" w:before="42"/>
        <w:ind w:left="141" w:right="1110" w:firstLine="0"/>
        <w:jc w:val="left"/>
        <w:rPr>
          <w:rFonts w:ascii="宋体" w:hAnsi="宋体" w:cs="宋体" w:eastAsia="宋体" w:hint="default"/>
          <w:sz w:val="16"/>
          <w:szCs w:val="16"/>
        </w:rPr>
      </w:pPr>
      <w:r>
        <w:rPr>
          <w:rFonts w:ascii="宋体" w:hAnsi="宋体" w:cs="宋体" w:eastAsia="宋体" w:hint="default"/>
          <w:spacing w:val="-4"/>
          <w:w w:val="105"/>
          <w:sz w:val="16"/>
          <w:szCs w:val="16"/>
        </w:rPr>
        <w:t>本期末其他应收款</w:t>
      </w:r>
      <w:r>
        <w:rPr>
          <w:rFonts w:ascii="Times New Roman" w:hAnsi="Times New Roman" w:cs="Times New Roman" w:eastAsia="Times New Roman" w:hint="default"/>
          <w:spacing w:val="-4"/>
          <w:w w:val="105"/>
          <w:sz w:val="16"/>
          <w:szCs w:val="16"/>
        </w:rPr>
        <w:t>74631851.75</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-95.17%</w:t>
      </w:r>
      <w:r>
        <w:rPr>
          <w:rFonts w:ascii="宋体" w:hAnsi="宋体" w:cs="宋体" w:eastAsia="宋体" w:hint="default"/>
          <w:spacing w:val="-4"/>
          <w:w w:val="105"/>
          <w:sz w:val="16"/>
          <w:szCs w:val="16"/>
        </w:rPr>
        <w:t>，主因公司收回往来款。</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本期末存货</w:t>
      </w:r>
      <w:r>
        <w:rPr>
          <w:rFonts w:ascii="Times New Roman" w:hAnsi="Times New Roman" w:cs="Times New Roman" w:eastAsia="Times New Roman" w:hint="default"/>
          <w:spacing w:val="-4"/>
          <w:w w:val="105"/>
          <w:sz w:val="16"/>
          <w:szCs w:val="16"/>
        </w:rPr>
        <w:t>199870393.02</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52.93%</w:t>
      </w:r>
      <w:r>
        <w:rPr>
          <w:rFonts w:ascii="宋体" w:hAnsi="宋体" w:cs="宋体" w:eastAsia="宋体" w:hint="default"/>
          <w:spacing w:val="-4"/>
          <w:w w:val="105"/>
          <w:sz w:val="16"/>
          <w:szCs w:val="16"/>
        </w:rPr>
        <w:t>，主因公司收购</w:t>
      </w:r>
      <w:r>
        <w:rPr>
          <w:rFonts w:ascii="Times New Roman" w:hAnsi="Times New Roman" w:cs="Times New Roman" w:eastAsia="Times New Roman" w:hint="default"/>
          <w:spacing w:val="-4"/>
          <w:w w:val="105"/>
          <w:sz w:val="16"/>
          <w:szCs w:val="16"/>
        </w:rPr>
        <w:t>NT,</w:t>
      </w:r>
      <w:r>
        <w:rPr>
          <w:rFonts w:ascii="宋体" w:hAnsi="宋体" w:cs="宋体" w:eastAsia="宋体" w:hint="default"/>
          <w:spacing w:val="-4"/>
          <w:w w:val="105"/>
          <w:sz w:val="16"/>
          <w:szCs w:val="16"/>
        </w:rPr>
        <w:t>合并范围扩大，因此存货增加较为明显。</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本期末其他流动资产</w:t>
      </w:r>
      <w:r>
        <w:rPr>
          <w:rFonts w:ascii="Times New Roman" w:hAnsi="Times New Roman" w:cs="Times New Roman" w:eastAsia="Times New Roman" w:hint="default"/>
          <w:spacing w:val="-5"/>
          <w:w w:val="105"/>
          <w:sz w:val="16"/>
          <w:szCs w:val="16"/>
        </w:rPr>
        <w:t>23458154.81</w:t>
      </w:r>
      <w:r>
        <w:rPr>
          <w:rFonts w:ascii="宋体" w:hAnsi="宋体" w:cs="宋体" w:eastAsia="宋体" w:hint="default"/>
          <w:spacing w:val="-5"/>
          <w:w w:val="105"/>
          <w:sz w:val="16"/>
          <w:szCs w:val="16"/>
        </w:rPr>
        <w:t>元，较期初数增加</w:t>
      </w:r>
      <w:r>
        <w:rPr>
          <w:rFonts w:ascii="Times New Roman" w:hAnsi="Times New Roman" w:cs="Times New Roman" w:eastAsia="Times New Roman" w:hint="default"/>
          <w:spacing w:val="-5"/>
          <w:w w:val="105"/>
          <w:sz w:val="16"/>
          <w:szCs w:val="16"/>
        </w:rPr>
        <w:t>-42.63%</w:t>
      </w:r>
      <w:r>
        <w:rPr>
          <w:rFonts w:ascii="宋体" w:hAnsi="宋体" w:cs="宋体" w:eastAsia="宋体" w:hint="default"/>
          <w:spacing w:val="-5"/>
          <w:w w:val="105"/>
          <w:sz w:val="16"/>
          <w:szCs w:val="16"/>
        </w:rPr>
        <w:t>，主因公司调整购买的理财产品结构。</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本期末长期股权投资</w:t>
      </w:r>
      <w:r>
        <w:rPr>
          <w:rFonts w:ascii="Times New Roman" w:hAnsi="Times New Roman" w:cs="Times New Roman" w:eastAsia="Times New Roman" w:hint="default"/>
          <w:spacing w:val="-4"/>
          <w:w w:val="105"/>
          <w:sz w:val="16"/>
          <w:szCs w:val="16"/>
        </w:rPr>
        <w:t>86976899.17</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-38.68%</w:t>
      </w:r>
      <w:r>
        <w:rPr>
          <w:rFonts w:ascii="宋体" w:hAnsi="宋体" w:cs="宋体" w:eastAsia="宋体" w:hint="default"/>
          <w:spacing w:val="-4"/>
          <w:w w:val="105"/>
          <w:sz w:val="16"/>
          <w:szCs w:val="16"/>
        </w:rPr>
        <w:t>，主因</w:t>
      </w:r>
      <w:r>
        <w:rPr>
          <w:rFonts w:ascii="Times New Roman" w:hAnsi="Times New Roman" w:cs="Times New Roman" w:eastAsia="Times New Roman" w:hint="default"/>
          <w:spacing w:val="-4"/>
          <w:w w:val="105"/>
          <w:sz w:val="16"/>
          <w:szCs w:val="16"/>
        </w:rPr>
        <w:t>Jakks</w:t>
      </w:r>
      <w:r>
        <w:rPr>
          <w:rFonts w:ascii="Times New Roman" w:hAnsi="Times New Roman" w:cs="Times New Roman" w:eastAsia="Times New Roman" w:hint="default"/>
          <w:spacing w:val="-18"/>
          <w:w w:val="105"/>
          <w:sz w:val="16"/>
          <w:szCs w:val="16"/>
        </w:rPr>
        <w:t> </w:t>
      </w:r>
      <w:r>
        <w:rPr>
          <w:rFonts w:ascii="Times New Roman" w:hAnsi="Times New Roman" w:cs="Times New Roman" w:eastAsia="Times New Roman" w:hint="default"/>
          <w:spacing w:val="-3"/>
          <w:w w:val="105"/>
          <w:sz w:val="16"/>
          <w:szCs w:val="16"/>
        </w:rPr>
        <w:t>Pacific</w:t>
      </w:r>
      <w:r>
        <w:rPr>
          <w:rFonts w:ascii="宋体" w:hAnsi="宋体" w:cs="宋体" w:eastAsia="宋体" w:hint="default"/>
          <w:spacing w:val="-3"/>
          <w:w w:val="105"/>
          <w:sz w:val="16"/>
          <w:szCs w:val="16"/>
        </w:rPr>
        <w:t>本年度亏损所致。</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本期末无形资产</w:t>
      </w:r>
      <w:r>
        <w:rPr>
          <w:rFonts w:ascii="Times New Roman" w:hAnsi="Times New Roman" w:cs="Times New Roman" w:eastAsia="Times New Roman" w:hint="default"/>
          <w:spacing w:val="-4"/>
          <w:w w:val="105"/>
          <w:sz w:val="16"/>
          <w:szCs w:val="16"/>
        </w:rPr>
        <w:t>85315606.39</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105.45%</w:t>
      </w:r>
      <w:r>
        <w:rPr>
          <w:rFonts w:ascii="宋体" w:hAnsi="宋体" w:cs="宋体" w:eastAsia="宋体" w:hint="default"/>
          <w:spacing w:val="-4"/>
          <w:w w:val="105"/>
          <w:sz w:val="16"/>
          <w:szCs w:val="16"/>
        </w:rPr>
        <w:t>，主因公司收购</w:t>
      </w:r>
      <w:r>
        <w:rPr>
          <w:rFonts w:ascii="Times New Roman" w:hAnsi="Times New Roman" w:cs="Times New Roman" w:eastAsia="Times New Roman" w:hint="default"/>
          <w:spacing w:val="-4"/>
          <w:w w:val="105"/>
          <w:sz w:val="16"/>
          <w:szCs w:val="16"/>
        </w:rPr>
        <w:t>New</w:t>
      </w:r>
      <w:r>
        <w:rPr>
          <w:rFonts w:ascii="Times New Roman" w:hAnsi="Times New Roman" w:cs="Times New Roman" w:eastAsia="Times New Roman" w:hint="default"/>
          <w:spacing w:val="-30"/>
          <w:w w:val="105"/>
          <w:sz w:val="16"/>
          <w:szCs w:val="16"/>
        </w:rPr>
        <w:t> </w:t>
      </w:r>
      <w:r>
        <w:rPr>
          <w:rFonts w:ascii="Times New Roman" w:hAnsi="Times New Roman" w:cs="Times New Roman" w:eastAsia="Times New Roman" w:hint="default"/>
          <w:spacing w:val="-4"/>
          <w:w w:val="105"/>
          <w:sz w:val="16"/>
          <w:szCs w:val="16"/>
        </w:rPr>
        <w:t>Time,</w:t>
      </w:r>
      <w:r>
        <w:rPr>
          <w:rFonts w:ascii="宋体" w:hAnsi="宋体" w:cs="宋体" w:eastAsia="宋体" w:hint="default"/>
          <w:spacing w:val="-4"/>
          <w:w w:val="105"/>
          <w:sz w:val="16"/>
          <w:szCs w:val="16"/>
        </w:rPr>
        <w:t>合并范围扩大，因此无形资产增加较为明显。</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本期末商誉</w:t>
      </w:r>
      <w:r>
        <w:rPr>
          <w:rFonts w:ascii="Times New Roman" w:hAnsi="Times New Roman" w:cs="Times New Roman" w:eastAsia="Times New Roman" w:hint="default"/>
          <w:spacing w:val="-4"/>
          <w:w w:val="105"/>
          <w:sz w:val="16"/>
          <w:szCs w:val="16"/>
        </w:rPr>
        <w:t>1182795042.78</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45.43%</w:t>
      </w:r>
      <w:r>
        <w:rPr>
          <w:rFonts w:ascii="宋体" w:hAnsi="宋体" w:cs="宋体" w:eastAsia="宋体" w:hint="default"/>
          <w:spacing w:val="-4"/>
          <w:w w:val="105"/>
          <w:sz w:val="16"/>
          <w:szCs w:val="16"/>
        </w:rPr>
        <w:t>，主因公司本期收购</w:t>
      </w:r>
      <w:r>
        <w:rPr>
          <w:rFonts w:ascii="Times New Roman" w:hAnsi="Times New Roman" w:cs="Times New Roman" w:eastAsia="Times New Roman" w:hint="default"/>
          <w:spacing w:val="-4"/>
          <w:w w:val="105"/>
          <w:sz w:val="16"/>
          <w:szCs w:val="16"/>
        </w:rPr>
        <w:t>NEW </w:t>
      </w:r>
      <w:r>
        <w:rPr>
          <w:rFonts w:ascii="Times New Roman" w:hAnsi="Times New Roman" w:cs="Times New Roman" w:eastAsia="Times New Roman" w:hint="default"/>
          <w:w w:val="105"/>
          <w:sz w:val="16"/>
          <w:szCs w:val="16"/>
        </w:rPr>
        <w:t>TIME</w:t>
      </w:r>
      <w:r>
        <w:rPr>
          <w:rFonts w:ascii="Times New Roman" w:hAnsi="Times New Roman" w:cs="Times New Roman" w:eastAsia="Times New Roman" w:hint="default"/>
          <w:spacing w:val="7"/>
          <w:w w:val="105"/>
          <w:sz w:val="16"/>
          <w:szCs w:val="16"/>
        </w:rPr>
        <w:t> </w:t>
      </w:r>
      <w:r>
        <w:rPr>
          <w:rFonts w:ascii="宋体" w:hAnsi="宋体" w:cs="宋体" w:eastAsia="宋体" w:hint="default"/>
          <w:w w:val="105"/>
          <w:sz w:val="16"/>
          <w:szCs w:val="16"/>
        </w:rPr>
        <w:t>所致。</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本期末短期借款</w:t>
      </w:r>
      <w:r>
        <w:rPr>
          <w:rFonts w:ascii="Times New Roman" w:hAnsi="Times New Roman" w:cs="Times New Roman" w:eastAsia="Times New Roman" w:hint="default"/>
          <w:spacing w:val="-4"/>
          <w:w w:val="105"/>
          <w:sz w:val="16"/>
          <w:szCs w:val="16"/>
        </w:rPr>
        <w:t>312734574.94</w:t>
      </w:r>
      <w:r>
        <w:rPr>
          <w:rFonts w:ascii="宋体" w:hAnsi="宋体" w:cs="宋体" w:eastAsia="宋体" w:hint="default"/>
          <w:spacing w:val="-4"/>
          <w:w w:val="105"/>
          <w:sz w:val="16"/>
          <w:szCs w:val="16"/>
        </w:rPr>
        <w:t>元，较期初数增加</w:t>
      </w:r>
      <w:r>
        <w:rPr>
          <w:rFonts w:ascii="Times New Roman" w:hAnsi="Times New Roman" w:cs="Times New Roman" w:eastAsia="Times New Roman" w:hint="default"/>
          <w:spacing w:val="-4"/>
          <w:w w:val="105"/>
          <w:sz w:val="16"/>
          <w:szCs w:val="16"/>
        </w:rPr>
        <w:t>-36.03%</w:t>
      </w:r>
      <w:r>
        <w:rPr>
          <w:rFonts w:ascii="宋体" w:hAnsi="宋体" w:cs="宋体" w:eastAsia="宋体" w:hint="default"/>
          <w:spacing w:val="-4"/>
          <w:w w:val="105"/>
          <w:sz w:val="16"/>
          <w:szCs w:val="16"/>
        </w:rPr>
        <w:t>，主因公司资金回笼，归还借款。</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本期末预收款项</w:t>
      </w:r>
      <w:r>
        <w:rPr>
          <w:rFonts w:ascii="Times New Roman" w:hAnsi="Times New Roman" w:cs="Times New Roman" w:eastAsia="Times New Roman" w:hint="default"/>
          <w:spacing w:val="-5"/>
          <w:w w:val="105"/>
          <w:sz w:val="16"/>
          <w:szCs w:val="16"/>
        </w:rPr>
        <w:t>15639927.18</w:t>
      </w:r>
      <w:r>
        <w:rPr>
          <w:rFonts w:ascii="宋体" w:hAnsi="宋体" w:cs="宋体" w:eastAsia="宋体" w:hint="default"/>
          <w:spacing w:val="-5"/>
          <w:w w:val="105"/>
          <w:sz w:val="16"/>
          <w:szCs w:val="16"/>
        </w:rPr>
        <w:t>元，较期初数增加</w:t>
      </w:r>
      <w:r>
        <w:rPr>
          <w:rFonts w:ascii="Times New Roman" w:hAnsi="Times New Roman" w:cs="Times New Roman" w:eastAsia="Times New Roman" w:hint="default"/>
          <w:spacing w:val="-5"/>
          <w:w w:val="105"/>
          <w:sz w:val="16"/>
          <w:szCs w:val="16"/>
        </w:rPr>
        <w:t>44.46%</w:t>
      </w:r>
      <w:r>
        <w:rPr>
          <w:rFonts w:ascii="宋体" w:hAnsi="宋体" w:cs="宋体" w:eastAsia="宋体" w:hint="default"/>
          <w:spacing w:val="-5"/>
          <w:w w:val="105"/>
          <w:sz w:val="16"/>
          <w:szCs w:val="16"/>
        </w:rPr>
        <w:t>，主因公司本期收购</w:t>
      </w:r>
      <w:r>
        <w:rPr>
          <w:rFonts w:ascii="Times New Roman" w:hAnsi="Times New Roman" w:cs="Times New Roman" w:eastAsia="Times New Roman" w:hint="default"/>
          <w:spacing w:val="-5"/>
          <w:w w:val="105"/>
          <w:sz w:val="16"/>
          <w:szCs w:val="16"/>
        </w:rPr>
        <w:t>NEW</w:t>
      </w:r>
      <w:r>
        <w:rPr>
          <w:rFonts w:ascii="Times New Roman" w:hAnsi="Times New Roman" w:cs="Times New Roman" w:eastAsia="Times New Roman" w:hint="default"/>
          <w:spacing w:val="-12"/>
          <w:w w:val="105"/>
          <w:sz w:val="16"/>
          <w:szCs w:val="16"/>
        </w:rPr>
        <w:t> </w:t>
      </w:r>
      <w:r>
        <w:rPr>
          <w:rFonts w:ascii="Times New Roman" w:hAnsi="Times New Roman" w:cs="Times New Roman" w:eastAsia="Times New Roman" w:hint="default"/>
          <w:spacing w:val="-4"/>
          <w:w w:val="105"/>
          <w:sz w:val="16"/>
          <w:szCs w:val="16"/>
        </w:rPr>
        <w:t>TIME</w:t>
      </w:r>
      <w:r>
        <w:rPr>
          <w:rFonts w:ascii="宋体" w:hAnsi="宋体" w:cs="宋体" w:eastAsia="宋体" w:hint="default"/>
          <w:spacing w:val="-4"/>
          <w:w w:val="105"/>
          <w:sz w:val="16"/>
          <w:szCs w:val="16"/>
        </w:rPr>
        <w:t>，合并范围扩大，与上年度核算范围不一致。</w:t>
      </w:r>
      <w:r>
        <w:rPr>
          <w:rFonts w:ascii="宋体" w:hAnsi="宋体" w:cs="宋体" w:eastAsia="宋体" w:hint="default"/>
          <w:w w:val="103"/>
          <w:sz w:val="16"/>
          <w:szCs w:val="16"/>
        </w:rPr>
        <w:t> </w:t>
      </w:r>
      <w:r>
        <w:rPr>
          <w:rFonts w:ascii="宋体" w:hAnsi="宋体" w:cs="宋体" w:eastAsia="宋体" w:hint="default"/>
          <w:spacing w:val="-5"/>
          <w:sz w:val="16"/>
          <w:szCs w:val="16"/>
        </w:rPr>
        <w:t>本期末应付职工薪酬</w:t>
      </w:r>
      <w:r>
        <w:rPr>
          <w:rFonts w:ascii="Times New Roman" w:hAnsi="Times New Roman" w:cs="Times New Roman" w:eastAsia="Times New Roman" w:hint="default"/>
          <w:spacing w:val="-5"/>
          <w:sz w:val="16"/>
          <w:szCs w:val="16"/>
        </w:rPr>
        <w:t>34323939.46</w:t>
      </w:r>
      <w:r>
        <w:rPr>
          <w:rFonts w:ascii="宋体" w:hAnsi="宋体" w:cs="宋体" w:eastAsia="宋体" w:hint="default"/>
          <w:spacing w:val="-5"/>
          <w:sz w:val="16"/>
          <w:szCs w:val="16"/>
        </w:rPr>
        <w:t>元，较期初数增加</w:t>
      </w:r>
      <w:r>
        <w:rPr>
          <w:rFonts w:ascii="Times New Roman" w:hAnsi="Times New Roman" w:cs="Times New Roman" w:eastAsia="Times New Roman" w:hint="default"/>
          <w:spacing w:val="-5"/>
          <w:sz w:val="16"/>
          <w:szCs w:val="16"/>
        </w:rPr>
        <w:t>134.35%</w:t>
      </w:r>
      <w:r>
        <w:rPr>
          <w:rFonts w:ascii="宋体" w:hAnsi="宋体" w:cs="宋体" w:eastAsia="宋体" w:hint="default"/>
          <w:spacing w:val="-5"/>
          <w:sz w:val="16"/>
          <w:szCs w:val="16"/>
        </w:rPr>
        <w:t>，主因公司本期收购</w:t>
      </w:r>
      <w:r>
        <w:rPr>
          <w:rFonts w:ascii="Times New Roman" w:hAnsi="Times New Roman" w:cs="Times New Roman" w:eastAsia="Times New Roman" w:hint="default"/>
          <w:spacing w:val="-5"/>
          <w:sz w:val="16"/>
          <w:szCs w:val="16"/>
        </w:rPr>
        <w:t>NEW TIME</w:t>
      </w:r>
      <w:r>
        <w:rPr>
          <w:rFonts w:ascii="宋体" w:hAnsi="宋体" w:cs="宋体" w:eastAsia="宋体" w:hint="default"/>
          <w:spacing w:val="-5"/>
          <w:sz w:val="16"/>
          <w:szCs w:val="16"/>
        </w:rPr>
        <w:t>，合并范围扩大，与上年度核算范围不一致。</w:t>
      </w:r>
      <w:r>
        <w:rPr>
          <w:rFonts w:ascii="宋体" w:hAnsi="宋体" w:cs="宋体" w:eastAsia="宋体" w:hint="default"/>
          <w:spacing w:val="2"/>
          <w:sz w:val="16"/>
          <w:szCs w:val="16"/>
        </w:rPr>
        <w:t> </w:t>
      </w:r>
      <w:r>
        <w:rPr>
          <w:rFonts w:ascii="宋体" w:hAnsi="宋体" w:cs="宋体" w:eastAsia="宋体" w:hint="default"/>
          <w:spacing w:val="2"/>
          <w:sz w:val="16"/>
          <w:szCs w:val="16"/>
        </w:rPr>
      </w:r>
      <w:r>
        <w:rPr>
          <w:rFonts w:ascii="宋体" w:hAnsi="宋体" w:cs="宋体" w:eastAsia="宋体" w:hint="default"/>
          <w:spacing w:val="-5"/>
          <w:w w:val="105"/>
          <w:sz w:val="16"/>
          <w:szCs w:val="16"/>
        </w:rPr>
        <w:t>本期末其他应付款</w:t>
      </w:r>
      <w:r>
        <w:rPr>
          <w:rFonts w:ascii="Times New Roman" w:hAnsi="Times New Roman" w:cs="Times New Roman" w:eastAsia="Times New Roman" w:hint="default"/>
          <w:spacing w:val="-5"/>
          <w:w w:val="105"/>
          <w:sz w:val="16"/>
          <w:szCs w:val="16"/>
        </w:rPr>
        <w:t>11238940.24</w:t>
      </w:r>
      <w:r>
        <w:rPr>
          <w:rFonts w:ascii="宋体" w:hAnsi="宋体" w:cs="宋体" w:eastAsia="宋体" w:hint="default"/>
          <w:spacing w:val="-5"/>
          <w:w w:val="105"/>
          <w:sz w:val="16"/>
          <w:szCs w:val="16"/>
        </w:rPr>
        <w:t>元，较期初数增加</w:t>
      </w:r>
      <w:r>
        <w:rPr>
          <w:rFonts w:ascii="Times New Roman" w:hAnsi="Times New Roman" w:cs="Times New Roman" w:eastAsia="Times New Roman" w:hint="default"/>
          <w:spacing w:val="-5"/>
          <w:w w:val="105"/>
          <w:sz w:val="16"/>
          <w:szCs w:val="16"/>
        </w:rPr>
        <w:t>-65.21%</w:t>
      </w:r>
      <w:r>
        <w:rPr>
          <w:rFonts w:ascii="宋体" w:hAnsi="宋体" w:cs="宋体" w:eastAsia="宋体" w:hint="default"/>
          <w:spacing w:val="-5"/>
          <w:w w:val="105"/>
          <w:sz w:val="16"/>
          <w:szCs w:val="16"/>
        </w:rPr>
        <w:t>，主因公司资金回笼，归还借款。</w:t>
      </w:r>
      <w:r>
        <w:rPr>
          <w:rFonts w:ascii="宋体" w:hAnsi="宋体" w:cs="宋体" w:eastAsia="宋体" w:hint="default"/>
          <w:w w:val="103"/>
          <w:sz w:val="16"/>
          <w:szCs w:val="16"/>
        </w:rPr>
        <w:t> </w:t>
      </w:r>
      <w:r>
        <w:rPr>
          <w:rFonts w:ascii="宋体" w:hAnsi="宋体" w:cs="宋体" w:eastAsia="宋体" w:hint="default"/>
          <w:spacing w:val="-5"/>
          <w:sz w:val="16"/>
          <w:szCs w:val="16"/>
        </w:rPr>
        <w:t>本期营业收入</w:t>
      </w:r>
      <w:r>
        <w:rPr>
          <w:rFonts w:ascii="Times New Roman" w:hAnsi="Times New Roman" w:cs="Times New Roman" w:eastAsia="Times New Roman" w:hint="default"/>
          <w:spacing w:val="-5"/>
          <w:sz w:val="16"/>
          <w:szCs w:val="16"/>
        </w:rPr>
        <w:t>1379754926.74</w:t>
      </w:r>
      <w:r>
        <w:rPr>
          <w:rFonts w:ascii="宋体" w:hAnsi="宋体" w:cs="宋体" w:eastAsia="宋体" w:hint="default"/>
          <w:spacing w:val="-5"/>
          <w:sz w:val="16"/>
          <w:szCs w:val="16"/>
        </w:rPr>
        <w:t>元，较上年同期增加</w:t>
      </w:r>
      <w:r>
        <w:rPr>
          <w:rFonts w:ascii="Times New Roman" w:hAnsi="Times New Roman" w:cs="Times New Roman" w:eastAsia="Times New Roman" w:hint="default"/>
          <w:spacing w:val="-5"/>
          <w:sz w:val="16"/>
          <w:szCs w:val="16"/>
        </w:rPr>
        <w:t>65.09%</w:t>
      </w:r>
      <w:r>
        <w:rPr>
          <w:rFonts w:ascii="宋体" w:hAnsi="宋体" w:cs="宋体" w:eastAsia="宋体" w:hint="default"/>
          <w:spacing w:val="-5"/>
          <w:sz w:val="16"/>
          <w:szCs w:val="16"/>
        </w:rPr>
        <w:t>，主因本年度收购</w:t>
      </w:r>
      <w:r>
        <w:rPr>
          <w:rFonts w:ascii="Times New Roman" w:hAnsi="Times New Roman" w:cs="Times New Roman" w:eastAsia="Times New Roman" w:hint="default"/>
          <w:spacing w:val="-5"/>
          <w:sz w:val="16"/>
          <w:szCs w:val="16"/>
        </w:rPr>
        <w:t>NEW </w:t>
      </w:r>
      <w:r>
        <w:rPr>
          <w:rFonts w:ascii="Times New Roman" w:hAnsi="Times New Roman" w:cs="Times New Roman" w:eastAsia="Times New Roman" w:hint="default"/>
          <w:sz w:val="16"/>
          <w:szCs w:val="16"/>
        </w:rPr>
        <w:t>TIME </w:t>
      </w:r>
      <w:r>
        <w:rPr>
          <w:rFonts w:ascii="宋体" w:hAnsi="宋体" w:cs="宋体" w:eastAsia="宋体" w:hint="default"/>
          <w:spacing w:val="-5"/>
          <w:sz w:val="16"/>
          <w:szCs w:val="16"/>
        </w:rPr>
        <w:t>增加了公司收入核算范围，同时《冰雪奇缘</w:t>
      </w:r>
      <w:r>
        <w:rPr>
          <w:rFonts w:ascii="Times New Roman" w:hAnsi="Times New Roman" w:cs="Times New Roman" w:eastAsia="Times New Roman" w:hint="default"/>
          <w:spacing w:val="-5"/>
          <w:sz w:val="16"/>
          <w:szCs w:val="16"/>
        </w:rPr>
        <w:t>2</w:t>
      </w:r>
      <w:r>
        <w:rPr>
          <w:rFonts w:ascii="宋体" w:hAnsi="宋体" w:cs="宋体" w:eastAsia="宋体" w:hint="default"/>
          <w:spacing w:val="-5"/>
          <w:sz w:val="16"/>
          <w:szCs w:val="16"/>
        </w:rPr>
        <w:t>》在本</w:t>
      </w:r>
      <w:r>
        <w:rPr>
          <w:rFonts w:ascii="宋体" w:hAnsi="宋体" w:cs="宋体" w:eastAsia="宋体" w:hint="default"/>
          <w:spacing w:val="-7"/>
          <w:sz w:val="16"/>
          <w:szCs w:val="16"/>
        </w:rPr>
        <w:t> </w:t>
      </w:r>
      <w:r>
        <w:rPr>
          <w:rFonts w:ascii="宋体" w:hAnsi="宋体" w:cs="宋体" w:eastAsia="宋体" w:hint="default"/>
          <w:spacing w:val="-7"/>
          <w:sz w:val="16"/>
          <w:szCs w:val="16"/>
        </w:rPr>
      </w:r>
      <w:r>
        <w:rPr>
          <w:rFonts w:ascii="宋体" w:hAnsi="宋体" w:cs="宋体" w:eastAsia="宋体" w:hint="default"/>
          <w:spacing w:val="-4"/>
          <w:w w:val="105"/>
          <w:sz w:val="16"/>
          <w:szCs w:val="16"/>
        </w:rPr>
        <w:t>年度上映，公司</w:t>
      </w:r>
      <w:r>
        <w:rPr>
          <w:rFonts w:ascii="Times New Roman" w:hAnsi="Times New Roman" w:cs="Times New Roman" w:eastAsia="Times New Roman" w:hint="default"/>
          <w:spacing w:val="-4"/>
          <w:w w:val="105"/>
          <w:sz w:val="16"/>
          <w:szCs w:val="16"/>
        </w:rPr>
        <w:t>IP</w:t>
      </w:r>
      <w:r>
        <w:rPr>
          <w:rFonts w:ascii="宋体" w:hAnsi="宋体" w:cs="宋体" w:eastAsia="宋体" w:hint="default"/>
          <w:spacing w:val="-4"/>
          <w:w w:val="105"/>
          <w:sz w:val="16"/>
          <w:szCs w:val="16"/>
        </w:rPr>
        <w:t>衍生品订单量增加。</w:t>
      </w:r>
      <w:r>
        <w:rPr>
          <w:rFonts w:ascii="宋体" w:hAnsi="宋体" w:cs="宋体" w:eastAsia="宋体" w:hint="default"/>
          <w:spacing w:val="-4"/>
          <w:sz w:val="16"/>
          <w:szCs w:val="16"/>
        </w:rPr>
      </w:r>
    </w:p>
    <w:p>
      <w:pPr>
        <w:spacing w:line="340" w:lineRule="auto" w:before="6"/>
        <w:ind w:left="141" w:right="0" w:firstLine="0"/>
        <w:jc w:val="left"/>
        <w:rPr>
          <w:rFonts w:ascii="宋体" w:hAnsi="宋体" w:cs="宋体" w:eastAsia="宋体" w:hint="default"/>
          <w:sz w:val="16"/>
          <w:szCs w:val="16"/>
        </w:rPr>
      </w:pPr>
      <w:r>
        <w:rPr>
          <w:rFonts w:ascii="宋体" w:hAnsi="宋体" w:cs="宋体" w:eastAsia="宋体" w:hint="default"/>
          <w:spacing w:val="-4"/>
          <w:sz w:val="16"/>
          <w:szCs w:val="16"/>
        </w:rPr>
        <w:t>本期营业成本</w:t>
      </w:r>
      <w:r>
        <w:rPr>
          <w:rFonts w:ascii="Times New Roman" w:hAnsi="Times New Roman" w:cs="Times New Roman" w:eastAsia="Times New Roman" w:hint="default"/>
          <w:spacing w:val="-4"/>
          <w:sz w:val="16"/>
          <w:szCs w:val="16"/>
        </w:rPr>
        <w:t>964517564.11</w:t>
      </w:r>
      <w:r>
        <w:rPr>
          <w:rFonts w:ascii="宋体" w:hAnsi="宋体" w:cs="宋体" w:eastAsia="宋体" w:hint="default"/>
          <w:spacing w:val="-4"/>
          <w:sz w:val="16"/>
          <w:szCs w:val="16"/>
        </w:rPr>
        <w:t>元，较上年同期增加</w:t>
      </w:r>
      <w:r>
        <w:rPr>
          <w:rFonts w:ascii="Times New Roman" w:hAnsi="Times New Roman" w:cs="Times New Roman" w:eastAsia="Times New Roman" w:hint="default"/>
          <w:spacing w:val="-4"/>
          <w:sz w:val="16"/>
          <w:szCs w:val="16"/>
        </w:rPr>
        <w:t>77.32%</w:t>
      </w:r>
      <w:r>
        <w:rPr>
          <w:rFonts w:ascii="宋体" w:hAnsi="宋体" w:cs="宋体" w:eastAsia="宋体" w:hint="default"/>
          <w:spacing w:val="-4"/>
          <w:sz w:val="16"/>
          <w:szCs w:val="16"/>
        </w:rPr>
        <w:t>，主因本年度收购</w:t>
      </w:r>
      <w:r>
        <w:rPr>
          <w:rFonts w:ascii="Times New Roman" w:hAnsi="Times New Roman" w:cs="Times New Roman" w:eastAsia="Times New Roman" w:hint="default"/>
          <w:spacing w:val="-4"/>
          <w:sz w:val="16"/>
          <w:szCs w:val="16"/>
        </w:rPr>
        <w:t>NEW </w:t>
      </w:r>
      <w:r>
        <w:rPr>
          <w:rFonts w:ascii="Times New Roman" w:hAnsi="Times New Roman" w:cs="Times New Roman" w:eastAsia="Times New Roman" w:hint="default"/>
          <w:sz w:val="16"/>
          <w:szCs w:val="16"/>
        </w:rPr>
        <w:t>TIME </w:t>
      </w:r>
      <w:r>
        <w:rPr>
          <w:rFonts w:ascii="宋体" w:hAnsi="宋体" w:cs="宋体" w:eastAsia="宋体" w:hint="default"/>
          <w:spacing w:val="-5"/>
          <w:sz w:val="16"/>
          <w:szCs w:val="16"/>
        </w:rPr>
        <w:t>扩大公司核算范围；随公司</w:t>
      </w:r>
      <w:r>
        <w:rPr>
          <w:rFonts w:ascii="Times New Roman" w:hAnsi="Times New Roman" w:cs="Times New Roman" w:eastAsia="Times New Roman" w:hint="default"/>
          <w:spacing w:val="-5"/>
          <w:sz w:val="16"/>
          <w:szCs w:val="16"/>
        </w:rPr>
        <w:t>IP</w:t>
      </w:r>
      <w:r>
        <w:rPr>
          <w:rFonts w:ascii="宋体" w:hAnsi="宋体" w:cs="宋体" w:eastAsia="宋体" w:hint="default"/>
          <w:spacing w:val="-5"/>
          <w:sz w:val="16"/>
          <w:szCs w:val="16"/>
        </w:rPr>
        <w:t>衍生品订单量增加，生</w:t>
      </w:r>
      <w:r>
        <w:rPr>
          <w:rFonts w:ascii="宋体" w:hAnsi="宋体" w:cs="宋体" w:eastAsia="宋体" w:hint="default"/>
          <w:spacing w:val="-51"/>
          <w:sz w:val="16"/>
          <w:szCs w:val="16"/>
        </w:rPr>
        <w:t> </w:t>
      </w:r>
      <w:r>
        <w:rPr>
          <w:rFonts w:ascii="宋体" w:hAnsi="宋体" w:cs="宋体" w:eastAsia="宋体" w:hint="default"/>
          <w:spacing w:val="-51"/>
          <w:sz w:val="16"/>
          <w:szCs w:val="16"/>
        </w:rPr>
      </w:r>
      <w:r>
        <w:rPr>
          <w:rFonts w:ascii="宋体" w:hAnsi="宋体" w:cs="宋体" w:eastAsia="宋体" w:hint="default"/>
          <w:spacing w:val="-5"/>
          <w:w w:val="105"/>
          <w:sz w:val="16"/>
          <w:szCs w:val="16"/>
        </w:rPr>
        <w:t>产成本也随之上升；同时订单量的突增，增加企业临时人工和采购成本。</w:t>
      </w:r>
      <w:r>
        <w:rPr>
          <w:rFonts w:ascii="宋体" w:hAnsi="宋体" w:cs="宋体" w:eastAsia="宋体" w:hint="default"/>
          <w:spacing w:val="-5"/>
          <w:sz w:val="16"/>
          <w:szCs w:val="16"/>
        </w:rPr>
      </w:r>
    </w:p>
    <w:p>
      <w:pPr>
        <w:spacing w:line="340" w:lineRule="auto" w:before="38"/>
        <w:ind w:left="141" w:right="1389" w:firstLine="0"/>
        <w:jc w:val="left"/>
        <w:rPr>
          <w:rFonts w:ascii="宋体" w:hAnsi="宋体" w:cs="宋体" w:eastAsia="宋体" w:hint="default"/>
          <w:sz w:val="16"/>
          <w:szCs w:val="16"/>
        </w:rPr>
      </w:pPr>
      <w:r>
        <w:rPr>
          <w:rFonts w:ascii="宋体" w:hAnsi="宋体" w:cs="宋体" w:eastAsia="宋体" w:hint="default"/>
          <w:spacing w:val="-5"/>
          <w:sz w:val="16"/>
          <w:szCs w:val="16"/>
        </w:rPr>
        <w:t>本期财务费用</w:t>
      </w:r>
      <w:r>
        <w:rPr>
          <w:rFonts w:ascii="Times New Roman" w:hAnsi="Times New Roman" w:cs="Times New Roman" w:eastAsia="Times New Roman" w:hint="default"/>
          <w:spacing w:val="-5"/>
          <w:sz w:val="16"/>
          <w:szCs w:val="16"/>
        </w:rPr>
        <w:t>9583703.12</w:t>
      </w:r>
      <w:r>
        <w:rPr>
          <w:rFonts w:ascii="宋体" w:hAnsi="宋体" w:cs="宋体" w:eastAsia="宋体" w:hint="default"/>
          <w:spacing w:val="-5"/>
          <w:sz w:val="16"/>
          <w:szCs w:val="16"/>
        </w:rPr>
        <w:t>元，较上年同期增加</w:t>
      </w:r>
      <w:r>
        <w:rPr>
          <w:rFonts w:ascii="Times New Roman" w:hAnsi="Times New Roman" w:cs="Times New Roman" w:eastAsia="Times New Roman" w:hint="default"/>
          <w:spacing w:val="-5"/>
          <w:sz w:val="16"/>
          <w:szCs w:val="16"/>
        </w:rPr>
        <w:t>-49.73%</w:t>
      </w:r>
      <w:r>
        <w:rPr>
          <w:rFonts w:ascii="宋体" w:hAnsi="宋体" w:cs="宋体" w:eastAsia="宋体" w:hint="default"/>
          <w:spacing w:val="-5"/>
          <w:sz w:val="16"/>
          <w:szCs w:val="16"/>
        </w:rPr>
        <w:t>，主因本年度往来款回笼，资金成本降低；同时也因公司持有美元汇率上涨本年度汇</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4"/>
          <w:w w:val="105"/>
          <w:sz w:val="16"/>
          <w:szCs w:val="16"/>
        </w:rPr>
        <w:t>兑收益上升所致。</w:t>
      </w:r>
      <w:r>
        <w:rPr>
          <w:rFonts w:ascii="宋体" w:hAnsi="宋体" w:cs="宋体" w:eastAsia="宋体" w:hint="default"/>
          <w:spacing w:val="-4"/>
          <w:sz w:val="16"/>
          <w:szCs w:val="16"/>
        </w:rPr>
      </w:r>
    </w:p>
    <w:p>
      <w:pPr>
        <w:spacing w:line="343" w:lineRule="auto" w:before="38"/>
        <w:ind w:left="141" w:right="1101" w:firstLine="0"/>
        <w:jc w:val="left"/>
        <w:rPr>
          <w:rFonts w:ascii="宋体" w:hAnsi="宋体" w:cs="宋体" w:eastAsia="宋体" w:hint="default"/>
          <w:sz w:val="16"/>
          <w:szCs w:val="16"/>
        </w:rPr>
      </w:pPr>
      <w:r>
        <w:rPr>
          <w:rFonts w:ascii="宋体" w:hAnsi="宋体" w:cs="宋体" w:eastAsia="宋体" w:hint="default"/>
          <w:spacing w:val="-4"/>
          <w:w w:val="105"/>
          <w:sz w:val="16"/>
          <w:szCs w:val="16"/>
        </w:rPr>
        <w:t>本期投资收益</w:t>
      </w:r>
      <w:r>
        <w:rPr>
          <w:rFonts w:ascii="Times New Roman" w:hAnsi="Times New Roman" w:cs="Times New Roman" w:eastAsia="Times New Roman" w:hint="default"/>
          <w:spacing w:val="-4"/>
          <w:w w:val="105"/>
          <w:sz w:val="16"/>
          <w:szCs w:val="16"/>
        </w:rPr>
        <w:t>-57358550.83</w:t>
      </w:r>
      <w:r>
        <w:rPr>
          <w:rFonts w:ascii="宋体" w:hAnsi="宋体" w:cs="宋体" w:eastAsia="宋体" w:hint="default"/>
          <w:spacing w:val="-4"/>
          <w:w w:val="105"/>
          <w:sz w:val="16"/>
          <w:szCs w:val="16"/>
        </w:rPr>
        <w:t>元，较上年同期增加</w:t>
      </w:r>
      <w:r>
        <w:rPr>
          <w:rFonts w:ascii="Times New Roman" w:hAnsi="Times New Roman" w:cs="Times New Roman" w:eastAsia="Times New Roman" w:hint="default"/>
          <w:spacing w:val="-4"/>
          <w:w w:val="105"/>
          <w:sz w:val="16"/>
          <w:szCs w:val="16"/>
        </w:rPr>
        <w:t>16641.21%</w:t>
      </w:r>
      <w:r>
        <w:rPr>
          <w:rFonts w:ascii="宋体" w:hAnsi="宋体" w:cs="宋体" w:eastAsia="宋体" w:hint="default"/>
          <w:spacing w:val="-4"/>
          <w:w w:val="105"/>
          <w:sz w:val="16"/>
          <w:szCs w:val="16"/>
        </w:rPr>
        <w:t>，主因本年度确认</w:t>
      </w:r>
      <w:r>
        <w:rPr>
          <w:rFonts w:ascii="Times New Roman" w:hAnsi="Times New Roman" w:cs="Times New Roman" w:eastAsia="Times New Roman" w:hint="default"/>
          <w:spacing w:val="-4"/>
          <w:w w:val="105"/>
          <w:sz w:val="16"/>
          <w:szCs w:val="16"/>
        </w:rPr>
        <w:t>Jakks</w:t>
      </w:r>
      <w:r>
        <w:rPr>
          <w:rFonts w:ascii="宋体" w:hAnsi="宋体" w:cs="宋体" w:eastAsia="宋体" w:hint="default"/>
          <w:spacing w:val="-4"/>
          <w:w w:val="105"/>
          <w:sz w:val="16"/>
          <w:szCs w:val="16"/>
        </w:rPr>
        <w:t>投资损益所致。</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本期公允价值变动收益</w:t>
      </w:r>
      <w:r>
        <w:rPr>
          <w:rFonts w:ascii="Times New Roman" w:hAnsi="Times New Roman" w:cs="Times New Roman" w:eastAsia="Times New Roman" w:hint="default"/>
          <w:spacing w:val="-5"/>
          <w:w w:val="105"/>
          <w:sz w:val="16"/>
          <w:szCs w:val="16"/>
        </w:rPr>
        <w:t>201303.2</w:t>
      </w:r>
      <w:r>
        <w:rPr>
          <w:rFonts w:ascii="宋体" w:hAnsi="宋体" w:cs="宋体" w:eastAsia="宋体" w:hint="default"/>
          <w:spacing w:val="-5"/>
          <w:w w:val="105"/>
          <w:sz w:val="16"/>
          <w:szCs w:val="16"/>
        </w:rPr>
        <w:t>元，较上年同期增加</w:t>
      </w:r>
      <w:r>
        <w:rPr>
          <w:rFonts w:ascii="Times New Roman" w:hAnsi="Times New Roman" w:cs="Times New Roman" w:eastAsia="Times New Roman" w:hint="default"/>
          <w:spacing w:val="-5"/>
          <w:w w:val="105"/>
          <w:sz w:val="16"/>
          <w:szCs w:val="16"/>
        </w:rPr>
        <w:t>-102.94%</w:t>
      </w:r>
      <w:r>
        <w:rPr>
          <w:rFonts w:ascii="宋体" w:hAnsi="宋体" w:cs="宋体" w:eastAsia="宋体" w:hint="default"/>
          <w:spacing w:val="-5"/>
          <w:w w:val="105"/>
          <w:sz w:val="16"/>
          <w:szCs w:val="16"/>
        </w:rPr>
        <w:t>，主因业绩补偿款增加所致。</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本期营业外收入</w:t>
      </w:r>
      <w:r>
        <w:rPr>
          <w:rFonts w:ascii="Times New Roman" w:hAnsi="Times New Roman" w:cs="Times New Roman" w:eastAsia="Times New Roman" w:hint="default"/>
          <w:spacing w:val="-5"/>
          <w:w w:val="105"/>
          <w:sz w:val="16"/>
          <w:szCs w:val="16"/>
        </w:rPr>
        <w:t>1424319.46</w:t>
      </w:r>
      <w:r>
        <w:rPr>
          <w:rFonts w:ascii="宋体" w:hAnsi="宋体" w:cs="宋体" w:eastAsia="宋体" w:hint="default"/>
          <w:spacing w:val="-5"/>
          <w:w w:val="105"/>
          <w:sz w:val="16"/>
          <w:szCs w:val="16"/>
        </w:rPr>
        <w:t>元，较上年同期增加</w:t>
      </w:r>
      <w:r>
        <w:rPr>
          <w:rFonts w:ascii="Times New Roman" w:hAnsi="Times New Roman" w:cs="Times New Roman" w:eastAsia="Times New Roman" w:hint="default"/>
          <w:spacing w:val="-5"/>
          <w:w w:val="105"/>
          <w:sz w:val="16"/>
          <w:szCs w:val="16"/>
        </w:rPr>
        <w:t>374.41%</w:t>
      </w:r>
      <w:r>
        <w:rPr>
          <w:rFonts w:ascii="宋体" w:hAnsi="宋体" w:cs="宋体" w:eastAsia="宋体" w:hint="default"/>
          <w:spacing w:val="-5"/>
          <w:w w:val="105"/>
          <w:sz w:val="16"/>
          <w:szCs w:val="16"/>
        </w:rPr>
        <w:t>，主因客户取消订单赔付已采购材料款所致。</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本期营业外支出</w:t>
      </w:r>
      <w:r>
        <w:rPr>
          <w:rFonts w:ascii="Times New Roman" w:hAnsi="Times New Roman" w:cs="Times New Roman" w:eastAsia="Times New Roman" w:hint="default"/>
          <w:spacing w:val="-4"/>
          <w:w w:val="105"/>
          <w:sz w:val="16"/>
          <w:szCs w:val="16"/>
        </w:rPr>
        <w:t>2835227.55</w:t>
      </w:r>
      <w:r>
        <w:rPr>
          <w:rFonts w:ascii="宋体" w:hAnsi="宋体" w:cs="宋体" w:eastAsia="宋体" w:hint="default"/>
          <w:spacing w:val="-4"/>
          <w:w w:val="105"/>
          <w:sz w:val="16"/>
          <w:szCs w:val="16"/>
        </w:rPr>
        <w:t>元，较上年同期增加</w:t>
      </w:r>
      <w:r>
        <w:rPr>
          <w:rFonts w:ascii="Times New Roman" w:hAnsi="Times New Roman" w:cs="Times New Roman" w:eastAsia="Times New Roman" w:hint="default"/>
          <w:spacing w:val="-4"/>
          <w:w w:val="105"/>
          <w:sz w:val="16"/>
          <w:szCs w:val="16"/>
        </w:rPr>
        <w:t>990.91%</w:t>
      </w:r>
      <w:r>
        <w:rPr>
          <w:rFonts w:ascii="宋体" w:hAnsi="宋体" w:cs="宋体" w:eastAsia="宋体" w:hint="default"/>
          <w:spacing w:val="-4"/>
          <w:w w:val="105"/>
          <w:sz w:val="16"/>
          <w:szCs w:val="16"/>
        </w:rPr>
        <w:t>，主因本年度增加对外捐赠所致。</w:t>
      </w:r>
      <w:r>
        <w:rPr>
          <w:rFonts w:ascii="宋体" w:hAnsi="宋体" w:cs="宋体" w:eastAsia="宋体" w:hint="default"/>
          <w:w w:val="103"/>
          <w:sz w:val="16"/>
          <w:szCs w:val="16"/>
        </w:rPr>
        <w:t> </w:t>
      </w:r>
      <w:r>
        <w:rPr>
          <w:rFonts w:ascii="宋体" w:hAnsi="宋体" w:cs="宋体" w:eastAsia="宋体" w:hint="default"/>
          <w:spacing w:val="-5"/>
          <w:sz w:val="16"/>
          <w:szCs w:val="16"/>
        </w:rPr>
        <w:t>本期销售商品、提供劳务收到的现金</w:t>
      </w:r>
      <w:r>
        <w:rPr>
          <w:rFonts w:ascii="Times New Roman" w:hAnsi="Times New Roman" w:cs="Times New Roman" w:eastAsia="Times New Roman" w:hint="default"/>
          <w:spacing w:val="-5"/>
          <w:sz w:val="16"/>
          <w:szCs w:val="16"/>
        </w:rPr>
        <w:t>1332274232.37</w:t>
      </w:r>
      <w:r>
        <w:rPr>
          <w:rFonts w:ascii="宋体" w:hAnsi="宋体" w:cs="宋体" w:eastAsia="宋体" w:hint="default"/>
          <w:spacing w:val="-5"/>
          <w:sz w:val="16"/>
          <w:szCs w:val="16"/>
        </w:rPr>
        <w:t>元，较上年同期数增加</w:t>
      </w:r>
      <w:r>
        <w:rPr>
          <w:rFonts w:ascii="Times New Roman" w:hAnsi="Times New Roman" w:cs="Times New Roman" w:eastAsia="Times New Roman" w:hint="default"/>
          <w:spacing w:val="-5"/>
          <w:sz w:val="16"/>
          <w:szCs w:val="16"/>
        </w:rPr>
        <w:t>47.25%</w:t>
      </w:r>
      <w:r>
        <w:rPr>
          <w:rFonts w:ascii="宋体" w:hAnsi="宋体" w:cs="宋体" w:eastAsia="宋体" w:hint="default"/>
          <w:spacing w:val="-5"/>
          <w:sz w:val="16"/>
          <w:szCs w:val="16"/>
        </w:rPr>
        <w:t>，主因公司本年度收购玩具制造公司</w:t>
      </w:r>
      <w:r>
        <w:rPr>
          <w:rFonts w:ascii="Times New Roman" w:hAnsi="Times New Roman" w:cs="Times New Roman" w:eastAsia="Times New Roman" w:hint="default"/>
          <w:spacing w:val="-5"/>
          <w:sz w:val="16"/>
          <w:szCs w:val="16"/>
        </w:rPr>
        <w:t>New </w:t>
      </w:r>
      <w:r>
        <w:rPr>
          <w:rFonts w:ascii="Times New Roman" w:hAnsi="Times New Roman" w:cs="Times New Roman" w:eastAsia="Times New Roman" w:hint="default"/>
          <w:sz w:val="16"/>
          <w:szCs w:val="16"/>
        </w:rPr>
        <w:t>Time,</w:t>
      </w:r>
      <w:r>
        <w:rPr>
          <w:rFonts w:ascii="宋体" w:hAnsi="宋体" w:cs="宋体" w:eastAsia="宋体" w:hint="default"/>
          <w:sz w:val="16"/>
          <w:szCs w:val="16"/>
        </w:rPr>
        <w:t>公司销售</w:t>
      </w:r>
      <w:r>
        <w:rPr>
          <w:rFonts w:ascii="宋体" w:hAnsi="宋体" w:cs="宋体" w:eastAsia="宋体" w:hint="default"/>
          <w:spacing w:val="74"/>
          <w:sz w:val="16"/>
          <w:szCs w:val="16"/>
        </w:rPr>
        <w:t> </w:t>
      </w:r>
      <w:r>
        <w:rPr>
          <w:rFonts w:ascii="宋体" w:hAnsi="宋体" w:cs="宋体" w:eastAsia="宋体" w:hint="default"/>
          <w:spacing w:val="-3"/>
          <w:w w:val="105"/>
          <w:sz w:val="16"/>
          <w:szCs w:val="16"/>
        </w:rPr>
        <w:t>收入增加。</w:t>
      </w:r>
      <w:r>
        <w:rPr>
          <w:rFonts w:ascii="宋体" w:hAnsi="宋体" w:cs="宋体" w:eastAsia="宋体" w:hint="default"/>
          <w:w w:val="103"/>
          <w:sz w:val="16"/>
          <w:szCs w:val="16"/>
        </w:rPr>
        <w:t> </w:t>
      </w:r>
      <w:r>
        <w:rPr>
          <w:rFonts w:ascii="宋体" w:hAnsi="宋体" w:cs="宋体" w:eastAsia="宋体" w:hint="default"/>
          <w:spacing w:val="-6"/>
          <w:sz w:val="16"/>
          <w:szCs w:val="16"/>
        </w:rPr>
        <w:t>本期收到的税费返还</w:t>
      </w:r>
      <w:r>
        <w:rPr>
          <w:rFonts w:ascii="Times New Roman" w:hAnsi="Times New Roman" w:cs="Times New Roman" w:eastAsia="Times New Roman" w:hint="default"/>
          <w:spacing w:val="-6"/>
          <w:sz w:val="16"/>
          <w:szCs w:val="16"/>
        </w:rPr>
        <w:t>71221480.78</w:t>
      </w:r>
      <w:r>
        <w:rPr>
          <w:rFonts w:ascii="宋体" w:hAnsi="宋体" w:cs="宋体" w:eastAsia="宋体" w:hint="default"/>
          <w:spacing w:val="-6"/>
          <w:sz w:val="16"/>
          <w:szCs w:val="16"/>
        </w:rPr>
        <w:t>元，较上年同期数增加</w:t>
      </w:r>
      <w:r>
        <w:rPr>
          <w:rFonts w:ascii="Times New Roman" w:hAnsi="Times New Roman" w:cs="Times New Roman" w:eastAsia="Times New Roman" w:hint="default"/>
          <w:spacing w:val="-6"/>
          <w:sz w:val="16"/>
          <w:szCs w:val="16"/>
        </w:rPr>
        <w:t>185%</w:t>
      </w:r>
      <w:r>
        <w:rPr>
          <w:rFonts w:ascii="宋体" w:hAnsi="宋体" w:cs="宋体" w:eastAsia="宋体" w:hint="default"/>
          <w:spacing w:val="-6"/>
          <w:sz w:val="16"/>
          <w:szCs w:val="16"/>
        </w:rPr>
        <w:t>，主因公司实体经营模式为国内采购国外销售，本年度业务量核算范围及订单</w:t>
      </w:r>
      <w:r>
        <w:rPr>
          <w:rFonts w:ascii="宋体" w:hAnsi="宋体" w:cs="宋体" w:eastAsia="宋体" w:hint="default"/>
          <w:spacing w:val="-4"/>
          <w:sz w:val="16"/>
          <w:szCs w:val="16"/>
        </w:rPr>
        <w:t> </w:t>
      </w:r>
      <w:r>
        <w:rPr>
          <w:rFonts w:ascii="宋体" w:hAnsi="宋体" w:cs="宋体" w:eastAsia="宋体" w:hint="default"/>
          <w:spacing w:val="-4"/>
          <w:sz w:val="16"/>
          <w:szCs w:val="16"/>
        </w:rPr>
      </w:r>
      <w:r>
        <w:rPr>
          <w:rFonts w:ascii="宋体" w:hAnsi="宋体" w:cs="宋体" w:eastAsia="宋体" w:hint="default"/>
          <w:spacing w:val="-5"/>
          <w:w w:val="105"/>
          <w:sz w:val="16"/>
          <w:szCs w:val="16"/>
        </w:rPr>
        <w:t>量都有所增加，因此企业出口退税较上年同期有大幅增加。</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本期购买商品、接受劳务支付的现金</w:t>
      </w:r>
      <w:r>
        <w:rPr>
          <w:rFonts w:ascii="Times New Roman" w:hAnsi="Times New Roman" w:cs="Times New Roman" w:eastAsia="Times New Roman" w:hint="default"/>
          <w:spacing w:val="-5"/>
          <w:w w:val="105"/>
          <w:sz w:val="16"/>
          <w:szCs w:val="16"/>
        </w:rPr>
        <w:t>1022728095.34</w:t>
      </w:r>
      <w:r>
        <w:rPr>
          <w:rFonts w:ascii="宋体" w:hAnsi="宋体" w:cs="宋体" w:eastAsia="宋体" w:hint="default"/>
          <w:spacing w:val="-5"/>
          <w:w w:val="105"/>
          <w:sz w:val="16"/>
          <w:szCs w:val="16"/>
        </w:rPr>
        <w:t>元，较上年同期数增加</w:t>
      </w:r>
      <w:r>
        <w:rPr>
          <w:rFonts w:ascii="Times New Roman" w:hAnsi="Times New Roman" w:cs="Times New Roman" w:eastAsia="Times New Roman" w:hint="default"/>
          <w:spacing w:val="-5"/>
          <w:w w:val="105"/>
          <w:sz w:val="16"/>
          <w:szCs w:val="16"/>
        </w:rPr>
        <w:t>99.92%</w:t>
      </w:r>
      <w:r>
        <w:rPr>
          <w:rFonts w:ascii="宋体" w:hAnsi="宋体" w:cs="宋体" w:eastAsia="宋体" w:hint="default"/>
          <w:spacing w:val="-5"/>
          <w:w w:val="105"/>
          <w:sz w:val="16"/>
          <w:szCs w:val="16"/>
        </w:rPr>
        <w:t>，主因公司衍生品、玩具订单量增加所致。</w:t>
      </w:r>
      <w:r>
        <w:rPr>
          <w:rFonts w:ascii="宋体" w:hAnsi="宋体" w:cs="宋体" w:eastAsia="宋体" w:hint="default"/>
          <w:w w:val="103"/>
          <w:sz w:val="16"/>
          <w:szCs w:val="16"/>
        </w:rPr>
        <w:t> </w:t>
      </w:r>
      <w:r>
        <w:rPr>
          <w:rFonts w:ascii="宋体" w:hAnsi="宋体" w:cs="宋体" w:eastAsia="宋体" w:hint="default"/>
          <w:spacing w:val="-5"/>
          <w:sz w:val="16"/>
          <w:szCs w:val="16"/>
        </w:rPr>
        <w:t>本期支付给职工以及为职工支付的现金</w:t>
      </w:r>
      <w:r>
        <w:rPr>
          <w:rFonts w:ascii="Times New Roman" w:hAnsi="Times New Roman" w:cs="Times New Roman" w:eastAsia="Times New Roman" w:hint="default"/>
          <w:spacing w:val="-5"/>
          <w:sz w:val="16"/>
          <w:szCs w:val="16"/>
        </w:rPr>
        <w:t>234338944.7</w:t>
      </w:r>
      <w:r>
        <w:rPr>
          <w:rFonts w:ascii="宋体" w:hAnsi="宋体" w:cs="宋体" w:eastAsia="宋体" w:hint="default"/>
          <w:spacing w:val="-5"/>
          <w:sz w:val="16"/>
          <w:szCs w:val="16"/>
        </w:rPr>
        <w:t>元，较上年同期数增加</w:t>
      </w:r>
      <w:r>
        <w:rPr>
          <w:rFonts w:ascii="Times New Roman" w:hAnsi="Times New Roman" w:cs="Times New Roman" w:eastAsia="Times New Roman" w:hint="default"/>
          <w:spacing w:val="-5"/>
          <w:sz w:val="16"/>
          <w:szCs w:val="16"/>
        </w:rPr>
        <w:t>55.27%</w:t>
      </w:r>
      <w:r>
        <w:rPr>
          <w:rFonts w:ascii="宋体" w:hAnsi="宋体" w:cs="宋体" w:eastAsia="宋体" w:hint="default"/>
          <w:spacing w:val="-5"/>
          <w:sz w:val="16"/>
          <w:szCs w:val="16"/>
        </w:rPr>
        <w:t>，主因公司本年度收购玩具制造公司</w:t>
      </w:r>
      <w:r>
        <w:rPr>
          <w:rFonts w:ascii="Times New Roman" w:hAnsi="Times New Roman" w:cs="Times New Roman" w:eastAsia="Times New Roman" w:hint="default"/>
          <w:spacing w:val="-5"/>
          <w:sz w:val="16"/>
          <w:szCs w:val="16"/>
        </w:rPr>
        <w:t>New </w:t>
      </w:r>
      <w:r>
        <w:rPr>
          <w:rFonts w:ascii="Times New Roman" w:hAnsi="Times New Roman" w:cs="Times New Roman" w:eastAsia="Times New Roman" w:hint="default"/>
          <w:sz w:val="16"/>
          <w:szCs w:val="16"/>
        </w:rPr>
        <w:t>Time,</w:t>
      </w:r>
      <w:r>
        <w:rPr>
          <w:rFonts w:ascii="宋体" w:hAnsi="宋体" w:cs="宋体" w:eastAsia="宋体" w:hint="default"/>
          <w:sz w:val="16"/>
          <w:szCs w:val="16"/>
        </w:rPr>
        <w:t>公司整体</w:t>
      </w:r>
      <w:r>
        <w:rPr>
          <w:rFonts w:ascii="宋体" w:hAnsi="宋体" w:cs="宋体" w:eastAsia="宋体" w:hint="default"/>
          <w:spacing w:val="68"/>
          <w:sz w:val="16"/>
          <w:szCs w:val="16"/>
        </w:rPr>
        <w:t> </w:t>
      </w:r>
      <w:r>
        <w:rPr>
          <w:rFonts w:ascii="宋体" w:hAnsi="宋体" w:cs="宋体" w:eastAsia="宋体" w:hint="default"/>
          <w:spacing w:val="-4"/>
          <w:w w:val="105"/>
          <w:sz w:val="16"/>
          <w:szCs w:val="16"/>
        </w:rPr>
        <w:t>业务量增加，对应人工成本上升。</w:t>
      </w:r>
      <w:r>
        <w:rPr>
          <w:rFonts w:ascii="宋体" w:hAnsi="宋体" w:cs="宋体" w:eastAsia="宋体" w:hint="default"/>
          <w:spacing w:val="-4"/>
          <w:sz w:val="16"/>
          <w:szCs w:val="16"/>
        </w:rPr>
      </w:r>
    </w:p>
    <w:p>
      <w:pPr>
        <w:spacing w:line="338" w:lineRule="auto" w:before="22"/>
        <w:ind w:left="141" w:right="1023" w:firstLine="0"/>
        <w:jc w:val="left"/>
        <w:rPr>
          <w:rFonts w:ascii="宋体" w:hAnsi="宋体" w:cs="宋体" w:eastAsia="宋体" w:hint="default"/>
          <w:sz w:val="16"/>
          <w:szCs w:val="16"/>
        </w:rPr>
      </w:pPr>
      <w:r>
        <w:rPr>
          <w:rFonts w:ascii="宋体" w:hAnsi="宋体" w:cs="宋体" w:eastAsia="宋体" w:hint="default"/>
          <w:spacing w:val="-4"/>
          <w:w w:val="105"/>
          <w:sz w:val="16"/>
          <w:szCs w:val="16"/>
        </w:rPr>
        <w:t>本期收回投资收到的现金</w:t>
      </w:r>
      <w:r>
        <w:rPr>
          <w:rFonts w:ascii="Times New Roman" w:hAnsi="Times New Roman" w:cs="Times New Roman" w:eastAsia="Times New Roman" w:hint="default"/>
          <w:spacing w:val="-4"/>
          <w:w w:val="105"/>
          <w:sz w:val="16"/>
          <w:szCs w:val="16"/>
        </w:rPr>
        <w:t>231233951.84</w:t>
      </w:r>
      <w:r>
        <w:rPr>
          <w:rFonts w:ascii="宋体" w:hAnsi="宋体" w:cs="宋体" w:eastAsia="宋体" w:hint="default"/>
          <w:spacing w:val="-4"/>
          <w:w w:val="105"/>
          <w:sz w:val="16"/>
          <w:szCs w:val="16"/>
        </w:rPr>
        <w:t>元，较上年同期数增加</w:t>
      </w:r>
      <w:r>
        <w:rPr>
          <w:rFonts w:ascii="Times New Roman" w:hAnsi="Times New Roman" w:cs="Times New Roman" w:eastAsia="Times New Roman" w:hint="default"/>
          <w:spacing w:val="-4"/>
          <w:w w:val="105"/>
          <w:sz w:val="16"/>
          <w:szCs w:val="16"/>
        </w:rPr>
        <w:t>4378.53%</w:t>
      </w:r>
      <w:r>
        <w:rPr>
          <w:rFonts w:ascii="宋体" w:hAnsi="宋体" w:cs="宋体" w:eastAsia="宋体" w:hint="default"/>
          <w:spacing w:val="-4"/>
          <w:w w:val="105"/>
          <w:sz w:val="16"/>
          <w:szCs w:val="16"/>
        </w:rPr>
        <w:t>，主因公司收回到期理财款。</w:t>
      </w:r>
      <w:r>
        <w:rPr>
          <w:rFonts w:ascii="宋体" w:hAnsi="宋体" w:cs="宋体" w:eastAsia="宋体" w:hint="default"/>
          <w:w w:val="103"/>
          <w:sz w:val="16"/>
          <w:szCs w:val="16"/>
        </w:rPr>
        <w:t> </w:t>
      </w:r>
      <w:r>
        <w:rPr>
          <w:rFonts w:ascii="宋体" w:hAnsi="宋体" w:cs="宋体" w:eastAsia="宋体" w:hint="default"/>
          <w:spacing w:val="-5"/>
          <w:w w:val="105"/>
          <w:sz w:val="16"/>
          <w:szCs w:val="16"/>
        </w:rPr>
        <w:t>本期取得投资收益收到的现金</w:t>
      </w:r>
      <w:r>
        <w:rPr>
          <w:rFonts w:ascii="Times New Roman" w:hAnsi="Times New Roman" w:cs="Times New Roman" w:eastAsia="Times New Roman" w:hint="default"/>
          <w:spacing w:val="-5"/>
          <w:w w:val="105"/>
          <w:sz w:val="16"/>
          <w:szCs w:val="16"/>
        </w:rPr>
        <w:t>7454180.84</w:t>
      </w:r>
      <w:r>
        <w:rPr>
          <w:rFonts w:ascii="宋体" w:hAnsi="宋体" w:cs="宋体" w:eastAsia="宋体" w:hint="default"/>
          <w:spacing w:val="-5"/>
          <w:w w:val="105"/>
          <w:sz w:val="16"/>
          <w:szCs w:val="16"/>
        </w:rPr>
        <w:t>元，较上年同期数增加</w:t>
      </w:r>
      <w:r>
        <w:rPr>
          <w:rFonts w:ascii="Times New Roman" w:hAnsi="Times New Roman" w:cs="Times New Roman" w:eastAsia="Times New Roman" w:hint="default"/>
          <w:spacing w:val="-5"/>
          <w:w w:val="105"/>
          <w:sz w:val="16"/>
          <w:szCs w:val="16"/>
        </w:rPr>
        <w:t>-84.25%</w:t>
      </w:r>
      <w:r>
        <w:rPr>
          <w:rFonts w:ascii="宋体" w:hAnsi="宋体" w:cs="宋体" w:eastAsia="宋体" w:hint="default"/>
          <w:spacing w:val="-5"/>
          <w:w w:val="105"/>
          <w:sz w:val="16"/>
          <w:szCs w:val="16"/>
        </w:rPr>
        <w:t>，主因公司短期投资减少所致。</w:t>
      </w:r>
      <w:r>
        <w:rPr>
          <w:rFonts w:ascii="宋体" w:hAnsi="宋体" w:cs="宋体" w:eastAsia="宋体" w:hint="default"/>
          <w:w w:val="103"/>
          <w:sz w:val="16"/>
          <w:szCs w:val="16"/>
        </w:rPr>
        <w:t> </w:t>
      </w:r>
      <w:r>
        <w:rPr>
          <w:rFonts w:ascii="宋体" w:hAnsi="宋体" w:cs="宋体" w:eastAsia="宋体" w:hint="default"/>
          <w:spacing w:val="-5"/>
          <w:sz w:val="16"/>
          <w:szCs w:val="16"/>
        </w:rPr>
        <w:t>本期购建固定资产、无形资产和其他长期资产支付的现金</w:t>
      </w:r>
      <w:r>
        <w:rPr>
          <w:rFonts w:ascii="Times New Roman" w:hAnsi="Times New Roman" w:cs="Times New Roman" w:eastAsia="Times New Roman" w:hint="default"/>
          <w:spacing w:val="-5"/>
          <w:sz w:val="16"/>
          <w:szCs w:val="16"/>
        </w:rPr>
        <w:t>35793907.58</w:t>
      </w:r>
      <w:r>
        <w:rPr>
          <w:rFonts w:ascii="宋体" w:hAnsi="宋体" w:cs="宋体" w:eastAsia="宋体" w:hint="default"/>
          <w:spacing w:val="-5"/>
          <w:sz w:val="16"/>
          <w:szCs w:val="16"/>
        </w:rPr>
        <w:t>元，较上年同期数增加</w:t>
      </w:r>
      <w:r>
        <w:rPr>
          <w:rFonts w:ascii="Times New Roman" w:hAnsi="Times New Roman" w:cs="Times New Roman" w:eastAsia="Times New Roman" w:hint="default"/>
          <w:spacing w:val="-5"/>
          <w:sz w:val="16"/>
          <w:szCs w:val="16"/>
        </w:rPr>
        <w:t>144.44%</w:t>
      </w:r>
      <w:r>
        <w:rPr>
          <w:rFonts w:ascii="宋体" w:hAnsi="宋体" w:cs="宋体" w:eastAsia="宋体" w:hint="default"/>
          <w:spacing w:val="-5"/>
          <w:sz w:val="16"/>
          <w:szCs w:val="16"/>
        </w:rPr>
        <w:t>，主因公司厂房维修，购买设备所致。</w:t>
      </w:r>
      <w:r>
        <w:rPr>
          <w:rFonts w:ascii="宋体" w:hAnsi="宋体" w:cs="宋体" w:eastAsia="宋体" w:hint="default"/>
          <w:spacing w:val="47"/>
          <w:sz w:val="16"/>
          <w:szCs w:val="16"/>
        </w:rPr>
        <w:t> </w:t>
      </w:r>
      <w:r>
        <w:rPr>
          <w:rFonts w:ascii="宋体" w:hAnsi="宋体" w:cs="宋体" w:eastAsia="宋体" w:hint="default"/>
          <w:spacing w:val="47"/>
          <w:sz w:val="16"/>
          <w:szCs w:val="16"/>
        </w:rPr>
      </w:r>
      <w:r>
        <w:rPr>
          <w:rFonts w:ascii="宋体" w:hAnsi="宋体" w:cs="宋体" w:eastAsia="宋体" w:hint="default"/>
          <w:spacing w:val="-5"/>
          <w:w w:val="105"/>
          <w:sz w:val="16"/>
          <w:szCs w:val="16"/>
        </w:rPr>
        <w:t>本期投资支付的现金</w:t>
      </w:r>
      <w:r>
        <w:rPr>
          <w:rFonts w:ascii="Times New Roman" w:hAnsi="Times New Roman" w:cs="Times New Roman" w:eastAsia="Times New Roman" w:hint="default"/>
          <w:spacing w:val="-5"/>
          <w:w w:val="105"/>
          <w:sz w:val="16"/>
          <w:szCs w:val="16"/>
        </w:rPr>
        <w:t>256280000</w:t>
      </w:r>
      <w:r>
        <w:rPr>
          <w:rFonts w:ascii="宋体" w:hAnsi="宋体" w:cs="宋体" w:eastAsia="宋体" w:hint="default"/>
          <w:spacing w:val="-5"/>
          <w:w w:val="105"/>
          <w:sz w:val="16"/>
          <w:szCs w:val="16"/>
        </w:rPr>
        <w:t>元，较上年同期数增加</w:t>
      </w:r>
      <w:r>
        <w:rPr>
          <w:rFonts w:ascii="Times New Roman" w:hAnsi="Times New Roman" w:cs="Times New Roman" w:eastAsia="Times New Roman" w:hint="default"/>
          <w:spacing w:val="-5"/>
          <w:w w:val="105"/>
          <w:sz w:val="16"/>
          <w:szCs w:val="16"/>
        </w:rPr>
        <w:t>388.15%</w:t>
      </w:r>
      <w:r>
        <w:rPr>
          <w:rFonts w:ascii="宋体" w:hAnsi="宋体" w:cs="宋体" w:eastAsia="宋体" w:hint="default"/>
          <w:spacing w:val="-5"/>
          <w:w w:val="105"/>
          <w:sz w:val="16"/>
          <w:szCs w:val="16"/>
        </w:rPr>
        <w:t>，主因公司购买理财产品。</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本期取得子公司及其他营业单位支付的现金净额</w:t>
      </w:r>
      <w:r>
        <w:rPr>
          <w:rFonts w:ascii="Times New Roman" w:hAnsi="Times New Roman" w:cs="Times New Roman" w:eastAsia="Times New Roman" w:hint="default"/>
          <w:spacing w:val="-4"/>
          <w:w w:val="105"/>
          <w:sz w:val="16"/>
          <w:szCs w:val="16"/>
        </w:rPr>
        <w:t>528874421.05</w:t>
      </w:r>
      <w:r>
        <w:rPr>
          <w:rFonts w:ascii="宋体" w:hAnsi="宋体" w:cs="宋体" w:eastAsia="宋体" w:hint="default"/>
          <w:spacing w:val="-4"/>
          <w:w w:val="105"/>
          <w:sz w:val="16"/>
          <w:szCs w:val="16"/>
        </w:rPr>
        <w:t>元，较上年同期数增加</w:t>
      </w:r>
      <w:r>
        <w:rPr>
          <w:rFonts w:ascii="Times New Roman" w:hAnsi="Times New Roman" w:cs="Times New Roman" w:eastAsia="Times New Roman" w:hint="default"/>
          <w:spacing w:val="-4"/>
          <w:w w:val="105"/>
          <w:sz w:val="16"/>
          <w:szCs w:val="16"/>
        </w:rPr>
        <w:t>102.25%</w:t>
      </w:r>
      <w:r>
        <w:rPr>
          <w:rFonts w:ascii="宋体" w:hAnsi="宋体" w:cs="宋体" w:eastAsia="宋体" w:hint="default"/>
          <w:spacing w:val="-4"/>
          <w:w w:val="105"/>
          <w:sz w:val="16"/>
          <w:szCs w:val="16"/>
        </w:rPr>
        <w:t>，主因公司收购</w:t>
      </w:r>
      <w:r>
        <w:rPr>
          <w:rFonts w:ascii="Times New Roman" w:hAnsi="Times New Roman" w:cs="Times New Roman" w:eastAsia="Times New Roman" w:hint="default"/>
          <w:spacing w:val="-4"/>
          <w:w w:val="105"/>
          <w:sz w:val="16"/>
          <w:szCs w:val="16"/>
        </w:rPr>
        <w:t>New</w:t>
      </w:r>
      <w:r>
        <w:rPr>
          <w:rFonts w:ascii="Times New Roman" w:hAnsi="Times New Roman" w:cs="Times New Roman" w:eastAsia="Times New Roman" w:hint="default"/>
          <w:spacing w:val="-30"/>
          <w:w w:val="105"/>
          <w:sz w:val="16"/>
          <w:szCs w:val="16"/>
        </w:rPr>
        <w:t> </w:t>
      </w:r>
      <w:r>
        <w:rPr>
          <w:rFonts w:ascii="Times New Roman" w:hAnsi="Times New Roman" w:cs="Times New Roman" w:eastAsia="Times New Roman" w:hint="default"/>
          <w:spacing w:val="-3"/>
          <w:w w:val="105"/>
          <w:sz w:val="16"/>
          <w:szCs w:val="16"/>
        </w:rPr>
        <w:t>Time</w:t>
      </w:r>
      <w:r>
        <w:rPr>
          <w:rFonts w:ascii="宋体" w:hAnsi="宋体" w:cs="宋体" w:eastAsia="宋体" w:hint="default"/>
          <w:spacing w:val="-3"/>
          <w:w w:val="105"/>
          <w:sz w:val="16"/>
          <w:szCs w:val="16"/>
        </w:rPr>
        <w:t>所致。</w:t>
      </w:r>
      <w:r>
        <w:rPr>
          <w:rFonts w:ascii="宋体" w:hAnsi="宋体" w:cs="宋体" w:eastAsia="宋体" w:hint="default"/>
          <w:w w:val="103"/>
          <w:sz w:val="16"/>
          <w:szCs w:val="16"/>
        </w:rPr>
        <w:t> </w:t>
      </w:r>
      <w:r>
        <w:rPr>
          <w:rFonts w:ascii="宋体" w:hAnsi="宋体" w:cs="宋体" w:eastAsia="宋体" w:hint="default"/>
          <w:spacing w:val="-4"/>
          <w:w w:val="105"/>
          <w:sz w:val="16"/>
          <w:szCs w:val="16"/>
        </w:rPr>
        <w:t>本期取得借款收到的现金</w:t>
      </w:r>
      <w:r>
        <w:rPr>
          <w:rFonts w:ascii="Times New Roman" w:hAnsi="Times New Roman" w:cs="Times New Roman" w:eastAsia="Times New Roman" w:hint="default"/>
          <w:spacing w:val="-4"/>
          <w:w w:val="105"/>
          <w:sz w:val="16"/>
          <w:szCs w:val="16"/>
        </w:rPr>
        <w:t>531117472</w:t>
      </w:r>
      <w:r>
        <w:rPr>
          <w:rFonts w:ascii="宋体" w:hAnsi="宋体" w:cs="宋体" w:eastAsia="宋体" w:hint="default"/>
          <w:spacing w:val="-4"/>
          <w:w w:val="105"/>
          <w:sz w:val="16"/>
          <w:szCs w:val="16"/>
        </w:rPr>
        <w:t>元，较上年同期数增加</w:t>
      </w:r>
      <w:r>
        <w:rPr>
          <w:rFonts w:ascii="Times New Roman" w:hAnsi="Times New Roman" w:cs="Times New Roman" w:eastAsia="Times New Roman" w:hint="default"/>
          <w:spacing w:val="-4"/>
          <w:w w:val="105"/>
          <w:sz w:val="16"/>
          <w:szCs w:val="16"/>
        </w:rPr>
        <w:t>-46.58%</w:t>
      </w:r>
      <w:r>
        <w:rPr>
          <w:rFonts w:ascii="宋体" w:hAnsi="宋体" w:cs="宋体" w:eastAsia="宋体" w:hint="default"/>
          <w:spacing w:val="-4"/>
          <w:w w:val="105"/>
          <w:sz w:val="16"/>
          <w:szCs w:val="16"/>
        </w:rPr>
        <w:t>，主因公司借款减少所致。</w:t>
      </w:r>
      <w:r>
        <w:rPr>
          <w:rFonts w:ascii="宋体" w:hAnsi="宋体" w:cs="宋体" w:eastAsia="宋体" w:hint="default"/>
          <w:spacing w:val="-4"/>
          <w:sz w:val="16"/>
          <w:szCs w:val="16"/>
        </w:rPr>
      </w:r>
    </w:p>
    <w:p>
      <w:pPr>
        <w:spacing w:after="0" w:line="338" w:lineRule="auto"/>
        <w:jc w:val="left"/>
        <w:rPr>
          <w:rFonts w:ascii="宋体" w:hAnsi="宋体" w:cs="宋体" w:eastAsia="宋体" w:hint="default"/>
          <w:sz w:val="16"/>
          <w:szCs w:val="16"/>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2"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13"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1,379,754,926.74</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835,775,647.18</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65.09%</w:t>
            </w:r>
            <w:r>
              <w:rPr>
                <w:rFonts w:ascii="Times New Roman"/>
                <w:sz w:val="18"/>
              </w:rPr>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1,375,489,245.70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99.69%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824,352,954.75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98.63%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66.86%</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4,265,681.04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11,422,692.43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-62.66%</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动漫服饰业务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436,287,070.03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31.62%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325,769,899.29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38.98%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33.92%</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非动漫服饰业务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34,432,457.17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46,638,851.93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-26.17%</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动漫、游戏等业务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5,914,465.38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8,558,171.74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-30.89%</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服务平台业务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450,432,827.56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32.65%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385,416,041.19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46.11%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16.87%</w:t>
            </w:r>
            <w:r>
              <w:rPr>
                <w:rFonts w:ascii="Times New Roman"/>
                <w:sz w:val="18"/>
              </w:rPr>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仓储业务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115,813.86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玩具业务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404,952,414.09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29.35%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自媒体业务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43,354,197.61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57,969,990.60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6.94%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-25.21%</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4,265,681.04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11,422,692.43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-62.66%</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587,769,776.94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42.60%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557,013,669.27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66.65%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5.52%</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791,985,149.80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57.40%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278,761,977.91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33.35%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184.11%</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1,375,489,245.70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961,288,087.75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1" w:right="0"/>
              <w:jc w:val="left"/>
              <w:rPr>
                <w:rFonts w:ascii="Times New Roman" w:hAnsi="Times New Roman" w:cs="Times New Roman" w:eastAsia="Times New Roman" w:hint="default"/>
                <w:sz w:val="18"/>
                <w:szCs w:val="18"/>
              </w:rPr>
            </w:pPr>
            <w:r>
              <w:rPr>
                <w:rFonts w:ascii="Times New Roman"/>
                <w:sz w:val="18"/>
              </w:rPr>
              <w:t>30.11%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0" w:right="0"/>
              <w:jc w:val="left"/>
              <w:rPr>
                <w:rFonts w:ascii="Times New Roman" w:hAnsi="Times New Roman" w:cs="Times New Roman" w:eastAsia="Times New Roman" w:hint="default"/>
                <w:sz w:val="18"/>
                <w:szCs w:val="18"/>
              </w:rPr>
            </w:pPr>
            <w:r>
              <w:rPr>
                <w:rFonts w:ascii="Times New Roman"/>
                <w:sz w:val="18"/>
              </w:rPr>
              <w:t>66.86%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79.90%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11" w:right="0"/>
              <w:jc w:val="left"/>
              <w:rPr>
                <w:rFonts w:ascii="Times New Roman" w:hAnsi="Times New Roman" w:cs="Times New Roman" w:eastAsia="Times New Roman" w:hint="default"/>
                <w:sz w:val="18"/>
                <w:szCs w:val="18"/>
              </w:rPr>
            </w:pPr>
            <w:r>
              <w:rPr>
                <w:rFonts w:ascii="Times New Roman"/>
                <w:sz w:val="18"/>
              </w:rPr>
              <w:t>-5.07%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动漫服饰业务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436,287,070.03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296,805,458.91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31.97%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33.92%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33.61%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服务平台业务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450,432,827.56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338,212,687.36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24.91%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16.87%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42.29%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-13.41%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玩具业务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404,952,414.09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279,077,001.20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31.08%</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587,769,776.94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428,431,617.14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27.11%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5.52%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19.53%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-8.54%</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791,985,149.80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536,085,946.97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32.31%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184.11%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188.98%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-1.14%</w:t>
            </w:r>
          </w:p>
        </w:tc>
      </w:tr>
    </w:tbl>
    <w:p>
      <w:pPr>
        <w:pStyle w:val="BodyText"/>
        <w:spacing w:line="240" w:lineRule="auto" w:before="59"/>
        <w:ind w:right="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390"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613.69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269.91%</w:t>
            </w:r>
            <w:r>
              <w:rPr>
                <w:rFonts w:ascii="Times New Roman"/>
                <w:sz w:val="18"/>
              </w:rPr>
            </w:r>
          </w:p>
        </w:tc>
      </w:tr>
      <w:tr>
        <w:trPr>
          <w:trHeight w:val="406"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2,358.92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589.88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299.90%</w:t>
            </w:r>
            <w:r>
              <w:rPr>
                <w:rFonts w:ascii="Times New Roman"/>
                <w:sz w:val="18"/>
              </w:rPr>
            </w:r>
          </w:p>
        </w:tc>
      </w:tr>
      <w:tr>
        <w:trPr>
          <w:trHeight w:val="390"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156.31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65.2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139.74%</w:t>
            </w:r>
            <w:r>
              <w:rPr>
                <w:rFonts w:ascii="Times New Roman"/>
                <w:sz w:val="18"/>
              </w:rPr>
            </w:r>
          </w:p>
        </w:tc>
      </w:tr>
    </w:tbl>
    <w:p>
      <w:pPr>
        <w:pStyle w:val="BodyText"/>
        <w:spacing w:line="240" w:lineRule="auto" w:before="59"/>
        <w:ind w:right="0"/>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240" w:lineRule="auto" w:before="11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0"/>
        <w:jc w:val="left"/>
      </w:pPr>
      <w:r>
        <w:rPr/>
        <w:t>公司年初收购了生产销售型企业</w:t>
      </w:r>
      <w:r>
        <w:rPr>
          <w:rFonts w:ascii="Times New Roman" w:hAnsi="Times New Roman" w:cs="Times New Roman" w:eastAsia="Times New Roman" w:hint="default"/>
        </w:rPr>
        <w:t>New Time Group (HK)</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，大幅增加了公司实物销售量、生产量和库存量。</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367" w:lineRule="auto"/>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862" w:space="8074"/>
            <w:col w:w="197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961,288,087.75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99.67%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534,352,800.74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98.24%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79.90%</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3,229,476.36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9,591,958.54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-66.33%</w:t>
            </w:r>
          </w:p>
        </w:tc>
      </w:tr>
    </w:tbl>
    <w:p>
      <w:pPr>
        <w:pStyle w:val="BodyText"/>
        <w:spacing w:line="240" w:lineRule="auto" w:before="45"/>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ind w:right="102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日，公司第三届董事会第三十二次会议审议通过了《关于收购</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 </w:t>
      </w:r>
      <w:r>
        <w:rPr>
          <w:rFonts w:ascii="Times New Roman" w:hAnsi="Times New Roman" w:cs="Times New Roman" w:eastAsia="Times New Roman" w:hint="default"/>
        </w:rPr>
        <w:t>GROUP (HK) LIMITED</w:t>
      </w:r>
      <w:r>
        <w:rPr>
          <w:rFonts w:ascii="Times New Roman" w:hAnsi="Times New Roman" w:cs="Times New Roman" w:eastAsia="Times New Roman" w:hint="default"/>
          <w:spacing w:val="29"/>
        </w:rPr>
        <w:t> </w:t>
      </w:r>
      <w:r>
        <w:rPr/>
        <w:t>公司</w:t>
      </w:r>
      <w:r>
        <w:rPr>
          <w:rFonts w:ascii="Times New Roman" w:hAnsi="Times New Roman" w:cs="Times New Roman" w:eastAsia="Times New Roman" w:hint="default"/>
        </w:rPr>
        <w:t>100%</w:t>
      </w:r>
      <w:r>
        <w:rPr/>
        <w:t>股 </w:t>
      </w:r>
      <w:r>
        <w:rPr>
          <w:spacing w:val="-6"/>
        </w:rPr>
        <w:t>权的议案》，公司以</w:t>
      </w:r>
      <w:r>
        <w:rPr>
          <w:rFonts w:ascii="Times New Roman" w:hAnsi="Times New Roman" w:cs="Times New Roman" w:eastAsia="Times New Roman" w:hint="default"/>
          <w:spacing w:val="-6"/>
        </w:rPr>
        <w:t>57750</w:t>
      </w:r>
      <w:r>
        <w:rPr>
          <w:spacing w:val="-6"/>
        </w:rPr>
        <w:t>万元人民币的价格向曾华伟、曾华雄、朱海锋、胡相林（以下简称原股东）购买其持有的</w:t>
      </w:r>
      <w:r>
        <w:rPr>
          <w:rFonts w:ascii="Times New Roman" w:hAnsi="Times New Roman" w:cs="Times New Roman" w:eastAsia="Times New Roman" w:hint="default"/>
          <w:spacing w:val="-6"/>
        </w:rPr>
        <w:t>NEW</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7"/>
        </w:rPr>
        <w:t>TIME</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rFonts w:ascii="Times New Roman" w:hAnsi="Times New Roman" w:cs="Times New Roman" w:eastAsia="Times New Roman" w:hint="default"/>
          <w:spacing w:val="2"/>
        </w:rPr>
        <w:t>GROUP </w:t>
      </w:r>
      <w:r>
        <w:rPr>
          <w:rFonts w:ascii="Times New Roman" w:hAnsi="Times New Roman" w:cs="Times New Roman" w:eastAsia="Times New Roman" w:hint="default"/>
        </w:rPr>
        <w:t>(HK) LIMITED 100%</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日，公司与原股东已办理相应的股权转让文书，故公司自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月将</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w:t>
      </w:r>
      <w:r>
        <w:rPr>
          <w:rFonts w:ascii="Times New Roman" w:hAnsi="Times New Roman" w:cs="Times New Roman" w:eastAsia="Times New Roman" w:hint="default"/>
          <w:spacing w:val="-5"/>
        </w:rPr>
        <w:t> </w:t>
      </w:r>
      <w:r>
        <w:rPr>
          <w:rFonts w:ascii="Times New Roman" w:hAnsi="Times New Roman" w:cs="Times New Roman" w:eastAsia="Times New Roman" w:hint="default"/>
        </w:rPr>
        <w:t>GROUP</w:t>
      </w:r>
      <w:r>
        <w:rPr/>
        <w:t>纳入公司合并范围。</w:t>
      </w:r>
      <w:r>
        <w:rPr>
          <w:spacing w:val="-8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日，子公司真趣网络以</w:t>
      </w:r>
      <w:r>
        <w:rPr>
          <w:rFonts w:ascii="Times New Roman" w:hAnsi="Times New Roman" w:cs="Times New Roman" w:eastAsia="Times New Roman" w:hint="default"/>
        </w:rPr>
        <w:t>0</w:t>
      </w:r>
      <w:r>
        <w:rPr/>
        <w:t>元的价格向苏扬、徐增辉购买其持有的杭州幻趣网络科技有限公司</w:t>
      </w:r>
      <w:r>
        <w:rPr>
          <w:rFonts w:ascii="Times New Roman" w:hAnsi="Times New Roman" w:cs="Times New Roman" w:eastAsia="Times New Roman" w:hint="default"/>
        </w:rPr>
        <w:t>60%</w:t>
      </w:r>
      <w:r>
        <w:rPr/>
        <w:t>股权。本次交易 完成后，真趣网络持有幻趣网络</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月开始将幻趣网络纳入公司合并范围。</w:t>
      </w:r>
      <w:r>
        <w:rPr>
          <w:spacing w:val="-8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2018</w:t>
      </w:r>
      <w:r>
        <w:rPr/>
        <w:t>年度股东大会审议通过了《关于收购同道大叔</w:t>
      </w:r>
      <w:r>
        <w:rPr>
          <w:rFonts w:ascii="Times New Roman" w:hAnsi="Times New Roman" w:cs="Times New Roman" w:eastAsia="Times New Roman" w:hint="default"/>
        </w:rPr>
        <w:t>72.5%</w:t>
      </w:r>
      <w:r>
        <w:rPr/>
        <w:t>股权暨关联交易的议案》，公司合并中取得</w:t>
      </w:r>
      <w:r>
        <w:rPr>
          <w:spacing w:val="-86"/>
        </w:rPr>
        <w:t> </w:t>
      </w:r>
      <w:r>
        <w:rPr/>
        <w:t>的权益比例为</w:t>
      </w:r>
      <w:r>
        <w:rPr>
          <w:rFonts w:ascii="Times New Roman" w:hAnsi="Times New Roman" w:cs="Times New Roman" w:eastAsia="Times New Roman" w:hint="default"/>
        </w:rPr>
        <w:t>72.5%</w:t>
      </w:r>
      <w:r>
        <w:rPr/>
        <w:t>，合并成本为</w:t>
      </w:r>
      <w:r>
        <w:rPr>
          <w:rFonts w:ascii="Times New Roman" w:hAnsi="Times New Roman" w:cs="Times New Roman" w:eastAsia="Times New Roman" w:hint="default"/>
        </w:rPr>
        <w:t>28500</w:t>
      </w:r>
      <w:r>
        <w:rPr/>
        <w:t>万元，合并日为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r>
        <w:rPr>
          <w:spacing w:val="-87"/>
        </w:rPr>
        <w:t>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月，子公司杭州业盛实业有限公司将其在湖州创库文化创意有限公司</w:t>
      </w:r>
      <w:r>
        <w:rPr>
          <w:rFonts w:ascii="Times New Roman" w:hAnsi="Times New Roman" w:cs="Times New Roman" w:eastAsia="Times New Roman" w:hint="default"/>
          <w:spacing w:val="-1"/>
        </w:rPr>
        <w:t>100%</w:t>
      </w:r>
      <w:r>
        <w:rPr>
          <w:spacing w:val="-1"/>
        </w:rPr>
        <w:t>股权作价</w:t>
      </w:r>
      <w:r>
        <w:rPr>
          <w:rFonts w:ascii="Times New Roman" w:hAnsi="Times New Roman" w:cs="Times New Roman" w:eastAsia="Times New Roman" w:hint="default"/>
          <w:spacing w:val="-1"/>
        </w:rPr>
        <w:t>200</w:t>
      </w:r>
      <w:r>
        <w:rPr>
          <w:spacing w:val="-1"/>
        </w:rPr>
        <w:t>万元转让给蔡步标、潘海艇。</w:t>
      </w:r>
      <w:r>
        <w:rPr>
          <w:spacing w:val="-85"/>
        </w:rPr>
        <w:t> </w:t>
      </w:r>
      <w:r>
        <w:rPr>
          <w:spacing w:val="-85"/>
        </w:rPr>
      </w:r>
      <w:r>
        <w:rPr/>
        <w:t>本次交易完成后，公司失去对湖州创库公司的控制，自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月开始不再将湖州创库公司纳入公司合并范围。</w:t>
      </w:r>
      <w:r>
        <w:rPr>
          <w:spacing w:val="-8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月，本公司子公司杭州真趣网络公司新设成立新余云起网络科技有限公司，纳入合并报表范围。</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2" w:lineRule="auto" w:before="96"/>
        <w:ind w:right="109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日，公司第三届董事会第三十二次会议审议通过了《关于收购</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 </w:t>
      </w:r>
      <w:r>
        <w:rPr>
          <w:rFonts w:ascii="Times New Roman" w:hAnsi="Times New Roman" w:cs="Times New Roman" w:eastAsia="Times New Roman" w:hint="default"/>
        </w:rPr>
        <w:t>GROUP (HK) LIMITED</w:t>
      </w:r>
      <w:r>
        <w:rPr>
          <w:rFonts w:ascii="Times New Roman" w:hAnsi="Times New Roman" w:cs="Times New Roman" w:eastAsia="Times New Roman" w:hint="default"/>
          <w:spacing w:val="29"/>
        </w:rPr>
        <w:t> </w:t>
      </w:r>
      <w:r>
        <w:rPr/>
        <w:t>公司</w:t>
      </w:r>
      <w:r>
        <w:rPr>
          <w:rFonts w:ascii="Times New Roman" w:hAnsi="Times New Roman" w:cs="Times New Roman" w:eastAsia="Times New Roman" w:hint="default"/>
        </w:rPr>
        <w:t>100%</w:t>
      </w:r>
      <w:r>
        <w:rPr/>
        <w:t>股 </w:t>
      </w:r>
      <w:r>
        <w:rPr>
          <w:spacing w:val="-6"/>
        </w:rPr>
        <w:t>权的议案》，公司以</w:t>
      </w:r>
      <w:r>
        <w:rPr>
          <w:rFonts w:ascii="Times New Roman" w:hAnsi="Times New Roman" w:cs="Times New Roman" w:eastAsia="Times New Roman" w:hint="default"/>
          <w:spacing w:val="-6"/>
        </w:rPr>
        <w:t>57750</w:t>
      </w:r>
      <w:r>
        <w:rPr>
          <w:spacing w:val="-6"/>
        </w:rPr>
        <w:t>万元人民币的价格向曾华伟、曾华雄、朱海锋、胡相林（以下简称原股东）购买其持有的</w:t>
      </w:r>
      <w:r>
        <w:rPr>
          <w:rFonts w:ascii="Times New Roman" w:hAnsi="Times New Roman" w:cs="Times New Roman" w:eastAsia="Times New Roman" w:hint="default"/>
          <w:spacing w:val="-6"/>
        </w:rPr>
        <w:t>NEW</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7"/>
        </w:rPr>
        <w:t>TIME</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rFonts w:ascii="Times New Roman" w:hAnsi="Times New Roman" w:cs="Times New Roman" w:eastAsia="Times New Roman" w:hint="default"/>
          <w:spacing w:val="2"/>
        </w:rPr>
        <w:t>GROUP </w:t>
      </w:r>
      <w:r>
        <w:rPr>
          <w:rFonts w:ascii="Times New Roman" w:hAnsi="Times New Roman" w:cs="Times New Roman" w:eastAsia="Times New Roman" w:hint="default"/>
        </w:rPr>
        <w:t>(HK) LIMITED</w:t>
      </w:r>
      <w:r>
        <w:rPr>
          <w:rFonts w:ascii="Times New Roman" w:hAnsi="Times New Roman" w:cs="Times New Roman" w:eastAsia="Times New Roman" w:hint="default"/>
          <w:spacing w:val="-8"/>
        </w:rPr>
        <w:t> </w:t>
      </w:r>
      <w:r>
        <w:rPr>
          <w:rFonts w:ascii="Times New Roman" w:hAnsi="Times New Roman" w:cs="Times New Roman" w:eastAsia="Times New Roman" w:hint="default"/>
        </w:rPr>
        <w:t>100%</w:t>
      </w:r>
      <w:r>
        <w:rPr/>
        <w:t>股权。</w:t>
      </w:r>
    </w:p>
    <w:p>
      <w:pPr>
        <w:pStyle w:val="BodyText"/>
        <w:spacing w:line="295" w:lineRule="auto" w:before="14"/>
        <w:ind w:right="1093"/>
        <w:jc w:val="left"/>
      </w:pPr>
      <w:r>
        <w:rPr>
          <w:rFonts w:ascii="Times New Roman" w:hAnsi="Times New Roman" w:cs="Times New Roman" w:eastAsia="Times New Roman" w:hint="default"/>
        </w:rPr>
        <w:t>NEW</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7"/>
        </w:rPr>
        <w:t>TIME</w:t>
      </w:r>
      <w:r>
        <w:rPr>
          <w:rFonts w:ascii="Times New Roman" w:hAnsi="Times New Roman" w:cs="Times New Roman" w:eastAsia="Times New Roman" w:hint="default"/>
          <w:spacing w:val="-14"/>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4"/>
        </w:rPr>
        <w:t> </w:t>
      </w:r>
      <w:r>
        <w:rPr>
          <w:rFonts w:ascii="Times New Roman" w:hAnsi="Times New Roman" w:cs="Times New Roman" w:eastAsia="Times New Roman" w:hint="default"/>
        </w:rPr>
        <w:t>(HK)</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r>
        <w:rPr/>
        <w:t>是一家在玩具、礼品和高级制造业沉淀</w:t>
      </w:r>
      <w:r>
        <w:rPr>
          <w:rFonts w:ascii="Times New Roman" w:hAnsi="Times New Roman" w:cs="Times New Roman" w:eastAsia="Times New Roman" w:hint="default"/>
        </w:rPr>
        <w:t>35</w:t>
      </w:r>
      <w:r>
        <w:rPr/>
        <w:t>年之久的生产企业，与孩之宝、漫威、</w:t>
      </w:r>
      <w:r>
        <w:rPr>
          <w:rFonts w:ascii="Times New Roman" w:hAnsi="Times New Roman" w:cs="Times New Roman" w:eastAsia="Times New Roman" w:hint="default"/>
        </w:rPr>
        <w:t>DC</w:t>
      </w:r>
      <w:r>
        <w:rPr/>
        <w:t>等业</w:t>
      </w:r>
      <w:r>
        <w:rPr>
          <w:spacing w:val="-88"/>
        </w:rPr>
        <w:t> </w:t>
      </w:r>
      <w:r>
        <w:rPr/>
        <w:t>内巨头有多年在全球时尚娃娃、电子产品和基础玩具行业上的合作及业务往来。公司成功收购</w:t>
      </w:r>
      <w:r>
        <w:rPr>
          <w:rFonts w:ascii="Times New Roman" w:hAnsi="Times New Roman" w:cs="Times New Roman" w:eastAsia="Times New Roman" w:hint="default"/>
        </w:rPr>
        <w:t>NEW </w:t>
      </w:r>
      <w:r>
        <w:rPr>
          <w:rFonts w:ascii="Times New Roman" w:hAnsi="Times New Roman" w:cs="Times New Roman" w:eastAsia="Times New Roman" w:hint="default"/>
          <w:spacing w:val="7"/>
        </w:rPr>
        <w:t>TIME </w:t>
      </w:r>
      <w:r>
        <w:rPr>
          <w:rFonts w:ascii="Times New Roman" w:hAnsi="Times New Roman" w:cs="Times New Roman" w:eastAsia="Times New Roman" w:hint="default"/>
        </w:rPr>
        <w:t>GROUP</w:t>
      </w:r>
      <w:r>
        <w:rPr>
          <w:rFonts w:ascii="Times New Roman" w:hAnsi="Times New Roman" w:cs="Times New Roman" w:eastAsia="Times New Roman" w:hint="default"/>
          <w:spacing w:val="-15"/>
        </w:rPr>
        <w:t> </w:t>
      </w:r>
      <w:r>
        <w:rPr>
          <w:rFonts w:ascii="Times New Roman" w:hAnsi="Times New Roman" w:cs="Times New Roman" w:eastAsia="Times New Roman" w:hint="default"/>
        </w:rPr>
        <w:t>(HK)</w:t>
      </w:r>
      <w:r>
        <w:rPr>
          <w:rFonts w:ascii="Times New Roman" w:hAnsi="Times New Roman" w:cs="Times New Roman" w:eastAsia="Times New Roman" w:hint="default"/>
          <w:w w:val="99"/>
        </w:rPr>
        <w:t> </w:t>
      </w:r>
      <w:r>
        <w:rPr>
          <w:rFonts w:ascii="Times New Roman" w:hAnsi="Times New Roman" w:cs="Times New Roman" w:eastAsia="Times New Roman" w:hint="default"/>
        </w:rPr>
        <w:t>LIMITED</w:t>
      </w:r>
      <w:r>
        <w:rPr/>
        <w:t>后，公司</w:t>
      </w:r>
      <w:r>
        <w:rPr>
          <w:rFonts w:ascii="Times New Roman" w:hAnsi="Times New Roman" w:cs="Times New Roman" w:eastAsia="Times New Roman" w:hint="default"/>
        </w:rPr>
        <w:t>IP</w:t>
      </w:r>
      <w:r>
        <w:rPr/>
        <w:t>衍生品产品线拓宽，种类大幅增加，帮助公司营业收入和净利润提升。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828,716,288.00</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60.06%</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44.49%</w:t>
            </w:r>
            <w:r>
              <w:rPr>
                <w:rFonts w:ascii="Times New Roman"/>
                <w:sz w:val="18"/>
              </w:rPr>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613,906,350.02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44.49%</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108,070,946.00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7.83%</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48,822,375.06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3.54%</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30,580,942.35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2.22%</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27,335,674.84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1.98%</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828,716,288.00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60.06%</w:t>
            </w:r>
            <w:r>
              <w:rPr>
                <w:rFonts w:ascii="Times New Roman"/>
                <w:sz w:val="18"/>
              </w:rPr>
            </w:r>
          </w:p>
        </w:tc>
      </w:tr>
    </w:tbl>
    <w:p>
      <w:pPr>
        <w:pStyle w:val="BodyText"/>
        <w:spacing w:line="240" w:lineRule="auto" w:before="45"/>
        <w:ind w:right="0"/>
        <w:jc w:val="left"/>
      </w:pPr>
      <w:r>
        <w:rPr/>
        <w:t>主要客户其他情况说明</w:t>
      </w:r>
    </w:p>
    <w:p>
      <w:pPr>
        <w:pStyle w:val="BodyText"/>
        <w:spacing w:line="333"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after="0" w:line="333"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181,792,654.00</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27.50%</w:t>
            </w:r>
            <w:r>
              <w:rPr>
                <w:rFonts w:ascii="Times New Roman"/>
                <w:sz w:val="18"/>
              </w:rPr>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132,370,374.75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20.02%</w:t>
            </w:r>
            <w:r>
              <w:rPr>
                <w:rFonts w:ascii="Times New Roman"/>
                <w:sz w:val="18"/>
              </w:rPr>
            </w:r>
          </w:p>
        </w:tc>
      </w:tr>
      <w:tr>
        <w:trPr>
          <w:trHeight w:val="391"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15,331,918.14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2.32%</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11,977,199.00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11,069,806.33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1.67%</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11,043,355.84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1.67%</w:t>
            </w:r>
            <w:r>
              <w:rPr>
                <w:rFonts w:ascii="Times New Roman"/>
                <w:sz w:val="18"/>
              </w:rPr>
            </w:r>
          </w:p>
        </w:tc>
      </w:tr>
      <w:tr>
        <w:trPr>
          <w:trHeight w:val="391"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181,792,654.06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27.50%</w:t>
            </w:r>
            <w:r>
              <w:rPr>
                <w:rFonts w:ascii="Times New Roman"/>
                <w:sz w:val="18"/>
              </w:rPr>
            </w:r>
          </w:p>
        </w:tc>
      </w:tr>
    </w:tbl>
    <w:p>
      <w:pPr>
        <w:pStyle w:val="BodyText"/>
        <w:spacing w:line="240" w:lineRule="auto"/>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52"/>
        <w:gridCol w:w="1637"/>
        <w:gridCol w:w="1457"/>
        <w:gridCol w:w="2929"/>
      </w:tblGrid>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27,844,160.10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34,518,202.60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-19.33%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137,433,045.79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119,605,547.00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14.91%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9,583,703.12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5" w:right="0"/>
              <w:jc w:val="left"/>
              <w:rPr>
                <w:rFonts w:ascii="Times New Roman" w:hAnsi="Times New Roman" w:cs="Times New Roman" w:eastAsia="Times New Roman" w:hint="default"/>
                <w:sz w:val="18"/>
                <w:szCs w:val="18"/>
              </w:rPr>
            </w:pPr>
            <w:r>
              <w:rPr>
                <w:rFonts w:ascii="Times New Roman"/>
                <w:sz w:val="18"/>
              </w:rPr>
              <w:t>19,063,025.18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-49.73%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42,872,131.48</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29,588,301.00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44.90%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88" w:lineRule="auto" w:before="111"/>
        <w:ind w:right="0"/>
        <w:jc w:val="left"/>
      </w:pPr>
      <w:r>
        <w:rPr>
          <w:spacing w:val="-2"/>
        </w:rPr>
        <w:t>公司投入研发资金进行</w:t>
      </w:r>
      <w:r>
        <w:rPr>
          <w:rFonts w:ascii="Times New Roman" w:hAnsi="Times New Roman" w:cs="Times New Roman" w:eastAsia="Times New Roman" w:hint="default"/>
          <w:spacing w:val="-2"/>
        </w:rPr>
        <w:t>IP</w:t>
      </w:r>
      <w:r>
        <w:rPr>
          <w:spacing w:val="-2"/>
        </w:rPr>
        <w:t>文化生态圈建设，包括研发人员工资支付、原创动画片、影视、动漫的创作。有利于增强公司获取</w:t>
      </w:r>
      <w:r>
        <w:rPr>
          <w:spacing w:val="-49"/>
        </w:rPr>
        <w:t> </w:t>
      </w:r>
      <w:r>
        <w:rPr>
          <w:spacing w:val="-49"/>
        </w:rPr>
      </w:r>
      <w:r>
        <w:rPr/>
        <w:t>优质</w:t>
      </w:r>
      <w:r>
        <w:rPr>
          <w:rFonts w:ascii="Times New Roman" w:hAnsi="Times New Roman" w:cs="Times New Roman" w:eastAsia="Times New Roman" w:hint="default"/>
        </w:rPr>
        <w:t>IP</w:t>
      </w:r>
      <w:r>
        <w:rPr/>
        <w:t>的能力，亦有利于公司持续变现能力。</w:t>
      </w:r>
    </w:p>
    <w:p>
      <w:pPr>
        <w:pStyle w:val="BodyText"/>
        <w:spacing w:line="240" w:lineRule="auto" w:before="56"/>
        <w:ind w:right="0"/>
        <w:jc w:val="left"/>
      </w:pPr>
      <w:r>
        <w:rPr/>
        <w:t>公司研发投入情况</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76.57%</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17.50%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25.42%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-7.92%</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42,872,131.48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29,588,301.00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44.90%</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3.11%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3.54%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-0.43%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36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411"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研发投入总额占营业收入的比重较上年发生显著变化的原因</w:t>
      </w:r>
    </w:p>
    <w:p>
      <w:pPr>
        <w:pStyle w:val="BodyText"/>
        <w:spacing w:line="319"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1,460,117,379.17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1,157,325,349.37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26.16%</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1,463,271,241.77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1,008,803,470.39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45.05%</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-3,153,862.60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148,521,878.98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-102.12%</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1,917,449,885.05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8,679,703,940.73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-77.91%</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1,101,058,328.63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8,738,726,818.40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-87.40%</w:t>
            </w: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816,391,556.42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-59,022,877.67</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531,117,472.00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994,160,600.00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-46.58%</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844,953,323.51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1,038,725,545.99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-18.65%</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-313,835,851.51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-44,564,945.99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502,050,930.88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47,436,178.49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958.37%</w:t>
            </w:r>
            <w:r>
              <w:rPr>
                <w:rFonts w:ascii="Times New Roman"/>
                <w:sz w:val="18"/>
              </w:rPr>
            </w:r>
          </w:p>
        </w:tc>
      </w:tr>
    </w:tbl>
    <w:p>
      <w:pPr>
        <w:pStyle w:val="BodyText"/>
        <w:spacing w:line="240" w:lineRule="auto" w:before="45"/>
        <w:ind w:right="0"/>
        <w:jc w:val="left"/>
      </w:pPr>
      <w:r>
        <w:rPr/>
        <w:t>相关数据同比发生重大变动的主要影响因素说明</w:t>
      </w:r>
    </w:p>
    <w:p>
      <w:pPr>
        <w:pStyle w:val="BodyText"/>
        <w:spacing w:line="319" w:lineRule="auto" w:before="124"/>
        <w:ind w:right="42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报告期内公司经营活动产生的现金净流量与本年度净利润存在重大差异的原因说明</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1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58"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877,700,736.0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23.51%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374,948,807.76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9.63%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13.88%</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372,193,614.8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9.97%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237,327,806.51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3.88%</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199,870,393.0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130,693,407.38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3.35%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88,627,660.90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2.37%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91,857,137.26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86,976,899.17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2.33%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141,830,524.53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294,279,057.8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7.88%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269,466,240.97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6.92%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533,980.58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312,734,574.9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8.38%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489,447,625.56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-4.18%</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12"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70,110,833.33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-1.80%</w:t>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082"/>
        <w:gridCol w:w="1107"/>
        <w:gridCol w:w="1082"/>
        <w:gridCol w:w="1096"/>
        <w:gridCol w:w="1093"/>
        <w:gridCol w:w="1093"/>
        <w:gridCol w:w="1081"/>
        <w:gridCol w:w="980"/>
        <w:gridCol w:w="961"/>
      </w:tblGrid>
      <w:tr>
        <w:trPr>
          <w:trHeight w:val="158" w:hRule="exact"/>
        </w:trPr>
        <w:tc>
          <w:tcPr>
            <w:tcW w:w="1082" w:type="dxa"/>
            <w:vMerge w:val="restart"/>
            <w:tcBorders>
              <w:top w:val="single" w:sz="6" w:space="0" w:color="000000"/>
              <w:left w:val="single" w:sz="6" w:space="0" w:color="000000"/>
              <w:right w:val="single" w:sz="6" w:space="0" w:color="000000"/>
            </w:tcBorders>
            <w:shd w:val="clear" w:color="auto" w:fill="D2D2D2"/>
          </w:tcPr>
          <w:p>
            <w:pPr/>
          </w:p>
        </w:tc>
        <w:tc>
          <w:tcPr>
            <w:tcW w:w="1107" w:type="dxa"/>
            <w:vMerge w:val="restart"/>
            <w:tcBorders>
              <w:top w:val="single" w:sz="6" w:space="0" w:color="000000"/>
              <w:left w:val="single" w:sz="6" w:space="0" w:color="000000"/>
              <w:right w:val="single" w:sz="6" w:space="0" w:color="000000"/>
            </w:tcBorders>
            <w:shd w:val="clear" w:color="auto" w:fill="D2D2D2"/>
          </w:tcPr>
          <w:p>
            <w:pPr/>
          </w:p>
        </w:tc>
        <w:tc>
          <w:tcPr>
            <w:tcW w:w="10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86" w:right="9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tcBorders>
              <w:top w:val="single" w:sz="6" w:space="0" w:color="000000"/>
              <w:left w:val="single" w:sz="6" w:space="0" w:color="000000"/>
              <w:bottom w:val="nil" w:sz="6" w:space="0" w:color="auto"/>
              <w:right w:val="single" w:sz="6" w:space="0" w:color="000000"/>
            </w:tcBorders>
            <w:shd w:val="clear" w:color="auto" w:fill="D2D2D2"/>
          </w:tcPr>
          <w:p>
            <w:pPr/>
          </w:p>
        </w:tc>
        <w:tc>
          <w:tcPr>
            <w:tcW w:w="980" w:type="dxa"/>
            <w:vMerge w:val="restart"/>
            <w:tcBorders>
              <w:top w:val="single" w:sz="6" w:space="0" w:color="000000"/>
              <w:left w:val="single" w:sz="6" w:space="0" w:color="000000"/>
              <w:right w:val="single" w:sz="6" w:space="0" w:color="000000"/>
            </w:tcBorders>
            <w:shd w:val="clear" w:color="auto" w:fill="D2D2D2"/>
          </w:tcPr>
          <w:p>
            <w:pPr/>
          </w:p>
        </w:tc>
        <w:tc>
          <w:tcPr>
            <w:tcW w:w="961"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1082" w:type="dxa"/>
            <w:vMerge/>
            <w:tcBorders>
              <w:left w:val="single" w:sz="6" w:space="0" w:color="000000"/>
              <w:bottom w:val="nil" w:sz="6" w:space="0" w:color="auto"/>
              <w:right w:val="single" w:sz="6" w:space="0" w:color="000000"/>
            </w:tcBorders>
            <w:shd w:val="clear" w:color="auto" w:fill="D2D2D2"/>
          </w:tcPr>
          <w:p>
            <w:pPr/>
          </w:p>
        </w:tc>
        <w:tc>
          <w:tcPr>
            <w:tcW w:w="1107" w:type="dxa"/>
            <w:vMerge/>
            <w:tcBorders>
              <w:left w:val="single" w:sz="6" w:space="0" w:color="000000"/>
              <w:bottom w:val="nil" w:sz="6" w:space="0" w:color="auto"/>
              <w:right w:val="single" w:sz="6" w:space="0" w:color="000000"/>
            </w:tcBorders>
            <w:shd w:val="clear" w:color="auto" w:fill="D2D2D2"/>
          </w:tcPr>
          <w:p>
            <w:pPr/>
          </w:p>
        </w:tc>
        <w:tc>
          <w:tcPr>
            <w:tcW w:w="1082"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71" w:right="9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6" w:type="dxa"/>
            <w:vMerge/>
            <w:tcBorders>
              <w:left w:val="single" w:sz="6" w:space="0" w:color="000000"/>
              <w:right w:val="single" w:sz="6" w:space="0" w:color="000000"/>
            </w:tcBorders>
            <w:shd w:val="clear" w:color="auto" w:fill="D2D2D2"/>
          </w:tcPr>
          <w:p>
            <w:pP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56" w:right="89" w:hanging="271"/>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435" w:right="100"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439" w:right="85"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80" w:type="dxa"/>
            <w:vMerge/>
            <w:tcBorders>
              <w:left w:val="single" w:sz="6" w:space="0" w:color="000000"/>
              <w:bottom w:val="nil" w:sz="6" w:space="0" w:color="auto"/>
              <w:right w:val="single" w:sz="6" w:space="0" w:color="000000"/>
            </w:tcBorders>
            <w:shd w:val="clear" w:color="auto" w:fill="D2D2D2"/>
          </w:tcPr>
          <w:p>
            <w:pPr/>
          </w:p>
        </w:tc>
        <w:tc>
          <w:tcPr>
            <w:tcW w:w="961" w:type="dxa"/>
            <w:vMerge/>
            <w:tcBorders>
              <w:left w:val="single" w:sz="6" w:space="0" w:color="000000"/>
              <w:bottom w:val="nil" w:sz="6" w:space="0" w:color="auto"/>
              <w:right w:val="single" w:sz="6" w:space="0" w:color="000000"/>
            </w:tcBorders>
            <w:shd w:val="clear" w:color="auto" w:fill="D2D2D2"/>
          </w:tcPr>
          <w:p>
            <w:pPr/>
          </w:p>
        </w:tc>
      </w:tr>
      <w:tr>
        <w:trPr>
          <w:trHeight w:val="390" w:hRule="exact"/>
        </w:trPr>
        <w:tc>
          <w:tcPr>
            <w:tcW w:w="108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2" w:type="dxa"/>
            <w:vMerge/>
            <w:tcBorders>
              <w:left w:val="single" w:sz="6" w:space="0" w:color="000000"/>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8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1082" w:type="dxa"/>
            <w:vMerge/>
            <w:tcBorders>
              <w:left w:val="single" w:sz="6" w:space="0" w:color="000000"/>
              <w:right w:val="single" w:sz="6" w:space="0" w:color="000000"/>
            </w:tcBorders>
            <w:shd w:val="clear" w:color="auto" w:fill="D2D2D2"/>
          </w:tcPr>
          <w:p>
            <w:pPr/>
          </w:p>
        </w:tc>
        <w:tc>
          <w:tcPr>
            <w:tcW w:w="1107" w:type="dxa"/>
            <w:vMerge w:val="restart"/>
            <w:tcBorders>
              <w:top w:val="nil" w:sz="6" w:space="0" w:color="auto"/>
              <w:left w:val="single" w:sz="6" w:space="0" w:color="000000"/>
              <w:right w:val="single" w:sz="6" w:space="0" w:color="000000"/>
            </w:tcBorders>
            <w:shd w:val="clear" w:color="auto" w:fill="D2D2D2"/>
          </w:tcPr>
          <w:p>
            <w:pPr/>
          </w:p>
        </w:tc>
        <w:tc>
          <w:tcPr>
            <w:tcW w:w="1082" w:type="dxa"/>
            <w:vMerge/>
            <w:tcBorders>
              <w:left w:val="single" w:sz="6" w:space="0" w:color="000000"/>
              <w:bottom w:val="nil" w:sz="6" w:space="0" w:color="auto"/>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bottom w:val="nil" w:sz="6" w:space="0" w:color="auto"/>
              <w:right w:val="single" w:sz="6" w:space="0" w:color="000000"/>
            </w:tcBorders>
            <w:shd w:val="clear" w:color="auto" w:fill="D2D2D2"/>
          </w:tcPr>
          <w:p>
            <w:pPr/>
          </w:p>
        </w:tc>
        <w:tc>
          <w:tcPr>
            <w:tcW w:w="980" w:type="dxa"/>
            <w:vMerge w:val="restart"/>
            <w:tcBorders>
              <w:top w:val="nil" w:sz="6" w:space="0" w:color="auto"/>
              <w:left w:val="single" w:sz="6" w:space="0" w:color="000000"/>
              <w:right w:val="single" w:sz="6" w:space="0" w:color="000000"/>
            </w:tcBorders>
            <w:shd w:val="clear" w:color="auto" w:fill="D2D2D2"/>
          </w:tcPr>
          <w:p>
            <w:pPr/>
          </w:p>
        </w:tc>
        <w:tc>
          <w:tcPr>
            <w:tcW w:w="961" w:type="dxa"/>
            <w:vMerge/>
            <w:tcBorders>
              <w:left w:val="single" w:sz="6" w:space="0" w:color="000000"/>
              <w:right w:val="single" w:sz="6" w:space="0" w:color="000000"/>
            </w:tcBorders>
            <w:shd w:val="clear" w:color="auto" w:fill="D2D2D2"/>
          </w:tcPr>
          <w:p>
            <w:pPr/>
          </w:p>
        </w:tc>
      </w:tr>
      <w:tr>
        <w:trPr>
          <w:trHeight w:val="165" w:hRule="exact"/>
        </w:trPr>
        <w:tc>
          <w:tcPr>
            <w:tcW w:w="1082" w:type="dxa"/>
            <w:vMerge/>
            <w:tcBorders>
              <w:left w:val="single" w:sz="6" w:space="0" w:color="000000"/>
              <w:bottom w:val="single" w:sz="6" w:space="0" w:color="000000"/>
              <w:right w:val="single" w:sz="6" w:space="0" w:color="000000"/>
            </w:tcBorders>
            <w:shd w:val="clear" w:color="auto" w:fill="D2D2D2"/>
          </w:tcPr>
          <w:p>
            <w:pPr/>
          </w:p>
        </w:tc>
        <w:tc>
          <w:tcPr>
            <w:tcW w:w="1107" w:type="dxa"/>
            <w:vMerge/>
            <w:tcBorders>
              <w:left w:val="single" w:sz="6" w:space="0" w:color="000000"/>
              <w:bottom w:val="single" w:sz="6" w:space="0" w:color="000000"/>
              <w:right w:val="single" w:sz="6" w:space="0" w:color="000000"/>
            </w:tcBorders>
            <w:shd w:val="clear" w:color="auto" w:fill="D2D2D2"/>
          </w:tcPr>
          <w:p>
            <w:pPr/>
          </w:p>
        </w:tc>
        <w:tc>
          <w:tcPr>
            <w:tcW w:w="10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980" w:type="dxa"/>
            <w:vMerge/>
            <w:tcBorders>
              <w:left w:val="single" w:sz="6" w:space="0" w:color="000000"/>
              <w:bottom w:val="single" w:sz="6" w:space="0" w:color="000000"/>
              <w:right w:val="single" w:sz="6" w:space="0" w:color="000000"/>
            </w:tcBorders>
            <w:shd w:val="clear" w:color="auto" w:fill="D2D2D2"/>
          </w:tcPr>
          <w:p>
            <w:pPr/>
          </w:p>
        </w:tc>
        <w:tc>
          <w:tcPr>
            <w:tcW w:w="961"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93" w:type="dxa"/>
            <w:gridSpan w:val="8"/>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36"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生金融资产）</w:t>
            </w:r>
          </w:p>
        </w:tc>
        <w:tc>
          <w:tcPr>
            <w:tcW w:w="1107" w:type="dxa"/>
            <w:tcBorders>
              <w:top w:val="single" w:sz="6" w:space="0" w:color="000000"/>
              <w:left w:val="single" w:sz="12"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161,457,550.0</w:t>
            </w:r>
          </w:p>
          <w:p>
            <w:pPr>
              <w:pStyle w:val="TableParagraph"/>
              <w:spacing w:line="240" w:lineRule="auto" w:before="108"/>
              <w:ind w:right="24"/>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161,457,550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705"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107" w:type="dxa"/>
            <w:tcBorders>
              <w:top w:val="single" w:sz="6" w:space="0" w:color="000000"/>
              <w:left w:val="single" w:sz="12"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5"/>
              <w:jc w:val="right"/>
              <w:rPr>
                <w:rFonts w:ascii="Times New Roman" w:hAnsi="Times New Roman" w:cs="Times New Roman" w:eastAsia="Times New Roman" w:hint="default"/>
                <w:sz w:val="18"/>
                <w:szCs w:val="18"/>
              </w:rPr>
            </w:pPr>
            <w:r>
              <w:rPr>
                <w:rFonts w:ascii="Times New Roman"/>
                <w:sz w:val="18"/>
              </w:rPr>
              <w:t>143,461,867.6</w:t>
            </w:r>
          </w:p>
          <w:p>
            <w:pPr>
              <w:pStyle w:val="TableParagraph"/>
              <w:spacing w:line="240" w:lineRule="auto" w:before="108"/>
              <w:ind w:right="24"/>
              <w:jc w:val="right"/>
              <w:rPr>
                <w:rFonts w:ascii="Times New Roman" w:hAnsi="Times New Roman" w:cs="Times New Roman" w:eastAsia="Times New Roman" w:hint="default"/>
                <w:sz w:val="18"/>
                <w:szCs w:val="18"/>
              </w:rPr>
            </w:pPr>
            <w:r>
              <w:rPr>
                <w:rFonts w:ascii="Times New Roman"/>
                <w:sz w:val="18"/>
              </w:rPr>
              <w:t>3</w:t>
            </w: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143,461,867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.63</w:t>
            </w:r>
          </w:p>
        </w:tc>
      </w:tr>
      <w:tr>
        <w:trPr>
          <w:trHeight w:val="721"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sz w:val="18"/>
              </w:rPr>
              <w:t>304,919,417.6</w:t>
            </w:r>
          </w:p>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3</w:t>
            </w: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304,672,767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.41</w:t>
            </w:r>
          </w:p>
        </w:tc>
      </w:tr>
      <w:tr>
        <w:trPr>
          <w:trHeight w:val="390" w:hRule="exact"/>
        </w:trPr>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ind w:right="6789"/>
        <w:jc w:val="left"/>
      </w:pPr>
      <w:r>
        <w:rPr/>
        <w:t>其他变动的内容 报告期内公司主要资产计量属性是否发生重大变化</w:t>
      </w:r>
    </w:p>
    <w:p>
      <w:pPr>
        <w:pStyle w:val="BodyText"/>
        <w:spacing w:line="240" w:lineRule="auto" w:before="5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r>
        <w:rPr/>
        <w:pict>
          <v:group style="position:absolute;margin-left:90.875pt;margin-top:496.924988pt;width:30.05pt;height:18.05pt;mso-position-horizontal-relative:page;mso-position-vertical-relative:page;z-index:-1110976" coordorigin="1818,9938" coordsize="601,361">
            <v:shape style="position:absolute;left:1818;top:9938;width:601;height:361" coordorigin="1818,9938" coordsize="601,361" path="m1818,10299l2418,10299,2418,9938,1818,9938,1818,10299xe" filled="true" fillcolor="#ffffff" stroked="false">
              <v:path arrowok="t"/>
              <v:fill type="solid"/>
            </v:shape>
            <w10:wrap type="none"/>
          </v:group>
        </w:pict>
      </w:r>
    </w:p>
    <w:p>
      <w:pPr>
        <w:pStyle w:val="Heading4"/>
        <w:spacing w:line="240" w:lineRule="auto" w:before="35"/>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报告期内无资产权利受限情况。</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92" w:right="0"/>
              <w:jc w:val="left"/>
              <w:rPr>
                <w:rFonts w:ascii="Times New Roman" w:hAnsi="Times New Roman" w:cs="Times New Roman" w:eastAsia="Times New Roman" w:hint="default"/>
                <w:sz w:val="18"/>
                <w:szCs w:val="18"/>
              </w:rPr>
            </w:pPr>
            <w:r>
              <w:rPr>
                <w:rFonts w:ascii="Times New Roman"/>
                <w:sz w:val="18"/>
              </w:rPr>
              <w:t>1,101,058,328.63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27" w:right="0"/>
              <w:jc w:val="left"/>
              <w:rPr>
                <w:rFonts w:ascii="Times New Roman" w:hAnsi="Times New Roman" w:cs="Times New Roman" w:eastAsia="Times New Roman" w:hint="default"/>
                <w:sz w:val="18"/>
                <w:szCs w:val="18"/>
              </w:rPr>
            </w:pPr>
            <w:r>
              <w:rPr>
                <w:rFonts w:ascii="Times New Roman"/>
                <w:sz w:val="18"/>
              </w:rPr>
              <w:t>110,204,378.50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899.11%</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661"/>
        <w:gridCol w:w="646"/>
        <w:gridCol w:w="631"/>
        <w:gridCol w:w="616"/>
        <w:gridCol w:w="616"/>
        <w:gridCol w:w="630"/>
        <w:gridCol w:w="616"/>
        <w:gridCol w:w="616"/>
        <w:gridCol w:w="616"/>
        <w:gridCol w:w="600"/>
        <w:gridCol w:w="586"/>
        <w:gridCol w:w="706"/>
        <w:gridCol w:w="691"/>
        <w:gridCol w:w="691"/>
        <w:gridCol w:w="661"/>
      </w:tblGrid>
      <w:tr>
        <w:trPr>
          <w:trHeight w:val="2282" w:hRule="exact"/>
        </w:trPr>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45" w:right="58"/>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24" w:right="43"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25" w:right="30" w:hanging="181"/>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10" w:right="2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10" w:right="30"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24" w:right="2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10" w:right="2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10" w:right="30"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19" w:right="103"/>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105" w:right="10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75" w:right="7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240" w:right="7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60" w:right="7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45" w:right="5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52" w:hRule="exact"/>
        </w:trPr>
        <w:tc>
          <w:tcPr>
            <w:tcW w:w="661" w:type="dxa"/>
            <w:tcBorders>
              <w:top w:val="single" w:sz="6" w:space="0" w:color="000000"/>
              <w:left w:val="single" w:sz="6" w:space="0" w:color="000000"/>
              <w:bottom w:val="single" w:sz="6" w:space="0" w:color="000000"/>
              <w:right w:val="single" w:sz="12" w:space="0" w:color="000000"/>
            </w:tcBorders>
          </w:tcPr>
          <w:p>
            <w:pPr>
              <w:pStyle w:val="TableParagraph"/>
              <w:spacing w:line="364" w:lineRule="auto" w:before="87"/>
              <w:ind w:left="15" w:right="101"/>
              <w:jc w:val="both"/>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w:t>
            </w:r>
            <w:r>
              <w:rPr>
                <w:rFonts w:ascii="Times New Roman"/>
                <w:sz w:val="18"/>
              </w:rPr>
              <w:t> GROU</w:t>
            </w:r>
          </w:p>
          <w:p>
            <w:pPr>
              <w:pStyle w:val="TableParagraph"/>
              <w:spacing w:line="197" w:lineRule="exact"/>
              <w:ind w:left="15" w:right="0"/>
              <w:jc w:val="both"/>
              <w:rPr>
                <w:rFonts w:ascii="宋体" w:hAnsi="宋体" w:cs="宋体" w:eastAsia="宋体" w:hint="default"/>
                <w:sz w:val="18"/>
                <w:szCs w:val="18"/>
              </w:rPr>
            </w:pPr>
            <w:r>
              <w:rPr>
                <w:rFonts w:ascii="Times New Roman" w:hAnsi="Times New Roman" w:cs="Times New Roman" w:eastAsia="Times New Roman" w:hint="default"/>
                <w:spacing w:val="-26"/>
                <w:w w:val="99"/>
                <w:sz w:val="18"/>
                <w:szCs w:val="18"/>
              </w:rPr>
              <w:t>P</w:t>
            </w:r>
            <w:r>
              <w:rPr>
                <w:rFonts w:ascii="宋体" w:hAnsi="宋体" w:cs="宋体" w:eastAsia="宋体" w:hint="default"/>
                <w:sz w:val="18"/>
                <w:szCs w:val="18"/>
              </w:rPr>
              <w:t>（</w:t>
            </w:r>
            <w:r>
              <w:rPr>
                <w:rFonts w:ascii="Times New Roman" w:hAnsi="Times New Roman" w:cs="Times New Roman" w:eastAsia="Times New Roman" w:hint="default"/>
                <w:spacing w:val="5"/>
                <w:w w:val="99"/>
                <w:sz w:val="18"/>
                <w:szCs w:val="18"/>
              </w:rPr>
              <w:t>HK</w:t>
            </w:r>
            <w:r>
              <w:rPr>
                <w:rFonts w:ascii="宋体" w:hAnsi="宋体" w:cs="宋体" w:eastAsia="宋体" w:hint="default"/>
                <w:spacing w:val="-45"/>
                <w:sz w:val="18"/>
                <w:szCs w:val="18"/>
              </w:rPr>
              <w:t>）</w:t>
            </w:r>
            <w:r>
              <w:rPr>
                <w:rFonts w:ascii="宋体" w:hAnsi="宋体" w:cs="宋体" w:eastAsia="宋体" w:hint="default"/>
                <w:sz w:val="18"/>
                <w:szCs w:val="18"/>
              </w:rPr>
            </w:r>
          </w:p>
          <w:p>
            <w:pPr>
              <w:pStyle w:val="TableParagraph"/>
              <w:spacing w:line="364" w:lineRule="auto" w:before="108"/>
              <w:ind w:left="15" w:right="121"/>
              <w:jc w:val="both"/>
              <w:rPr>
                <w:rFonts w:ascii="Times New Roman" w:hAnsi="Times New Roman" w:cs="Times New Roman" w:eastAsia="Times New Roman" w:hint="default"/>
                <w:sz w:val="18"/>
                <w:szCs w:val="18"/>
              </w:rPr>
            </w:pPr>
            <w:r>
              <w:rPr>
                <w:rFonts w:ascii="Times New Roman"/>
                <w:sz w:val="18"/>
              </w:rPr>
              <w:t>LIMIT</w:t>
            </w:r>
            <w:r>
              <w:rPr>
                <w:rFonts w:ascii="Times New Roman"/>
                <w:w w:val="99"/>
                <w:sz w:val="18"/>
              </w:rPr>
              <w:t> </w:t>
            </w:r>
            <w:r>
              <w:rPr>
                <w:rFonts w:ascii="Times New Roman"/>
                <w:spacing w:val="-5"/>
                <w:sz w:val="18"/>
              </w:rPr>
              <w:t>ED</w:t>
            </w:r>
            <w:r>
              <w:rPr>
                <w:rFonts w:ascii="Times New Roman"/>
                <w:sz w:val="18"/>
              </w:rPr>
            </w:r>
          </w:p>
        </w:tc>
        <w:tc>
          <w:tcPr>
            <w:tcW w:w="6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07" w:lineRule="auto"/>
              <w:ind w:left="7" w:right="73"/>
              <w:jc w:val="left"/>
              <w:rPr>
                <w:rFonts w:ascii="宋体" w:hAnsi="宋体" w:cs="宋体" w:eastAsia="宋体" w:hint="default"/>
                <w:sz w:val="18"/>
                <w:szCs w:val="18"/>
              </w:rPr>
            </w:pPr>
            <w:r>
              <w:rPr>
                <w:rFonts w:ascii="宋体" w:hAnsi="宋体" w:cs="宋体" w:eastAsia="宋体" w:hint="default"/>
                <w:sz w:val="18"/>
                <w:szCs w:val="18"/>
              </w:rPr>
              <w:t>玩具业 务</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收购</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577,50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07" w:lineRule="auto"/>
              <w:ind w:left="29" w:right="43"/>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原股东</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长期</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07" w:lineRule="auto"/>
              <w:ind w:left="30" w:right="30"/>
              <w:jc w:val="left"/>
              <w:rPr>
                <w:rFonts w:ascii="宋体" w:hAnsi="宋体" w:cs="宋体" w:eastAsia="宋体" w:hint="default"/>
                <w:sz w:val="18"/>
                <w:szCs w:val="18"/>
              </w:rPr>
            </w:pPr>
            <w:r>
              <w:rPr>
                <w:rFonts w:ascii="宋体" w:hAnsi="宋体" w:cs="宋体" w:eastAsia="宋体" w:hint="default"/>
                <w:sz w:val="18"/>
                <w:szCs w:val="18"/>
              </w:rPr>
              <w:t>塑胶玩 具</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3"/>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43" w:lineRule="auto"/>
              <w:ind w:left="15"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2019-00</w:t>
            </w:r>
          </w:p>
          <w:p>
            <w:pPr>
              <w:pStyle w:val="TableParagraph"/>
              <w:spacing w:line="240" w:lineRule="auto" w:before="22"/>
              <w:ind w:left="15" w:right="0"/>
              <w:jc w:val="left"/>
              <w:rPr>
                <w:rFonts w:ascii="Times New Roman" w:hAnsi="Times New Roman" w:cs="Times New Roman" w:eastAsia="Times New Roman" w:hint="default"/>
                <w:sz w:val="18"/>
                <w:szCs w:val="18"/>
              </w:rPr>
            </w:pPr>
            <w:r>
              <w:rPr>
                <w:rFonts w:ascii="Times New Roman"/>
                <w:sz w:val="18"/>
              </w:rPr>
              <w:t>5</w:t>
            </w:r>
          </w:p>
        </w:tc>
      </w:tr>
      <w:tr>
        <w:trPr>
          <w:trHeight w:val="1651" w:hRule="exact"/>
        </w:trPr>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88"/>
              <w:jc w:val="both"/>
              <w:rPr>
                <w:rFonts w:ascii="宋体" w:hAnsi="宋体" w:cs="宋体" w:eastAsia="宋体" w:hint="default"/>
                <w:sz w:val="18"/>
                <w:szCs w:val="18"/>
              </w:rPr>
            </w:pPr>
            <w:r>
              <w:rPr>
                <w:rFonts w:ascii="宋体" w:hAnsi="宋体" w:cs="宋体" w:eastAsia="宋体" w:hint="default"/>
                <w:sz w:val="18"/>
                <w:szCs w:val="18"/>
              </w:rPr>
              <w:t>深圳市 同道大 叔文化 传播有 限公司</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73"/>
              <w:jc w:val="both"/>
              <w:rPr>
                <w:rFonts w:ascii="宋体" w:hAnsi="宋体" w:cs="宋体" w:eastAsia="宋体" w:hint="default"/>
                <w:sz w:val="18"/>
                <w:szCs w:val="18"/>
              </w:rPr>
            </w:pPr>
            <w:r>
              <w:rPr>
                <w:rFonts w:ascii="宋体" w:hAnsi="宋体" w:cs="宋体" w:eastAsia="宋体" w:hint="default"/>
                <w:sz w:val="18"/>
                <w:szCs w:val="18"/>
              </w:rPr>
              <w:t>自媒体 服务平 台</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收购</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217,50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29" w:right="43"/>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美盛控 股</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8"/>
              <w:jc w:val="right"/>
              <w:rPr>
                <w:rFonts w:ascii="宋体" w:hAnsi="宋体" w:cs="宋体" w:eastAsia="宋体" w:hint="default"/>
                <w:sz w:val="18"/>
                <w:szCs w:val="18"/>
              </w:rPr>
            </w:pPr>
            <w:r>
              <w:rPr>
                <w:rFonts w:ascii="宋体" w:hAnsi="宋体" w:cs="宋体" w:eastAsia="宋体" w:hint="default"/>
                <w:sz w:val="18"/>
                <w:szCs w:val="18"/>
              </w:rPr>
              <w:t>长期</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服务</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完成</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75"/>
              <w:ind w:left="15" w:right="0"/>
              <w:jc w:val="left"/>
              <w:rPr>
                <w:rFonts w:ascii="Times New Roman" w:hAnsi="Times New Roman" w:cs="Times New Roman" w:eastAsia="Times New Roman" w:hint="default"/>
                <w:sz w:val="18"/>
                <w:szCs w:val="18"/>
              </w:rPr>
            </w:pPr>
            <w:r>
              <w:rPr>
                <w:rFonts w:ascii="Times New Roman"/>
                <w:sz w:val="18"/>
              </w:rPr>
              <w:t>2019-02</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8</w:t>
            </w:r>
          </w:p>
        </w:tc>
      </w:tr>
      <w:tr>
        <w:trPr>
          <w:trHeight w:val="1021" w:hRule="exact"/>
        </w:trPr>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8"/>
              <w:jc w:val="right"/>
              <w:rPr>
                <w:rFonts w:ascii="Times New Roman" w:hAnsi="Times New Roman" w:cs="Times New Roman" w:eastAsia="Times New Roman" w:hint="default"/>
                <w:sz w:val="18"/>
                <w:szCs w:val="18"/>
              </w:rPr>
            </w:pPr>
            <w:r>
              <w:rPr>
                <w:rFonts w:ascii="Times New Roman"/>
                <w:sz w:val="18"/>
              </w:rPr>
              <w:t>--</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8"/>
              <w:jc w:val="right"/>
              <w:rPr>
                <w:rFonts w:ascii="Times New Roman" w:hAnsi="Times New Roman" w:cs="Times New Roman" w:eastAsia="Times New Roman" w:hint="default"/>
                <w:sz w:val="18"/>
                <w:szCs w:val="18"/>
              </w:rPr>
            </w:pPr>
            <w:r>
              <w:rPr>
                <w:rFonts w:ascii="Times New Roman"/>
                <w:sz w:val="18"/>
              </w:rPr>
              <w:t>--</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8"/>
              <w:jc w:val="right"/>
              <w:rPr>
                <w:rFonts w:ascii="Times New Roman" w:hAnsi="Times New Roman" w:cs="Times New Roman" w:eastAsia="Times New Roman" w:hint="default"/>
                <w:sz w:val="18"/>
                <w:szCs w:val="18"/>
              </w:rPr>
            </w:pPr>
            <w:r>
              <w:rPr>
                <w:rFonts w:ascii="Times New Roman"/>
                <w:sz w:val="18"/>
              </w:rPr>
              <w:t>--</w:t>
            </w:r>
          </w:p>
        </w:tc>
        <w:tc>
          <w:tcPr>
            <w:tcW w:w="6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4"/>
              <w:jc w:val="right"/>
              <w:rPr>
                <w:rFonts w:ascii="Times New Roman" w:hAnsi="Times New Roman" w:cs="Times New Roman" w:eastAsia="Times New Roman" w:hint="default"/>
                <w:sz w:val="18"/>
                <w:szCs w:val="18"/>
              </w:rPr>
            </w:pPr>
            <w:r>
              <w:rPr>
                <w:rFonts w:ascii="Times New Roman"/>
                <w:sz w:val="18"/>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21"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143,461,86</w:t>
            </w:r>
          </w:p>
          <w:p>
            <w:pPr>
              <w:pStyle w:val="TableParagraph"/>
              <w:spacing w:line="240" w:lineRule="auto" w:before="93"/>
              <w:ind w:left="555" w:right="0"/>
              <w:jc w:val="left"/>
              <w:rPr>
                <w:rFonts w:ascii="Times New Roman" w:hAnsi="Times New Roman" w:cs="Times New Roman" w:eastAsia="Times New Roman" w:hint="default"/>
                <w:sz w:val="18"/>
                <w:szCs w:val="18"/>
              </w:rPr>
            </w:pPr>
            <w:r>
              <w:rPr>
                <w:rFonts w:ascii="Times New Roman"/>
                <w:sz w:val="18"/>
              </w:rPr>
              <w:t>7.63</w:t>
            </w:r>
          </w:p>
        </w:tc>
        <w:tc>
          <w:tcPr>
            <w:tcW w:w="1096"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1,374,248.9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143,215,217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143,461,86</w:t>
            </w:r>
          </w:p>
          <w:p>
            <w:pPr>
              <w:pStyle w:val="TableParagraph"/>
              <w:spacing w:line="240" w:lineRule="auto" w:before="108"/>
              <w:ind w:left="555" w:right="0"/>
              <w:jc w:val="left"/>
              <w:rPr>
                <w:rFonts w:ascii="Times New Roman" w:hAnsi="Times New Roman" w:cs="Times New Roman" w:eastAsia="Times New Roman" w:hint="default"/>
                <w:sz w:val="18"/>
                <w:szCs w:val="18"/>
              </w:rPr>
            </w:pPr>
            <w:r>
              <w:rPr>
                <w:rFonts w:ascii="Times New Roman"/>
                <w:sz w:val="18"/>
              </w:rPr>
              <w:t>7.63</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1,374,248.9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143,215,217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0" w:right="1141"/>
        <w:jc w:val="right"/>
      </w:pPr>
      <w:r>
        <w:rPr/>
        <w:pict>
          <v:shape style="position:absolute;margin-left:56.325001pt;margin-top:-244.020782pt;width:480.25pt;height:363.3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1"/>
                    <w:gridCol w:w="856"/>
                    <w:gridCol w:w="886"/>
                    <w:gridCol w:w="871"/>
                    <w:gridCol w:w="871"/>
                    <w:gridCol w:w="871"/>
                    <w:gridCol w:w="871"/>
                    <w:gridCol w:w="871"/>
                    <w:gridCol w:w="871"/>
                    <w:gridCol w:w="872"/>
                    <w:gridCol w:w="871"/>
                  </w:tblGrid>
                  <w:tr>
                    <w:trPr>
                      <w:trHeight w:val="1337"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4" w:right="104"/>
                          <w:jc w:val="both"/>
                          <w:rPr>
                            <w:rFonts w:ascii="宋体" w:hAnsi="宋体" w:cs="宋体" w:eastAsia="宋体" w:hint="default"/>
                            <w:sz w:val="18"/>
                            <w:szCs w:val="18"/>
                          </w:rPr>
                        </w:pPr>
                        <w:r>
                          <w:rPr>
                            <w:rFonts w:ascii="宋体" w:hAnsi="宋体" w:cs="宋体" w:eastAsia="宋体" w:hint="default"/>
                            <w:sz w:val="18"/>
                            <w:szCs w:val="18"/>
                          </w:rPr>
                          <w:t>首次公开 发行股票 募集</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42,628.13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40,311.24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12.43%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3.54</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104"/>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207,423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216,376.7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216,376.7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2,387.86</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19"/>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250,051.13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216,376.7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256,687.94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2,391.4</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063"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一 首次公开发行股票募集资金</w:t>
                        </w:r>
                      </w:p>
                      <w:p>
                        <w:pPr>
                          <w:pStyle w:val="TableParagraph"/>
                          <w:spacing w:line="304" w:lineRule="auto" w:before="125"/>
                          <w:ind w:left="15" w:right="88" w:firstLine="180"/>
                          <w:jc w:val="both"/>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40,311.24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万元，以前年度收到的银行存款利息扣除银行手续费等的净额为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1,950.79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月实际使用募集资金零元，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月收到的银行存款利息扣除银行手续费等的净额为</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累计已使用募集资金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40311.24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1950.76 </w:t>
                        </w:r>
                        <w:r>
                          <w:rPr>
                            <w:rFonts w:ascii="宋体" w:hAnsi="宋体" w:cs="宋体" w:eastAsia="宋体" w:hint="default"/>
                            <w:sz w:val="18"/>
                            <w:szCs w:val="18"/>
                          </w:rPr>
                          <w:t>万元。</w:t>
                        </w:r>
                      </w:p>
                      <w:p>
                        <w:pPr>
                          <w:pStyle w:val="TableParagraph"/>
                          <w:spacing w:line="312" w:lineRule="auto" w:before="42"/>
                          <w:ind w:left="15" w:right="9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日召开了第三届董事会第二十五次会议和第三届监事会第十六次会议，分别审议通过了《关于 </w:t>
                        </w:r>
                        <w:r>
                          <w:rPr>
                            <w:rFonts w:ascii="宋体" w:hAnsi="宋体" w:cs="宋体" w:eastAsia="宋体" w:hint="default"/>
                            <w:spacing w:val="-2"/>
                            <w:sz w:val="18"/>
                            <w:szCs w:val="18"/>
                          </w:rPr>
                          <w:t>首次公开发行股票募投项目结项并将结余募集资金永久性补充流动资金的公告》，将首次公开发行股票募投项目募集资金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结余永久性补充流动资金。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年，公司共计补充流动资金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4,264.08 </w:t>
                        </w:r>
                        <w:r>
                          <w:rPr>
                            <w:rFonts w:ascii="宋体" w:hAnsi="宋体" w:cs="宋体" w:eastAsia="宋体" w:hint="default"/>
                            <w:sz w:val="18"/>
                            <w:szCs w:val="18"/>
                          </w:rPr>
                          <w:t>万元。</w:t>
                        </w:r>
                      </w:p>
                      <w:p>
                        <w:pPr>
                          <w:pStyle w:val="TableParagraph"/>
                          <w:spacing w:line="333" w:lineRule="auto" w:before="36"/>
                          <w:ind w:left="15" w:right="139"/>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3.54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万元（包括累计收到的银行存款利息扣除银行手续费等的净额）。</w:t>
                        </w:r>
                        <w:r>
                          <w:rPr>
                            <w:rFonts w:ascii="宋体" w:hAnsi="宋体" w:cs="宋体" w:eastAsia="宋体" w:hint="default"/>
                            <w:sz w:val="18"/>
                            <w:szCs w:val="18"/>
                          </w:rPr>
                          <w:t> 二 非公开发行股票募集自己</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1951" w:lineRule="exact"/>
        <w:ind w:left="134"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79.1pt;height:97.6pt;mso-position-horizontal-relative:char;mso-position-vertical-relative:line" type="#_x0000_t202" filled="false" stroked="true" strokeweight=".75pt" strokecolor="#000000">
            <w10:anchorlock/>
            <v:textbox inset="0,0,0,0">
              <w:txbxContent>
                <w:p>
                  <w:pPr>
                    <w:pStyle w:val="BodyText"/>
                    <w:spacing w:line="240" w:lineRule="auto" w:before="14"/>
                    <w:ind w:left="164" w:right="0"/>
                    <w:jc w:val="center"/>
                    <w:rPr>
                      <w:rFonts w:ascii="Times New Roman" w:hAnsi="Times New Roman" w:cs="Times New Roman" w:eastAsia="Times New Roman" w:hint="default"/>
                    </w:rPr>
                  </w:pPr>
                  <w:r>
                    <w:rPr/>
                    <w:t>本公司以前年度已使用募集资金零元，以前年度收到的银行存款利息扣除银行手续费等的净额为 </w:t>
                  </w:r>
                  <w:r>
                    <w:rPr>
                      <w:rFonts w:ascii="Times New Roman" w:hAnsi="Times New Roman" w:cs="Times New Roman" w:eastAsia="Times New Roman" w:hint="default"/>
                    </w:rPr>
                    <w:t>11,261.89 </w:t>
                  </w:r>
                  <w:r>
                    <w:rPr/>
                    <w:t>万元；</w:t>
                  </w:r>
                  <w:r>
                    <w:rPr>
                      <w:spacing w:val="-64"/>
                    </w:rPr>
                    <w:t> </w:t>
                  </w:r>
                  <w:r>
                    <w:rPr>
                      <w:rFonts w:ascii="Times New Roman" w:hAnsi="Times New Roman" w:cs="Times New Roman" w:eastAsia="Times New Roman" w:hint="default"/>
                    </w:rPr>
                    <w:t>2019</w:t>
                  </w:r>
                </w:p>
                <w:p>
                  <w:pPr>
                    <w:pStyle w:val="BodyText"/>
                    <w:spacing w:line="240" w:lineRule="auto" w:before="51"/>
                    <w:ind w:left="15" w:right="0"/>
                    <w:jc w:val="left"/>
                  </w:pPr>
                  <w:r>
                    <w:rPr/>
                    <w:t>年度实际使用募集资金</w:t>
                  </w:r>
                  <w:r>
                    <w:rPr>
                      <w:spacing w:val="-41"/>
                    </w:rPr>
                    <w:t> </w:t>
                  </w:r>
                  <w:r>
                    <w:rPr>
                      <w:rFonts w:ascii="Times New Roman" w:hAnsi="Times New Roman" w:cs="Times New Roman" w:eastAsia="Times New Roman" w:hint="default"/>
                    </w:rPr>
                    <w:t>216,376.70</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t>年度收到的银行存款利息扣除银行手续费等的净额为</w:t>
                  </w:r>
                  <w:r>
                    <w:rPr>
                      <w:spacing w:val="-38"/>
                    </w:rPr>
                    <w:t> </w:t>
                  </w:r>
                  <w:r>
                    <w:rPr>
                      <w:rFonts w:ascii="Times New Roman" w:hAnsi="Times New Roman" w:cs="Times New Roman" w:eastAsia="Times New Roman" w:hint="default"/>
                    </w:rPr>
                    <w:t>16.79</w:t>
                  </w:r>
                  <w:r>
                    <w:rPr>
                      <w:rFonts w:ascii="Times New Roman" w:hAnsi="Times New Roman" w:cs="Times New Roman" w:eastAsia="Times New Roman" w:hint="default"/>
                      <w:spacing w:val="3"/>
                    </w:rPr>
                    <w:t> </w:t>
                  </w:r>
                  <w:r>
                    <w:rPr>
                      <w:spacing w:val="-3"/>
                    </w:rPr>
                    <w:t>万元，收到理财</w:t>
                  </w:r>
                </w:p>
                <w:p>
                  <w:pPr>
                    <w:pStyle w:val="BodyText"/>
                    <w:spacing w:line="240" w:lineRule="auto" w:before="66"/>
                    <w:ind w:left="15" w:right="0"/>
                    <w:jc w:val="left"/>
                  </w:pPr>
                  <w:r>
                    <w:rPr/>
                    <w:t>收益为</w:t>
                  </w:r>
                  <w:r>
                    <w:rPr>
                      <w:spacing w:val="-53"/>
                    </w:rPr>
                    <w:t> </w:t>
                  </w:r>
                  <w:r>
                    <w:rPr>
                      <w:rFonts w:ascii="Times New Roman" w:hAnsi="Times New Roman" w:cs="Times New Roman" w:eastAsia="Times New Roman" w:hint="default"/>
                    </w:rPr>
                    <w:t>56.64</w:t>
                  </w:r>
                  <w:r>
                    <w:rPr>
                      <w:rFonts w:ascii="Times New Roman" w:hAnsi="Times New Roman" w:cs="Times New Roman" w:eastAsia="Times New Roman" w:hint="default"/>
                      <w:spacing w:val="-8"/>
                    </w:rPr>
                    <w:t> </w:t>
                  </w:r>
                  <w:r>
                    <w:rPr/>
                    <w:t>万元，收到其他银行账户转入</w:t>
                  </w:r>
                  <w:r>
                    <w:rPr>
                      <w:spacing w:val="-51"/>
                    </w:rPr>
                    <w:t> </w:t>
                  </w:r>
                  <w:r>
                    <w:rPr>
                      <w:rFonts w:ascii="Times New Roman" w:hAnsi="Times New Roman" w:cs="Times New Roman" w:eastAsia="Times New Roman" w:hint="default"/>
                    </w:rPr>
                    <w:t>6.05</w:t>
                  </w:r>
                  <w:r>
                    <w:rPr>
                      <w:rFonts w:ascii="Times New Roman" w:hAnsi="Times New Roman" w:cs="Times New Roman" w:eastAsia="Times New Roman" w:hint="default"/>
                      <w:spacing w:val="-8"/>
                    </w:rPr>
                    <w:t> </w:t>
                  </w:r>
                  <w:r>
                    <w:rPr/>
                    <w:t>万元；累计已使用募集资金</w:t>
                  </w:r>
                  <w:r>
                    <w:rPr>
                      <w:spacing w:val="-51"/>
                    </w:rPr>
                    <w:t> </w:t>
                  </w:r>
                  <w:r>
                    <w:rPr>
                      <w:rFonts w:ascii="Times New Roman" w:hAnsi="Times New Roman" w:cs="Times New Roman" w:eastAsia="Times New Roman" w:hint="default"/>
                    </w:rPr>
                    <w:t>216,376.70</w:t>
                  </w:r>
                  <w:r>
                    <w:rPr>
                      <w:rFonts w:ascii="Times New Roman" w:hAnsi="Times New Roman" w:cs="Times New Roman" w:eastAsia="Times New Roman" w:hint="default"/>
                      <w:spacing w:val="-7"/>
                    </w:rPr>
                    <w:t> </w:t>
                  </w:r>
                  <w:r>
                    <w:rPr/>
                    <w:t>万元，累计收到的银行存款利息扣</w:t>
                  </w:r>
                </w:p>
                <w:p>
                  <w:pPr>
                    <w:pStyle w:val="BodyText"/>
                    <w:spacing w:line="240" w:lineRule="auto" w:before="66"/>
                    <w:ind w:left="15" w:right="0"/>
                    <w:jc w:val="left"/>
                  </w:pPr>
                  <w:r>
                    <w:rPr/>
                    <w:t>除银行手续费等的净额为</w:t>
                  </w:r>
                  <w:r>
                    <w:rPr>
                      <w:spacing w:val="-43"/>
                    </w:rPr>
                    <w:t> </w:t>
                  </w:r>
                  <w:r>
                    <w:rPr>
                      <w:rFonts w:ascii="Times New Roman" w:hAnsi="Times New Roman" w:cs="Times New Roman" w:eastAsia="Times New Roman" w:hint="default"/>
                    </w:rPr>
                    <w:t>11,278.68</w:t>
                  </w:r>
                  <w:r>
                    <w:rPr>
                      <w:rFonts w:ascii="Times New Roman" w:hAnsi="Times New Roman" w:cs="Times New Roman" w:eastAsia="Times New Roman" w:hint="default"/>
                      <w:spacing w:val="1"/>
                    </w:rPr>
                    <w:t> </w:t>
                  </w:r>
                  <w:r>
                    <w:rPr/>
                    <w:t>万元，累计收到理财收益</w:t>
                  </w:r>
                  <w:r>
                    <w:rPr>
                      <w:spacing w:val="-43"/>
                    </w:rPr>
                    <w:t> </w:t>
                  </w:r>
                  <w:r>
                    <w:rPr>
                      <w:rFonts w:ascii="Times New Roman" w:hAnsi="Times New Roman" w:cs="Times New Roman" w:eastAsia="Times New Roman" w:hint="default"/>
                    </w:rPr>
                    <w:t>56.64 </w:t>
                  </w:r>
                  <w:r>
                    <w:rPr/>
                    <w:t>万元，累计收到其他账户转入</w:t>
                  </w:r>
                  <w:r>
                    <w:rPr>
                      <w:spacing w:val="-42"/>
                    </w:rPr>
                    <w:t> </w:t>
                  </w:r>
                  <w:r>
                    <w:rPr>
                      <w:rFonts w:ascii="Times New Roman" w:hAnsi="Times New Roman" w:cs="Times New Roman" w:eastAsia="Times New Roman" w:hint="default"/>
                    </w:rPr>
                    <w:t>6.05 </w:t>
                  </w:r>
                  <w:r>
                    <w:rPr/>
                    <w:t>万元。</w:t>
                  </w:r>
                </w:p>
                <w:p>
                  <w:pPr>
                    <w:pStyle w:val="BodyText"/>
                    <w:spacing w:line="240" w:lineRule="auto" w:before="111"/>
                    <w:ind w:left="15" w:right="0"/>
                    <w:jc w:val="left"/>
                  </w:pPr>
                  <w:r>
                    <w:rPr/>
                    <w:t>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日，公司募集资金余额为</w:t>
                  </w:r>
                  <w:r>
                    <w:rPr>
                      <w:spacing w:val="-46"/>
                    </w:rPr>
                    <w:t> </w:t>
                  </w:r>
                  <w:r>
                    <w:rPr>
                      <w:rFonts w:ascii="Times New Roman" w:hAnsi="Times New Roman" w:cs="Times New Roman" w:eastAsia="Times New Roman" w:hint="default"/>
                    </w:rPr>
                    <w:t>2,387.86</w:t>
                  </w:r>
                  <w:r>
                    <w:rPr>
                      <w:rFonts w:ascii="Times New Roman" w:hAnsi="Times New Roman" w:cs="Times New Roman" w:eastAsia="Times New Roman" w:hint="default"/>
                      <w:spacing w:val="-2"/>
                    </w:rPr>
                    <w:t> </w:t>
                  </w:r>
                  <w:r>
                    <w:rPr>
                      <w:spacing w:val="-3"/>
                    </w:rPr>
                    <w:t>万元（注：差异</w:t>
                  </w:r>
                  <w:r>
                    <w:rPr>
                      <w:spacing w:val="-47"/>
                    </w:rPr>
                    <w:t> </w:t>
                  </w:r>
                  <w:r>
                    <w:rPr>
                      <w:rFonts w:ascii="Times New Roman" w:hAnsi="Times New Roman" w:cs="Times New Roman" w:eastAsia="Times New Roman" w:hint="default"/>
                    </w:rPr>
                    <w:t>0.01</w:t>
                  </w:r>
                  <w:r>
                    <w:rPr>
                      <w:rFonts w:ascii="Times New Roman" w:hAnsi="Times New Roman" w:cs="Times New Roman" w:eastAsia="Times New Roman" w:hint="default"/>
                      <w:spacing w:val="-3"/>
                    </w:rPr>
                    <w:t> </w:t>
                  </w:r>
                  <w:r>
                    <w:rPr/>
                    <w:t>万元系尾数差异）</w:t>
                  </w:r>
                  <w:r>
                    <w:rPr>
                      <w:rFonts w:ascii="Times New Roman" w:hAnsi="Times New Roman" w:cs="Times New Roman" w:eastAsia="Times New Roman" w:hint="default"/>
                    </w:rPr>
                    <w:t>,</w:t>
                  </w:r>
                  <w:r>
                    <w:rPr/>
                    <w:t>其中闲置募集资金购买通</w:t>
                  </w:r>
                </w:p>
                <w:p>
                  <w:pPr>
                    <w:pStyle w:val="BodyText"/>
                    <w:spacing w:line="240" w:lineRule="auto" w:before="51"/>
                    <w:ind w:left="15" w:right="0"/>
                    <w:jc w:val="left"/>
                  </w:pPr>
                  <w:r>
                    <w:rPr/>
                    <w:t>知存款余额为</w:t>
                  </w:r>
                  <w:r>
                    <w:rPr>
                      <w:spacing w:val="-44"/>
                    </w:rPr>
                    <w:t> </w:t>
                  </w:r>
                  <w:r>
                    <w:rPr>
                      <w:rFonts w:ascii="Times New Roman" w:hAnsi="Times New Roman" w:cs="Times New Roman" w:eastAsia="Times New Roman" w:hint="default"/>
                    </w:rPr>
                    <w:t>766.65 </w:t>
                  </w:r>
                  <w:r>
                    <w:rPr/>
                    <w:t>万元，剩余募集资金</w:t>
                  </w:r>
                  <w:r>
                    <w:rPr>
                      <w:spacing w:val="-44"/>
                    </w:rPr>
                    <w:t> </w:t>
                  </w:r>
                  <w:r>
                    <w:rPr>
                      <w:rFonts w:ascii="Times New Roman" w:hAnsi="Times New Roman" w:cs="Times New Roman" w:eastAsia="Times New Roman" w:hint="default"/>
                    </w:rPr>
                    <w:t>1,621.21</w:t>
                  </w:r>
                  <w:r>
                    <w:rPr>
                      <w:rFonts w:ascii="Times New Roman" w:hAnsi="Times New Roman" w:cs="Times New Roman" w:eastAsia="Times New Roman" w:hint="default"/>
                      <w:spacing w:val="1"/>
                    </w:rPr>
                    <w:t> </w:t>
                  </w:r>
                  <w:r>
                    <w:rPr/>
                    <w:t>万元存放于募集资金专户。</w:t>
                  </w:r>
                </w:p>
              </w:txbxContent>
            </v:textbox>
          </v:shape>
        </w:pict>
      </w:r>
      <w:r>
        <w:rPr>
          <w:rFonts w:ascii="宋体" w:hAnsi="宋体" w:cs="宋体" w:eastAsia="宋体" w:hint="default"/>
          <w:position w:val="-38"/>
          <w:sz w:val="20"/>
          <w:szCs w:val="20"/>
        </w:rPr>
      </w:r>
    </w:p>
    <w:p>
      <w:pPr>
        <w:spacing w:line="240" w:lineRule="auto" w:before="6"/>
        <w:rPr>
          <w:rFonts w:ascii="宋体" w:hAnsi="宋体" w:cs="宋体" w:eastAsia="宋体" w:hint="default"/>
          <w:sz w:val="20"/>
          <w:szCs w:val="20"/>
        </w:rPr>
      </w:pPr>
    </w:p>
    <w:p>
      <w:pPr>
        <w:pStyle w:val="Heading4"/>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1336"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510" w:right="7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3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3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29"/>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76"/>
              <w:ind w:right="13"/>
              <w:jc w:val="center"/>
              <w:rPr>
                <w:rFonts w:ascii="Times New Roman" w:hAnsi="Times New Roman" w:cs="Times New Roman" w:eastAsia="Times New Roman" w:hint="default"/>
                <w:sz w:val="18"/>
                <w:szCs w:val="18"/>
              </w:rPr>
            </w:pPr>
            <w:r>
              <w:rPr>
                <w:rFonts w:ascii="Times New Roman"/>
                <w:sz w:val="18"/>
              </w:rPr>
              <w:t>(1)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15" w:right="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15"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44"/>
              <w:ind w:left="14"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2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15" w:right="3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2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动漫服饰扩产建设 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21,350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21,350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18,912.12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86.31%</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研发设计中心项目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9,499.12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99.99%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文化生态圈项目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207,423.2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216,376.7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center"/>
              <w:rPr>
                <w:rFonts w:ascii="Times New Roman" w:hAnsi="Times New Roman" w:cs="Times New Roman" w:eastAsia="Times New Roman" w:hint="default"/>
                <w:sz w:val="18"/>
                <w:szCs w:val="18"/>
              </w:rPr>
            </w:pPr>
            <w:r>
              <w:rPr>
                <w:rFonts w:ascii="Times New Roman"/>
                <w:sz w:val="18"/>
              </w:rPr>
              <w:t>216,376.7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216,376.7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230,973.2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245,226.7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216,376.7</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244,787.9</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2"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4"/>
              <w:ind w:left="1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收购上海纯真年代影 视投资有限公司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p>
          <w:p>
            <w:pPr>
              <w:pStyle w:val="TableParagraph"/>
              <w:spacing w:line="192" w:lineRule="exact"/>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315" w:val="left" w:leader="none"/>
              </w:tabs>
              <w:spacing w:line="240" w:lineRule="auto" w:before="50"/>
              <w:ind w:left="-138" w:right="328"/>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w:t>
            </w:r>
          </w:p>
        </w:tc>
        <w:tc>
          <w:tcPr>
            <w:tcW w:w="781" w:type="dxa"/>
            <w:tcBorders>
              <w:top w:val="single" w:sz="6" w:space="0" w:color="000000"/>
              <w:left w:val="single" w:sz="12"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4,100</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66"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13,900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13,900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2"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r>
      <w:tr>
        <w:trPr>
          <w:trHeight w:val="72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230,973.2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259,126.7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216,376.7</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258,687.9</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r>
      <w:tr>
        <w:trPr>
          <w:trHeight w:val="2282"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上海纯真年代影视投资有限公司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-30.65 </w:t>
            </w:r>
            <w:r>
              <w:rPr>
                <w:rFonts w:ascii="宋体" w:hAnsi="宋体" w:cs="宋体" w:eastAsia="宋体" w:hint="default"/>
                <w:spacing w:val="-3"/>
                <w:sz w:val="18"/>
                <w:szCs w:val="18"/>
              </w:rPr>
              <w:t>万元，未达到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年度承诺业绩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万。未达部分于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日由原股东以现金补足。上海纯真年代影视投资有限公司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-282.91 </w:t>
            </w:r>
            <w:r>
              <w:rPr>
                <w:rFonts w:ascii="宋体" w:hAnsi="宋体" w:cs="宋体" w:eastAsia="宋体" w:hint="default"/>
                <w:sz w:val="18"/>
                <w:szCs w:val="18"/>
              </w:rPr>
              <w:t>万元，未达到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年度承诺业绩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万。纯真年代公司原股东朱质冰、朱质</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颖已于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日以现金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万元向公司补偿，并于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日以现金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向公司进行补偿。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月，经公司第二届董事会第二十二次会议决议和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w:t>
            </w:r>
          </w:p>
          <w:p>
            <w:pPr>
              <w:pStyle w:val="TableParagraph"/>
              <w:spacing w:line="240" w:lineRule="auto" w:before="5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东大会审议，公司向控股股东美盛控股集团有限公司转让纯真年代</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70.00%</w:t>
            </w:r>
            <w:r>
              <w:rPr>
                <w:rFonts w:ascii="宋体" w:hAnsi="宋体" w:cs="宋体" w:eastAsia="宋体" w:hint="default"/>
                <w:spacing w:val="-3"/>
                <w:sz w:val="18"/>
                <w:szCs w:val="18"/>
              </w:rPr>
              <w:t>的股权，转让价款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12,000</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万元，此次股权转让完成后公司不再持有纯真年代的股权。</w:t>
            </w:r>
          </w:p>
        </w:tc>
      </w:tr>
      <w:tr>
        <w:trPr>
          <w:trHeight w:val="39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0.8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810"/>
                  </w:tblGrid>
                  <w:tr>
                    <w:trPr>
                      <w:trHeight w:val="36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z w:val="18"/>
                            <w:szCs w:val="18"/>
                          </w:rPr>
                          <w:t> 及使用进展情况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90"/>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51"/>
                          <w:ind w:left="15" w:right="-13"/>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日公司第二届董事会第十一次会议决议，公司使用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9,800 </w:t>
                        </w:r>
                        <w:r>
                          <w:rPr>
                            <w:rFonts w:ascii="宋体" w:hAnsi="宋体" w:cs="宋体" w:eastAsia="宋体" w:hint="default"/>
                            <w:sz w:val="18"/>
                            <w:szCs w:val="18"/>
                          </w:rPr>
                          <w:t>万元超募资金对外投资， 以取得上海纯真年代影视投资有限公司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月，经公司第二届董事会第二十二 次会议决议和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年第一次临时股东大会审议，公司向控股股东美盛控股集团有限公司转让纯真年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w:t>
                        </w:r>
                        <w:r>
                          <w:rPr>
                            <w:rFonts w:ascii="宋体" w:hAnsi="宋体" w:cs="宋体" w:eastAsia="宋体" w:hint="default"/>
                            <w:sz w:val="18"/>
                            <w:szCs w:val="18"/>
                          </w:rPr>
                          <w:t>的股权，转让价款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万元，此次股权转让完成后公司不再持有纯真年代的股权。</w:t>
                        </w:r>
                      </w:p>
                    </w:tc>
                  </w:tr>
                  <w:tr>
                    <w:trPr>
                      <w:trHeight w:val="406"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3"/>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772"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52"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04"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6" w:hRule="exact"/>
                    </w:trPr>
                    <w:tc>
                      <w:tcPr>
                        <w:tcW w:w="1772"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410"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both"/>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平方米，此</w:t>
                        </w:r>
                      </w:p>
                      <w:p>
                        <w:pPr>
                          <w:pStyle w:val="TableParagraph"/>
                          <w:spacing w:line="312" w:lineRule="auto" w:before="51"/>
                          <w:ind w:left="15" w:right="28"/>
                          <w:jc w:val="both"/>
                          <w:rPr>
                            <w:rFonts w:ascii="宋体" w:hAnsi="宋体" w:cs="宋体" w:eastAsia="宋体" w:hint="default"/>
                            <w:sz w:val="18"/>
                            <w:szCs w:val="18"/>
                          </w:rPr>
                        </w:pPr>
                        <w:r>
                          <w:rPr>
                            <w:rFonts w:ascii="宋体" w:hAnsi="宋体" w:cs="宋体" w:eastAsia="宋体" w:hint="default"/>
                            <w:sz w:val="18"/>
                            <w:szCs w:val="18"/>
                          </w:rPr>
                          <w:t>次公司在杭州市滨江区购买总面积约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平方米的办公场所，房屋含税总价款约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万元。办公</w:t>
                        </w:r>
                        <w:r>
                          <w:rPr>
                            <w:rFonts w:ascii="宋体" w:hAnsi="宋体" w:cs="宋体" w:eastAsia="宋体" w:hint="default"/>
                            <w:sz w:val="18"/>
                            <w:szCs w:val="18"/>
                          </w:rPr>
                          <w:t> 场所面积增加主要是公司近两年发展速度较快，原规划面积已不能满足公司战略发展需要。为保证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研发设计中心项目的实施资金需求，公司使用部分超募资金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5,300 </w:t>
                        </w:r>
                        <w:r>
                          <w:rPr>
                            <w:rFonts w:ascii="宋体" w:hAnsi="宋体" w:cs="宋体" w:eastAsia="宋体" w:hint="default"/>
                            <w:sz w:val="18"/>
                            <w:szCs w:val="18"/>
                          </w:rPr>
                          <w:t>万元补充用于此次募投项目的实</w:t>
                        </w:r>
                      </w:p>
                      <w:p>
                        <w:pPr>
                          <w:pStyle w:val="TableParagraph"/>
                          <w:spacing w:line="241" w:lineRule="exact"/>
                          <w:ind w:left="15" w:right="0"/>
                          <w:jc w:val="both"/>
                          <w:rPr>
                            <w:rFonts w:ascii="宋体" w:hAnsi="宋体" w:cs="宋体" w:eastAsia="宋体" w:hint="default"/>
                            <w:sz w:val="18"/>
                            <w:szCs w:val="18"/>
                          </w:rPr>
                        </w:pPr>
                        <w:r>
                          <w:rPr>
                            <w:rFonts w:ascii="宋体" w:hAnsi="宋体" w:cs="宋体" w:eastAsia="宋体" w:hint="default"/>
                            <w:sz w:val="18"/>
                            <w:szCs w:val="18"/>
                          </w:rPr>
                          <w:t>施；上述募集资金投资项目实施方式调整已经公司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w:t>
                        </w:r>
                      </w:p>
                      <w:p>
                        <w:pPr>
                          <w:pStyle w:val="TableParagraph"/>
                          <w:spacing w:line="312" w:lineRule="auto" w:before="111"/>
                          <w:ind w:left="15"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日，公司召开了第三届董事会第三十三次会议，审议通过了《关于募集资金实施方 </w:t>
                        </w:r>
                        <w:r>
                          <w:rPr>
                            <w:rFonts w:ascii="宋体" w:hAnsi="宋体" w:cs="宋体" w:eastAsia="宋体" w:hint="default"/>
                            <w:spacing w:val="-5"/>
                            <w:sz w:val="18"/>
                            <w:szCs w:val="18"/>
                          </w:rPr>
                          <w:t>式变更及确认募集资金投资项目的议案》，同意公司从实际情况出发，将前期以自有资金投资的项目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确认为募集资金投资项目，相应投资金额从募集资金中扣除。本次募集资金投资项目拟建设</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文化</w:t>
                        </w:r>
                      </w:p>
                      <w:p>
                        <w:pPr>
                          <w:pStyle w:val="TableParagraph"/>
                          <w:spacing w:line="304" w:lineRule="auto"/>
                          <w:ind w:left="15"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生态圈项目，项目总投资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20.88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亿元。包括</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SIP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共塑平台、泛娱乐开发运营平台两大信息技术平台， 一个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仓库，以及美盛</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生态产业基地项目。本项目将由本公司或全资子公司实施。其中公司于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亿收购真趣网络</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股权。因杭州真趣网络科技有限公司经营业务跟募投项目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中的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SIP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共塑平台和泛娱乐开发运营平台功能相似，拟变更募集资金投资项目实施方式为以购买真 趣网络股权的方式实施。同时确认对真趣网络的投资为实施募集资金投资项目，相应投资金额从募 </w:t>
                        </w:r>
                        <w:r>
                          <w:rPr>
                            <w:rFonts w:ascii="宋体" w:hAnsi="宋体" w:cs="宋体" w:eastAsia="宋体" w:hint="default"/>
                            <w:spacing w:val="-5"/>
                            <w:sz w:val="18"/>
                            <w:szCs w:val="18"/>
                          </w:rPr>
                          <w:t>集资金中扣除。公司以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2.845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亿元分别在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年收购深圳市同道大叔创意文化传播有限公司（以下 </w:t>
                        </w:r>
                        <w:r>
                          <w:rPr>
                            <w:rFonts w:ascii="宋体" w:hAnsi="宋体" w:cs="宋体" w:eastAsia="宋体" w:hint="default"/>
                            <w:spacing w:val="-5"/>
                            <w:sz w:val="18"/>
                            <w:szCs w:val="18"/>
                          </w:rPr>
                          <w:t>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同道大叔</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股权，</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年收购剩余部分股权。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1.9077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亿元参股</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JAKKS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5"/>
                            <w:sz w:val="18"/>
                            <w:szCs w:val="18"/>
                          </w:rPr>
                          <w:t>Inc</w:t>
                        </w:r>
                        <w:r>
                          <w:rPr>
                            <w:rFonts w:ascii="宋体" w:hAnsi="宋体" w:cs="宋体" w:eastAsia="宋体" w:hint="default"/>
                            <w:spacing w:val="-5"/>
                            <w:sz w:val="18"/>
                            <w:szCs w:val="18"/>
                          </w:rPr>
                          <w:t>（以下简称</w:t>
                        </w:r>
                        <w:r>
                          <w:rPr>
                            <w:rFonts w:ascii="Times New Roman" w:hAnsi="Times New Roman" w:cs="Times New Roman" w:eastAsia="Times New Roman" w:hint="default"/>
                            <w:spacing w:val="-5"/>
                            <w:sz w:val="18"/>
                            <w:szCs w:val="18"/>
                          </w:rPr>
                          <w:t>“JAKKS”</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19.50%</w:t>
                        </w:r>
                        <w:r>
                          <w:rPr>
                            <w:rFonts w:ascii="宋体" w:hAnsi="宋体" w:cs="宋体" w:eastAsia="宋体" w:hint="default"/>
                            <w:spacing w:val="-5"/>
                            <w:sz w:val="18"/>
                            <w:szCs w:val="18"/>
                          </w:rPr>
                          <w:t>股权，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亿元收购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NEW</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7"/>
                            <w:sz w:val="18"/>
                            <w:szCs w:val="18"/>
                          </w:rPr>
                          <w:t>TIME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GROUP(HK)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p>
                      <w:p>
                        <w:pPr>
                          <w:pStyle w:val="TableParagraph"/>
                          <w:spacing w:line="290" w:lineRule="auto" w:before="12"/>
                          <w:ind w:left="15" w:right="44"/>
                          <w:jc w:val="both"/>
                          <w:rPr>
                            <w:rFonts w:ascii="宋体" w:hAnsi="宋体" w:cs="宋体" w:eastAsia="宋体" w:hint="default"/>
                            <w:sz w:val="18"/>
                            <w:szCs w:val="18"/>
                          </w:rPr>
                        </w:pPr>
                        <w:r>
                          <w:rPr>
                            <w:rFonts w:ascii="宋体" w:hAnsi="宋体" w:cs="宋体" w:eastAsia="宋体" w:hint="default"/>
                            <w:sz w:val="18"/>
                            <w:szCs w:val="18"/>
                          </w:rPr>
                          <w:t>公司（以下简称</w:t>
                        </w:r>
                        <w:r>
                          <w:rPr>
                            <w:rFonts w:ascii="Times New Roman" w:hAnsi="Times New Roman" w:cs="Times New Roman" w:eastAsia="Times New Roman" w:hint="default"/>
                            <w:sz w:val="18"/>
                            <w:szCs w:val="18"/>
                          </w:rPr>
                          <w:t>“NEW</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3"/>
                            <w:sz w:val="18"/>
                            <w:szCs w:val="18"/>
                          </w:rPr>
                          <w:t>TIME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）股权，以上均符合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仓库项目的实施方向，确认对上述 股权的投资为实施募集资金投资项目，相应投资金额从募集资金中扣除。以及美盛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生态产业基 地项目变更为租赁房产的方式实施。</w:t>
                        </w:r>
                      </w:p>
                      <w:p>
                        <w:pPr>
                          <w:pStyle w:val="TableParagraph"/>
                          <w:spacing w:line="240" w:lineRule="auto" w:before="102"/>
                          <w:ind w:left="15" w:right="0"/>
                          <w:jc w:val="both"/>
                          <w:rPr>
                            <w:rFonts w:ascii="宋体" w:hAnsi="宋体" w:cs="宋体" w:eastAsia="宋体" w:hint="default"/>
                            <w:sz w:val="18"/>
                            <w:szCs w:val="18"/>
                          </w:rPr>
                        </w:pPr>
                        <w:r>
                          <w:rPr>
                            <w:rFonts w:ascii="宋体" w:hAnsi="宋体" w:cs="宋体" w:eastAsia="宋体" w:hint="default"/>
                            <w:sz w:val="18"/>
                            <w:szCs w:val="18"/>
                          </w:rPr>
                          <w:t>上述募集资金投资项目实施方式调整已经通过公司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w:t>
                        </w: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before="0"/>
        <w:ind w:left="0" w:right="1141"/>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772"/>
        <w:gridCol w:w="7810"/>
      </w:tblGrid>
      <w:tr>
        <w:trPr>
          <w:trHeight w:val="40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5"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0"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日，公司首发募集资金余额为人民币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3.54 </w:t>
            </w:r>
            <w:r>
              <w:rPr>
                <w:rFonts w:ascii="宋体" w:hAnsi="宋体" w:cs="宋体" w:eastAsia="宋体" w:hint="default"/>
                <w:sz w:val="18"/>
                <w:szCs w:val="18"/>
              </w:rPr>
              <w:t>万元（包括累计收到的银行存款利 </w:t>
            </w:r>
            <w:r>
              <w:rPr>
                <w:rFonts w:ascii="宋体" w:hAnsi="宋体" w:cs="宋体" w:eastAsia="宋体" w:hint="default"/>
                <w:spacing w:val="-5"/>
                <w:sz w:val="18"/>
                <w:szCs w:val="18"/>
              </w:rPr>
              <w:t>息扣除银行手续费等的净额）。</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年非公开募集资金余额为公司募集资金余额为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2,387.86 </w:t>
            </w:r>
            <w:r>
              <w:rPr>
                <w:rFonts w:ascii="宋体" w:hAnsi="宋体" w:cs="宋体" w:eastAsia="宋体" w:hint="default"/>
                <w:sz w:val="18"/>
                <w:szCs w:val="18"/>
              </w:rPr>
              <w:t>万</w:t>
            </w:r>
            <w:r>
              <w:rPr>
                <w:rFonts w:ascii="Times New Roman" w:hAnsi="Times New Roman" w:cs="Times New Roman" w:eastAsia="Times New Roman" w:hint="default"/>
                <w:sz w:val="18"/>
                <w:szCs w:val="18"/>
              </w:rPr>
              <w:t>,</w:t>
            </w:r>
            <w:r>
              <w:rPr>
                <w:rFonts w:ascii="宋体" w:hAnsi="宋体" w:cs="宋体" w:eastAsia="宋体" w:hint="default"/>
                <w:sz w:val="18"/>
                <w:szCs w:val="18"/>
              </w:rPr>
              <w:t>其中 闲置募集资金购买通知存款余额为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766.65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1,621.21 </w:t>
            </w:r>
            <w:r>
              <w:rPr>
                <w:rFonts w:ascii="宋体" w:hAnsi="宋体" w:cs="宋体" w:eastAsia="宋体" w:hint="default"/>
                <w:sz w:val="18"/>
                <w:szCs w:val="18"/>
              </w:rPr>
              <w:t>万元存放于募集资金专户。</w:t>
            </w:r>
          </w:p>
        </w:tc>
      </w:tr>
      <w:tr>
        <w:trPr>
          <w:trHeight w:val="2072"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年非公开发行股票募集资金</w:t>
            </w:r>
          </w:p>
          <w:p>
            <w:pPr>
              <w:pStyle w:val="TableParagraph"/>
              <w:spacing w:line="240" w:lineRule="auto" w:before="11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月，公司累计收到普通账户划转至募集资金账户金额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万元，公司违规将募集</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资金账户划转至普通账户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73" w:lineRule="auto" w:before="156"/>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日前，累计应转未转回募集资金账户净额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178,026.02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年度股东大会审议通过《关于募集资金实施方式变更及确认募集资金投资项目的议案》，将前期以自</w:t>
            </w:r>
          </w:p>
          <w:p>
            <w:pPr>
              <w:pStyle w:val="TableParagraph"/>
              <w:spacing w:line="240" w:lineRule="auto" w:before="70"/>
              <w:ind w:left="15" w:right="0"/>
              <w:jc w:val="left"/>
              <w:rPr>
                <w:rFonts w:ascii="宋体" w:hAnsi="宋体" w:cs="宋体" w:eastAsia="宋体" w:hint="default"/>
                <w:sz w:val="18"/>
                <w:szCs w:val="18"/>
              </w:rPr>
            </w:pPr>
            <w:r>
              <w:rPr>
                <w:rFonts w:ascii="宋体" w:hAnsi="宋体" w:cs="宋体" w:eastAsia="宋体" w:hint="default"/>
                <w:sz w:val="18"/>
                <w:szCs w:val="18"/>
              </w:rPr>
              <w:t>有资金投资的项目确认为募集资金投资项目，相应投资金额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216,376.70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万元从募集资金中扣除。</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公司报告期不存在募集资金变更项目情况。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164"/>
              <w:jc w:val="left"/>
              <w:rPr>
                <w:rFonts w:ascii="Times New Roman" w:hAnsi="Times New Roman" w:cs="Times New Roman" w:eastAsia="Times New Roman" w:hint="default"/>
                <w:sz w:val="18"/>
                <w:szCs w:val="18"/>
              </w:rPr>
            </w:pPr>
            <w:r>
              <w:rPr>
                <w:rFonts w:ascii="Times New Roman"/>
                <w:sz w:val="18"/>
              </w:rPr>
              <w:t>New</w:t>
            </w:r>
            <w:r>
              <w:rPr>
                <w:rFonts w:ascii="Times New Roman"/>
                <w:spacing w:val="-12"/>
                <w:sz w:val="18"/>
              </w:rPr>
              <w:t> </w:t>
            </w:r>
            <w:r>
              <w:rPr>
                <w:rFonts w:ascii="Times New Roman"/>
                <w:sz w:val="18"/>
              </w:rPr>
              <w:t>Time</w:t>
            </w:r>
            <w:r>
              <w:rPr>
                <w:rFonts w:ascii="Times New Roman"/>
                <w:sz w:val="18"/>
              </w:rPr>
              <w:t> Group(HK)</w:t>
            </w:r>
            <w:r>
              <w:rPr>
                <w:rFonts w:ascii="Times New Roman"/>
                <w:spacing w:val="-35"/>
                <w:sz w:val="18"/>
              </w:rPr>
              <w:t> </w:t>
            </w:r>
            <w:r>
              <w:rPr>
                <w:rFonts w:ascii="Times New Roman"/>
                <w:spacing w:val="-35"/>
                <w:sz w:val="18"/>
              </w:rPr>
            </w:r>
            <w:r>
              <w:rPr>
                <w:rFonts w:ascii="Times New Roman"/>
                <w:spacing w:val="-3"/>
                <w:sz w:val="18"/>
              </w:rPr>
              <w:t>Limited</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玩具制造、 进出口贸易</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273,221,846.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17</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168,642,004.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404,952,414.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84,057,584.5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71,036,595.0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游戏服务平 台、广告投 放</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1818.1818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902,779,252.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828,483,927.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455,893,411.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97,388,126.3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94,506,181.7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72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223"/>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 发、投资</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万人</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238,043,108.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09</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94,145,299.9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22,502,503.1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22,563.70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-561,644.03</w:t>
            </w:r>
            <w:r>
              <w:rPr>
                <w:rFonts w:ascii="Times New Roman"/>
                <w:sz w:val="18"/>
              </w:rPr>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动漫制作</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万人民 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92,790,606.4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-2,912,602.8</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5,704,905.44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-11,803,551.</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-11,804,883.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动漫、游戏 设计开发</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万人民 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175,140,579.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62,336,606.5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209,559.94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-45,168,233.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-45,170,052.</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46</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与母公司产 品相关的投 资业务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万港币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175,007,382.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60,739,375.6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48,122,420.0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-62,864,397.</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-64,050,609.</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83</w:t>
            </w:r>
          </w:p>
        </w:tc>
      </w:tr>
      <w:tr>
        <w:trPr>
          <w:trHeight w:val="72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二次元相关 产品开发</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万人民 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83,992,539.1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55,699,512.6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110,378.71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-4,118,518.0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-4,118,700.5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同道大叔</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广告、文化 艺术、电子 商务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130.5744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36"/>
              <w:ind w:left="1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54,358,733.0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46,600,852.6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43,354,197.6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595,256.66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992,724.81</w:t>
            </w:r>
          </w:p>
        </w:tc>
      </w:tr>
    </w:tbl>
    <w:p>
      <w:pPr>
        <w:pStyle w:val="BodyText"/>
        <w:spacing w:line="240" w:lineRule="auto" w:before="45"/>
        <w:ind w:right="0"/>
        <w:jc w:val="left"/>
      </w:pPr>
      <w:r>
        <w:rPr/>
        <w:t>报告期内取得和处置子公司的情况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湖州创库文化创意有限公司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股权出让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产生处置收益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万元人民币</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深圳市同道大叔文化传播有限公司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30" w:right="16"/>
              <w:jc w:val="left"/>
              <w:rPr>
                <w:rFonts w:ascii="宋体" w:hAnsi="宋体" w:cs="宋体" w:eastAsia="宋体" w:hint="default"/>
                <w:sz w:val="18"/>
                <w:szCs w:val="18"/>
              </w:rPr>
            </w:pPr>
            <w:r>
              <w:rPr>
                <w:rFonts w:ascii="宋体" w:hAnsi="宋体" w:cs="宋体" w:eastAsia="宋体" w:hint="default"/>
                <w:sz w:val="18"/>
                <w:szCs w:val="18"/>
              </w:rPr>
              <w:t>拓展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生态产业链，增加营业收入和净 利润</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New Time Group(HK)</w:t>
            </w:r>
            <w:r>
              <w:rPr>
                <w:rFonts w:ascii="Times New Roman"/>
                <w:spacing w:val="-2"/>
                <w:sz w:val="18"/>
              </w:rPr>
              <w:t> </w:t>
            </w:r>
            <w:r>
              <w:rPr>
                <w:rFonts w:ascii="Times New Roman"/>
                <w:spacing w:val="-3"/>
                <w:sz w:val="18"/>
              </w:rPr>
              <w:t>Limited</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0" w:right="16"/>
              <w:jc w:val="left"/>
              <w:rPr>
                <w:rFonts w:ascii="宋体" w:hAnsi="宋体" w:cs="宋体" w:eastAsia="宋体" w:hint="default"/>
                <w:sz w:val="18"/>
                <w:szCs w:val="18"/>
              </w:rPr>
            </w:pPr>
            <w:r>
              <w:rPr>
                <w:rFonts w:ascii="宋体" w:hAnsi="宋体" w:cs="宋体" w:eastAsia="宋体" w:hint="default"/>
                <w:sz w:val="18"/>
                <w:szCs w:val="18"/>
              </w:rPr>
              <w:t>拓展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衍生品类型，增加营业收入和净 利润</w:t>
            </w:r>
          </w:p>
        </w:tc>
      </w:tr>
    </w:tbl>
    <w:p>
      <w:pPr>
        <w:pStyle w:val="BodyText"/>
        <w:spacing w:line="240" w:lineRule="auto" w:before="45"/>
        <w:ind w:right="0"/>
        <w:jc w:val="both"/>
      </w:pPr>
      <w:r>
        <w:rPr/>
        <w:t>主要控股参股公司情况说明</w:t>
      </w: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pStyle w:val="BodyText"/>
        <w:spacing w:line="430" w:lineRule="atLeast" w:before="132"/>
        <w:ind w:left="501" w:right="0"/>
        <w:jc w:val="left"/>
      </w:pPr>
      <w:r>
        <w:rPr/>
        <w:t>一、行业格局和趋势 </w:t>
      </w:r>
      <w:r>
        <w:rPr>
          <w:spacing w:val="-2"/>
        </w:rPr>
        <w:t>改革开放以来，我国社会经济多年来持续稳定发展，人民生活水平显著提高，在物质生活条件大幅改善的同时，人民的</w:t>
      </w:r>
    </w:p>
    <w:p>
      <w:pPr>
        <w:pStyle w:val="BodyText"/>
        <w:spacing w:line="316" w:lineRule="auto" w:before="80"/>
        <w:ind w:right="1046"/>
        <w:jc w:val="both"/>
      </w:pPr>
      <w:r>
        <w:rPr>
          <w:spacing w:val="-2"/>
        </w:rPr>
        <w:t>文化消费需求也日益旺盛。我国文化产业也呈现出消费快速增长和需求转型升级的态势。在国家政策综合扶持、市场需求旺</w:t>
      </w:r>
      <w:r>
        <w:rPr>
          <w:spacing w:val="-75"/>
        </w:rPr>
        <w:t> </w:t>
      </w:r>
      <w:r>
        <w:rPr>
          <w:spacing w:val="-75"/>
        </w:rPr>
      </w:r>
      <w:r>
        <w:rPr>
          <w:spacing w:val="-2"/>
        </w:rPr>
        <w:t>盛、内容技术创新、产业融合整合等综合因素的推动下，我国文化产业近年来发展迅速。文化产业在国民经济中的地位越来</w:t>
      </w:r>
      <w:r>
        <w:rPr>
          <w:spacing w:val="-42"/>
        </w:rPr>
        <w:t> </w:t>
      </w:r>
      <w:r>
        <w:rPr>
          <w:spacing w:val="-42"/>
        </w:rPr>
      </w:r>
      <w:r>
        <w:rPr>
          <w:spacing w:val="-2"/>
        </w:rPr>
        <w:t>越重要，在支撑我国经济结构调整和转型升级等方面发挥了积极作用，正在成为新的支柱产业。作为文化产业的重要组成部</w:t>
      </w:r>
      <w:r>
        <w:rPr>
          <w:spacing w:val="-64"/>
        </w:rPr>
        <w:t> </w:t>
      </w:r>
      <w:r>
        <w:rPr>
          <w:spacing w:val="-64"/>
        </w:rPr>
      </w:r>
      <w:r>
        <w:rPr>
          <w:spacing w:val="-4"/>
        </w:rPr>
        <w:t>分，公司业务涉及的动漫、游戏、影视、新媒体等产业近年来也取得了快速发展，市场规模迅速扩张，且未来发展空间巨大。</w:t>
      </w:r>
    </w:p>
    <w:p>
      <w:pPr>
        <w:pStyle w:val="BodyText"/>
        <w:spacing w:line="240" w:lineRule="auto" w:before="157"/>
        <w:ind w:left="501" w:right="0"/>
        <w:jc w:val="left"/>
      </w:pPr>
      <w:r>
        <w:rPr>
          <w:rFonts w:ascii="Times New Roman" w:hAnsi="Times New Roman" w:cs="Times New Roman" w:eastAsia="Times New Roman" w:hint="default"/>
        </w:rPr>
        <w:t>1</w:t>
      </w:r>
      <w:r>
        <w:rPr/>
        <w:t>、动漫产业</w:t>
      </w:r>
    </w:p>
    <w:p>
      <w:pPr>
        <w:pStyle w:val="BodyText"/>
        <w:spacing w:line="420" w:lineRule="atLeast" w:before="15"/>
        <w:ind w:left="501" w:right="1083"/>
        <w:jc w:val="left"/>
      </w:pPr>
      <w:r>
        <w:rPr/>
        <w:t>（</w:t>
      </w:r>
      <w:r>
        <w:rPr>
          <w:rFonts w:ascii="Times New Roman" w:hAnsi="Times New Roman" w:cs="Times New Roman" w:eastAsia="Times New Roman" w:hint="default"/>
        </w:rPr>
        <w:t>1</w:t>
      </w:r>
      <w:r>
        <w:rPr/>
        <w:t>）产业规模近年来持续增长 </w:t>
      </w:r>
      <w:r>
        <w:rPr>
          <w:spacing w:val="-1"/>
        </w:rPr>
        <w:t>我国动漫产业近年来继续保持快速增长的态势，据艾瑞咨询发布《</w:t>
      </w:r>
      <w:r>
        <w:rPr>
          <w:rFonts w:ascii="Times New Roman" w:hAnsi="Times New Roman" w:cs="Times New Roman" w:eastAsia="Times New Roman" w:hint="default"/>
          <w:spacing w:val="-1"/>
        </w:rPr>
        <w:t>2018</w:t>
      </w:r>
      <w:r>
        <w:rPr>
          <w:spacing w:val="-1"/>
        </w:rPr>
        <w:t>年中国动漫行业研究报告》，我国动漫产业产值</w:t>
      </w:r>
    </w:p>
    <w:p>
      <w:pPr>
        <w:pStyle w:val="BodyText"/>
        <w:spacing w:line="240" w:lineRule="auto" w:before="66"/>
        <w:ind w:right="0"/>
        <w:jc w:val="both"/>
      </w:pPr>
      <w:r>
        <w:rPr/>
        <w:t>从</w:t>
      </w:r>
      <w:r>
        <w:rPr>
          <w:rFonts w:ascii="Times New Roman" w:hAnsi="Times New Roman" w:cs="Times New Roman" w:eastAsia="Times New Roman" w:hint="default"/>
        </w:rPr>
        <w:t>2013</w:t>
      </w:r>
      <w:r>
        <w:rPr/>
        <w:t>年开始持续快速增长，从</w:t>
      </w:r>
      <w:r>
        <w:rPr>
          <w:rFonts w:ascii="Times New Roman" w:hAnsi="Times New Roman" w:cs="Times New Roman" w:eastAsia="Times New Roman" w:hint="default"/>
        </w:rPr>
        <w:t>13</w:t>
      </w:r>
      <w:r>
        <w:rPr/>
        <w:t>年</w:t>
      </w:r>
      <w:r>
        <w:rPr>
          <w:rFonts w:ascii="Times New Roman" w:hAnsi="Times New Roman" w:cs="Times New Roman" w:eastAsia="Times New Roman" w:hint="default"/>
        </w:rPr>
        <w:t>882</w:t>
      </w:r>
      <w:r>
        <w:rPr/>
        <w:t>亿元总产增长到</w:t>
      </w: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1747</w:t>
      </w:r>
      <w:r>
        <w:rPr/>
        <w:t>亿元左右，实现总产值翻倍，</w:t>
      </w:r>
      <w:r>
        <w:rPr>
          <w:rFonts w:ascii="Times New Roman" w:hAnsi="Times New Roman" w:cs="Times New Roman" w:eastAsia="Times New Roman" w:hint="default"/>
        </w:rPr>
        <w:t>2019</w:t>
      </w:r>
      <w:r>
        <w:rPr/>
        <w:t>年中国动漫产业有</w:t>
      </w:r>
    </w:p>
    <w:p>
      <w:pPr>
        <w:spacing w:after="0" w:line="24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ind w:right="1116"/>
        <w:jc w:val="both"/>
      </w:pPr>
      <w:r>
        <w:rPr/>
        <w:t>望突破</w:t>
      </w:r>
      <w:r>
        <w:rPr>
          <w:rFonts w:ascii="Times New Roman" w:hAnsi="Times New Roman" w:cs="Times New Roman" w:eastAsia="Times New Roman" w:hint="default"/>
        </w:rPr>
        <w:t>2,000</w:t>
      </w:r>
      <w:r>
        <w:rPr/>
        <w:t>亿元。动漫产值主要来自于动漫上游的内容市场和下游的衍生市场两大块。在全球比较成熟的日本及欧美动漫</w:t>
      </w:r>
      <w:r>
        <w:rPr>
          <w:spacing w:val="-38"/>
        </w:rPr>
        <w:t> </w:t>
      </w:r>
      <w:r>
        <w:rPr>
          <w:spacing w:val="-38"/>
        </w:rPr>
      </w:r>
      <w:r>
        <w:rPr>
          <w:spacing w:val="-1"/>
        </w:rPr>
        <w:t>市场中，衍生市场的产值大约相当于内容市场的</w:t>
      </w:r>
      <w:r>
        <w:rPr>
          <w:rFonts w:ascii="Times New Roman" w:hAnsi="Times New Roman" w:cs="Times New Roman" w:eastAsia="Times New Roman" w:hint="default"/>
          <w:spacing w:val="-1"/>
        </w:rPr>
        <w:t>8-10</w:t>
      </w:r>
      <w:r>
        <w:rPr>
          <w:spacing w:val="-1"/>
        </w:rPr>
        <w:t>倍。随着我国近几年非低幼向动漫质量和产量的提升，我国在线动漫市</w:t>
      </w:r>
      <w:r>
        <w:rPr>
          <w:spacing w:val="-75"/>
        </w:rPr>
        <w:t> </w:t>
      </w:r>
      <w:r>
        <w:rPr>
          <w:spacing w:val="-75"/>
        </w:rPr>
      </w:r>
      <w:r>
        <w:rPr/>
        <w:t>场的规模也在快速提升。</w:t>
      </w:r>
    </w:p>
    <w:p>
      <w:pPr>
        <w:pStyle w:val="BodyText"/>
        <w:spacing w:line="405" w:lineRule="auto" w:before="158"/>
        <w:ind w:left="501" w:right="1133"/>
        <w:jc w:val="left"/>
      </w:pPr>
      <w:r>
        <w:rPr/>
        <w:t>（</w:t>
      </w:r>
      <w:r>
        <w:rPr>
          <w:rFonts w:ascii="Times New Roman" w:hAnsi="Times New Roman" w:cs="Times New Roman" w:eastAsia="Times New Roman" w:hint="default"/>
        </w:rPr>
        <w:t>2</w:t>
      </w:r>
      <w:r>
        <w:rPr/>
        <w:t>）产业结构和产业布局不断优化 </w:t>
      </w:r>
      <w:r>
        <w:rPr>
          <w:spacing w:val="-2"/>
        </w:rPr>
        <w:t>在规模不断扩张的同时，动漫产业的产业结构和产业布局也得到了不断优化，文化产业化和产业文化化共同促进了动漫</w:t>
      </w:r>
    </w:p>
    <w:p>
      <w:pPr>
        <w:pStyle w:val="BodyText"/>
        <w:spacing w:line="191" w:lineRule="exact" w:before="0"/>
        <w:ind w:right="0"/>
        <w:jc w:val="both"/>
      </w:pPr>
      <w:r>
        <w:rPr/>
        <w:t>产业的发展。我国优秀动漫企业一方面抓住动漫文化需求快速增长的机会，保持了为世界级优秀动漫品牌提供动漫服饰等衍</w:t>
      </w:r>
    </w:p>
    <w:p>
      <w:pPr>
        <w:pStyle w:val="BodyText"/>
        <w:spacing w:line="336" w:lineRule="auto" w:before="80"/>
        <w:ind w:right="1046"/>
        <w:jc w:val="both"/>
      </w:pPr>
      <w:r>
        <w:rPr>
          <w:spacing w:val="-4"/>
        </w:rPr>
        <w:t>生产品配套的传统优势地位，取得相关业务的稳定增长；另一方面也立足我国国情，吸收学习西方动漫产业建设的先进经验，</w:t>
      </w:r>
      <w:r>
        <w:rPr>
          <w:spacing w:val="-50"/>
        </w:rPr>
        <w:t> </w:t>
      </w:r>
      <w:r>
        <w:rPr>
          <w:spacing w:val="-50"/>
        </w:rPr>
      </w:r>
      <w:r>
        <w:rPr/>
        <w:t>加强核心动漫</w:t>
      </w:r>
      <w:r>
        <w:rPr>
          <w:rFonts w:ascii="Times New Roman" w:hAnsi="Times New Roman" w:cs="Times New Roman" w:eastAsia="Times New Roman" w:hint="default"/>
        </w:rPr>
        <w:t>IP</w:t>
      </w:r>
      <w:r>
        <w:rPr/>
        <w:t>开发并通过资源整合以及产业链延伸构建融合发展的生态体系。</w:t>
      </w:r>
    </w:p>
    <w:p>
      <w:pPr>
        <w:pStyle w:val="BodyText"/>
        <w:spacing w:line="240" w:lineRule="auto" w:before="91"/>
        <w:ind w:left="501"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IP</w:t>
      </w:r>
      <w:r>
        <w:rPr/>
        <w:t>衍生品行业方兴未艾</w:t>
      </w:r>
    </w:p>
    <w:p>
      <w:pPr>
        <w:spacing w:line="240" w:lineRule="auto" w:before="3"/>
        <w:rPr>
          <w:rFonts w:ascii="宋体" w:hAnsi="宋体" w:cs="宋体" w:eastAsia="宋体" w:hint="default"/>
          <w:sz w:val="14"/>
          <w:szCs w:val="14"/>
        </w:rPr>
      </w:pPr>
    </w:p>
    <w:p>
      <w:pPr>
        <w:pStyle w:val="BodyText"/>
        <w:spacing w:line="312" w:lineRule="auto" w:before="0"/>
        <w:ind w:right="1099" w:firstLine="360"/>
        <w:jc w:val="both"/>
      </w:pPr>
      <w:r>
        <w:rPr>
          <w:spacing w:val="-1"/>
        </w:rPr>
        <w:t>根据美国、日本、韩国等动漫产业发达国家的发展经验以及全球动漫市场的现状，</w:t>
      </w:r>
      <w:r>
        <w:rPr>
          <w:rFonts w:ascii="Times New Roman" w:hAnsi="Times New Roman" w:cs="Times New Roman" w:eastAsia="Times New Roman" w:hint="default"/>
          <w:spacing w:val="-1"/>
        </w:rPr>
        <w:t>IP</w:t>
      </w:r>
      <w:r>
        <w:rPr>
          <w:spacing w:val="-1"/>
        </w:rPr>
        <w:t>服饰等衍生产品的市场规模远大于</w:t>
      </w:r>
      <w:r>
        <w:rPr/>
        <w:t> </w:t>
      </w:r>
      <w:r>
        <w:rPr>
          <w:spacing w:val="-2"/>
        </w:rPr>
        <w:t>动漫创意设计及动漫制品等数字内容的市场规模。近年来，我国受到民众喜爱的动漫作品大量涌现，且围绕相关形象的衍生</w:t>
      </w:r>
      <w:r>
        <w:rPr>
          <w:spacing w:val="-75"/>
        </w:rPr>
        <w:t> </w:t>
      </w:r>
      <w:r>
        <w:rPr>
          <w:spacing w:val="-75"/>
        </w:rPr>
      </w:r>
      <w:r>
        <w:rPr>
          <w:spacing w:val="-1"/>
        </w:rPr>
        <w:t>品市场也在快速发展。但总体来看，我国优秀动漫</w:t>
      </w:r>
      <w:r>
        <w:rPr>
          <w:rFonts w:ascii="Times New Roman" w:hAnsi="Times New Roman" w:cs="Times New Roman" w:eastAsia="Times New Roman" w:hint="default"/>
          <w:spacing w:val="-1"/>
        </w:rPr>
        <w:t>IP</w:t>
      </w:r>
      <w:r>
        <w:rPr>
          <w:spacing w:val="-1"/>
        </w:rPr>
        <w:t>数量及影响力仍有待提高，且整体的动漫产业链仍不完善，产业链各环</w:t>
      </w:r>
    </w:p>
    <w:p>
      <w:pPr>
        <w:pStyle w:val="BodyText"/>
        <w:spacing w:line="290" w:lineRule="auto" w:before="6"/>
        <w:ind w:right="1036"/>
        <w:jc w:val="left"/>
      </w:pPr>
      <w:r>
        <w:rPr/>
        <w:t>节的融合有待深化，围绕核心动漫形象的服饰、玩具等衍生品开发、销售及市场推广还有待加强。随着优质</w:t>
      </w:r>
      <w:r>
        <w:rPr>
          <w:rFonts w:ascii="Times New Roman" w:hAnsi="Times New Roman" w:cs="Times New Roman" w:eastAsia="Times New Roman" w:hint="default"/>
        </w:rPr>
        <w:t>IP</w:t>
      </w:r>
      <w:r>
        <w:rPr/>
        <w:t>的开发和产业 </w:t>
      </w:r>
      <w:r>
        <w:rPr>
          <w:spacing w:val="-3"/>
        </w:rPr>
        <w:t>发展深化进程的加快，国内</w:t>
      </w:r>
      <w:r>
        <w:rPr>
          <w:rFonts w:ascii="Times New Roman" w:hAnsi="Times New Roman" w:cs="Times New Roman" w:eastAsia="Times New Roman" w:hint="default"/>
          <w:spacing w:val="-3"/>
        </w:rPr>
        <w:t>IP</w:t>
      </w:r>
      <w:r>
        <w:rPr>
          <w:spacing w:val="-3"/>
        </w:rPr>
        <w:t>衍生品行业方兴未艾，未来发展空间巨大。随着动漫产业结构不断优化、技术和内容不断创新、</w:t>
      </w:r>
      <w:r>
        <w:rPr>
          <w:spacing w:val="-82"/>
        </w:rPr>
        <w:t> </w:t>
      </w:r>
      <w:r>
        <w:rPr>
          <w:spacing w:val="-82"/>
        </w:rPr>
      </w:r>
      <w:r>
        <w:rPr>
          <w:spacing w:val="-2"/>
        </w:rPr>
        <w:t>优秀企业和人才不断聚集以及与相关产业融合日趋加速，动漫产业在未来几年仍将保持较快增长。未来，随着我国动漫产业</w:t>
      </w:r>
    </w:p>
    <w:p>
      <w:pPr>
        <w:pStyle w:val="BodyText"/>
        <w:spacing w:line="290" w:lineRule="auto" w:before="57"/>
        <w:ind w:right="1112"/>
        <w:jc w:val="both"/>
      </w:pPr>
      <w:r>
        <w:rPr>
          <w:spacing w:val="-1"/>
        </w:rPr>
        <w:t>从幼稚期向发展期过渡，预计市场规模将进一步扩大，产业集中度有望提升，拥有优质</w:t>
      </w:r>
      <w:r>
        <w:rPr>
          <w:rFonts w:ascii="Times New Roman" w:hAnsi="Times New Roman" w:cs="Times New Roman" w:eastAsia="Times New Roman" w:hint="default"/>
          <w:spacing w:val="-1"/>
        </w:rPr>
        <w:t>IP</w:t>
      </w:r>
      <w:r>
        <w:rPr>
          <w:spacing w:val="-1"/>
        </w:rPr>
        <w:t>的企业、具有较强综合实力的上市</w:t>
      </w:r>
      <w:r>
        <w:rPr>
          <w:spacing w:val="-84"/>
        </w:rPr>
        <w:t> </w:t>
      </w:r>
      <w:r>
        <w:rPr>
          <w:spacing w:val="-84"/>
        </w:rPr>
      </w:r>
      <w:r>
        <w:rPr/>
        <w:t>公司将获得更好的发展机遇。</w:t>
      </w:r>
    </w:p>
    <w:p>
      <w:pPr>
        <w:pStyle w:val="BodyText"/>
        <w:spacing w:line="420" w:lineRule="atLeast" w:before="6"/>
        <w:ind w:left="501" w:right="1118"/>
        <w:jc w:val="left"/>
      </w:pPr>
      <w:r>
        <w:rPr>
          <w:rFonts w:ascii="Times New Roman" w:hAnsi="Times New Roman" w:cs="Times New Roman" w:eastAsia="Times New Roman" w:hint="default"/>
        </w:rPr>
        <w:t>2</w:t>
      </w:r>
      <w:r>
        <w:rPr/>
        <w:t>、游戏行业 </w:t>
      </w:r>
      <w:r>
        <w:rPr>
          <w:spacing w:val="-2"/>
        </w:rPr>
        <w:t>国内游戏市场规模呈现持续快速增长的态势。国内网络游戏行业产生于</w:t>
      </w:r>
      <w:r>
        <w:rPr>
          <w:rFonts w:ascii="Times New Roman" w:hAnsi="Times New Roman" w:cs="Times New Roman" w:eastAsia="Times New Roman" w:hint="default"/>
          <w:spacing w:val="-2"/>
        </w:rPr>
        <w:t>20</w:t>
      </w:r>
      <w:r>
        <w:rPr>
          <w:spacing w:val="-2"/>
        </w:rPr>
        <w:t>世纪末，经过数年的培育期，</w:t>
      </w:r>
      <w:r>
        <w:rPr>
          <w:rFonts w:ascii="Times New Roman" w:hAnsi="Times New Roman" w:cs="Times New Roman" w:eastAsia="Times New Roman" w:hint="default"/>
          <w:spacing w:val="-2"/>
        </w:rPr>
        <w:t>2005</w:t>
      </w:r>
      <w:r>
        <w:rPr>
          <w:spacing w:val="-2"/>
        </w:rPr>
        <w:t>年前后进入</w:t>
      </w:r>
    </w:p>
    <w:p>
      <w:pPr>
        <w:pStyle w:val="BodyText"/>
        <w:spacing w:line="312" w:lineRule="auto" w:before="66"/>
        <w:ind w:right="1026"/>
        <w:jc w:val="left"/>
        <w:rPr>
          <w:rFonts w:ascii="Times New Roman" w:hAnsi="Times New Roman" w:cs="Times New Roman" w:eastAsia="Times New Roman" w:hint="default"/>
        </w:rPr>
      </w:pPr>
      <w:r>
        <w:rPr>
          <w:spacing w:val="-3"/>
        </w:rPr>
        <w:t>快速成长期，网游和手游市场规模快速增长。</w:t>
      </w:r>
      <w:r>
        <w:rPr>
          <w:rFonts w:ascii="Times New Roman" w:hAnsi="Times New Roman" w:cs="Times New Roman" w:eastAsia="Times New Roman" w:hint="default"/>
          <w:spacing w:val="-3"/>
        </w:rPr>
        <w:t>2018</w:t>
      </w:r>
      <w:r>
        <w:rPr>
          <w:spacing w:val="-3"/>
        </w:rPr>
        <w:t>年中国游戏行业整体收入达</w:t>
      </w:r>
      <w:r>
        <w:rPr>
          <w:rFonts w:ascii="Times New Roman" w:hAnsi="Times New Roman" w:cs="Times New Roman" w:eastAsia="Times New Roman" w:hint="default"/>
          <w:spacing w:val="-3"/>
        </w:rPr>
        <w:t>2144</w:t>
      </w:r>
      <w:r>
        <w:rPr>
          <w:spacing w:val="-3"/>
        </w:rPr>
        <w:t>亿，虽受版号暂停和行业监管增强等影响，</w:t>
      </w:r>
      <w:r>
        <w:rPr>
          <w:spacing w:val="-86"/>
        </w:rPr>
        <w:t> </w:t>
      </w:r>
      <w:r>
        <w:rPr>
          <w:spacing w:val="-86"/>
        </w:rPr>
      </w:r>
      <w:r>
        <w:rPr>
          <w:spacing w:val="-2"/>
        </w:rPr>
        <w:t>行业整体规模增速有所下降；未来游戏行业将聚焦精品发展，监管趋严、版号数量限制，将帮助行业供给改革，摒弃同质化</w:t>
      </w:r>
      <w:r>
        <w:rPr>
          <w:spacing w:val="-57"/>
        </w:rPr>
        <w:t> </w:t>
      </w:r>
      <w:r>
        <w:rPr>
          <w:spacing w:val="-57"/>
        </w:rPr>
      </w:r>
      <w:r>
        <w:rPr>
          <w:spacing w:val="-4"/>
        </w:rPr>
        <w:t>的换皮、蹭</w:t>
      </w:r>
      <w:r>
        <w:rPr>
          <w:rFonts w:ascii="Times New Roman" w:hAnsi="Times New Roman" w:cs="Times New Roman" w:eastAsia="Times New Roman" w:hint="default"/>
          <w:spacing w:val="-4"/>
        </w:rPr>
        <w:t>IP</w:t>
      </w:r>
      <w:r>
        <w:rPr>
          <w:spacing w:val="-4"/>
        </w:rPr>
        <w:t>流量等游戏，鼓励具备创意的优质精品游戏，从而实现优胜劣汰和市场集中化。长远来看，对中国游戏行业</w:t>
      </w:r>
      <w:r>
        <w:rPr>
          <w:rFonts w:ascii="Times New Roman" w:hAnsi="Times New Roman" w:cs="Times New Roman" w:eastAsia="Times New Roman" w:hint="default"/>
          <w:spacing w:val="-4"/>
        </w:rPr>
        <w:t>2019</w:t>
      </w:r>
    </w:p>
    <w:p>
      <w:pPr>
        <w:pStyle w:val="BodyText"/>
        <w:spacing w:line="227" w:lineRule="exact" w:before="0"/>
        <w:ind w:right="0"/>
        <w:jc w:val="both"/>
      </w:pPr>
      <w:r>
        <w:rPr/>
        <w:t>年及未来有着非常积极的推动意义。</w:t>
      </w:r>
    </w:p>
    <w:p>
      <w:pPr>
        <w:spacing w:line="240" w:lineRule="auto" w:before="4"/>
        <w:rPr>
          <w:rFonts w:ascii="宋体" w:hAnsi="宋体" w:cs="宋体" w:eastAsia="宋体" w:hint="default"/>
          <w:sz w:val="15"/>
          <w:szCs w:val="15"/>
        </w:rPr>
      </w:pPr>
    </w:p>
    <w:p>
      <w:pPr>
        <w:pStyle w:val="BodyText"/>
        <w:spacing w:line="405" w:lineRule="auto" w:before="0"/>
        <w:ind w:left="501" w:right="1133"/>
        <w:jc w:val="left"/>
      </w:pPr>
      <w:r>
        <w:rPr>
          <w:rFonts w:ascii="Times New Roman" w:hAnsi="Times New Roman" w:cs="Times New Roman" w:eastAsia="Times New Roman" w:hint="default"/>
        </w:rPr>
        <w:t>3</w:t>
      </w:r>
      <w:r>
        <w:rPr/>
        <w:t>、媒体 </w:t>
      </w:r>
      <w:r>
        <w:rPr>
          <w:spacing w:val="-2"/>
        </w:rPr>
        <w:t>随着经济社会发展，新兴产业被市场寄予了深切的期望。消费的扩容和技术的升级成为支撑文化传媒产业持续健康发展</w:t>
      </w:r>
    </w:p>
    <w:p>
      <w:pPr>
        <w:pStyle w:val="BodyText"/>
        <w:spacing w:line="191" w:lineRule="exact" w:before="0"/>
        <w:ind w:right="0"/>
        <w:jc w:val="both"/>
      </w:pPr>
      <w:r>
        <w:rPr/>
        <w:t>的底层动力，媒体行业持续进入中长期景气阶段。与此同时，媒介技术的进步使得新旧媒体之间的分化也持续加速，产业变</w:t>
      </w:r>
    </w:p>
    <w:p>
      <w:pPr>
        <w:pStyle w:val="BodyText"/>
        <w:spacing w:line="290" w:lineRule="auto" w:before="95"/>
        <w:ind w:right="1113"/>
        <w:jc w:val="both"/>
      </w:pPr>
      <w:r>
        <w:rPr>
          <w:spacing w:val="-2"/>
        </w:rPr>
        <w:t>局进一步白热化。以报业、期刊、广播等为代表的</w:t>
      </w:r>
      <w:r>
        <w:rPr>
          <w:rFonts w:ascii="Times New Roman" w:hAnsi="Times New Roman" w:cs="Times New Roman" w:eastAsia="Times New Roman" w:hint="default"/>
          <w:spacing w:val="-2"/>
        </w:rPr>
        <w:t>“</w:t>
      </w:r>
      <w:r>
        <w:rPr>
          <w:spacing w:val="-2"/>
        </w:rPr>
        <w:t>旧媒介</w:t>
      </w:r>
      <w:r>
        <w:rPr>
          <w:rFonts w:ascii="Times New Roman" w:hAnsi="Times New Roman" w:cs="Times New Roman" w:eastAsia="Times New Roman" w:hint="default"/>
          <w:spacing w:val="-2"/>
        </w:rPr>
        <w:t>”</w:t>
      </w:r>
      <w:r>
        <w:rPr>
          <w:spacing w:val="-2"/>
        </w:rPr>
        <w:t>整体继续表现出快速下滑态势。另一方面，电影、互联网、移动</w:t>
      </w:r>
      <w:r>
        <w:rPr>
          <w:spacing w:val="-48"/>
        </w:rPr>
        <w:t> </w:t>
      </w:r>
      <w:r>
        <w:rPr>
          <w:spacing w:val="-48"/>
        </w:rPr>
      </w:r>
      <w:r>
        <w:rPr>
          <w:spacing w:val="-1"/>
        </w:rPr>
        <w:t>互联网、自媒体相关的新兴领域则展现出了旺盛的生命力，市场容量增幅普遍在</w:t>
      </w:r>
      <w:r>
        <w:rPr>
          <w:rFonts w:ascii="Times New Roman" w:hAnsi="Times New Roman" w:cs="Times New Roman" w:eastAsia="Times New Roman" w:hint="default"/>
          <w:spacing w:val="-1"/>
        </w:rPr>
        <w:t>30%</w:t>
      </w:r>
      <w:r>
        <w:rPr>
          <w:spacing w:val="-1"/>
        </w:rPr>
        <w:t>以上。媒介技术的进化将加速新旧媒体</w:t>
      </w:r>
      <w:r>
        <w:rPr>
          <w:spacing w:val="-73"/>
        </w:rPr>
        <w:t> </w:t>
      </w:r>
      <w:r>
        <w:rPr>
          <w:spacing w:val="-73"/>
        </w:rPr>
      </w:r>
      <w:r>
        <w:rPr/>
        <w:t>之间的分化，传统媒体面临较为严峻的挑战，而新媒体将保持繁荣发展的趋势。</w:t>
      </w:r>
    </w:p>
    <w:p>
      <w:pPr>
        <w:spacing w:line="240" w:lineRule="auto" w:before="7"/>
        <w:rPr>
          <w:rFonts w:ascii="宋体" w:hAnsi="宋体" w:cs="宋体" w:eastAsia="宋体" w:hint="default"/>
          <w:sz w:val="13"/>
          <w:szCs w:val="13"/>
        </w:rPr>
      </w:pPr>
    </w:p>
    <w:p>
      <w:pPr>
        <w:pStyle w:val="BodyText"/>
        <w:spacing w:line="288" w:lineRule="auto" w:before="0"/>
        <w:ind w:right="1119" w:firstLine="360"/>
        <w:jc w:val="both"/>
      </w:pPr>
      <w:r>
        <w:rPr>
          <w:spacing w:val="-2"/>
        </w:rPr>
        <w:t>综上，动漫及</w:t>
      </w:r>
      <w:r>
        <w:rPr>
          <w:rFonts w:ascii="Times New Roman" w:hAnsi="Times New Roman" w:cs="Times New Roman" w:eastAsia="Times New Roman" w:hint="default"/>
          <w:spacing w:val="-2"/>
        </w:rPr>
        <w:t>IP</w:t>
      </w:r>
      <w:r>
        <w:rPr>
          <w:spacing w:val="-2"/>
        </w:rPr>
        <w:t>衍生品产业、游戏产业等、影视产业和媒体产业均面临市场规模快速发展的重要战略机遇期，公司文化</w:t>
      </w:r>
      <w:r>
        <w:rPr/>
        <w:t> 生态圈各业务均拥有良好的市场前景。</w:t>
      </w:r>
    </w:p>
    <w:p>
      <w:pPr>
        <w:pStyle w:val="BodyText"/>
        <w:spacing w:line="436" w:lineRule="exact" w:before="25"/>
        <w:ind w:left="501" w:right="1133"/>
        <w:jc w:val="left"/>
      </w:pPr>
      <w:r>
        <w:rPr/>
        <w:t>二、公司发展战略 </w:t>
      </w:r>
      <w:r>
        <w:rPr>
          <w:spacing w:val="-2"/>
        </w:rPr>
        <w:t>公司在大文化的时代背景下，提出了向产业上下游延伸的发展战略。经过近年来资源整合，公司一体化全产业链格局初</w:t>
      </w:r>
    </w:p>
    <w:p>
      <w:pPr>
        <w:pStyle w:val="BodyText"/>
        <w:spacing w:line="319" w:lineRule="auto" w:before="2"/>
        <w:ind w:right="1046"/>
        <w:jc w:val="both"/>
      </w:pPr>
      <w:r>
        <w:rPr>
          <w:spacing w:val="-4"/>
        </w:rPr>
        <w:t>步形成，已布局动漫原创、游戏制作、网络平台、国内外终端销售、儿童剧演艺等多个环节。公司先后投资并购了多个标的，</w:t>
      </w:r>
      <w:r>
        <w:rPr>
          <w:spacing w:val="-56"/>
        </w:rPr>
        <w:t> </w:t>
      </w:r>
      <w:r>
        <w:rPr>
          <w:spacing w:val="-56"/>
        </w:rPr>
      </w:r>
      <w:r>
        <w:rPr/>
        <w:t>由点到面，多方布局，已初步搭建起</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内容制作（动漫、游戏、电影、儿童剧）</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新媒体运营</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w:t>
      </w:r>
    </w:p>
    <w:p>
      <w:pPr>
        <w:pStyle w:val="BodyText"/>
        <w:spacing w:line="240" w:lineRule="auto" w:before="105"/>
        <w:ind w:right="0" w:firstLine="360"/>
        <w:jc w:val="left"/>
      </w:pPr>
      <w:r>
        <w:rPr/>
        <w:t>未来公司将在进一步完善布局的同时，加强推进整合工作，具体包括管理整合、资源整合及国内外市场整合，促进各环</w:t>
      </w:r>
    </w:p>
    <w:p>
      <w:pPr>
        <w:pStyle w:val="BodyText"/>
        <w:spacing w:line="297" w:lineRule="auto" w:before="95"/>
        <w:ind w:right="1111"/>
        <w:jc w:val="both"/>
      </w:pPr>
      <w:r>
        <w:rPr>
          <w:spacing w:val="-1"/>
        </w:rPr>
        <w:t>节的协调发展和协同效应的发挥，以充分发挥产业链布局一体化优势。公司秉持</w:t>
      </w:r>
      <w:r>
        <w:rPr>
          <w:rFonts w:ascii="Times New Roman" w:hAnsi="Times New Roman" w:cs="Times New Roman" w:eastAsia="Times New Roman" w:hint="default"/>
          <w:spacing w:val="-1"/>
        </w:rPr>
        <w:t>“</w:t>
      </w:r>
      <w:r>
        <w:rPr>
          <w:spacing w:val="-1"/>
        </w:rPr>
        <w:t>文化传承，创意美盛</w:t>
      </w:r>
      <w:r>
        <w:rPr>
          <w:rFonts w:ascii="Times New Roman" w:hAnsi="Times New Roman" w:cs="Times New Roman" w:eastAsia="Times New Roman" w:hint="default"/>
          <w:spacing w:val="-1"/>
        </w:rPr>
        <w:t>”</w:t>
      </w:r>
      <w:r>
        <w:rPr>
          <w:spacing w:val="-1"/>
        </w:rPr>
        <w:t>的企业宗旨，坚持以</w:t>
      </w:r>
      <w:r>
        <w:rPr>
          <w:spacing w:val="-82"/>
        </w:rPr>
        <w:t> </w:t>
      </w:r>
      <w:r>
        <w:rPr>
          <w:spacing w:val="-82"/>
        </w:rPr>
      </w:r>
      <w:r>
        <w:rPr>
          <w:spacing w:val="-2"/>
        </w:rPr>
        <w:t>人为本，为客户谋价值，为员工谋利益，为社会谋发展，注重挖掘文化内涵与引领潮流，坚持以创意领先，进一步优化产品</w:t>
      </w:r>
      <w:r>
        <w:rPr>
          <w:spacing w:val="-72"/>
        </w:rPr>
        <w:t> </w:t>
      </w:r>
      <w:r>
        <w:rPr>
          <w:spacing w:val="-72"/>
        </w:rPr>
      </w:r>
      <w:r>
        <w:rPr/>
        <w:t>规划和改善产品结构，从品牌、产品、市场、质量和企业管理等方面不断提升公司的核心竞争力。</w:t>
      </w:r>
    </w:p>
    <w:p>
      <w:pPr>
        <w:spacing w:after="0" w:line="297"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501" w:right="0"/>
        <w:jc w:val="left"/>
      </w:pPr>
      <w:r>
        <w:rPr/>
        <w:t>三、公司发展计划</w:t>
      </w:r>
    </w:p>
    <w:p>
      <w:pPr>
        <w:spacing w:line="240" w:lineRule="auto" w:before="5"/>
        <w:rPr>
          <w:rFonts w:ascii="宋体" w:hAnsi="宋体" w:cs="宋体" w:eastAsia="宋体" w:hint="default"/>
          <w:sz w:val="16"/>
          <w:szCs w:val="16"/>
        </w:rPr>
      </w:pPr>
    </w:p>
    <w:p>
      <w:pPr>
        <w:pStyle w:val="BodyText"/>
        <w:spacing w:line="412" w:lineRule="auto" w:before="0"/>
        <w:ind w:left="501" w:right="2649"/>
        <w:jc w:val="left"/>
      </w:pPr>
      <w:r>
        <w:rPr>
          <w:rFonts w:ascii="Times New Roman" w:hAnsi="Times New Roman" w:cs="Times New Roman" w:eastAsia="Times New Roman" w:hint="default"/>
        </w:rPr>
        <w:t>1</w:t>
      </w:r>
      <w:r>
        <w:rPr/>
        <w:t>、立足主业、增强衍生品设计开发能力 公司立足</w:t>
      </w:r>
      <w:r>
        <w:rPr>
          <w:rFonts w:ascii="Times New Roman" w:hAnsi="Times New Roman" w:cs="Times New Roman" w:eastAsia="Times New Roman" w:hint="default"/>
        </w:rPr>
        <w:t>IP</w:t>
      </w:r>
      <w:r>
        <w:rPr/>
        <w:t>衍生品的开发设计主业，拓展</w:t>
      </w:r>
      <w:r>
        <w:rPr>
          <w:rFonts w:ascii="Times New Roman" w:hAnsi="Times New Roman" w:cs="Times New Roman" w:eastAsia="Times New Roman" w:hint="default"/>
        </w:rPr>
        <w:t>IP</w:t>
      </w:r>
      <w:r>
        <w:rPr/>
        <w:t>衍生品开发范围，从</w:t>
      </w:r>
      <w:r>
        <w:rPr>
          <w:rFonts w:ascii="Times New Roman" w:hAnsi="Times New Roman" w:cs="Times New Roman" w:eastAsia="Times New Roman" w:hint="default"/>
        </w:rPr>
        <w:t>IP</w:t>
      </w:r>
      <w:r>
        <w:rPr/>
        <w:t>服饰发展到相关</w:t>
      </w:r>
      <w:r>
        <w:rPr>
          <w:spacing w:val="-72"/>
        </w:rPr>
        <w:t> </w:t>
      </w:r>
      <w:r>
        <w:rPr>
          <w:rFonts w:ascii="Times New Roman" w:hAnsi="Times New Roman" w:cs="Times New Roman" w:eastAsia="Times New Roman" w:hint="default"/>
        </w:rPr>
        <w:t>2</w:t>
      </w:r>
      <w:r>
        <w:rPr/>
        <w:t>、增强对优质</w:t>
      </w:r>
      <w:r>
        <w:rPr>
          <w:rFonts w:ascii="Times New Roman" w:hAnsi="Times New Roman" w:cs="Times New Roman" w:eastAsia="Times New Roman" w:hint="default"/>
        </w:rPr>
        <w:t>IP</w:t>
      </w:r>
      <w:r>
        <w:rPr/>
        <w:t>的发现和获取</w:t>
      </w:r>
    </w:p>
    <w:p>
      <w:pPr>
        <w:pStyle w:val="BodyText"/>
        <w:spacing w:line="300" w:lineRule="auto" w:before="43"/>
        <w:ind w:right="1097" w:firstLine="360"/>
        <w:jc w:val="both"/>
      </w:pPr>
      <w:r>
        <w:rPr>
          <w:spacing w:val="-1"/>
        </w:rPr>
        <w:t>近年来，以</w:t>
      </w:r>
      <w:r>
        <w:rPr>
          <w:rFonts w:ascii="Times New Roman" w:hAnsi="Times New Roman" w:cs="Times New Roman" w:eastAsia="Times New Roman" w:hint="default"/>
          <w:spacing w:val="-1"/>
        </w:rPr>
        <w:t>IP</w:t>
      </w:r>
      <w:r>
        <w:rPr>
          <w:spacing w:val="-1"/>
        </w:rPr>
        <w:t>为核心，横跨动漫、游戏、文学、影视、周边产品的泛娱乐产品逐渐增多，优质</w:t>
      </w:r>
      <w:r>
        <w:rPr>
          <w:rFonts w:ascii="Times New Roman" w:hAnsi="Times New Roman" w:cs="Times New Roman" w:eastAsia="Times New Roman" w:hint="default"/>
          <w:spacing w:val="-1"/>
        </w:rPr>
        <w:t>IP</w:t>
      </w:r>
      <w:r>
        <w:rPr>
          <w:spacing w:val="-1"/>
        </w:rPr>
        <w:t>成为泛娱乐产业中维持</w:t>
      </w:r>
      <w:r>
        <w:rPr/>
        <w:t> </w:t>
      </w:r>
      <w:r>
        <w:rPr>
          <w:spacing w:val="-1"/>
        </w:rPr>
        <w:t>用户黏性的纽带，以</w:t>
      </w:r>
      <w:r>
        <w:rPr>
          <w:rFonts w:ascii="Times New Roman" w:hAnsi="Times New Roman" w:cs="Times New Roman" w:eastAsia="Times New Roman" w:hint="default"/>
          <w:spacing w:val="-1"/>
        </w:rPr>
        <w:t>IP</w:t>
      </w:r>
      <w:r>
        <w:rPr>
          <w:spacing w:val="-1"/>
        </w:rPr>
        <w:t>为核心的泛娱乐布局成为中国文化产业的发展趋势。</w:t>
      </w:r>
      <w:r>
        <w:rPr>
          <w:rFonts w:ascii="Times New Roman" w:hAnsi="Times New Roman" w:cs="Times New Roman" w:eastAsia="Times New Roman" w:hint="default"/>
          <w:spacing w:val="-1"/>
        </w:rPr>
        <w:t>IP</w:t>
      </w:r>
      <w:r>
        <w:rPr>
          <w:spacing w:val="-1"/>
        </w:rPr>
        <w:t>成为了文化产业的热词，影视、游戏、视频网</w:t>
      </w:r>
      <w:r>
        <w:rPr>
          <w:spacing w:val="-81"/>
        </w:rPr>
        <w:t> </w:t>
      </w:r>
      <w:r>
        <w:rPr>
          <w:spacing w:val="-81"/>
        </w:rPr>
      </w:r>
      <w:r>
        <w:rPr>
          <w:spacing w:val="-1"/>
        </w:rPr>
        <w:t>站等对热门</w:t>
      </w:r>
      <w:r>
        <w:rPr>
          <w:rFonts w:ascii="Times New Roman" w:hAnsi="Times New Roman" w:cs="Times New Roman" w:eastAsia="Times New Roman" w:hint="default"/>
          <w:spacing w:val="-1"/>
        </w:rPr>
        <w:t>IP</w:t>
      </w:r>
      <w:r>
        <w:rPr>
          <w:spacing w:val="-1"/>
        </w:rPr>
        <w:t>的抢夺达到了白热化程度。为在这场</w:t>
      </w:r>
      <w:r>
        <w:rPr>
          <w:rFonts w:ascii="Times New Roman" w:hAnsi="Times New Roman" w:cs="Times New Roman" w:eastAsia="Times New Roman" w:hint="default"/>
          <w:spacing w:val="-1"/>
        </w:rPr>
        <w:t>IP</w:t>
      </w:r>
      <w:r>
        <w:rPr>
          <w:spacing w:val="-1"/>
        </w:rPr>
        <w:t>抢夺站抢夺制高点，公司一方面将挖掘和组建一批优秀创造团队进行内</w:t>
      </w:r>
      <w:r>
        <w:rPr>
          <w:spacing w:val="-53"/>
        </w:rPr>
        <w:t> </w:t>
      </w:r>
      <w:r>
        <w:rPr>
          <w:spacing w:val="-53"/>
        </w:rPr>
      </w:r>
      <w:r>
        <w:rPr/>
        <w:t>容上的原创，打造出具有美盛特色的优质原创</w:t>
      </w:r>
      <w:r>
        <w:rPr>
          <w:rFonts w:ascii="Times New Roman" w:hAnsi="Times New Roman" w:cs="Times New Roman" w:eastAsia="Times New Roman" w:hint="default"/>
        </w:rPr>
        <w:t>IP</w:t>
      </w:r>
      <w:r>
        <w:rPr/>
        <w:t>，另一方面将深化与顶级</w:t>
      </w:r>
      <w:r>
        <w:rPr>
          <w:rFonts w:ascii="Times New Roman" w:hAnsi="Times New Roman" w:cs="Times New Roman" w:eastAsia="Times New Roman" w:hint="default"/>
        </w:rPr>
        <w:t>IP</w:t>
      </w:r>
      <w:r>
        <w:rPr/>
        <w:t>合作，利用美盛成熟化运作的</w:t>
      </w:r>
      <w:r>
        <w:rPr>
          <w:rFonts w:ascii="Times New Roman" w:hAnsi="Times New Roman" w:cs="Times New Roman" w:eastAsia="Times New Roman" w:hint="default"/>
        </w:rPr>
        <w:t>IP</w:t>
      </w:r>
      <w:r>
        <w:rPr/>
        <w:t>变现能力以及多</w:t>
      </w:r>
      <w:r>
        <w:rPr>
          <w:spacing w:val="-84"/>
        </w:rPr>
        <w:t> </w:t>
      </w:r>
      <w:r>
        <w:rPr/>
        <w:t>平台全产业链的优势，吸引更多顶级</w:t>
      </w:r>
      <w:r>
        <w:rPr>
          <w:rFonts w:ascii="Times New Roman" w:hAnsi="Times New Roman" w:cs="Times New Roman" w:eastAsia="Times New Roman" w:hint="default"/>
        </w:rPr>
        <w:t>IP</w:t>
      </w:r>
      <w:r>
        <w:rPr/>
        <w:t>进行合作。</w:t>
      </w:r>
    </w:p>
    <w:p>
      <w:pPr>
        <w:pStyle w:val="BodyText"/>
        <w:spacing w:line="405" w:lineRule="auto" w:before="136"/>
        <w:ind w:left="501" w:right="0"/>
        <w:jc w:val="left"/>
      </w:pPr>
      <w:r>
        <w:rPr>
          <w:rFonts w:ascii="Times New Roman" w:hAnsi="Times New Roman" w:cs="Times New Roman" w:eastAsia="Times New Roman" w:hint="default"/>
        </w:rPr>
        <w:t>3</w:t>
      </w:r>
      <w:r>
        <w:rPr/>
        <w:t>、完善平台部署增强变现能力 </w:t>
      </w:r>
      <w:r>
        <w:rPr>
          <w:spacing w:val="-2"/>
        </w:rPr>
        <w:t>公司将整合现有不同类型的平台资源，打破各自隔膜，让不同类型的平台联动起来，发挥整体效益。建立一个互通、资</w:t>
      </w:r>
    </w:p>
    <w:p>
      <w:pPr>
        <w:pStyle w:val="BodyText"/>
        <w:spacing w:line="219" w:lineRule="exact" w:before="0"/>
        <w:ind w:right="0"/>
        <w:jc w:val="left"/>
      </w:pPr>
      <w:r>
        <w:rPr/>
        <w:t>源共享极具竞争力的整体</w:t>
      </w:r>
      <w:r>
        <w:rPr>
          <w:rFonts w:ascii="Times New Roman" w:hAnsi="Times New Roman" w:cs="Times New Roman" w:eastAsia="Times New Roman" w:hint="default"/>
        </w:rPr>
        <w:t>IP</w:t>
      </w:r>
      <w:r>
        <w:rPr/>
        <w:t>变现平台，多维度不同层次将公司自有优质</w:t>
      </w:r>
      <w:r>
        <w:rPr>
          <w:rFonts w:ascii="Times New Roman" w:hAnsi="Times New Roman" w:cs="Times New Roman" w:eastAsia="Times New Roman" w:hint="default"/>
        </w:rPr>
        <w:t>IP</w:t>
      </w:r>
      <w:r>
        <w:rPr/>
        <w:t>以及合作方的优质</w:t>
      </w:r>
      <w:r>
        <w:rPr>
          <w:rFonts w:ascii="Times New Roman" w:hAnsi="Times New Roman" w:cs="Times New Roman" w:eastAsia="Times New Roman" w:hint="default"/>
        </w:rPr>
        <w:t>IP</w:t>
      </w:r>
      <w:r>
        <w:rPr/>
        <w:t>传输给消费者。目前除正在积</w:t>
      </w:r>
    </w:p>
    <w:p>
      <w:pPr>
        <w:pStyle w:val="BodyText"/>
        <w:spacing w:line="314" w:lineRule="auto" w:before="51"/>
        <w:ind w:right="1029"/>
        <w:jc w:val="left"/>
      </w:pPr>
      <w:r>
        <w:rPr/>
        <w:t>极部署海外衍生品销售渠道外，公司还致力于打造新媒体平台。新媒体具有个性化突出、受众选择性增多、表现形式多样、 </w:t>
      </w:r>
      <w:r>
        <w:rPr>
          <w:spacing w:val="-2"/>
        </w:rPr>
        <w:t>信息发布实时等新特点，具有交互性、全息化、数字化、网络化等优势，新媒体平台的出现将成为打破公司现有不同平台隔</w:t>
      </w:r>
      <w:r>
        <w:rPr>
          <w:spacing w:val="-57"/>
        </w:rPr>
        <w:t> </w:t>
      </w:r>
      <w:r>
        <w:rPr>
          <w:spacing w:val="-57"/>
        </w:rPr>
      </w:r>
      <w:r>
        <w:rPr/>
        <w:t>膜的钥匙。</w:t>
      </w:r>
    </w:p>
    <w:p>
      <w:pPr>
        <w:pStyle w:val="BodyText"/>
        <w:spacing w:line="405" w:lineRule="auto" w:before="159"/>
        <w:ind w:left="501" w:right="0"/>
        <w:jc w:val="left"/>
      </w:pPr>
      <w:r>
        <w:rPr>
          <w:rFonts w:ascii="Times New Roman" w:hAnsi="Times New Roman" w:cs="Times New Roman" w:eastAsia="Times New Roman" w:hint="default"/>
        </w:rPr>
        <w:t>4</w:t>
      </w:r>
      <w:r>
        <w:rPr/>
        <w:t>、加强整合，促进一体化优势发挥 </w:t>
      </w:r>
      <w:r>
        <w:rPr>
          <w:spacing w:val="-2"/>
        </w:rPr>
        <w:t>在初步实现了全产业链布局后，公司未来将着力加强整合工作。公司一方面将在内部管理方面全面提升以适应未来集团</w:t>
      </w:r>
    </w:p>
    <w:p>
      <w:pPr>
        <w:pStyle w:val="BodyText"/>
        <w:spacing w:line="191" w:lineRule="exact" w:before="0"/>
        <w:ind w:right="0"/>
        <w:jc w:val="left"/>
      </w:pPr>
      <w:r>
        <w:rPr/>
        <w:t>化运作的要求，另一方面加强对各控股子公司的规范化管理和一体化方向指导，提升对公司及各子公司资源的利用效率，为</w:t>
      </w:r>
    </w:p>
    <w:p>
      <w:pPr>
        <w:pStyle w:val="BodyText"/>
        <w:spacing w:line="240" w:lineRule="auto" w:before="64"/>
        <w:ind w:right="0"/>
        <w:jc w:val="left"/>
      </w:pPr>
      <w:r>
        <w:rPr/>
        <w:t>充分发挥协同效应创造良好条件。</w:t>
      </w:r>
    </w:p>
    <w:p>
      <w:pPr>
        <w:spacing w:line="240" w:lineRule="auto" w:before="5"/>
        <w:rPr>
          <w:rFonts w:ascii="宋体" w:hAnsi="宋体" w:cs="宋体" w:eastAsia="宋体" w:hint="default"/>
          <w:sz w:val="16"/>
          <w:szCs w:val="16"/>
        </w:rPr>
      </w:pPr>
    </w:p>
    <w:p>
      <w:pPr>
        <w:pStyle w:val="BodyText"/>
        <w:spacing w:line="405" w:lineRule="auto" w:before="0"/>
        <w:ind w:left="501" w:right="1133"/>
        <w:jc w:val="left"/>
      </w:pPr>
      <w:r>
        <w:rPr>
          <w:rFonts w:ascii="Times New Roman" w:hAnsi="Times New Roman" w:cs="Times New Roman" w:eastAsia="Times New Roman" w:hint="default"/>
        </w:rPr>
        <w:t>5</w:t>
      </w:r>
      <w:r>
        <w:rPr/>
        <w:t>、加速推进文化产业转型升级、打造综合性文化产业平台 </w:t>
      </w:r>
      <w:r>
        <w:rPr>
          <w:spacing w:val="-2"/>
        </w:rPr>
        <w:t>公司通过投资和并购初步形成了泛娱乐业务体系，公司未来将在现有产业链版图基础上，根据产业发展动态和公司业务</w:t>
      </w:r>
    </w:p>
    <w:p>
      <w:pPr>
        <w:pStyle w:val="BodyText"/>
        <w:spacing w:line="191" w:lineRule="exact" w:before="0"/>
        <w:ind w:right="0"/>
        <w:jc w:val="left"/>
      </w:pPr>
      <w:r>
        <w:rPr/>
        <w:t>发展情况，继续实现转型升级和产业一体化战略，充分整合上下游资源，进一步完善产业布局，全面提升盈利模式和盈利水</w:t>
      </w:r>
    </w:p>
    <w:p>
      <w:pPr>
        <w:pStyle w:val="BodyText"/>
        <w:spacing w:line="304" w:lineRule="auto" w:before="79"/>
        <w:ind w:right="1111"/>
        <w:jc w:val="both"/>
      </w:pPr>
      <w:r>
        <w:rPr>
          <w:spacing w:val="-2"/>
        </w:rPr>
        <w:t>平。并且对各并购标的公司的业务进行整合，加强业务协同，减少重复投资，降低运营成本，将公司前期业务整合成有机整</w:t>
      </w:r>
      <w:r>
        <w:rPr>
          <w:spacing w:val="-48"/>
        </w:rPr>
        <w:t> </w:t>
      </w:r>
      <w:r>
        <w:rPr>
          <w:spacing w:val="-48"/>
        </w:rPr>
      </w:r>
      <w:r>
        <w:rPr>
          <w:spacing w:val="-1"/>
        </w:rPr>
        <w:t>体，实现协同效应。增强公司文化生态圈中对</w:t>
      </w:r>
      <w:r>
        <w:rPr>
          <w:rFonts w:ascii="Times New Roman" w:hAnsi="Times New Roman" w:cs="Times New Roman" w:eastAsia="Times New Roman" w:hint="default"/>
          <w:spacing w:val="-1"/>
        </w:rPr>
        <w:t>IP</w:t>
      </w:r>
      <w:r>
        <w:rPr>
          <w:spacing w:val="-1"/>
        </w:rPr>
        <w:t>资源的筛选、培育以及全产业链开发和运营能力，为公司未来的发展建立内</w:t>
      </w:r>
      <w:r>
        <w:rPr>
          <w:spacing w:val="-88"/>
        </w:rPr>
        <w:t> </w:t>
      </w:r>
      <w:r>
        <w:rPr>
          <w:spacing w:val="-88"/>
        </w:rPr>
      </w:r>
      <w:r>
        <w:rPr/>
        <w:t>容、用户和品牌基础。</w:t>
      </w:r>
    </w:p>
    <w:p>
      <w:pPr>
        <w:pStyle w:val="BodyText"/>
        <w:spacing w:line="436" w:lineRule="exact" w:before="12"/>
        <w:ind w:left="501" w:right="1029"/>
        <w:jc w:val="left"/>
      </w:pPr>
      <w:r>
        <w:rPr/>
        <w:t>四、可能面对的风险 可能存在文化产业政策变化，文创产业发展不及预期，资源整合及内控管理不够完善，国际需求下降，市场需求变化，</w:t>
      </w:r>
    </w:p>
    <w:p>
      <w:pPr>
        <w:pStyle w:val="BodyText"/>
        <w:spacing w:line="240" w:lineRule="auto" w:before="17"/>
        <w:ind w:right="0"/>
        <w:jc w:val="left"/>
      </w:pPr>
      <w:r>
        <w:rPr/>
        <w:t>行业竞争加剧，出口退税政策变化，汇率波动等风险。</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31"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3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1471"/>
        <w:jc w:val="center"/>
        <w:rPr>
          <w:b w:val="0"/>
          <w:bCs w:val="0"/>
        </w:rPr>
      </w:pPr>
      <w:bookmarkStart w:name="_TOC_250008" w:id="62"/>
      <w:bookmarkStart w:name="第五节重要事项" w:id="63"/>
      <w:r>
        <w:rPr>
          <w:b w:val="0"/>
          <w:bCs w:val="0"/>
        </w:rPr>
      </w:r>
      <w:r>
        <w:rPr>
          <w:spacing w:val="5"/>
        </w:rPr>
        <w:t>第五节重要事项</w:t>
      </w:r>
      <w:bookmarkEnd w:id="62"/>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111"/>
        <w:ind w:right="0"/>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w:t>
      </w:r>
      <w:r>
        <w:rPr>
          <w:spacing w:val="-90"/>
        </w:rPr>
        <w:t>）</w:t>
      </w:r>
      <w:r>
        <w:rPr/>
        <w:t>、资本公积金转增股本方案（预案）情况</w:t>
      </w:r>
    </w:p>
    <w:p>
      <w:pPr>
        <w:pStyle w:val="BodyText"/>
        <w:spacing w:line="240" w:lineRule="auto" w:before="96"/>
        <w:ind w:right="0"/>
        <w:jc w:val="left"/>
      </w:pPr>
      <w:r>
        <w:rPr>
          <w:rFonts w:ascii="Times New Roman" w:hAnsi="Times New Roman" w:cs="Times New Roman" w:eastAsia="Times New Roman" w:hint="default"/>
        </w:rPr>
        <w:t>2017</w:t>
      </w:r>
      <w:r>
        <w:rPr/>
        <w:t>年利润分配方案：不派发现金红利、不送红股、不以公积金转增股本。</w:t>
      </w:r>
    </w:p>
    <w:p>
      <w:pPr>
        <w:pStyle w:val="BodyText"/>
        <w:spacing w:line="240" w:lineRule="auto" w:before="66"/>
        <w:ind w:right="0"/>
        <w:jc w:val="left"/>
      </w:pPr>
      <w:r>
        <w:rPr>
          <w:rFonts w:ascii="Times New Roman" w:hAnsi="Times New Roman" w:cs="Times New Roman" w:eastAsia="Times New Roman" w:hint="default"/>
        </w:rPr>
        <w:t>2018</w:t>
      </w:r>
      <w:r>
        <w:rPr/>
        <w:t>年利润分配方案：不派发现金红利、不送红股、不以公积金转增股本。</w:t>
      </w:r>
    </w:p>
    <w:p>
      <w:pPr>
        <w:spacing w:line="240" w:lineRule="auto" w:before="1"/>
        <w:rPr>
          <w:rFonts w:ascii="宋体" w:hAnsi="宋体" w:cs="宋体" w:eastAsia="宋体" w:hint="default"/>
          <w:sz w:val="28"/>
          <w:szCs w:val="28"/>
        </w:rPr>
      </w:pPr>
    </w:p>
    <w:p>
      <w:pPr>
        <w:pStyle w:val="BodyText"/>
        <w:spacing w:line="240" w:lineRule="auto"/>
        <w:ind w:right="0"/>
        <w:jc w:val="left"/>
      </w:pPr>
      <w:r>
        <w:rPr/>
        <w:t>公司近三年（包括本报告期）普通股现金分红情况表</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157"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80"/>
              <w:ind w:left="60" w:right="44"/>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80"/>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5"/>
              <w:ind w:left="420" w:right="134"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201" w:type="dxa"/>
            <w:vMerge/>
            <w:tcBorders>
              <w:left w:val="single" w:sz="6" w:space="0" w:color="000000"/>
              <w:right w:val="single" w:sz="6" w:space="0" w:color="000000"/>
            </w:tcBorders>
            <w:shd w:val="clear" w:color="auto" w:fill="D2D2D2"/>
          </w:tcPr>
          <w:p>
            <w:pPr/>
          </w:p>
        </w:tc>
      </w:tr>
      <w:tr>
        <w:trPr>
          <w:trHeight w:val="705"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37,561,253.38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-233,913,937.0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198,919,372.98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ind w:right="0"/>
        <w:jc w:val="left"/>
      </w:pPr>
      <w:r>
        <w:rPr/>
        <w:t>公司报告期内盈利且母公司可供普通股股东分配利润为正但未提出普通股现金红利分配预案</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right="5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公司计划年度不派发现金红利，不送红股，不以公积金转增股本。</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4"/>
        <w:spacing w:line="247"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5"/>
        </w:rPr>
        <w:t> </w:t>
      </w:r>
      <w:r>
        <w:rPr>
          <w:spacing w:val="-55"/>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824"/>
        <w:gridCol w:w="1134"/>
        <w:gridCol w:w="1126"/>
        <w:gridCol w:w="1126"/>
        <w:gridCol w:w="1126"/>
        <w:gridCol w:w="1127"/>
        <w:gridCol w:w="1111"/>
      </w:tblGrid>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720"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6"/>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9458" w:hRule="exact"/>
        </w:trPr>
        <w:tc>
          <w:tcPr>
            <w:tcW w:w="283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pacing w:val="-3"/>
                <w:sz w:val="18"/>
                <w:szCs w:val="18"/>
              </w:rPr>
              <w:t>赵小强、石炜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萍</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21" w:lineRule="auto"/>
              <w:ind w:left="29" w:right="179"/>
              <w:jc w:val="left"/>
              <w:rPr>
                <w:rFonts w:ascii="宋体" w:hAnsi="宋体" w:cs="宋体" w:eastAsia="宋体" w:hint="default"/>
                <w:sz w:val="18"/>
                <w:szCs w:val="18"/>
              </w:rPr>
            </w:pPr>
            <w:r>
              <w:rPr>
                <w:rFonts w:ascii="宋体" w:hAnsi="宋体" w:cs="宋体" w:eastAsia="宋体" w:hint="default"/>
                <w:sz w:val="18"/>
                <w:szCs w:val="18"/>
              </w:rPr>
              <w:t>首次公开发 行所作承诺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3"/>
                <w:sz w:val="18"/>
                <w:szCs w:val="18"/>
              </w:rPr>
              <w:t>满后，若本人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3"/>
                <w:sz w:val="18"/>
                <w:szCs w:val="18"/>
              </w:rPr>
              <w:t>人员，在任职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期间本人每 年转让股份 不超过直接 所持有公司 股票总数的 百分之二十 </w:t>
            </w:r>
            <w:r>
              <w:rPr>
                <w:rFonts w:ascii="宋体" w:hAnsi="宋体" w:cs="宋体" w:eastAsia="宋体" w:hint="default"/>
                <w:spacing w:val="-3"/>
                <w:sz w:val="18"/>
                <w:szCs w:val="18"/>
              </w:rPr>
              <w:t>五。本人离任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后六个月内， 不转让直接 所持有公司 的任何股份。 本人在申报 离任六个月 后的十二个 月内通过证 券交易所挂 牌交易出售 公司股票数 量占其所直 接持有公司 股票总数的 比例不得超 过百分之五</w:t>
            </w:r>
          </w:p>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十</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68"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89"/>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312" w:lineRule="auto"/>
              <w:ind w:left="30"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日上 </w:t>
            </w:r>
            <w:r>
              <w:rPr>
                <w:rFonts w:ascii="宋体" w:hAnsi="宋体" w:cs="宋体" w:eastAsia="宋体" w:hint="default"/>
                <w:spacing w:val="-3"/>
                <w:sz w:val="18"/>
                <w:szCs w:val="18"/>
              </w:rPr>
              <w:t>市。限售期为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3"/>
                <w:sz w:val="18"/>
                <w:szCs w:val="18"/>
              </w:rPr>
              <w:t>十六个月，可</w:t>
            </w:r>
          </w:p>
          <w:p>
            <w:pPr>
              <w:pStyle w:val="TableParagraph"/>
              <w:spacing w:line="240" w:lineRule="auto" w:before="26"/>
              <w:ind w:left="30" w:right="0"/>
              <w:jc w:val="left"/>
              <w:rPr>
                <w:rFonts w:ascii="宋体" w:hAnsi="宋体" w:cs="宋体" w:eastAsia="宋体" w:hint="default"/>
                <w:sz w:val="18"/>
                <w:szCs w:val="18"/>
              </w:rPr>
            </w:pPr>
            <w:r>
              <w:rPr>
                <w:rFonts w:ascii="宋体" w:hAnsi="宋体" w:cs="宋体" w:eastAsia="宋体" w:hint="default"/>
                <w:sz w:val="18"/>
                <w:szCs w:val="18"/>
              </w:rPr>
              <w:t>上市流通时</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4" w:lineRule="auto"/>
              <w:ind w:left="15" w:right="179"/>
              <w:jc w:val="left"/>
              <w:rPr>
                <w:rFonts w:ascii="宋体" w:hAnsi="宋体" w:cs="宋体" w:eastAsia="宋体" w:hint="default"/>
                <w:sz w:val="18"/>
                <w:szCs w:val="18"/>
              </w:rPr>
            </w:pPr>
            <w:r>
              <w:rPr>
                <w:rFonts w:ascii="宋体" w:hAnsi="宋体" w:cs="宋体" w:eastAsia="宋体" w:hint="default"/>
                <w:sz w:val="18"/>
                <w:szCs w:val="18"/>
              </w:rPr>
              <w:t>报告期内履 行完毕</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5"/>
      </w:tblGrid>
      <w:tr>
        <w:trPr>
          <w:trHeight w:val="675"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3843"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21" w:lineRule="auto"/>
              <w:ind w:left="30" w:right="179"/>
              <w:jc w:val="left"/>
              <w:rPr>
                <w:rFonts w:ascii="宋体" w:hAnsi="宋体" w:cs="宋体" w:eastAsia="宋体" w:hint="default"/>
                <w:sz w:val="18"/>
                <w:szCs w:val="18"/>
              </w:rPr>
            </w:pPr>
            <w:r>
              <w:rPr>
                <w:rFonts w:ascii="宋体" w:hAnsi="宋体" w:cs="宋体" w:eastAsia="宋体" w:hint="default"/>
                <w:sz w:val="18"/>
                <w:szCs w:val="18"/>
              </w:rPr>
              <w:t>新余天游投 资管理中心</w:t>
            </w:r>
          </w:p>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89"/>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97" w:lineRule="auto"/>
              <w:ind w:left="30"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日上 </w:t>
            </w:r>
            <w:r>
              <w:rPr>
                <w:rFonts w:ascii="宋体" w:hAnsi="宋体" w:cs="宋体" w:eastAsia="宋体" w:hint="default"/>
                <w:spacing w:val="-3"/>
                <w:sz w:val="18"/>
                <w:szCs w:val="18"/>
              </w:rPr>
              <w:t>市。限售期为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自本次发行</w:t>
            </w:r>
          </w:p>
          <w:p>
            <w:pPr>
              <w:pStyle w:val="TableParagraph"/>
              <w:spacing w:line="321" w:lineRule="auto" w:before="36"/>
              <w:ind w:left="30" w:right="13"/>
              <w:jc w:val="left"/>
              <w:rPr>
                <w:rFonts w:ascii="宋体" w:hAnsi="宋体" w:cs="宋体" w:eastAsia="宋体" w:hint="default"/>
                <w:sz w:val="18"/>
                <w:szCs w:val="18"/>
              </w:rPr>
            </w:pPr>
            <w:r>
              <w:rPr>
                <w:rFonts w:ascii="宋体" w:hAnsi="宋体" w:cs="宋体" w:eastAsia="宋体" w:hint="default"/>
                <w:sz w:val="18"/>
                <w:szCs w:val="18"/>
              </w:rPr>
              <w:t>新增股份上 市首日起三 </w:t>
            </w:r>
            <w:r>
              <w:rPr>
                <w:rFonts w:ascii="宋体" w:hAnsi="宋体" w:cs="宋体" w:eastAsia="宋体" w:hint="default"/>
                <w:spacing w:val="-3"/>
                <w:sz w:val="18"/>
                <w:szCs w:val="18"/>
              </w:rPr>
              <w:t>十六个月，可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上市流通时 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7" w:lineRule="exact"/>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7"/>
              <w:ind w:left="15" w:right="183"/>
              <w:jc w:val="left"/>
              <w:rPr>
                <w:rFonts w:ascii="宋体" w:hAnsi="宋体" w:cs="宋体" w:eastAsia="宋体" w:hint="default"/>
                <w:sz w:val="18"/>
                <w:szCs w:val="18"/>
              </w:rPr>
            </w:pPr>
            <w:r>
              <w:rPr>
                <w:rFonts w:ascii="宋体" w:hAnsi="宋体" w:cs="宋体" w:eastAsia="宋体" w:hint="default"/>
                <w:sz w:val="18"/>
                <w:szCs w:val="18"/>
              </w:rPr>
              <w:t>报告期内履 行完毕</w:t>
            </w:r>
          </w:p>
        </w:tc>
      </w:tr>
      <w:tr>
        <w:trPr>
          <w:trHeight w:val="3828"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07" w:lineRule="auto"/>
              <w:ind w:left="30" w:right="179"/>
              <w:jc w:val="left"/>
              <w:rPr>
                <w:rFonts w:ascii="宋体" w:hAnsi="宋体" w:cs="宋体" w:eastAsia="宋体" w:hint="default"/>
                <w:sz w:val="18"/>
                <w:szCs w:val="18"/>
              </w:rPr>
            </w:pPr>
            <w:r>
              <w:rPr>
                <w:rFonts w:ascii="宋体" w:hAnsi="宋体" w:cs="宋体" w:eastAsia="宋体" w:hint="default"/>
                <w:sz w:val="18"/>
                <w:szCs w:val="18"/>
              </w:rPr>
              <w:t>新余乐活投 资管理中心</w:t>
            </w:r>
          </w:p>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89"/>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312" w:lineRule="auto"/>
              <w:ind w:left="30"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日上 </w:t>
            </w:r>
            <w:r>
              <w:rPr>
                <w:rFonts w:ascii="宋体" w:hAnsi="宋体" w:cs="宋体" w:eastAsia="宋体" w:hint="default"/>
                <w:spacing w:val="-3"/>
                <w:sz w:val="18"/>
                <w:szCs w:val="18"/>
              </w:rPr>
              <w:t>市。限售期为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3"/>
                <w:sz w:val="18"/>
                <w:szCs w:val="18"/>
              </w:rPr>
              <w:t>十六个月，可</w:t>
            </w:r>
          </w:p>
          <w:p>
            <w:pPr>
              <w:pStyle w:val="TableParagraph"/>
              <w:spacing w:line="336" w:lineRule="auto" w:before="26"/>
              <w:ind w:left="30" w:right="89"/>
              <w:jc w:val="left"/>
              <w:rPr>
                <w:rFonts w:ascii="宋体" w:hAnsi="宋体" w:cs="宋体" w:eastAsia="宋体" w:hint="default"/>
                <w:sz w:val="18"/>
                <w:szCs w:val="18"/>
              </w:rPr>
            </w:pPr>
            <w:r>
              <w:rPr>
                <w:rFonts w:ascii="宋体" w:hAnsi="宋体" w:cs="宋体" w:eastAsia="宋体" w:hint="default"/>
                <w:sz w:val="18"/>
                <w:szCs w:val="18"/>
              </w:rPr>
              <w:t>上市流通时 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36"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2"/>
              <w:ind w:left="15" w:right="183"/>
              <w:jc w:val="left"/>
              <w:rPr>
                <w:rFonts w:ascii="宋体" w:hAnsi="宋体" w:cs="宋体" w:eastAsia="宋体" w:hint="default"/>
                <w:sz w:val="18"/>
                <w:szCs w:val="18"/>
              </w:rPr>
            </w:pPr>
            <w:r>
              <w:rPr>
                <w:rFonts w:ascii="宋体" w:hAnsi="宋体" w:cs="宋体" w:eastAsia="宋体" w:hint="default"/>
                <w:sz w:val="18"/>
                <w:szCs w:val="18"/>
              </w:rPr>
              <w:t>报告期内履 行完毕</w:t>
            </w:r>
          </w:p>
        </w:tc>
      </w:tr>
      <w:tr>
        <w:trPr>
          <w:trHeight w:val="5360"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4"/>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3"/>
                <w:sz w:val="18"/>
                <w:szCs w:val="18"/>
              </w:rPr>
              <w:t>满后，若本人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3"/>
                <w:sz w:val="18"/>
                <w:szCs w:val="18"/>
              </w:rPr>
              <w:t>人员，在任职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期间本人每 年转让股份 不超过直接 或间接所持 有公司股票 总数的百分 </w:t>
            </w:r>
            <w:r>
              <w:rPr>
                <w:rFonts w:ascii="宋体" w:hAnsi="宋体" w:cs="宋体" w:eastAsia="宋体" w:hint="default"/>
                <w:spacing w:val="-3"/>
                <w:sz w:val="18"/>
                <w:szCs w:val="18"/>
              </w:rPr>
              <w:t>之二十五。本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人离任后六 </w:t>
            </w:r>
            <w:r>
              <w:rPr>
                <w:rFonts w:ascii="宋体" w:hAnsi="宋体" w:cs="宋体" w:eastAsia="宋体" w:hint="default"/>
                <w:spacing w:val="-3"/>
                <w:sz w:val="18"/>
                <w:szCs w:val="18"/>
              </w:rPr>
              <w:t>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让直接或间 接所持有公</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4428"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z w:val="18"/>
                <w:szCs w:val="18"/>
              </w:rPr>
              <w:t>司的任何股 </w:t>
            </w:r>
            <w:r>
              <w:rPr>
                <w:rFonts w:ascii="宋体" w:hAnsi="宋体" w:cs="宋体" w:eastAsia="宋体" w:hint="default"/>
                <w:spacing w:val="-3"/>
                <w:sz w:val="18"/>
                <w:szCs w:val="18"/>
              </w:rPr>
              <w:t>份。本人在申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报离任六个 月后的十二 个月内通过 证券交易所 挂牌交易出 售公司股票 数量占其所 直接或间接 持有公司股 票总数的比 例不得超过 百分之五十</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2"/>
          <w:szCs w:val="22"/>
        </w:rPr>
      </w:pPr>
    </w:p>
    <w:p>
      <w:pPr>
        <w:pStyle w:val="Heading4"/>
        <w:spacing w:line="286" w:lineRule="exact" w:before="51"/>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946"/>
        <w:gridCol w:w="962"/>
        <w:gridCol w:w="961"/>
        <w:gridCol w:w="961"/>
        <w:gridCol w:w="962"/>
        <w:gridCol w:w="946"/>
        <w:gridCol w:w="961"/>
        <w:gridCol w:w="961"/>
        <w:gridCol w:w="961"/>
        <w:gridCol w:w="961"/>
      </w:tblGrid>
      <w:tr>
        <w:trPr>
          <w:trHeight w:val="721" w:hRule="exact"/>
        </w:trPr>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5" w:right="29" w:hanging="91"/>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95" w:right="15"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90" w:right="15"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90" w:right="15"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513"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2019.5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21" w:lineRule="auto" w:before="51"/>
              <w:ind w:left="30" w:right="15"/>
              <w:jc w:val="both"/>
              <w:rPr>
                <w:rFonts w:ascii="Times New Roman" w:hAnsi="Times New Roman" w:cs="Times New Roman" w:eastAsia="Times New Roman" w:hint="default"/>
                <w:sz w:val="18"/>
                <w:szCs w:val="18"/>
              </w:rPr>
            </w:pPr>
            <w:r>
              <w:rPr>
                <w:rFonts w:ascii="宋体" w:hAnsi="宋体" w:cs="宋体" w:eastAsia="宋体" w:hint="default"/>
                <w:sz w:val="18"/>
                <w:szCs w:val="18"/>
              </w:rPr>
              <w:t>月，美盛控 股占用杭州 业盛实业有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万元，截止</w:t>
            </w:r>
          </w:p>
          <w:p>
            <w:pPr>
              <w:pStyle w:val="TableParagraph"/>
              <w:spacing w:line="240" w:lineRule="auto" w:before="95"/>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97" w:lineRule="auto" w:before="66"/>
              <w:ind w:left="30"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日，公司</w:t>
            </w:r>
            <w:r>
              <w:rPr>
                <w:rFonts w:ascii="宋体" w:hAnsi="宋体" w:cs="宋体" w:eastAsia="宋体" w:hint="default"/>
                <w:sz w:val="18"/>
                <w:szCs w:val="18"/>
              </w:rPr>
              <w:t> 已收到美盛 控股归还上</w:t>
            </w:r>
          </w:p>
          <w:p>
            <w:pPr>
              <w:pStyle w:val="TableParagraph"/>
              <w:spacing w:line="240" w:lineRule="auto" w:before="36"/>
              <w:ind w:left="30" w:right="0"/>
              <w:jc w:val="both"/>
              <w:rPr>
                <w:rFonts w:ascii="宋体" w:hAnsi="宋体" w:cs="宋体" w:eastAsia="宋体" w:hint="default"/>
                <w:sz w:val="18"/>
                <w:szCs w:val="18"/>
              </w:rPr>
            </w:pPr>
            <w:r>
              <w:rPr>
                <w:rFonts w:ascii="宋体" w:hAnsi="宋体" w:cs="宋体" w:eastAsia="宋体" w:hint="default"/>
                <w:sz w:val="18"/>
                <w:szCs w:val="18"/>
              </w:rPr>
              <w:t>述款项。</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2020.4</w:t>
            </w:r>
          </w:p>
        </w:tc>
      </w:tr>
      <w:tr>
        <w:trPr>
          <w:trHeight w:val="676"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2018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 美盛控股占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2020.4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946"/>
        <w:gridCol w:w="962"/>
        <w:gridCol w:w="961"/>
        <w:gridCol w:w="961"/>
        <w:gridCol w:w="962"/>
        <w:gridCol w:w="946"/>
        <w:gridCol w:w="961"/>
        <w:gridCol w:w="961"/>
        <w:gridCol w:w="961"/>
        <w:gridCol w:w="961"/>
      </w:tblGrid>
      <w:tr>
        <w:trPr>
          <w:trHeight w:val="4729" w:hRule="exact"/>
        </w:trPr>
        <w:tc>
          <w:tcPr>
            <w:tcW w:w="946"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0" w:right="15"/>
              <w:jc w:val="left"/>
              <w:rPr>
                <w:rFonts w:ascii="宋体" w:hAnsi="宋体" w:cs="宋体" w:eastAsia="宋体" w:hint="default"/>
                <w:sz w:val="18"/>
                <w:szCs w:val="18"/>
              </w:rPr>
            </w:pPr>
            <w:r>
              <w:rPr>
                <w:rFonts w:ascii="宋体" w:hAnsi="宋体" w:cs="宋体" w:eastAsia="宋体" w:hint="default"/>
                <w:sz w:val="18"/>
                <w:szCs w:val="18"/>
              </w:rPr>
              <w:t>用深圳同道 资金余额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w:t>
            </w:r>
          </w:p>
          <w:p>
            <w:pPr>
              <w:pStyle w:val="TableParagraph"/>
              <w:spacing w:line="248"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36" w:lineRule="auto" w:before="51"/>
              <w:ind w:left="30"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收购深圳同 道，</w:t>
            </w:r>
            <w:r>
              <w:rPr>
                <w:rFonts w:ascii="Times New Roman" w:hAnsi="Times New Roman" w:cs="Times New Roman" w:eastAsia="Times New Roman" w:hint="default"/>
                <w:sz w:val="18"/>
                <w:szCs w:val="18"/>
              </w:rPr>
              <w:t>72.5%</w:t>
            </w:r>
          </w:p>
          <w:p>
            <w:pPr>
              <w:pStyle w:val="TableParagraph"/>
              <w:spacing w:line="192" w:lineRule="exact"/>
              <w:ind w:left="30" w:right="0"/>
              <w:jc w:val="left"/>
              <w:rPr>
                <w:rFonts w:ascii="宋体" w:hAnsi="宋体" w:cs="宋体" w:eastAsia="宋体" w:hint="default"/>
                <w:sz w:val="18"/>
                <w:szCs w:val="18"/>
              </w:rPr>
            </w:pPr>
            <w:r>
              <w:rPr>
                <w:rFonts w:ascii="宋体" w:hAnsi="宋体" w:cs="宋体" w:eastAsia="宋体" w:hint="default"/>
                <w:sz w:val="18"/>
                <w:szCs w:val="18"/>
              </w:rPr>
              <w:t>股权深圳同</w:t>
            </w:r>
          </w:p>
          <w:p>
            <w:pPr>
              <w:pStyle w:val="TableParagraph"/>
              <w:spacing w:line="326" w:lineRule="auto" w:before="80"/>
              <w:ind w:left="30" w:right="13"/>
              <w:jc w:val="left"/>
              <w:rPr>
                <w:rFonts w:ascii="宋体" w:hAnsi="宋体" w:cs="宋体" w:eastAsia="宋体" w:hint="default"/>
                <w:sz w:val="18"/>
                <w:szCs w:val="18"/>
              </w:rPr>
            </w:pPr>
            <w:r>
              <w:rPr>
                <w:rFonts w:ascii="宋体" w:hAnsi="宋体" w:cs="宋体" w:eastAsia="宋体" w:hint="default"/>
                <w:sz w:val="18"/>
                <w:szCs w:val="18"/>
              </w:rPr>
              <w:t>道纳入上市 公司合并范 围，截止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29" w:lineRule="exact"/>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日，公司</w:t>
            </w:r>
          </w:p>
          <w:p>
            <w:pPr>
              <w:pStyle w:val="TableParagraph"/>
              <w:spacing w:line="321" w:lineRule="auto" w:before="51"/>
              <w:ind w:left="30" w:right="15"/>
              <w:jc w:val="both"/>
              <w:rPr>
                <w:rFonts w:ascii="宋体" w:hAnsi="宋体" w:cs="宋体" w:eastAsia="宋体" w:hint="default"/>
                <w:sz w:val="18"/>
                <w:szCs w:val="18"/>
              </w:rPr>
            </w:pPr>
            <w:r>
              <w:rPr>
                <w:rFonts w:ascii="宋体" w:hAnsi="宋体" w:cs="宋体" w:eastAsia="宋体" w:hint="default"/>
                <w:sz w:val="18"/>
                <w:szCs w:val="18"/>
              </w:rPr>
              <w:t>已收到美盛 控股归还上 述款项。</w:t>
            </w: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2597"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2019.3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21" w:lineRule="auto" w:before="36"/>
              <w:ind w:left="30" w:right="13"/>
              <w:jc w:val="both"/>
              <w:rPr>
                <w:rFonts w:ascii="宋体" w:hAnsi="宋体" w:cs="宋体" w:eastAsia="宋体" w:hint="default"/>
                <w:sz w:val="18"/>
                <w:szCs w:val="18"/>
              </w:rPr>
            </w:pPr>
            <w:r>
              <w:rPr>
                <w:rFonts w:ascii="宋体" w:hAnsi="宋体" w:cs="宋体" w:eastAsia="宋体" w:hint="default"/>
                <w:sz w:val="18"/>
                <w:szCs w:val="18"/>
              </w:rPr>
              <w:t>月，深圳同 道支付控股</w:t>
            </w:r>
          </w:p>
          <w:p>
            <w:pPr>
              <w:pStyle w:val="TableParagraph"/>
              <w:spacing w:line="312" w:lineRule="auto" w:before="34"/>
              <w:ind w:left="30" w:right="13"/>
              <w:jc w:val="both"/>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 元，分别于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88" w:lineRule="auto"/>
              <w:ind w:left="30" w:right="103"/>
              <w:jc w:val="both"/>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月归 还。</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6021" w:hRule="exact"/>
        </w:trPr>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2019.1-201</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9.4</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年内 美盛控股占 用公司非经 营性款项</w:t>
            </w:r>
          </w:p>
          <w:p>
            <w:pPr>
              <w:pStyle w:val="TableParagraph"/>
              <w:spacing w:line="240" w:lineRule="auto" w:before="88"/>
              <w:ind w:left="30" w:right="0"/>
              <w:jc w:val="left"/>
              <w:rPr>
                <w:rFonts w:ascii="Times New Roman" w:hAnsi="Times New Roman" w:cs="Times New Roman" w:eastAsia="Times New Roman" w:hint="default"/>
                <w:sz w:val="18"/>
                <w:szCs w:val="18"/>
              </w:rPr>
            </w:pPr>
            <w:r>
              <w:rPr>
                <w:rFonts w:ascii="Times New Roman"/>
                <w:sz w:val="18"/>
              </w:rPr>
              <w:t>151,195.88</w:t>
            </w:r>
          </w:p>
          <w:p>
            <w:pPr>
              <w:pStyle w:val="TableParagraph"/>
              <w:spacing w:line="300" w:lineRule="auto" w:before="66"/>
              <w:ind w:left="30" w:right="13"/>
              <w:jc w:val="both"/>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月公 司向美盛控 股划转资金</w:t>
            </w:r>
          </w:p>
          <w:p>
            <w:pPr>
              <w:pStyle w:val="TableParagraph"/>
              <w:spacing w:line="240" w:lineRule="auto" w:before="5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4,821.00 </w:t>
            </w:r>
            <w:r>
              <w:rPr>
                <w:rFonts w:ascii="宋体" w:hAnsi="宋体" w:cs="宋体" w:eastAsia="宋体" w:hint="default"/>
                <w:sz w:val="18"/>
                <w:szCs w:val="18"/>
              </w:rPr>
              <w:t>万</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元，合计</w:t>
            </w:r>
          </w:p>
          <w:p>
            <w:pPr>
              <w:pStyle w:val="TableParagraph"/>
              <w:spacing w:line="240" w:lineRule="auto" w:before="137"/>
              <w:ind w:left="30" w:right="0"/>
              <w:jc w:val="left"/>
              <w:rPr>
                <w:rFonts w:ascii="Times New Roman" w:hAnsi="Times New Roman" w:cs="Times New Roman" w:eastAsia="Times New Roman" w:hint="default"/>
                <w:sz w:val="18"/>
                <w:szCs w:val="18"/>
              </w:rPr>
            </w:pPr>
            <w:r>
              <w:rPr>
                <w:rFonts w:ascii="Times New Roman"/>
                <w:sz w:val="18"/>
              </w:rPr>
              <w:t>156,016.88</w:t>
            </w:r>
          </w:p>
          <w:p>
            <w:pPr>
              <w:pStyle w:val="TableParagraph"/>
              <w:spacing w:line="307" w:lineRule="auto" w:before="66"/>
              <w:ind w:left="30" w:right="13"/>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月美盛 文化公司已 收到美盛控 股归还的上 述全部款 项。</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151,195.88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4,821</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156,016.88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86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153,195.88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5,371</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156,566.88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2,050</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2,050</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69"/>
        <w:gridCol w:w="6713"/>
      </w:tblGrid>
      <w:tr>
        <w:trPr>
          <w:trHeight w:val="720"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6"/>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0.66%</w:t>
            </w:r>
          </w:p>
        </w:tc>
      </w:tr>
      <w:tr>
        <w:trPr>
          <w:trHeight w:val="390"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51"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究及董事会拟定采取措施的情况说 明</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美盛控股已完成还款</w:t>
            </w:r>
          </w:p>
        </w:tc>
      </w:tr>
      <w:tr>
        <w:trPr>
          <w:trHeight w:val="1021"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采取的措施说明</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21"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06"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3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《美盛文化创意股份有限公司控股股东及其他关联方占用资金情况审核报告》</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333" w:lineRule="auto" w:before="0"/>
        <w:ind w:right="57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公司报告期无会计政策、会计估计和核算方法发生变化的情况。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19"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4" w:lineRule="auto" w:before="96"/>
        <w:ind w:right="1105" w:firstLine="15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日，公司第三届董事会第三十二次会议审议通过了《关于收购</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 </w:t>
      </w:r>
      <w:r>
        <w:rPr>
          <w:rFonts w:ascii="Times New Roman" w:hAnsi="Times New Roman" w:cs="Times New Roman" w:eastAsia="Times New Roman" w:hint="default"/>
        </w:rPr>
        <w:t>GROUP (HK) LIMITED</w:t>
      </w:r>
      <w:r>
        <w:rPr>
          <w:rFonts w:ascii="Times New Roman" w:hAnsi="Times New Roman" w:cs="Times New Roman" w:eastAsia="Times New Roman" w:hint="default"/>
          <w:spacing w:val="29"/>
        </w:rPr>
        <w:t> </w:t>
      </w:r>
      <w:r>
        <w:rPr/>
        <w:t>公司</w:t>
      </w:r>
      <w:r>
        <w:rPr>
          <w:rFonts w:ascii="Times New Roman" w:hAnsi="Times New Roman" w:cs="Times New Roman" w:eastAsia="Times New Roman" w:hint="default"/>
        </w:rPr>
        <w:t>100% </w:t>
      </w:r>
      <w:r>
        <w:rPr>
          <w:spacing w:val="-1"/>
        </w:rPr>
        <w:t>股权的议案》，公司以</w:t>
      </w:r>
      <w:r>
        <w:rPr>
          <w:rFonts w:ascii="Times New Roman" w:hAnsi="Times New Roman" w:cs="Times New Roman" w:eastAsia="Times New Roman" w:hint="default"/>
          <w:spacing w:val="-1"/>
        </w:rPr>
        <w:t>57750</w:t>
      </w:r>
      <w:r>
        <w:rPr>
          <w:spacing w:val="-1"/>
        </w:rPr>
        <w:t>万元人民币的价格向曾华伟、曾华雄、朱海锋、胡相林（以下简称原股东）购买其持有的</w:t>
      </w:r>
      <w:r>
        <w:rPr>
          <w:rFonts w:ascii="Times New Roman" w:hAnsi="Times New Roman" w:cs="Times New Roman" w:eastAsia="Times New Roman" w:hint="default"/>
          <w:spacing w:val="-1"/>
        </w:rPr>
        <w:t>NEW</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rFonts w:ascii="Times New Roman" w:hAnsi="Times New Roman" w:cs="Times New Roman" w:eastAsia="Times New Roman" w:hint="default"/>
          <w:spacing w:val="3"/>
        </w:rPr>
        <w:t>TIME</w:t>
      </w:r>
      <w:r>
        <w:rPr>
          <w:rFonts w:ascii="Times New Roman" w:hAnsi="Times New Roman" w:cs="Times New Roman" w:eastAsia="Times New Roman" w:hint="default"/>
          <w:spacing w:val="-25"/>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7"/>
        </w:rPr>
        <w:t> </w:t>
      </w:r>
      <w:r>
        <w:rPr>
          <w:rFonts w:ascii="Times New Roman" w:hAnsi="Times New Roman" w:cs="Times New Roman" w:eastAsia="Times New Roman" w:hint="default"/>
        </w:rPr>
        <w:t>(HK)</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7"/>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日，公司与原股东已办理相应的股权转让文书，故公司自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月将 </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w:t>
      </w:r>
      <w:r>
        <w:rPr>
          <w:rFonts w:ascii="Times New Roman" w:hAnsi="Times New Roman" w:cs="Times New Roman" w:eastAsia="Times New Roman" w:hint="default"/>
          <w:spacing w:val="-6"/>
        </w:rPr>
        <w:t> </w:t>
      </w:r>
      <w:r>
        <w:rPr>
          <w:rFonts w:ascii="Times New Roman" w:hAnsi="Times New Roman" w:cs="Times New Roman" w:eastAsia="Times New Roman" w:hint="default"/>
        </w:rPr>
        <w:t>GROUP</w:t>
      </w:r>
      <w:r>
        <w:rPr/>
        <w:t>纳入公司合并范围。</w:t>
      </w:r>
    </w:p>
    <w:p>
      <w:pPr>
        <w:pStyle w:val="BodyText"/>
        <w:spacing w:line="302" w:lineRule="auto" w:before="0"/>
        <w:ind w:right="1097" w:firstLine="15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日，子公司真趣网络以</w:t>
      </w:r>
      <w:r>
        <w:rPr>
          <w:rFonts w:ascii="Times New Roman" w:hAnsi="Times New Roman" w:cs="Times New Roman" w:eastAsia="Times New Roman" w:hint="default"/>
        </w:rPr>
        <w:t>0</w:t>
      </w:r>
      <w:r>
        <w:rPr/>
        <w:t>元的价格向苏扬、徐增辉购买其持有的杭州幻趣网络科技有限公司</w:t>
      </w:r>
      <w:r>
        <w:rPr>
          <w:rFonts w:ascii="Times New Roman" w:hAnsi="Times New Roman" w:cs="Times New Roman" w:eastAsia="Times New Roman" w:hint="default"/>
        </w:rPr>
        <w:t>60%</w:t>
      </w:r>
      <w:r>
        <w:rPr/>
        <w:t>股权。本次交 易完成后，真趣网络持有幻趣网络</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月开始将幻趣网络纳入公司合并范围。</w:t>
      </w:r>
    </w:p>
    <w:p>
      <w:pPr>
        <w:pStyle w:val="BodyText"/>
        <w:spacing w:line="304" w:lineRule="auto" w:before="14"/>
        <w:ind w:right="1113" w:firstLine="15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日，公司</w:t>
      </w:r>
      <w:r>
        <w:rPr>
          <w:rFonts w:ascii="Times New Roman" w:hAnsi="Times New Roman" w:cs="Times New Roman" w:eastAsia="Times New Roman" w:hint="default"/>
          <w:spacing w:val="-1"/>
        </w:rPr>
        <w:t>2018</w:t>
      </w:r>
      <w:r>
        <w:rPr>
          <w:spacing w:val="-1"/>
        </w:rPr>
        <w:t>年度股东大会审议通过了《关于收购同道大叔</w:t>
      </w:r>
      <w:r>
        <w:rPr>
          <w:rFonts w:ascii="Times New Roman" w:hAnsi="Times New Roman" w:cs="Times New Roman" w:eastAsia="Times New Roman" w:hint="default"/>
          <w:spacing w:val="-1"/>
        </w:rPr>
        <w:t>72.5%</w:t>
      </w:r>
      <w:r>
        <w:rPr>
          <w:spacing w:val="-1"/>
        </w:rPr>
        <w:t>股权暨关联交易的议案》，公司合并中取得</w:t>
      </w:r>
      <w:r>
        <w:rPr/>
        <w:t> 的权益比例为</w:t>
      </w:r>
      <w:r>
        <w:rPr>
          <w:rFonts w:ascii="Times New Roman" w:hAnsi="Times New Roman" w:cs="Times New Roman" w:eastAsia="Times New Roman" w:hint="default"/>
        </w:rPr>
        <w:t>72.5%</w:t>
      </w:r>
      <w:r>
        <w:rPr/>
        <w:t>，合并成本为</w:t>
      </w:r>
      <w:r>
        <w:rPr>
          <w:rFonts w:ascii="Times New Roman" w:hAnsi="Times New Roman" w:cs="Times New Roman" w:eastAsia="Times New Roman" w:hint="default"/>
        </w:rPr>
        <w:t>28500</w:t>
      </w:r>
      <w:r>
        <w:rPr/>
        <w:t>万元，合并日为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p>
    <w:p>
      <w:pPr>
        <w:pStyle w:val="BodyText"/>
        <w:spacing w:line="288" w:lineRule="auto" w:before="12"/>
        <w:ind w:right="1188" w:firstLine="15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月，子公司杭州业盛实业有限公司将其在湖州创库文化创意有限公司</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200</w:t>
      </w:r>
      <w:r>
        <w:rPr/>
        <w:t>万元转让给蔡步标、潘海 艇。本次交易完成后，公司失去对湖州创库公司的控制，自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月开始不再将湖州创库公司纳入公司合并范围。</w:t>
      </w:r>
    </w:p>
    <w:p>
      <w:pPr>
        <w:pStyle w:val="BodyText"/>
        <w:spacing w:line="240" w:lineRule="auto" w:before="26"/>
        <w:ind w:left="29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月，本公司子公司杭州真趣网络公司新设成立新余云起网络科技有限公司，纳入合并报表范围。</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郭东星、李嘉宁</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ind w:right="0"/>
        <w:jc w:val="left"/>
      </w:pPr>
      <w:r>
        <w:rPr/>
        <w:t>当期是否改聘会计师事务所</w:t>
      </w:r>
    </w:p>
    <w:p>
      <w:pPr>
        <w:pStyle w:val="BodyText"/>
        <w:spacing w:line="331" w:lineRule="auto" w:before="125"/>
        <w:ind w:right="8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是否在审计期间改聘会计师事务所</w:t>
      </w:r>
    </w:p>
    <w:p>
      <w:pPr>
        <w:pStyle w:val="BodyText"/>
        <w:spacing w:line="333" w:lineRule="auto" w:before="56"/>
        <w:ind w:right="78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更换会计师事务所是否履行审批程序</w:t>
      </w:r>
    </w:p>
    <w:p>
      <w:pPr>
        <w:pStyle w:val="BodyText"/>
        <w:spacing w:line="319" w:lineRule="auto" w:before="54"/>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对改聘、变更会计师事务所情况的详细说明</w:t>
      </w:r>
    </w:p>
    <w:p>
      <w:pPr>
        <w:pStyle w:val="BodyText"/>
        <w:spacing w:line="321" w:lineRule="auto" w:before="65"/>
        <w:ind w:right="0" w:firstLine="300"/>
        <w:jc w:val="left"/>
      </w:pPr>
      <w:r>
        <w:rPr>
          <w:spacing w:val="-3"/>
        </w:rPr>
        <w:t>公司原审计机构天健会计师事务所（特殊普通合伙已经连续多年为公司提供审计服务，在执业过程中坚持独立审计原则，</w:t>
      </w:r>
      <w:r>
        <w:rPr/>
        <w:t> </w:t>
      </w:r>
      <w:r>
        <w:rPr>
          <w:spacing w:val="-2"/>
        </w:rPr>
        <w:t>勤勉尽职，公允的发表审计意见，客观、公正、准确的反映公司财务报表及内部控制情况，切实履行了审计机构的职责，从</w:t>
      </w:r>
      <w:r>
        <w:rPr>
          <w:spacing w:val="-72"/>
        </w:rPr>
        <w:t> </w:t>
      </w:r>
      <w:r>
        <w:rPr>
          <w:spacing w:val="-72"/>
        </w:rPr>
      </w:r>
      <w:r>
        <w:rPr/>
        <w:t>专业角度维护了公司及股东的合法权益。</w:t>
      </w:r>
    </w:p>
    <w:p>
      <w:pPr>
        <w:pStyle w:val="BodyText"/>
        <w:spacing w:line="333" w:lineRule="auto" w:before="18"/>
        <w:ind w:right="2784" w:firstLine="225"/>
        <w:jc w:val="left"/>
      </w:pPr>
      <w:r>
        <w:rPr/>
        <w:t>根据公司未来发展战略和日常经营需要，公司拟改聘大信会计师事务所为公司</w:t>
      </w:r>
      <w:r>
        <w:rPr>
          <w:rFonts w:ascii="Times New Roman" w:hAnsi="Times New Roman" w:cs="Times New Roman" w:eastAsia="Times New Roman" w:hint="default"/>
        </w:rPr>
        <w:t>2019</w:t>
      </w:r>
      <w:r>
        <w:rPr/>
        <w:t>年度审计机构。 聘请内部控制审计会计师事务所、财务顾问或保荐人情况</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3"/>
        <w:rPr>
          <w:rFonts w:ascii="宋体" w:hAnsi="宋体" w:cs="宋体" w:eastAsia="宋体" w:hint="default"/>
          <w:b/>
          <w:bCs/>
          <w:sz w:val="27"/>
          <w:szCs w:val="27"/>
        </w:rPr>
      </w:pPr>
    </w:p>
    <w:p>
      <w:pPr>
        <w:pStyle w:val="BodyText"/>
        <w:spacing w:line="316"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本报告期公司无重大诉讼、仲裁事项。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before="0"/>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公司报告期无股权激励计划、员工持股计划或其他员工激励措施及其实施情况。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706"/>
        <w:gridCol w:w="676"/>
        <w:gridCol w:w="676"/>
        <w:gridCol w:w="676"/>
        <w:gridCol w:w="676"/>
        <w:gridCol w:w="675"/>
        <w:gridCol w:w="676"/>
        <w:gridCol w:w="676"/>
        <w:gridCol w:w="661"/>
        <w:gridCol w:w="676"/>
        <w:gridCol w:w="646"/>
      </w:tblGrid>
      <w:tr>
        <w:trPr>
          <w:trHeight w:val="1337"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300" w:right="30" w:hanging="271"/>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39" w:right="5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60" w:right="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60" w:right="90"/>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6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45" w:right="7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 w:right="73"/>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21" w:lineRule="auto" w:before="31"/>
              <w:ind w:left="135" w:right="163"/>
              <w:jc w:val="left"/>
              <w:rPr>
                <w:rFonts w:ascii="宋体" w:hAnsi="宋体" w:cs="宋体" w:eastAsia="宋体" w:hint="default"/>
                <w:sz w:val="18"/>
                <w:szCs w:val="18"/>
              </w:rPr>
            </w:pPr>
            <w:r>
              <w:rPr>
                <w:rFonts w:ascii="宋体" w:hAnsi="宋体" w:cs="宋体" w:eastAsia="宋体" w:hint="default"/>
                <w:sz w:val="18"/>
                <w:szCs w:val="18"/>
              </w:rPr>
              <w:t>（万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7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4" w:right="73"/>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7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7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25" w:right="43"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4" w:lineRule="auto"/>
              <w:ind w:left="15" w:right="74"/>
              <w:jc w:val="left"/>
              <w:rPr>
                <w:rFonts w:ascii="Times New Roman" w:hAnsi="Times New Roman" w:cs="Times New Roman" w:eastAsia="Times New Roman" w:hint="default"/>
                <w:sz w:val="18"/>
                <w:szCs w:val="18"/>
              </w:rPr>
            </w:pPr>
            <w:r>
              <w:rPr>
                <w:rFonts w:ascii="Times New Roman"/>
                <w:spacing w:val="3"/>
                <w:sz w:val="18"/>
              </w:rPr>
              <w:t>JAKKS</w:t>
            </w:r>
            <w:r>
              <w:rPr>
                <w:rFonts w:ascii="Times New Roman"/>
                <w:w w:val="99"/>
                <w:sz w:val="18"/>
              </w:rPr>
              <w:t> </w:t>
            </w:r>
            <w:r>
              <w:rPr>
                <w:rFonts w:ascii="Times New Roman"/>
                <w:sz w:val="18"/>
              </w:rPr>
              <w:t>PACIFIC</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88"/>
              <w:jc w:val="both"/>
              <w:rPr>
                <w:rFonts w:ascii="宋体" w:hAnsi="宋体" w:cs="宋体" w:eastAsia="宋体" w:hint="default"/>
                <w:sz w:val="18"/>
                <w:szCs w:val="18"/>
              </w:rPr>
            </w:pPr>
            <w:r>
              <w:rPr>
                <w:rFonts w:ascii="宋体" w:hAnsi="宋体" w:cs="宋体" w:eastAsia="宋体" w:hint="default"/>
                <w:sz w:val="18"/>
                <w:szCs w:val="18"/>
              </w:rPr>
              <w:t>美盛文 化参股 公司； 公司实 际控制 人赵小 强先生 担任关 联方董 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30" w:right="103"/>
              <w:jc w:val="both"/>
              <w:rPr>
                <w:rFonts w:ascii="宋体" w:hAnsi="宋体" w:cs="宋体" w:eastAsia="宋体" w:hint="default"/>
                <w:sz w:val="18"/>
                <w:szCs w:val="18"/>
              </w:rPr>
            </w:pPr>
            <w:r>
              <w:rPr>
                <w:rFonts w:ascii="宋体" w:hAnsi="宋体" w:cs="宋体" w:eastAsia="宋体" w:hint="default"/>
                <w:sz w:val="18"/>
                <w:szCs w:val="18"/>
              </w:rPr>
              <w:t>向关联 人销售 产品、 商品</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0" w:lineRule="auto" w:before="128"/>
              <w:ind w:left="1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衍生 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5" w:right="103"/>
              <w:jc w:val="both"/>
              <w:rPr>
                <w:rFonts w:ascii="宋体" w:hAnsi="宋体" w:cs="宋体" w:eastAsia="宋体" w:hint="default"/>
                <w:sz w:val="18"/>
                <w:szCs w:val="18"/>
              </w:rPr>
            </w:pPr>
            <w:r>
              <w:rPr>
                <w:rFonts w:ascii="宋体" w:hAnsi="宋体" w:cs="宋体" w:eastAsia="宋体" w:hint="default"/>
                <w:sz w:val="18"/>
                <w:szCs w:val="18"/>
              </w:rPr>
              <w:t>双方约 定的订 单价格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60,559.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71.99%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59,297.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5" w:right="88"/>
              <w:jc w:val="both"/>
              <w:rPr>
                <w:rFonts w:ascii="宋体" w:hAnsi="宋体" w:cs="宋体" w:eastAsia="宋体" w:hint="default"/>
                <w:sz w:val="18"/>
                <w:szCs w:val="18"/>
              </w:rPr>
            </w:pPr>
            <w:r>
              <w:rPr>
                <w:rFonts w:ascii="宋体" w:hAnsi="宋体" w:cs="宋体" w:eastAsia="宋体" w:hint="default"/>
                <w:sz w:val="18"/>
                <w:szCs w:val="18"/>
              </w:rPr>
              <w:t>与同类 交易市 价持平</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21" w:lineRule="auto"/>
              <w:ind w:left="30" w:right="58"/>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76"/>
              <w:ind w:left="30"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20</w:t>
            </w:r>
          </w:p>
        </w:tc>
      </w:tr>
      <w:tr>
        <w:trPr>
          <w:trHeight w:val="158" w:hRule="exact"/>
        </w:trPr>
        <w:tc>
          <w:tcPr>
            <w:tcW w:w="2869"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60,559.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29</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59,297.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2869" w:type="dxa"/>
            <w:gridSpan w:val="4"/>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1"/>
              <w:ind w:right="28"/>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75"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46" w:type="dxa"/>
            <w:vMerge/>
            <w:tcBorders>
              <w:left w:val="single" w:sz="6" w:space="0" w:color="000000"/>
              <w:right w:val="single" w:sz="6" w:space="0" w:color="000000"/>
            </w:tcBorders>
            <w:shd w:val="clear" w:color="auto" w:fill="D2D2D2"/>
          </w:tcPr>
          <w:p>
            <w:pPr/>
          </w:p>
        </w:tc>
      </w:tr>
      <w:tr>
        <w:trPr>
          <w:trHeight w:val="173" w:hRule="exact"/>
        </w:trPr>
        <w:tc>
          <w:tcPr>
            <w:tcW w:w="2869"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5"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58" w:hRule="exact"/>
        </w:trPr>
        <w:tc>
          <w:tcPr>
            <w:tcW w:w="2869"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6713" w:type="dxa"/>
            <w:gridSpan w:val="10"/>
            <w:vMerge w:val="restart"/>
            <w:tcBorders>
              <w:top w:val="single" w:sz="6" w:space="0" w:color="000000"/>
              <w:left w:val="single" w:sz="12" w:space="0" w:color="D2D2D2"/>
              <w:right w:val="single" w:sz="6" w:space="0" w:color="000000"/>
            </w:tcBorders>
          </w:tcPr>
          <w:p>
            <w:pPr>
              <w:pStyle w:val="TableParagraph"/>
              <w:spacing w:line="240" w:lineRule="auto" w:before="45"/>
              <w:ind w:left="7" w:right="0"/>
              <w:jc w:val="both"/>
              <w:rPr>
                <w:rFonts w:ascii="宋体" w:hAnsi="宋体" w:cs="宋体" w:eastAsia="宋体" w:hint="default"/>
                <w:sz w:val="18"/>
                <w:szCs w:val="18"/>
              </w:rPr>
            </w:pPr>
            <w:r>
              <w:rPr>
                <w:rFonts w:ascii="宋体" w:hAnsi="宋体" w:cs="宋体" w:eastAsia="宋体" w:hint="default"/>
                <w:sz w:val="18"/>
                <w:szCs w:val="18"/>
              </w:rPr>
              <w:t>原预计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年度累计交易金额不超过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8500 </w:t>
            </w:r>
            <w:r>
              <w:rPr>
                <w:rFonts w:ascii="宋体" w:hAnsi="宋体" w:cs="宋体" w:eastAsia="宋体" w:hint="default"/>
                <w:sz w:val="18"/>
                <w:szCs w:val="18"/>
              </w:rPr>
              <w:t>万美元，按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日汇率估算</w:t>
            </w:r>
          </w:p>
          <w:p>
            <w:pPr>
              <w:pStyle w:val="TableParagraph"/>
              <w:spacing w:line="288" w:lineRule="auto" w:before="66"/>
              <w:ind w:left="7" w:right="30"/>
              <w:jc w:val="both"/>
              <w:rPr>
                <w:rFonts w:ascii="宋体" w:hAnsi="宋体" w:cs="宋体" w:eastAsia="宋体" w:hint="default"/>
                <w:sz w:val="18"/>
                <w:szCs w:val="18"/>
              </w:rPr>
            </w:pPr>
            <w:r>
              <w:rPr>
                <w:rFonts w:ascii="宋体" w:hAnsi="宋体" w:cs="宋体" w:eastAsia="宋体" w:hint="default"/>
                <w:sz w:val="18"/>
                <w:szCs w:val="18"/>
              </w:rPr>
              <w:t>约为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59297.7</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万元人民币。报告期内实际发生金额为</w:t>
            </w:r>
            <w:r>
              <w:rPr>
                <w:rFonts w:ascii="宋体" w:hAnsi="宋体" w:cs="宋体" w:eastAsia="宋体" w:hint="default"/>
                <w:spacing w:val="-55"/>
                <w:sz w:val="18"/>
                <w:szCs w:val="18"/>
              </w:rPr>
              <w:t> </w:t>
            </w:r>
            <w:r>
              <w:rPr>
                <w:rFonts w:ascii="Times New Roman" w:hAnsi="Times New Roman" w:cs="Times New Roman" w:eastAsia="Times New Roman" w:hint="default"/>
                <w:spacing w:val="-2"/>
                <w:sz w:val="18"/>
                <w:szCs w:val="18"/>
              </w:rPr>
              <w:t>60,559.29</w:t>
            </w:r>
            <w:r>
              <w:rPr>
                <w:rFonts w:ascii="Times New Roman" w:hAnsi="Times New Roman" w:cs="Times New Roman" w:eastAsia="Times New Roman" w:hint="default"/>
                <w:spacing w:val="-13"/>
                <w:sz w:val="18"/>
                <w:szCs w:val="18"/>
              </w:rPr>
              <w:t> </w:t>
            </w:r>
            <w:r>
              <w:rPr>
                <w:rFonts w:ascii="宋体" w:hAnsi="宋体" w:cs="宋体" w:eastAsia="宋体" w:hint="default"/>
                <w:spacing w:val="-12"/>
                <w:sz w:val="18"/>
                <w:szCs w:val="18"/>
              </w:rPr>
              <w:t>万元，较预计超额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主要原因系本年度收购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New</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Time</w:t>
            </w:r>
            <w:r>
              <w:rPr>
                <w:rFonts w:ascii="宋体" w:hAnsi="宋体" w:cs="宋体" w:eastAsia="宋体" w:hint="default"/>
                <w:spacing w:val="-3"/>
                <w:sz w:val="18"/>
                <w:szCs w:val="18"/>
              </w:rPr>
              <w:t>，全年订单因《冰雪奇缘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》的火爆上映而有大幅增 加。</w:t>
            </w:r>
          </w:p>
        </w:tc>
      </w:tr>
      <w:tr>
        <w:trPr>
          <w:trHeight w:val="1005" w:hRule="exact"/>
        </w:trPr>
        <w:tc>
          <w:tcPr>
            <w:tcW w:w="2869" w:type="dxa"/>
            <w:gridSpan w:val="4"/>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14"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实际履行情况（如有）</w:t>
            </w:r>
          </w:p>
        </w:tc>
        <w:tc>
          <w:tcPr>
            <w:tcW w:w="6713" w:type="dxa"/>
            <w:gridSpan w:val="10"/>
            <w:vMerge/>
            <w:tcBorders>
              <w:left w:val="single" w:sz="12" w:space="0" w:color="D2D2D2"/>
              <w:right w:val="single" w:sz="6" w:space="0" w:color="000000"/>
            </w:tcBorders>
          </w:tcPr>
          <w:p>
            <w:pPr/>
          </w:p>
        </w:tc>
      </w:tr>
      <w:tr>
        <w:trPr>
          <w:trHeight w:val="173" w:hRule="exact"/>
        </w:trPr>
        <w:tc>
          <w:tcPr>
            <w:tcW w:w="2869"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6713" w:type="dxa"/>
            <w:gridSpan w:val="10"/>
            <w:vMerge/>
            <w:tcBorders>
              <w:left w:val="single" w:sz="12" w:space="0" w:color="D2D2D2"/>
              <w:bottom w:val="single" w:sz="6" w:space="0" w:color="000000"/>
              <w:right w:val="single" w:sz="6" w:space="0" w:color="000000"/>
            </w:tcBorders>
          </w:tcPr>
          <w:p>
            <w:pPr/>
          </w:p>
        </w:tc>
      </w:tr>
      <w:tr>
        <w:trPr>
          <w:trHeight w:val="705"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0"/>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849"/>
        <w:gridCol w:w="751"/>
        <w:gridCol w:w="729"/>
        <w:gridCol w:w="728"/>
        <w:gridCol w:w="728"/>
        <w:gridCol w:w="804"/>
        <w:gridCol w:w="788"/>
        <w:gridCol w:w="586"/>
        <w:gridCol w:w="856"/>
        <w:gridCol w:w="924"/>
        <w:gridCol w:w="924"/>
        <w:gridCol w:w="901"/>
      </w:tblGrid>
      <w:tr>
        <w:trPr>
          <w:trHeight w:val="390" w:hRule="exact"/>
        </w:trPr>
        <w:tc>
          <w:tcPr>
            <w:tcW w:w="8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2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89"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7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8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8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7"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5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交易损益</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9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8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before="0"/>
        <w:ind w:left="488" w:right="425"/>
        <w:jc w:val="center"/>
      </w:pPr>
      <w:r>
        <w:rPr/>
        <w:pict>
          <v:shape style="position:absolute;margin-left:56.325001pt;margin-top:-15.738298pt;width:480.25pt;height:390.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1"/>
                    <w:gridCol w:w="721"/>
                    <w:gridCol w:w="736"/>
                    <w:gridCol w:w="736"/>
                    <w:gridCol w:w="796"/>
                    <w:gridCol w:w="781"/>
                    <w:gridCol w:w="90"/>
                    <w:gridCol w:w="496"/>
                    <w:gridCol w:w="856"/>
                    <w:gridCol w:w="931"/>
                    <w:gridCol w:w="916"/>
                    <w:gridCol w:w="916"/>
                  </w:tblGrid>
                  <w:tr>
                    <w:trPr>
                      <w:trHeight w:val="990" w:hRule="exact"/>
                    </w:trPr>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系</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90"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64" w:right="103" w:hanging="90"/>
                          <w:jc w:val="left"/>
                          <w:rPr>
                            <w:rFonts w:ascii="宋体" w:hAnsi="宋体" w:cs="宋体" w:eastAsia="宋体" w:hint="default"/>
                            <w:sz w:val="18"/>
                            <w:szCs w:val="18"/>
                          </w:rPr>
                        </w:pPr>
                        <w:r>
                          <w:rPr>
                            <w:rFonts w:ascii="宋体" w:hAnsi="宋体" w:cs="宋体" w:eastAsia="宋体" w:hint="default"/>
                            <w:sz w:val="18"/>
                            <w:szCs w:val="18"/>
                          </w:rPr>
                          <w:t>易定价 原则</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30" w:firstLine="15"/>
                          <w:jc w:val="left"/>
                          <w:rPr>
                            <w:rFonts w:ascii="宋体" w:hAnsi="宋体" w:cs="宋体" w:eastAsia="宋体" w:hint="default"/>
                            <w:sz w:val="18"/>
                            <w:szCs w:val="18"/>
                          </w:rPr>
                        </w:pPr>
                        <w:r>
                          <w:rPr>
                            <w:rFonts w:ascii="宋体" w:hAnsi="宋体" w:cs="宋体" w:eastAsia="宋体" w:hint="default"/>
                            <w:sz w:val="18"/>
                            <w:szCs w:val="18"/>
                          </w:rPr>
                          <w:t>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36"/>
                          <w:jc w:val="left"/>
                          <w:rPr>
                            <w:rFonts w:ascii="宋体" w:hAnsi="宋体" w:cs="宋体" w:eastAsia="宋体" w:hint="default"/>
                            <w:sz w:val="18"/>
                            <w:szCs w:val="18"/>
                          </w:rPr>
                        </w:pPr>
                        <w:r>
                          <w:rPr>
                            <w:rFonts w:ascii="宋体" w:hAnsi="宋体" w:cs="宋体" w:eastAsia="宋体" w:hint="default"/>
                            <w:sz w:val="18"/>
                            <w:szCs w:val="18"/>
                          </w:rPr>
                          <w:t>的评估价 </w:t>
                        </w:r>
                        <w:r>
                          <w:rPr>
                            <w:rFonts w:ascii="宋体" w:hAnsi="宋体" w:cs="宋体" w:eastAsia="宋体" w:hint="default"/>
                            <w:spacing w:val="-19"/>
                            <w:sz w:val="18"/>
                            <w:szCs w:val="18"/>
                          </w:rPr>
                          <w:t>值（万元</w:t>
                        </w:r>
                      </w:p>
                    </w:tc>
                    <w:tc>
                      <w:tcPr>
                        <w:tcW w:w="90" w:type="dxa"/>
                        <w:tcBorders>
                          <w:top w:val="single" w:sz="6" w:space="0" w:color="000000"/>
                          <w:left w:val="single" w:sz="6" w:space="0" w:color="000000"/>
                          <w:bottom w:val="single" w:sz="6" w:space="0" w:color="000000"/>
                          <w:right w:val="nil" w:sz="6" w:space="0" w:color="auto"/>
                        </w:tcBorders>
                        <w:shd w:val="clear" w:color="auto" w:fill="D2D2D2"/>
                      </w:tcPr>
                      <w:p>
                        <w:pPr/>
                      </w:p>
                    </w:tc>
                    <w:tc>
                      <w:tcPr>
                        <w:tcW w:w="496"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价格</w:t>
                        </w:r>
                      </w:p>
                      <w:p>
                        <w:pPr>
                          <w:pStyle w:val="TableParagraph"/>
                          <w:spacing w:line="321" w:lineRule="auto" w:before="64"/>
                          <w:ind w:left="23" w:right="103"/>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60" w:right="0"/>
                          <w:jc w:val="left"/>
                          <w:rPr>
                            <w:rFonts w:ascii="宋体" w:hAnsi="宋体" w:cs="宋体" w:eastAsia="宋体" w:hint="default"/>
                            <w:sz w:val="18"/>
                            <w:szCs w:val="18"/>
                          </w:rPr>
                        </w:pPr>
                        <w:r>
                          <w:rPr>
                            <w:rFonts w:ascii="宋体" w:hAnsi="宋体" w:cs="宋体" w:eastAsia="宋体" w:hint="default"/>
                            <w:sz w:val="18"/>
                            <w:szCs w:val="18"/>
                          </w:rPr>
                          <w:t>结算方式</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258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15" w:right="105"/>
                          <w:jc w:val="both"/>
                          <w:rPr>
                            <w:rFonts w:ascii="宋体" w:hAnsi="宋体" w:cs="宋体" w:eastAsia="宋体" w:hint="default"/>
                            <w:sz w:val="18"/>
                            <w:szCs w:val="18"/>
                          </w:rPr>
                        </w:pPr>
                        <w:r>
                          <w:rPr>
                            <w:rFonts w:ascii="宋体" w:hAnsi="宋体" w:cs="宋体" w:eastAsia="宋体" w:hint="default"/>
                            <w:sz w:val="18"/>
                            <w:szCs w:val="18"/>
                          </w:rPr>
                          <w:t>美盛控股 集团有限 公司</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7" w:lineRule="auto"/>
                          <w:ind w:left="14" w:right="179"/>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7" w:lineRule="auto"/>
                          <w:ind w:left="15" w:right="150"/>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44"/>
                          <w:jc w:val="left"/>
                          <w:rPr>
                            <w:rFonts w:ascii="宋体" w:hAnsi="宋体" w:cs="宋体" w:eastAsia="宋体" w:hint="default"/>
                            <w:sz w:val="18"/>
                            <w:szCs w:val="18"/>
                          </w:rPr>
                        </w:pPr>
                        <w:r>
                          <w:rPr>
                            <w:rFonts w:ascii="宋体" w:hAnsi="宋体" w:cs="宋体" w:eastAsia="宋体" w:hint="default"/>
                            <w:sz w:val="18"/>
                            <w:szCs w:val="18"/>
                          </w:rPr>
                          <w:t>收购深 圳市同 道大叔 文化传 播有限 公司 </w:t>
                        </w:r>
                        <w:r>
                          <w:rPr>
                            <w:rFonts w:ascii="Times New Roman" w:hAnsi="Times New Roman" w:cs="Times New Roman" w:eastAsia="Times New Roman" w:hint="default"/>
                            <w:sz w:val="18"/>
                            <w:szCs w:val="18"/>
                          </w:rPr>
                          <w:t>72.5%</w:t>
                        </w:r>
                        <w:r>
                          <w:rPr>
                            <w:rFonts w:ascii="宋体" w:hAnsi="宋体" w:cs="宋体" w:eastAsia="宋体" w:hint="default"/>
                            <w:sz w:val="18"/>
                            <w:szCs w:val="18"/>
                          </w:rPr>
                          <w:t>股</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7" w:lineRule="auto"/>
                          <w:ind w:left="14" w:right="163"/>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4,882</w:t>
                        </w:r>
                      </w:p>
                    </w:tc>
                    <w:tc>
                      <w:tcPr>
                        <w:tcW w:w="781" w:type="dxa"/>
                        <w:tcBorders>
                          <w:top w:val="single" w:sz="6" w:space="0" w:color="000000"/>
                          <w:left w:val="single" w:sz="6" w:space="0" w:color="000000"/>
                          <w:bottom w:val="single" w:sz="6" w:space="0" w:color="000000"/>
                          <w:right w:val="single" w:sz="6" w:space="0" w:color="000000"/>
                        </w:tcBorders>
                      </w:tcPr>
                      <w:p>
                        <w:pPr/>
                      </w:p>
                    </w:tc>
                    <w:tc>
                      <w:tcPr>
                        <w:tcW w:w="5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21,750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3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22"/>
                          <w:ind w:left="30" w:right="0"/>
                          <w:jc w:val="left"/>
                          <w:rPr>
                            <w:rFonts w:ascii="Times New Roman" w:hAnsi="Times New Roman" w:cs="Times New Roman" w:eastAsia="Times New Roman" w:hint="default"/>
                            <w:sz w:val="18"/>
                            <w:szCs w:val="18"/>
                          </w:rPr>
                        </w:pPr>
                        <w:r>
                          <w:rPr>
                            <w:rFonts w:ascii="Times New Roman"/>
                            <w:sz w:val="18"/>
                          </w:rPr>
                          <w:t>2019-028</w:t>
                        </w:r>
                      </w:p>
                    </w:tc>
                  </w:tr>
                  <w:tr>
                    <w:trPr>
                      <w:trHeight w:val="1847" w:hRule="exact"/>
                    </w:trPr>
                    <w:tc>
                      <w:tcPr>
                        <w:tcW w:w="306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44"/>
                          <w:ind w:left="15" w:right="15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8" w:type="dxa"/>
                        <w:gridSpan w:val="9"/>
                        <w:tcBorders>
                          <w:top w:val="single" w:sz="6" w:space="0" w:color="000000"/>
                          <w:left w:val="single" w:sz="6" w:space="0" w:color="000000"/>
                          <w:bottom w:val="single" w:sz="6" w:space="0" w:color="000000"/>
                          <w:right w:val="single" w:sz="6" w:space="0" w:color="000000"/>
                        </w:tcBorders>
                      </w:tcPr>
                      <w:p>
                        <w:pPr>
                          <w:pStyle w:val="TableParagraph"/>
                          <w:spacing w:line="343" w:lineRule="auto" w:before="44"/>
                          <w:ind w:left="14" w:right="44"/>
                          <w:jc w:val="left"/>
                          <w:rPr>
                            <w:rFonts w:ascii="宋体" w:hAnsi="宋体" w:cs="宋体" w:eastAsia="宋体" w:hint="default"/>
                            <w:sz w:val="18"/>
                            <w:szCs w:val="18"/>
                          </w:rPr>
                        </w:pPr>
                        <w:r>
                          <w:rPr>
                            <w:rFonts w:ascii="宋体" w:hAnsi="宋体" w:cs="宋体" w:eastAsia="宋体" w:hint="default"/>
                            <w:sz w:val="18"/>
                            <w:szCs w:val="18"/>
                          </w:rPr>
                          <w:t>本次交易的定价依据为在双方好友协商的基础上，按出让方原投入金额为基 准，双方进行协商确认。</w:t>
                        </w:r>
                        <w:r>
                          <w:rPr>
                            <w:rFonts w:ascii="宋体" w:hAnsi="宋体" w:cs="宋体" w:eastAsia="宋体" w:hint="default"/>
                            <w:spacing w:val="2"/>
                            <w:sz w:val="18"/>
                            <w:szCs w:val="18"/>
                          </w:rPr>
                          <w:t> </w:t>
                        </w:r>
                        <w:r>
                          <w:rPr>
                            <w:rFonts w:ascii="宋体" w:hAnsi="宋体" w:cs="宋体" w:eastAsia="宋体" w:hint="default"/>
                            <w:sz w:val="18"/>
                            <w:szCs w:val="18"/>
                          </w:rPr>
                          <w:t>美盛控股于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万元向原出让方购买 同道大叔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72.5%</w:t>
                        </w:r>
                        <w:r>
                          <w:rPr>
                            <w:rFonts w:ascii="宋体" w:hAnsi="宋体" w:cs="宋体" w:eastAsia="宋体" w:hint="default"/>
                            <w:sz w:val="18"/>
                            <w:szCs w:val="18"/>
                          </w:rPr>
                          <w:t>股权，结合目前同道大叔经营情况和市场影响力，美盛控股以原 价转让给美盛文化。</w:t>
                        </w:r>
                      </w:p>
                    </w:tc>
                  </w:tr>
                  <w:tr>
                    <w:trPr>
                      <w:trHeight w:val="1651" w:hRule="exact"/>
                    </w:trPr>
                    <w:tc>
                      <w:tcPr>
                        <w:tcW w:w="306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15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8"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本次交易有利于深入挖掘互联网文化产业领域潜在投资机会；有利于公司加强对同</w:t>
                        </w:r>
                      </w:p>
                      <w:p>
                        <w:pPr>
                          <w:pStyle w:val="TableParagraph"/>
                          <w:spacing w:line="276" w:lineRule="auto" w:before="94"/>
                          <w:ind w:left="14" w:right="35"/>
                          <w:jc w:val="left"/>
                          <w:rPr>
                            <w:rFonts w:ascii="宋体" w:hAnsi="宋体" w:cs="宋体" w:eastAsia="宋体" w:hint="default"/>
                            <w:sz w:val="18"/>
                            <w:szCs w:val="18"/>
                          </w:rPr>
                        </w:pPr>
                        <w:r>
                          <w:rPr>
                            <w:rFonts w:ascii="宋体" w:hAnsi="宋体" w:cs="宋体" w:eastAsia="宋体" w:hint="default"/>
                            <w:sz w:val="18"/>
                            <w:szCs w:val="18"/>
                          </w:rPr>
                          <w:t>道文化经营管理的控制，进一步推动其品牌营销和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产业链的发展，促进同道文 </w:t>
                        </w:r>
                        <w:r>
                          <w:rPr>
                            <w:rFonts w:ascii="宋体" w:hAnsi="宋体" w:cs="宋体" w:eastAsia="宋体" w:hint="default"/>
                            <w:spacing w:val="-1"/>
                            <w:sz w:val="18"/>
                            <w:szCs w:val="18"/>
                          </w:rPr>
                          <w:t>化内容端和变现端的加强。有利于公司更好地布局互联网文化产业领域，加快实现</w:t>
                        </w:r>
                      </w:p>
                      <w:p>
                        <w:pPr>
                          <w:pStyle w:val="TableParagraph"/>
                          <w:spacing w:line="240" w:lineRule="auto" w:before="67"/>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公司文化产业生态化运作。有利于进一步完善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文化生态圈建设，提高公司的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IP</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变现能力。</w:t>
                        </w:r>
                      </w:p>
                    </w:tc>
                  </w:tr>
                  <w:tr>
                    <w:trPr>
                      <w:trHeight w:val="721" w:hRule="exact"/>
                    </w:trPr>
                    <w:tc>
                      <w:tcPr>
                        <w:tcW w:w="306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8"/>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的业绩实现情况</w:t>
                        </w:r>
                      </w:p>
                    </w:tc>
                    <w:tc>
                      <w:tcPr>
                        <w:tcW w:w="6518"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35"/>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公司报告期无其他重大关联交易。</w:t>
      </w:r>
    </w:p>
    <w:p>
      <w:pPr>
        <w:spacing w:after="0" w:line="316"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16"/>
        <w:gridCol w:w="920"/>
        <w:gridCol w:w="924"/>
        <w:gridCol w:w="1310"/>
        <w:gridCol w:w="1055"/>
        <w:gridCol w:w="1044"/>
        <w:gridCol w:w="1052"/>
        <w:gridCol w:w="785"/>
        <w:gridCol w:w="777"/>
      </w:tblGrid>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8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16" w:right="8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6"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36"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100,000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14,494.11</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263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8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100,000</w:t>
            </w:r>
          </w:p>
        </w:tc>
        <w:tc>
          <w:tcPr>
            <w:tcW w:w="20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1" w:right="8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14,494.11</w:t>
            </w:r>
          </w:p>
        </w:tc>
      </w:tr>
      <w:tr>
        <w:trPr>
          <w:trHeight w:val="728" w:hRule="exact"/>
        </w:trPr>
        <w:tc>
          <w:tcPr>
            <w:tcW w:w="263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15" w:right="8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4"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100,000</w:t>
            </w:r>
          </w:p>
        </w:tc>
        <w:tc>
          <w:tcPr>
            <w:tcW w:w="20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5"/>
              <w:ind w:left="11" w:right="9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14,494.11</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8" w:hRule="exact"/>
        </w:trPr>
        <w:tc>
          <w:tcPr>
            <w:tcW w:w="17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8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310" w:type="dxa"/>
            <w:vMerge w:val="restart"/>
            <w:tcBorders>
              <w:top w:val="single" w:sz="6" w:space="0" w:color="000000"/>
              <w:left w:val="single" w:sz="6" w:space="0" w:color="000000"/>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1052" w:type="dxa"/>
            <w:vMerge w:val="restart"/>
            <w:tcBorders>
              <w:top w:val="single" w:sz="6" w:space="0" w:color="000000"/>
              <w:left w:val="single" w:sz="6" w:space="0" w:color="000000"/>
              <w:right w:val="single" w:sz="6" w:space="0" w:color="000000"/>
            </w:tcBorders>
            <w:shd w:val="clear" w:color="auto" w:fill="D2D2D2"/>
          </w:tcPr>
          <w:p>
            <w:pPr/>
          </w:p>
        </w:tc>
        <w:tc>
          <w:tcPr>
            <w:tcW w:w="785" w:type="dxa"/>
            <w:tcBorders>
              <w:top w:val="single" w:sz="6" w:space="0" w:color="000000"/>
              <w:left w:val="single" w:sz="6" w:space="0" w:color="000000"/>
              <w:bottom w:val="nil" w:sz="6" w:space="0" w:color="auto"/>
              <w:right w:val="single" w:sz="6" w:space="0" w:color="000000"/>
            </w:tcBorders>
            <w:shd w:val="clear" w:color="auto" w:fill="D2D2D2"/>
          </w:tcPr>
          <w:p>
            <w:pPr/>
          </w:p>
        </w:tc>
        <w:tc>
          <w:tcPr>
            <w:tcW w:w="77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6" w:type="dxa"/>
            <w:vMerge/>
            <w:tcBorders>
              <w:left w:val="single" w:sz="6" w:space="0" w:color="000000"/>
              <w:right w:val="single" w:sz="6" w:space="0" w:color="000000"/>
            </w:tcBorders>
            <w:shd w:val="clear" w:color="auto" w:fill="D2D2D2"/>
          </w:tcPr>
          <w:p>
            <w:pPr/>
          </w:p>
        </w:tc>
        <w:tc>
          <w:tcPr>
            <w:tcW w:w="920" w:type="dxa"/>
            <w:vMerge/>
            <w:tcBorders>
              <w:left w:val="single" w:sz="6" w:space="0" w:color="000000"/>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310" w:type="dxa"/>
            <w:vMerge/>
            <w:tcBorders>
              <w:left w:val="single" w:sz="6" w:space="0" w:color="000000"/>
              <w:bottom w:val="nil" w:sz="6" w:space="0" w:color="auto"/>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5"/>
              <w:ind w:left="416" w:right="8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6" w:space="0" w:color="000000"/>
              <w:bottom w:val="nil" w:sz="6" w:space="0" w:color="auto"/>
              <w:right w:val="single" w:sz="6" w:space="0" w:color="000000"/>
            </w:tcBorders>
            <w:shd w:val="clear" w:color="auto" w:fill="D2D2D2"/>
          </w:tcPr>
          <w:p>
            <w:pPr/>
          </w:p>
        </w:tc>
        <w:tc>
          <w:tcPr>
            <w:tcW w:w="1052" w:type="dxa"/>
            <w:vMerge/>
            <w:tcBorders>
              <w:left w:val="single" w:sz="6" w:space="0" w:color="000000"/>
              <w:bottom w:val="nil" w:sz="6" w:space="0" w:color="auto"/>
              <w:right w:val="single" w:sz="6" w:space="0" w:color="000000"/>
            </w:tcBorders>
            <w:shd w:val="clear" w:color="auto" w:fill="D2D2D2"/>
          </w:tcPr>
          <w:p>
            <w:pPr/>
          </w:p>
        </w:tc>
        <w:tc>
          <w:tcPr>
            <w:tcW w:w="7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5"/>
              <w:ind w:left="195"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5"/>
              <w:ind w:left="26"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6" w:type="dxa"/>
            <w:vMerge/>
            <w:tcBorders>
              <w:left w:val="single" w:sz="6" w:space="0" w:color="000000"/>
              <w:right w:val="single" w:sz="6" w:space="0" w:color="000000"/>
            </w:tcBorders>
            <w:shd w:val="clear" w:color="auto" w:fill="D2D2D2"/>
          </w:tcPr>
          <w:p>
            <w:pPr/>
          </w:p>
        </w:tc>
        <w:tc>
          <w:tcPr>
            <w:tcW w:w="920" w:type="dxa"/>
            <w:vMerge/>
            <w:tcBorders>
              <w:left w:val="single" w:sz="6" w:space="0" w:color="000000"/>
              <w:right w:val="single" w:sz="6" w:space="0" w:color="000000"/>
            </w:tcBorders>
            <w:shd w:val="clear" w:color="auto" w:fill="D2D2D2"/>
          </w:tcPr>
          <w:p>
            <w:pPr/>
          </w:p>
        </w:tc>
        <w:tc>
          <w:tcPr>
            <w:tcW w:w="92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vMerge/>
            <w:tcBorders>
              <w:left w:val="single" w:sz="6" w:space="0" w:color="000000"/>
              <w:right w:val="single" w:sz="6" w:space="0" w:color="000000"/>
            </w:tcBorders>
            <w:shd w:val="clear" w:color="auto" w:fill="D2D2D2"/>
          </w:tcPr>
          <w:p>
            <w:pP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6" w:space="0" w:color="000000"/>
              <w:right w:val="single" w:sz="6" w:space="0" w:color="000000"/>
            </w:tcBorders>
            <w:shd w:val="clear" w:color="auto" w:fill="D2D2D2"/>
          </w:tcPr>
          <w:p>
            <w:pPr/>
          </w:p>
        </w:tc>
        <w:tc>
          <w:tcPr>
            <w:tcW w:w="777" w:type="dxa"/>
            <w:vMerge/>
            <w:tcBorders>
              <w:left w:val="single" w:sz="6" w:space="0" w:color="000000"/>
              <w:right w:val="single" w:sz="6" w:space="0" w:color="000000"/>
            </w:tcBorders>
            <w:shd w:val="clear" w:color="auto" w:fill="D2D2D2"/>
          </w:tcPr>
          <w:p>
            <w:pPr/>
          </w:p>
        </w:tc>
      </w:tr>
      <w:tr>
        <w:trPr>
          <w:trHeight w:val="165" w:hRule="exact"/>
        </w:trPr>
        <w:tc>
          <w:tcPr>
            <w:tcW w:w="1716" w:type="dxa"/>
            <w:vMerge/>
            <w:tcBorders>
              <w:left w:val="single" w:sz="6" w:space="0" w:color="000000"/>
              <w:right w:val="single" w:sz="6" w:space="0" w:color="000000"/>
            </w:tcBorders>
            <w:shd w:val="clear" w:color="auto" w:fill="D2D2D2"/>
          </w:tcPr>
          <w:p>
            <w:pPr/>
          </w:p>
        </w:tc>
        <w:tc>
          <w:tcPr>
            <w:tcW w:w="920" w:type="dxa"/>
            <w:vMerge/>
            <w:tcBorders>
              <w:left w:val="single" w:sz="6" w:space="0" w:color="000000"/>
              <w:right w:val="single" w:sz="6" w:space="0" w:color="000000"/>
            </w:tcBorders>
            <w:shd w:val="clear" w:color="auto" w:fill="D2D2D2"/>
          </w:tcPr>
          <w:p>
            <w:pPr/>
          </w:p>
        </w:tc>
        <w:tc>
          <w:tcPr>
            <w:tcW w:w="924" w:type="dxa"/>
            <w:vMerge w:val="restart"/>
            <w:tcBorders>
              <w:top w:val="nil" w:sz="6" w:space="0" w:color="auto"/>
              <w:left w:val="single" w:sz="6" w:space="0" w:color="000000"/>
              <w:right w:val="single" w:sz="6" w:space="0" w:color="000000"/>
            </w:tcBorders>
            <w:shd w:val="clear" w:color="auto" w:fill="D2D2D2"/>
          </w:tcPr>
          <w:p>
            <w:pPr/>
          </w:p>
        </w:tc>
        <w:tc>
          <w:tcPr>
            <w:tcW w:w="1310" w:type="dxa"/>
            <w:vMerge w:val="restart"/>
            <w:tcBorders>
              <w:top w:val="nil" w:sz="6" w:space="0" w:color="auto"/>
              <w:left w:val="single" w:sz="6" w:space="0" w:color="000000"/>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1052" w:type="dxa"/>
            <w:vMerge w:val="restart"/>
            <w:tcBorders>
              <w:top w:val="nil" w:sz="6" w:space="0" w:color="auto"/>
              <w:left w:val="single" w:sz="6" w:space="0" w:color="000000"/>
              <w:right w:val="single" w:sz="6" w:space="0" w:color="000000"/>
            </w:tcBorders>
            <w:shd w:val="clear" w:color="auto" w:fill="D2D2D2"/>
          </w:tcPr>
          <w:p>
            <w:pPr/>
          </w:p>
        </w:tc>
        <w:tc>
          <w:tcPr>
            <w:tcW w:w="785" w:type="dxa"/>
            <w:vMerge/>
            <w:tcBorders>
              <w:left w:val="single" w:sz="6" w:space="0" w:color="000000"/>
              <w:bottom w:val="nil" w:sz="6" w:space="0" w:color="auto"/>
              <w:right w:val="single" w:sz="6" w:space="0" w:color="000000"/>
            </w:tcBorders>
            <w:shd w:val="clear" w:color="auto" w:fill="D2D2D2"/>
          </w:tcPr>
          <w:p>
            <w:pPr/>
          </w:p>
        </w:tc>
        <w:tc>
          <w:tcPr>
            <w:tcW w:w="777"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1716" w:type="dxa"/>
            <w:vMerge/>
            <w:tcBorders>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310" w:type="dxa"/>
            <w:vMerge/>
            <w:tcBorders>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1052" w:type="dxa"/>
            <w:vMerge/>
            <w:tcBorders>
              <w:left w:val="single" w:sz="6" w:space="0" w:color="000000"/>
              <w:bottom w:val="single" w:sz="6" w:space="0" w:color="000000"/>
              <w:right w:val="single" w:sz="6" w:space="0" w:color="000000"/>
            </w:tcBorders>
            <w:shd w:val="clear" w:color="auto" w:fill="D2D2D2"/>
          </w:tcPr>
          <w:p>
            <w:pPr/>
          </w:p>
        </w:tc>
        <w:tc>
          <w:tcPr>
            <w:tcW w:w="785" w:type="dxa"/>
            <w:tcBorders>
              <w:top w:val="nil" w:sz="6" w:space="0" w:color="auto"/>
              <w:left w:val="single" w:sz="6" w:space="0" w:color="000000"/>
              <w:bottom w:val="single" w:sz="6" w:space="0" w:color="000000"/>
              <w:right w:val="single" w:sz="6" w:space="0" w:color="000000"/>
            </w:tcBorders>
            <w:shd w:val="clear" w:color="auto" w:fill="D2D2D2"/>
          </w:tcPr>
          <w:p>
            <w:pPr/>
          </w:p>
        </w:tc>
        <w:tc>
          <w:tcPr>
            <w:tcW w:w="777"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712"/>
        <w:gridCol w:w="901"/>
        <w:gridCol w:w="924"/>
        <w:gridCol w:w="1329"/>
        <w:gridCol w:w="1021"/>
        <w:gridCol w:w="1066"/>
        <w:gridCol w:w="1059"/>
        <w:gridCol w:w="774"/>
        <w:gridCol w:w="788"/>
      </w:tblGrid>
      <w:tr>
        <w:trPr>
          <w:trHeight w:val="158" w:hRule="exact"/>
        </w:trPr>
        <w:tc>
          <w:tcPr>
            <w:tcW w:w="17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67"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329" w:type="dxa"/>
            <w:vMerge w:val="restart"/>
            <w:tcBorders>
              <w:top w:val="single" w:sz="6" w:space="0" w:color="000000"/>
              <w:left w:val="single" w:sz="6" w:space="0" w:color="000000"/>
              <w:right w:val="single" w:sz="6" w:space="0" w:color="000000"/>
            </w:tcBorders>
            <w:shd w:val="clear" w:color="auto" w:fill="D2D2D2"/>
          </w:tcPr>
          <w:p>
            <w:pPr/>
          </w:p>
        </w:tc>
        <w:tc>
          <w:tcPr>
            <w:tcW w:w="102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
        </w:tc>
        <w:tc>
          <w:tcPr>
            <w:tcW w:w="1059" w:type="dxa"/>
            <w:vMerge w:val="restart"/>
            <w:tcBorders>
              <w:top w:val="single" w:sz="6" w:space="0" w:color="000000"/>
              <w:left w:val="single" w:sz="6" w:space="0" w:color="000000"/>
              <w:right w:val="single" w:sz="6" w:space="0" w:color="000000"/>
            </w:tcBorders>
            <w:shd w:val="clear" w:color="auto" w:fill="D2D2D2"/>
          </w:tcPr>
          <w:p>
            <w:pPr/>
          </w:p>
        </w:tc>
        <w:tc>
          <w:tcPr>
            <w:tcW w:w="774" w:type="dxa"/>
            <w:tcBorders>
              <w:top w:val="single" w:sz="6" w:space="0" w:color="000000"/>
              <w:left w:val="single" w:sz="6" w:space="0" w:color="000000"/>
              <w:bottom w:val="nil" w:sz="6" w:space="0" w:color="auto"/>
              <w:right w:val="single" w:sz="6" w:space="0" w:color="000000"/>
            </w:tcBorders>
            <w:shd w:val="clear" w:color="auto" w:fill="D2D2D2"/>
          </w:tcPr>
          <w:p>
            <w:pPr/>
          </w:p>
        </w:tc>
        <w:tc>
          <w:tcPr>
            <w:tcW w:w="788"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329" w:type="dxa"/>
            <w:vMerge/>
            <w:tcBorders>
              <w:left w:val="single" w:sz="6" w:space="0" w:color="000000"/>
              <w:bottom w:val="nil" w:sz="6" w:space="0" w:color="auto"/>
              <w:right w:val="single" w:sz="6" w:space="0" w:color="000000"/>
            </w:tcBorders>
            <w:shd w:val="clear" w:color="auto" w:fill="D2D2D2"/>
          </w:tcPr>
          <w:p>
            <w:pPr/>
          </w:p>
        </w:tc>
        <w:tc>
          <w:tcPr>
            <w:tcW w:w="102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412" w:right="51"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6" w:type="dxa"/>
            <w:vMerge/>
            <w:tcBorders>
              <w:left w:val="single" w:sz="6" w:space="0" w:color="000000"/>
              <w:bottom w:val="nil" w:sz="6" w:space="0" w:color="auto"/>
              <w:right w:val="single" w:sz="6" w:space="0" w:color="000000"/>
            </w:tcBorders>
            <w:shd w:val="clear" w:color="auto" w:fill="D2D2D2"/>
          </w:tcPr>
          <w:p>
            <w:pPr/>
          </w:p>
        </w:tc>
        <w:tc>
          <w:tcPr>
            <w:tcW w:w="1059" w:type="dxa"/>
            <w:vMerge/>
            <w:tcBorders>
              <w:left w:val="single" w:sz="6" w:space="0" w:color="000000"/>
              <w:bottom w:val="nil" w:sz="6" w:space="0" w:color="auto"/>
              <w:right w:val="single" w:sz="6" w:space="0" w:color="000000"/>
            </w:tcBorders>
            <w:shd w:val="clear" w:color="auto" w:fill="D2D2D2"/>
          </w:tcPr>
          <w:p>
            <w:pPr/>
          </w:p>
        </w:tc>
        <w:tc>
          <w:tcPr>
            <w:tcW w:w="774"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95" w:right="2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2"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1712"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9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1" w:type="dxa"/>
            <w:vMerge/>
            <w:tcBorders>
              <w:left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7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6" w:space="0" w:color="000000"/>
              <w:right w:val="single" w:sz="6" w:space="0" w:color="000000"/>
            </w:tcBorders>
            <w:shd w:val="clear" w:color="auto" w:fill="D2D2D2"/>
          </w:tcPr>
          <w:p>
            <w:pPr/>
          </w:p>
        </w:tc>
        <w:tc>
          <w:tcPr>
            <w:tcW w:w="788" w:type="dxa"/>
            <w:vMerge/>
            <w:tcBorders>
              <w:left w:val="single" w:sz="6" w:space="0" w:color="000000"/>
              <w:right w:val="single" w:sz="6" w:space="0" w:color="000000"/>
            </w:tcBorders>
            <w:shd w:val="clear" w:color="auto" w:fill="D2D2D2"/>
          </w:tcPr>
          <w:p>
            <w:pPr/>
          </w:p>
        </w:tc>
      </w:tr>
      <w:tr>
        <w:trPr>
          <w:trHeight w:val="150" w:hRule="exact"/>
        </w:trPr>
        <w:tc>
          <w:tcPr>
            <w:tcW w:w="1712" w:type="dxa"/>
            <w:vMerge/>
            <w:tcBorders>
              <w:left w:val="single" w:sz="6" w:space="0" w:color="000000"/>
              <w:right w:val="single" w:sz="6" w:space="0" w:color="000000"/>
            </w:tcBorders>
            <w:shd w:val="clear" w:color="auto" w:fill="D2D2D2"/>
          </w:tcPr>
          <w:p>
            <w:pPr/>
          </w:p>
        </w:tc>
        <w:tc>
          <w:tcPr>
            <w:tcW w:w="901" w:type="dxa"/>
            <w:vMerge/>
            <w:tcBorders>
              <w:left w:val="single" w:sz="6" w:space="0" w:color="000000"/>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329" w:type="dxa"/>
            <w:vMerge w:val="restart"/>
            <w:tcBorders>
              <w:top w:val="nil" w:sz="6" w:space="0" w:color="auto"/>
              <w:left w:val="single" w:sz="6" w:space="0" w:color="000000"/>
              <w:right w:val="single" w:sz="6" w:space="0" w:color="000000"/>
            </w:tcBorders>
            <w:shd w:val="clear" w:color="auto" w:fill="D2D2D2"/>
          </w:tcPr>
          <w:p>
            <w:pPr/>
          </w:p>
        </w:tc>
        <w:tc>
          <w:tcPr>
            <w:tcW w:w="1021" w:type="dxa"/>
            <w:vMerge/>
            <w:tcBorders>
              <w:left w:val="single" w:sz="6" w:space="0" w:color="000000"/>
              <w:bottom w:val="nil" w:sz="6" w:space="0" w:color="auto"/>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59" w:type="dxa"/>
            <w:vMerge w:val="restart"/>
            <w:tcBorders>
              <w:top w:val="nil" w:sz="6" w:space="0" w:color="auto"/>
              <w:left w:val="single" w:sz="6" w:space="0" w:color="000000"/>
              <w:right w:val="single" w:sz="6" w:space="0" w:color="000000"/>
            </w:tcBorders>
            <w:shd w:val="clear" w:color="auto" w:fill="D2D2D2"/>
          </w:tcPr>
          <w:p>
            <w:pPr/>
          </w:p>
        </w:tc>
        <w:tc>
          <w:tcPr>
            <w:tcW w:w="774" w:type="dxa"/>
            <w:vMerge/>
            <w:tcBorders>
              <w:left w:val="single" w:sz="6" w:space="0" w:color="000000"/>
              <w:bottom w:val="nil" w:sz="6" w:space="0" w:color="auto"/>
              <w:right w:val="single" w:sz="6" w:space="0" w:color="000000"/>
            </w:tcBorders>
            <w:shd w:val="clear" w:color="auto" w:fill="D2D2D2"/>
          </w:tcPr>
          <w:p>
            <w:pPr/>
          </w:p>
        </w:tc>
        <w:tc>
          <w:tcPr>
            <w:tcW w:w="788" w:type="dxa"/>
            <w:vMerge/>
            <w:tcBorders>
              <w:left w:val="single" w:sz="6" w:space="0" w:color="000000"/>
              <w:right w:val="single" w:sz="6" w:space="0" w:color="000000"/>
            </w:tcBorders>
            <w:shd w:val="clear" w:color="auto" w:fill="D2D2D2"/>
          </w:tcPr>
          <w:p>
            <w:pPr/>
          </w:p>
        </w:tc>
      </w:tr>
      <w:tr>
        <w:trPr>
          <w:trHeight w:val="157" w:hRule="exact"/>
        </w:trPr>
        <w:tc>
          <w:tcPr>
            <w:tcW w:w="1712"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329" w:type="dxa"/>
            <w:vMerge/>
            <w:tcBorders>
              <w:left w:val="single" w:sz="6" w:space="0" w:color="000000"/>
              <w:bottom w:val="single" w:sz="6" w:space="0" w:color="000000"/>
              <w:right w:val="single" w:sz="6" w:space="0" w:color="000000"/>
            </w:tcBorders>
            <w:shd w:val="clear" w:color="auto" w:fill="D2D2D2"/>
          </w:tcPr>
          <w:p>
            <w:pPr/>
          </w:p>
        </w:tc>
        <w:tc>
          <w:tcPr>
            <w:tcW w:w="102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59" w:type="dxa"/>
            <w:vMerge/>
            <w:tcBorders>
              <w:left w:val="single" w:sz="6" w:space="0" w:color="000000"/>
              <w:bottom w:val="single" w:sz="6" w:space="0" w:color="000000"/>
              <w:right w:val="single" w:sz="6" w:space="0" w:color="000000"/>
            </w:tcBorders>
            <w:shd w:val="clear" w:color="auto" w:fill="D2D2D2"/>
          </w:tcPr>
          <w:p>
            <w:pPr/>
          </w:p>
        </w:tc>
        <w:tc>
          <w:tcPr>
            <w:tcW w:w="774" w:type="dxa"/>
            <w:tcBorders>
              <w:top w:val="nil" w:sz="6" w:space="0" w:color="auto"/>
              <w:left w:val="single" w:sz="6" w:space="0" w:color="000000"/>
              <w:bottom w:val="single" w:sz="6" w:space="0" w:color="000000"/>
              <w:right w:val="single" w:sz="6" w:space="0" w:color="000000"/>
            </w:tcBorders>
            <w:shd w:val="clear" w:color="auto" w:fill="D2D2D2"/>
          </w:tcPr>
          <w:p>
            <w:pPr/>
          </w:p>
        </w:tc>
        <w:tc>
          <w:tcPr>
            <w:tcW w:w="788"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1" w:hRule="exact"/>
        </w:trPr>
        <w:tc>
          <w:tcPr>
            <w:tcW w:w="26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5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w:t>
            </w:r>
          </w:p>
        </w:tc>
        <w:tc>
          <w:tcPr>
            <w:tcW w:w="208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14,494.11</w:t>
            </w:r>
          </w:p>
        </w:tc>
      </w:tr>
      <w:tr>
        <w:trPr>
          <w:trHeight w:val="706" w:hRule="exact"/>
        </w:trPr>
        <w:tc>
          <w:tcPr>
            <w:tcW w:w="261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9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5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100,000</w:t>
            </w:r>
          </w:p>
        </w:tc>
        <w:tc>
          <w:tcPr>
            <w:tcW w:w="208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14,494.11</w:t>
            </w:r>
          </w:p>
        </w:tc>
      </w:tr>
      <w:tr>
        <w:trPr>
          <w:trHeight w:val="413" w:hRule="exact"/>
        </w:trPr>
        <w:tc>
          <w:tcPr>
            <w:tcW w:w="486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08" w:type="dxa"/>
            <w:gridSpan w:val="5"/>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4.61%</w:t>
            </w:r>
            <w:r>
              <w:rPr>
                <w:rFonts w:ascii="Times New Roman"/>
                <w:sz w:val="18"/>
              </w:rPr>
            </w:r>
          </w:p>
        </w:tc>
      </w:tr>
      <w:tr>
        <w:trPr>
          <w:trHeight w:val="398"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公司报告期无违规对外担保情况。</w:t>
      </w: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公司报告期不存在委托理财。</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left="501" w:right="1133"/>
        <w:jc w:val="left"/>
      </w:pPr>
      <w:r>
        <w:rPr/>
        <w:t>一、持续完善的公司管理机制 </w:t>
      </w:r>
      <w:r>
        <w:rPr>
          <w:spacing w:val="-2"/>
        </w:rPr>
        <w:t>公司始终坚持规范的管理模式，严格按照《公司法》、《证券法》、《上市公司治理准则》等法律法规及中国证监会关</w:t>
      </w:r>
    </w:p>
    <w:p>
      <w:pPr>
        <w:pStyle w:val="BodyText"/>
        <w:spacing w:line="321" w:lineRule="auto" w:before="18"/>
        <w:ind w:right="0"/>
        <w:jc w:val="left"/>
      </w:pPr>
      <w:r>
        <w:rPr>
          <w:spacing w:val="-2"/>
        </w:rPr>
        <w:t>于公司治理的有关要求，建立健全规章制度体系，有效落实各项规范管理，切实完善公司治理结构，目前已建立《公司股东</w:t>
      </w:r>
      <w:r>
        <w:rPr>
          <w:spacing w:val="-57"/>
        </w:rPr>
        <w:t> </w:t>
      </w:r>
      <w:r>
        <w:rPr>
          <w:spacing w:val="-57"/>
        </w:rPr>
      </w:r>
      <w:r>
        <w:rPr>
          <w:spacing w:val="-2"/>
        </w:rPr>
        <w:t>大会议事规则》《公司董事会议事规则》《公司监事会议事规则》《公司募集资金管理制度》《公司财务制度》《公司投资</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36"/>
        <w:jc w:val="both"/>
      </w:pPr>
      <w:r>
        <w:rPr>
          <w:spacing w:val="-2"/>
        </w:rPr>
        <w:t>者关系管理制度》《公司子公司管理办法》《公司总经理工作细则》等一系列公司制度，形成了科学有效的职责分工和制衡</w:t>
      </w:r>
      <w:r>
        <w:rPr>
          <w:spacing w:val="-74"/>
        </w:rPr>
        <w:t> </w:t>
      </w:r>
      <w:r>
        <w:rPr>
          <w:spacing w:val="-74"/>
        </w:rPr>
      </w:r>
      <w:r>
        <w:rPr>
          <w:spacing w:val="-2"/>
        </w:rPr>
        <w:t>机制。公司明确了股东大会、董事会、监事会和经营层的分级决策、规范运作，针对经营计划、对外投资、股权激励等重要</w:t>
      </w:r>
      <w:r>
        <w:rPr>
          <w:spacing w:val="-73"/>
        </w:rPr>
        <w:t> </w:t>
      </w:r>
      <w:r>
        <w:rPr>
          <w:spacing w:val="-73"/>
        </w:rPr>
      </w:r>
      <w:r>
        <w:rPr/>
        <w:t>方面有完善的运行机制。</w:t>
      </w:r>
    </w:p>
    <w:p>
      <w:pPr>
        <w:pStyle w:val="BodyText"/>
        <w:spacing w:line="321" w:lineRule="auto" w:before="3"/>
        <w:ind w:left="501" w:right="0"/>
        <w:jc w:val="left"/>
      </w:pPr>
      <w:r>
        <w:rPr/>
        <w:t>二、持续加强与投资者关系管理 </w:t>
      </w:r>
      <w:r>
        <w:rPr>
          <w:spacing w:val="-4"/>
        </w:rPr>
        <w:t>公司始终保持与广大投资者顺畅的沟通关系，通过举办定期业绩说明会、接受投资者来现场调研、接听回复投资者来电、</w:t>
      </w:r>
    </w:p>
    <w:p>
      <w:pPr>
        <w:pStyle w:val="BodyText"/>
        <w:spacing w:line="321" w:lineRule="auto" w:before="19"/>
        <w:ind w:left="501" w:right="1750" w:hanging="361"/>
        <w:jc w:val="left"/>
      </w:pPr>
      <w:r>
        <w:rPr/>
        <w:t>来函及电子邮件、提供股东大会网络投票等多种形式，加强与投资者的沟通，不断提高投资者关系管理工作水平。</w:t>
      </w:r>
      <w:r>
        <w:rPr>
          <w:spacing w:val="-84"/>
        </w:rPr>
        <w:t> </w:t>
      </w:r>
      <w:r>
        <w:rPr>
          <w:spacing w:val="-84"/>
        </w:rPr>
      </w:r>
      <w:r>
        <w:rPr/>
        <w:t>三、员工利益保障</w:t>
      </w:r>
    </w:p>
    <w:p>
      <w:pPr>
        <w:pStyle w:val="BodyText"/>
        <w:spacing w:line="273" w:lineRule="auto" w:before="33"/>
        <w:ind w:left="576" w:right="0"/>
        <w:jc w:val="left"/>
      </w:pPr>
      <w:r>
        <w:rPr>
          <w:rFonts w:ascii="Times New Roman" w:hAnsi="Times New Roman" w:cs="Times New Roman" w:eastAsia="Times New Roman" w:hint="default"/>
        </w:rPr>
        <w:t>1</w:t>
      </w:r>
      <w:r>
        <w:rPr/>
        <w:t>、员工合法权益的保障 </w:t>
      </w:r>
      <w:r>
        <w:rPr>
          <w:spacing w:val="-2"/>
        </w:rPr>
        <w:t>与每位符合聘用条件的员工签订劳动合同；为员工办理医疗、养老、失业、工伤、生育等社会保险；实行年休假制度，</w:t>
      </w:r>
    </w:p>
    <w:p>
      <w:pPr>
        <w:pStyle w:val="BodyText"/>
        <w:spacing w:line="321" w:lineRule="auto" w:before="55"/>
        <w:ind w:right="1106"/>
        <w:jc w:val="both"/>
      </w:pPr>
      <w:r>
        <w:rPr>
          <w:spacing w:val="-2"/>
        </w:rPr>
        <w:t>保障员工正常作息时间；按时发薪，按照行业标准及员工个人能力定期调薪；公司按规定建立了职工代表大会，在监事会中</w:t>
      </w:r>
      <w:r>
        <w:rPr>
          <w:spacing w:val="-42"/>
        </w:rPr>
        <w:t> </w:t>
      </w:r>
      <w:r>
        <w:rPr>
          <w:spacing w:val="-42"/>
        </w:rPr>
      </w:r>
      <w:r>
        <w:rPr/>
        <w:t>至少安排一名职工监事，监督企业规范运作，保障员工权益。</w:t>
      </w:r>
    </w:p>
    <w:p>
      <w:pPr>
        <w:pStyle w:val="BodyText"/>
        <w:spacing w:line="290" w:lineRule="auto" w:before="33"/>
        <w:ind w:left="501" w:right="0" w:firstLine="75"/>
        <w:jc w:val="left"/>
      </w:pPr>
      <w:r>
        <w:rPr>
          <w:rFonts w:ascii="Times New Roman" w:hAnsi="Times New Roman" w:cs="Times New Roman" w:eastAsia="Times New Roman" w:hint="default"/>
        </w:rPr>
        <w:t>2</w:t>
      </w:r>
      <w:r>
        <w:rPr/>
        <w:t>、提供优秀的晋升机制和平台 </w:t>
      </w:r>
      <w:r>
        <w:rPr>
          <w:spacing w:val="-2"/>
        </w:rPr>
        <w:t>公司以提升员工综合素质为目标，为员工量身定做人才培养计划，建立员工职业发展规划，通过培训、讲座、组织员工</w:t>
      </w:r>
    </w:p>
    <w:p>
      <w:pPr>
        <w:pStyle w:val="BodyText"/>
        <w:spacing w:line="304" w:lineRule="auto" w:before="41"/>
        <w:ind w:right="1110"/>
        <w:jc w:val="both"/>
      </w:pPr>
      <w:r>
        <w:rPr>
          <w:spacing w:val="-2"/>
        </w:rPr>
        <w:t>活动等多种方式提升员工的专业知识、工作技能和管理能力，开拓员工视野，激发员工工作积极性和创造力。</w:t>
      </w:r>
      <w:r>
        <w:rPr>
          <w:rFonts w:ascii="Times New Roman" w:hAnsi="Times New Roman" w:cs="Times New Roman" w:eastAsia="Times New Roman" w:hint="default"/>
          <w:spacing w:val="-2"/>
        </w:rPr>
        <w:t>2019</w:t>
      </w:r>
      <w:r>
        <w:rPr>
          <w:spacing w:val="-2"/>
        </w:rPr>
        <w:t>年，公司</w:t>
      </w:r>
      <w:r>
        <w:rPr>
          <w:spacing w:val="-44"/>
        </w:rPr>
        <w:t> </w:t>
      </w:r>
      <w:r>
        <w:rPr>
          <w:spacing w:val="-44"/>
        </w:rPr>
      </w:r>
      <w:r>
        <w:rPr>
          <w:spacing w:val="-2"/>
        </w:rPr>
        <w:t>在内部为员工举行了多场培训和讲座，邀请了行业内的专业和集团领导为员工授课，丰富了员工的知识储备，也为员工的职</w:t>
      </w:r>
      <w:r>
        <w:rPr>
          <w:spacing w:val="-75"/>
        </w:rPr>
        <w:t> </w:t>
      </w:r>
      <w:r>
        <w:rPr>
          <w:spacing w:val="-75"/>
        </w:rPr>
      </w:r>
      <w:r>
        <w:rPr/>
        <w:t>业发展创造了有利条件。</w:t>
      </w:r>
    </w:p>
    <w:p>
      <w:pPr>
        <w:pStyle w:val="BodyText"/>
        <w:spacing w:line="321" w:lineRule="auto" w:before="31"/>
        <w:ind w:left="501" w:right="1133"/>
        <w:jc w:val="left"/>
      </w:pPr>
      <w:r>
        <w:rPr/>
        <w:t>四、对业务的精益求精 </w:t>
      </w:r>
      <w:r>
        <w:rPr>
          <w:spacing w:val="-2"/>
        </w:rPr>
        <w:t>公司一直将客户的体验和感受摆在首位，通过提升产品质量和服务质量来满足每一位客户的需求，给客户创造温馨的感</w:t>
      </w:r>
    </w:p>
    <w:p>
      <w:pPr>
        <w:pStyle w:val="BodyText"/>
        <w:spacing w:line="321" w:lineRule="auto" w:before="4"/>
        <w:ind w:right="1106"/>
        <w:jc w:val="both"/>
      </w:pPr>
      <w:r>
        <w:rPr>
          <w:spacing w:val="-2"/>
        </w:rPr>
        <w:t>受。公司通过加强供应商管理，从源头上确保产品质量符合要求。并根据市场分析及调研结果不断改进产品，丰富产品内容</w:t>
      </w:r>
      <w:r>
        <w:rPr>
          <w:spacing w:val="-42"/>
        </w:rPr>
        <w:t> </w:t>
      </w:r>
      <w:r>
        <w:rPr>
          <w:spacing w:val="-42"/>
        </w:rPr>
      </w:r>
      <w:r>
        <w:rPr/>
        <w:t>提高产品品质，以此满足不同客户的需求，提升客户满意度。</w:t>
      </w:r>
    </w:p>
    <w:p>
      <w:pPr>
        <w:pStyle w:val="BodyText"/>
        <w:spacing w:line="336" w:lineRule="auto" w:before="18"/>
        <w:ind w:left="501" w:right="0"/>
        <w:jc w:val="left"/>
      </w:pPr>
      <w:r>
        <w:rPr/>
        <w:t>五、倡导环保节能理念 </w:t>
      </w:r>
      <w:r>
        <w:rPr>
          <w:spacing w:val="-2"/>
        </w:rPr>
        <w:t>公司积极提倡绿色环保的办公方式，建立了</w:t>
      </w:r>
      <w:r>
        <w:rPr>
          <w:rFonts w:ascii="Times New Roman" w:hAnsi="Times New Roman" w:cs="Times New Roman" w:eastAsia="Times New Roman" w:hint="default"/>
          <w:spacing w:val="-2"/>
        </w:rPr>
        <w:t>oa</w:t>
      </w:r>
      <w:r>
        <w:rPr>
          <w:spacing w:val="-2"/>
        </w:rPr>
        <w:t>办公系统、财务管理系统，充分发挥无纸化办公的优势，减少对纸张的浪</w:t>
      </w:r>
    </w:p>
    <w:p>
      <w:pPr>
        <w:pStyle w:val="BodyText"/>
        <w:spacing w:line="207" w:lineRule="exact" w:before="0"/>
        <w:ind w:right="0"/>
        <w:jc w:val="both"/>
      </w:pPr>
      <w:r>
        <w:rPr/>
        <w:t>费；公司提倡纸张二次利用，非重要文件尽量使用废旧纸张；电脑、复印机每日下班要及时切断电源，并安排专人检查；公</w:t>
      </w:r>
    </w:p>
    <w:p>
      <w:pPr>
        <w:pStyle w:val="BodyText"/>
        <w:spacing w:line="240" w:lineRule="auto" w:before="65"/>
        <w:ind w:right="0"/>
        <w:jc w:val="both"/>
      </w:pPr>
      <w:r>
        <w:rPr/>
        <w:t>司倡导大家坐班车或者步行上班，尽量减缓交通拥堵，减少环境污染物排放。</w:t>
      </w:r>
    </w:p>
    <w:p>
      <w:pPr>
        <w:pStyle w:val="BodyText"/>
        <w:spacing w:line="297" w:lineRule="auto" w:before="139"/>
        <w:ind w:right="1029" w:firstLine="225"/>
        <w:jc w:val="left"/>
      </w:pPr>
      <w:r>
        <w:rPr>
          <w:rFonts w:ascii="Times New Roman" w:hAnsi="Times New Roman" w:cs="Times New Roman" w:eastAsia="Times New Roman" w:hint="default"/>
        </w:rPr>
        <w:t>2019</w:t>
      </w:r>
      <w:r>
        <w:rPr/>
        <w:t>年，公司将继续以高度的社会责任感做好日常经营，规范运作，持续完善内控制度，加强与投资者的沟通，为股东 创造价值，也为员工提供更为健全的学习平台和更大的发展空间。在追求经济效益的同时，积极参与社会公益，反馈社会，</w:t>
      </w:r>
      <w:r>
        <w:rPr>
          <w:spacing w:val="-80"/>
        </w:rPr>
        <w:t> </w:t>
      </w:r>
      <w:r>
        <w:rPr>
          <w:spacing w:val="-80"/>
        </w:rPr>
      </w:r>
      <w:r>
        <w:rPr/>
        <w:t>将经营活动建立在环境保护的基础上，重视节能减排与技术创新，推动企业与环境的和谐发展。</w:t>
      </w:r>
    </w:p>
    <w:p>
      <w:pPr>
        <w:spacing w:line="240" w:lineRule="auto" w:before="7"/>
        <w:rPr>
          <w:rFonts w:ascii="宋体" w:hAnsi="宋体" w:cs="宋体" w:eastAsia="宋体" w:hint="default"/>
          <w:sz w:val="26"/>
          <w:szCs w:val="26"/>
        </w:rPr>
      </w:pPr>
    </w:p>
    <w:p>
      <w:pPr>
        <w:pStyle w:val="Heading4"/>
        <w:spacing w:line="240" w:lineRule="auto"/>
        <w:ind w:right="0"/>
        <w:jc w:val="both"/>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both"/>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605"/>
        <w:gridCol w:w="1457"/>
        <w:gridCol w:w="4521"/>
      </w:tblGrid>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指标</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90"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1"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605"/>
        <w:gridCol w:w="1457"/>
        <w:gridCol w:w="4521"/>
      </w:tblGrid>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6"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5"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0" w:hRule="exact"/>
        </w:trPr>
        <w:tc>
          <w:tcPr>
            <w:tcW w:w="36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1"/>
        <w:rPr>
          <w:rFonts w:ascii="宋体" w:hAnsi="宋体" w:cs="宋体" w:eastAsia="宋体" w:hint="default"/>
          <w:b/>
          <w:bCs/>
          <w:sz w:val="19"/>
          <w:szCs w:val="19"/>
        </w:rPr>
      </w:pPr>
    </w:p>
    <w:p>
      <w:pPr>
        <w:pStyle w:val="Heading4"/>
        <w:spacing w:line="508" w:lineRule="auto" w:before="35"/>
        <w:ind w:right="8535"/>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spacing w:val="-100"/>
        </w:rPr>
        <w:t> </w:t>
      </w:r>
      <w:r>
        <w:rPr>
          <w:spacing w:val="-100"/>
        </w:rPr>
      </w:r>
      <w:bookmarkStart w:name="3、环境保护相关的情况" w:id="106"/>
      <w:bookmarkEnd w:id="106"/>
      <w:r>
        <w:rPr>
          <w:spacing w:val="-100"/>
        </w:rPr>
      </w:r>
      <w:r>
        <w:rPr>
          <w:rFonts w:ascii="Times New Roman" w:hAnsi="Times New Roman" w:cs="Times New Roman" w:eastAsia="Times New Roman" w:hint="default"/>
        </w:rPr>
        <w:t>3</w:t>
      </w:r>
      <w:r>
        <w:rPr/>
        <w:t>、环境保护相关的情况</w:t>
      </w:r>
      <w:r>
        <w:rPr>
          <w:b w:val="0"/>
          <w:bCs w:val="0"/>
        </w:rPr>
      </w:r>
    </w:p>
    <w:p>
      <w:pPr>
        <w:pStyle w:val="BodyText"/>
        <w:spacing w:line="367" w:lineRule="auto" w:before="69"/>
        <w:ind w:right="5709"/>
        <w:jc w:val="left"/>
      </w:pPr>
      <w:r>
        <w:rPr/>
        <w:t>上市公司及其子公司是否属于环境保护部门公布的重点排污单位 否</w:t>
      </w:r>
    </w:p>
    <w:p>
      <w:pPr>
        <w:pStyle w:val="BodyText"/>
        <w:spacing w:line="240" w:lineRule="auto" w:before="14"/>
        <w:ind w:right="0"/>
        <w:jc w:val="left"/>
      </w:pPr>
      <w:r>
        <w:rPr/>
        <w:t>公司不属于环境保护部门公布的重点排污单位。</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19" w:lineRule="auto" w:before="0"/>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公司报告期不存在需要说明的其他重大事项。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_TOC_250007" w:id="109"/>
      <w:bookmarkStart w:name="第六节股份变动及股东情况" w:id="110"/>
      <w:r>
        <w:rPr>
          <w:b w:val="0"/>
          <w:bCs w:val="0"/>
        </w:rPr>
      </w:r>
      <w:r>
        <w:rPr>
          <w:spacing w:val="5"/>
        </w:rPr>
        <w:t>第六节股份变动及股东情况</w:t>
      </w:r>
      <w:bookmarkEnd w:id="109"/>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159,469,3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17.53%</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36,719,55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36,719,55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21.57%</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159,469,3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17.53%</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36,719,55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36,719,55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21.57%</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7"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8,373,559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0.92%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-8,373,55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-8,373,55</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151,095,7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16.61%</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45,093,10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45,093,10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21.57%</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750,103,3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82.47%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-36,719,5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-36,719,5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713,383,8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78.43%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750,103,3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82.47%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-36,719,5</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-36,719,5</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713,383,8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78.43%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909,572,7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909,572,7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ind w:right="0"/>
        <w:jc w:val="left"/>
      </w:pPr>
      <w:r>
        <w:rPr/>
        <w:t>股份变动的原因</w:t>
      </w:r>
    </w:p>
    <w:p>
      <w:pPr>
        <w:pStyle w:val="BodyText"/>
        <w:spacing w:line="316" w:lineRule="auto" w:before="125"/>
        <w:ind w:right="1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公司原董事长赵小强先生和原董事郭瑞先生在不再担任上市公司董监高职务后六个月内，不转让所持有公司的任何股份。</w:t>
      </w:r>
    </w:p>
    <w:p>
      <w:pPr>
        <w:pStyle w:val="BodyText"/>
        <w:spacing w:line="240" w:lineRule="auto" w:before="67"/>
        <w:ind w:right="0"/>
        <w:jc w:val="left"/>
      </w:pPr>
      <w:r>
        <w:rPr/>
        <w:t>股份变动的批准情况</w:t>
      </w:r>
    </w:p>
    <w:p>
      <w:pPr>
        <w:pStyle w:val="BodyText"/>
        <w:spacing w:line="333"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1" w:lineRule="auto" w:before="5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pStyle w:val="BodyText"/>
        <w:spacing w:line="319" w:lineRule="auto" w:before="56"/>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19" w:lineRule="auto" w:before="80"/>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公司认为必要或证券监管机构要求披露的其他内容</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85" w:right="5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71" w:right="61"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144,644,487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42,942,675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187,587,162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8"/>
              <w:jc w:val="center"/>
              <w:rPr>
                <w:rFonts w:ascii="宋体" w:hAnsi="宋体" w:cs="宋体" w:eastAsia="宋体" w:hint="default"/>
                <w:sz w:val="18"/>
                <w:szCs w:val="18"/>
              </w:rPr>
            </w:pPr>
            <w:r>
              <w:rPr>
                <w:rFonts w:ascii="宋体" w:hAnsi="宋体" w:cs="宋体" w:eastAsia="宋体" w:hint="default"/>
                <w:sz w:val="18"/>
                <w:szCs w:val="18"/>
              </w:rPr>
              <w:t>离任后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6,451,301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2,150,433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8,601,734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58"/>
              <w:jc w:val="center"/>
              <w:rPr>
                <w:rFonts w:ascii="宋体" w:hAnsi="宋体" w:cs="宋体" w:eastAsia="宋体" w:hint="default"/>
                <w:sz w:val="18"/>
                <w:szCs w:val="18"/>
              </w:rPr>
            </w:pPr>
            <w:r>
              <w:rPr>
                <w:rFonts w:ascii="宋体" w:hAnsi="宋体" w:cs="宋体" w:eastAsia="宋体" w:hint="default"/>
                <w:sz w:val="18"/>
                <w:szCs w:val="18"/>
              </w:rPr>
              <w:t>离任后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w:t>
            </w:r>
          </w:p>
        </w:tc>
      </w:tr>
      <w:tr>
        <w:trPr>
          <w:trHeight w:val="133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74"/>
              <w:jc w:val="both"/>
              <w:rPr>
                <w:rFonts w:ascii="宋体" w:hAnsi="宋体" w:cs="宋体" w:eastAsia="宋体" w:hint="default"/>
                <w:sz w:val="18"/>
                <w:szCs w:val="18"/>
              </w:rPr>
            </w:pPr>
            <w:r>
              <w:rPr>
                <w:rFonts w:ascii="宋体" w:hAnsi="宋体" w:cs="宋体" w:eastAsia="宋体" w:hint="default"/>
                <w:sz w:val="18"/>
                <w:szCs w:val="18"/>
              </w:rPr>
              <w:t>新余天游投资管 理中心（普通合 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4,001,400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4,001,400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15" w:right="74"/>
              <w:jc w:val="left"/>
              <w:rPr>
                <w:rFonts w:ascii="宋体" w:hAnsi="宋体" w:cs="宋体" w:eastAsia="宋体" w:hint="default"/>
                <w:sz w:val="18"/>
                <w:szCs w:val="18"/>
              </w:rPr>
            </w:pPr>
            <w:r>
              <w:rPr>
                <w:rFonts w:ascii="宋体" w:hAnsi="宋体" w:cs="宋体" w:eastAsia="宋体" w:hint="default"/>
                <w:sz w:val="18"/>
                <w:szCs w:val="18"/>
              </w:rPr>
              <w:t>增发后机构类限 售股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增发后机构类限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88" w:lineRule="auto"/>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日解除 限售。</w:t>
            </w:r>
          </w:p>
        </w:tc>
      </w:tr>
      <w:tr>
        <w:trPr>
          <w:trHeight w:val="13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新余乐活投资管 理中心（普通合 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4,372,158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4,372,158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15" w:right="74"/>
              <w:jc w:val="left"/>
              <w:rPr>
                <w:rFonts w:ascii="宋体" w:hAnsi="宋体" w:cs="宋体" w:eastAsia="宋体" w:hint="default"/>
                <w:sz w:val="18"/>
                <w:szCs w:val="18"/>
              </w:rPr>
            </w:pPr>
            <w:r>
              <w:rPr>
                <w:rFonts w:ascii="宋体" w:hAnsi="宋体" w:cs="宋体" w:eastAsia="宋体" w:hint="default"/>
                <w:sz w:val="18"/>
                <w:szCs w:val="18"/>
              </w:rPr>
              <w:t>增发后机构类限 售股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增发后机构类限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20"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日解除</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159,469,346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45,093,108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8,373,558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196,188,896</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194"/>
        <w:gridCol w:w="1209"/>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38,791</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30" w:right="74"/>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35,039</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15" w:right="89"/>
              <w:jc w:val="left"/>
              <w:rPr>
                <w:rFonts w:ascii="宋体" w:hAnsi="宋体" w:cs="宋体" w:eastAsia="宋体" w:hint="default"/>
                <w:sz w:val="18"/>
                <w:szCs w:val="18"/>
              </w:rPr>
            </w:pPr>
            <w:r>
              <w:rPr>
                <w:rFonts w:ascii="宋体" w:hAnsi="宋体" w:cs="宋体" w:eastAsia="宋体" w:hint="default"/>
                <w:sz w:val="18"/>
                <w:szCs w:val="18"/>
              </w:rPr>
              <w:t>报告期末表决 权恢复的优先</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30" w:right="67"/>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270"/>
        <w:gridCol w:w="916"/>
        <w:gridCol w:w="495"/>
        <w:gridCol w:w="706"/>
        <w:gridCol w:w="90"/>
        <w:gridCol w:w="781"/>
        <w:gridCol w:w="338"/>
        <w:gridCol w:w="458"/>
        <w:gridCol w:w="751"/>
        <w:gridCol w:w="871"/>
        <w:gridCol w:w="315"/>
        <w:gridCol w:w="1036"/>
        <w:gridCol w:w="143"/>
        <w:gridCol w:w="1209"/>
      </w:tblGrid>
      <w:tr>
        <w:trPr>
          <w:trHeight w:val="668"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187" w:type="dxa"/>
            <w:gridSpan w:val="2"/>
            <w:vMerge w:val="restart"/>
            <w:tcBorders>
              <w:top w:val="single" w:sz="6" w:space="0" w:color="000000"/>
              <w:left w:val="single" w:sz="6" w:space="0" w:color="000000"/>
              <w:right w:val="single" w:sz="12" w:space="0" w:color="D2D2D2"/>
            </w:tcBorders>
          </w:tcPr>
          <w:p>
            <w:pPr/>
          </w:p>
        </w:tc>
        <w:tc>
          <w:tcPr>
            <w:tcW w:w="1201" w:type="dxa"/>
            <w:gridSpan w:val="2"/>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普通股股东总 数</w:t>
            </w:r>
          </w:p>
        </w:tc>
        <w:tc>
          <w:tcPr>
            <w:tcW w:w="1209" w:type="dxa"/>
            <w:gridSpan w:val="3"/>
            <w:vMerge w:val="restart"/>
            <w:tcBorders>
              <w:top w:val="single" w:sz="6" w:space="0" w:color="000000"/>
              <w:left w:val="single" w:sz="6" w:space="0" w:color="000000"/>
              <w:right w:val="single" w:sz="6" w:space="0" w:color="000000"/>
            </w:tcBorders>
          </w:tcPr>
          <w:p>
            <w:pPr/>
          </w:p>
        </w:tc>
        <w:tc>
          <w:tcPr>
            <w:tcW w:w="120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股股东总数</w:t>
            </w:r>
          </w:p>
          <w:p>
            <w:pPr>
              <w:pStyle w:val="TableParagraph"/>
              <w:spacing w:line="336" w:lineRule="auto" w:before="64"/>
              <w:ind w:left="7" w:right="44"/>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6" w:type="dxa"/>
            <w:gridSpan w:val="2"/>
            <w:vMerge w:val="restart"/>
            <w:tcBorders>
              <w:top w:val="single" w:sz="6" w:space="0" w:color="000000"/>
              <w:left w:val="single" w:sz="12" w:space="0" w:color="D2D2D2"/>
              <w:right w:val="single" w:sz="18" w:space="0" w:color="D2D2D2"/>
            </w:tcBorders>
          </w:tcPr>
          <w:p>
            <w:pP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ind w:left="15" w:right="6"/>
              <w:jc w:val="left"/>
              <w:rPr>
                <w:rFonts w:ascii="宋体" w:hAnsi="宋体" w:cs="宋体" w:eastAsia="宋体" w:hint="default"/>
                <w:sz w:val="18"/>
                <w:szCs w:val="18"/>
              </w:rPr>
            </w:pPr>
            <w:r>
              <w:rPr>
                <w:rFonts w:ascii="宋体" w:hAnsi="宋体" w:cs="宋体" w:eastAsia="宋体" w:hint="default"/>
                <w:sz w:val="18"/>
                <w:szCs w:val="18"/>
              </w:rPr>
              <w:t>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vMerge w:val="restart"/>
            <w:tcBorders>
              <w:top w:val="single" w:sz="6" w:space="0" w:color="000000"/>
              <w:left w:val="single" w:sz="12" w:space="0" w:color="000000"/>
              <w:right w:val="single" w:sz="6" w:space="0" w:color="000000"/>
            </w:tcBorders>
          </w:tcPr>
          <w:p>
            <w:pPr/>
          </w:p>
        </w:tc>
      </w:tr>
      <w:tr>
        <w:trPr>
          <w:trHeight w:val="315" w:hRule="exact"/>
        </w:trPr>
        <w:tc>
          <w:tcPr>
            <w:tcW w:w="1202" w:type="dxa"/>
            <w:vMerge/>
            <w:tcBorders>
              <w:left w:val="single" w:sz="6" w:space="0" w:color="000000"/>
              <w:right w:val="single" w:sz="6" w:space="0" w:color="000000"/>
            </w:tcBorders>
            <w:shd w:val="clear" w:color="auto" w:fill="D2D2D2"/>
          </w:tcPr>
          <w:p>
            <w:pPr/>
          </w:p>
        </w:tc>
        <w:tc>
          <w:tcPr>
            <w:tcW w:w="1187" w:type="dxa"/>
            <w:gridSpan w:val="2"/>
            <w:vMerge/>
            <w:tcBorders>
              <w:left w:val="single" w:sz="6" w:space="0" w:color="000000"/>
              <w:right w:val="single" w:sz="12" w:space="0" w:color="D2D2D2"/>
            </w:tcBorders>
          </w:tcPr>
          <w:p>
            <w:pPr/>
          </w:p>
        </w:tc>
        <w:tc>
          <w:tcPr>
            <w:tcW w:w="1201" w:type="dxa"/>
            <w:gridSpan w:val="2"/>
            <w:vMerge w:val="restart"/>
            <w:tcBorders>
              <w:top w:val="nil" w:sz="6" w:space="0" w:color="auto"/>
              <w:left w:val="single" w:sz="6" w:space="0" w:color="000000"/>
              <w:right w:val="single" w:sz="6" w:space="0" w:color="000000"/>
            </w:tcBorders>
            <w:shd w:val="clear" w:color="auto" w:fill="D2D2D2"/>
          </w:tcPr>
          <w:p>
            <w:pPr/>
          </w:p>
        </w:tc>
        <w:tc>
          <w:tcPr>
            <w:tcW w:w="1209" w:type="dxa"/>
            <w:gridSpan w:val="3"/>
            <w:vMerge/>
            <w:tcBorders>
              <w:left w:val="single" w:sz="6" w:space="0" w:color="000000"/>
              <w:right w:val="single" w:sz="6" w:space="0" w:color="000000"/>
            </w:tcBorders>
          </w:tcPr>
          <w:p>
            <w:pPr/>
          </w:p>
        </w:tc>
        <w:tc>
          <w:tcPr>
            <w:tcW w:w="1209" w:type="dxa"/>
            <w:gridSpan w:val="2"/>
            <w:vMerge/>
            <w:tcBorders>
              <w:left w:val="single" w:sz="6" w:space="0" w:color="000000"/>
              <w:bottom w:val="nil" w:sz="6" w:space="0" w:color="auto"/>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2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gridSpan w:val="2"/>
            <w:vMerge/>
            <w:tcBorders>
              <w:left w:val="single" w:sz="6" w:space="0" w:color="000000"/>
              <w:bottom w:val="single" w:sz="6" w:space="0" w:color="000000"/>
              <w:right w:val="single" w:sz="12" w:space="0" w:color="D2D2D2"/>
            </w:tcBorders>
          </w:tcPr>
          <w:p>
            <w:pPr/>
          </w:p>
        </w:tc>
        <w:tc>
          <w:tcPr>
            <w:tcW w:w="1201" w:type="dxa"/>
            <w:gridSpan w:val="2"/>
            <w:vMerge/>
            <w:tcBorders>
              <w:left w:val="single" w:sz="6" w:space="0" w:color="000000"/>
              <w:bottom w:val="single" w:sz="6" w:space="0" w:color="000000"/>
              <w:right w:val="single" w:sz="6" w:space="0" w:color="000000"/>
            </w:tcBorders>
            <w:shd w:val="clear" w:color="auto" w:fill="D2D2D2"/>
          </w:tcPr>
          <w:p>
            <w:pPr/>
          </w:p>
        </w:tc>
        <w:tc>
          <w:tcPr>
            <w:tcW w:w="1209" w:type="dxa"/>
            <w:gridSpan w:val="3"/>
            <w:vMerge/>
            <w:tcBorders>
              <w:left w:val="single" w:sz="6" w:space="0" w:color="000000"/>
              <w:bottom w:val="single" w:sz="6" w:space="0" w:color="000000"/>
              <w:right w:val="single" w:sz="6" w:space="0" w:color="000000"/>
            </w:tcBorders>
          </w:tcPr>
          <w:p>
            <w:pPr/>
          </w:p>
        </w:tc>
        <w:tc>
          <w:tcPr>
            <w:tcW w:w="1209"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86" w:type="dxa"/>
            <w:gridSpan w:val="2"/>
            <w:vMerge/>
            <w:tcBorders>
              <w:left w:val="single" w:sz="12" w:space="0" w:color="D2D2D2"/>
              <w:bottom w:val="single" w:sz="6" w:space="0" w:color="000000"/>
              <w:right w:val="single" w:sz="18"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12" w:space="0" w:color="000000"/>
              <w:bottom w:val="single" w:sz="6" w:space="0" w:color="000000"/>
              <w:right w:val="single" w:sz="6" w:space="0" w:color="000000"/>
            </w:tcBorders>
          </w:tcPr>
          <w:p>
            <w:pPr/>
          </w:p>
        </w:tc>
      </w:tr>
      <w:tr>
        <w:trPr>
          <w:trHeight w:val="383" w:hRule="exact"/>
        </w:trPr>
        <w:tc>
          <w:tcPr>
            <w:tcW w:w="9582"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330" w:hRule="exact"/>
        </w:trPr>
        <w:tc>
          <w:tcPr>
            <w:tcW w:w="147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5" w:right="4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5"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90" w:right="4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3"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35" w:hRule="exact"/>
        </w:trPr>
        <w:tc>
          <w:tcPr>
            <w:tcW w:w="147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2703" w:type="dxa"/>
            <w:gridSpan w:val="4"/>
            <w:vMerge/>
            <w:tcBorders>
              <w:left w:val="single" w:sz="6" w:space="0" w:color="000000"/>
              <w:bottom w:val="single" w:sz="6" w:space="0" w:color="000000"/>
              <w:right w:val="single" w:sz="6" w:space="0" w:color="000000"/>
            </w:tcBorders>
            <w:shd w:val="clear" w:color="auto" w:fill="D2D2D2"/>
          </w:tcPr>
          <w:p>
            <w:pPr/>
          </w:p>
        </w:tc>
      </w:tr>
      <w:tr>
        <w:trPr>
          <w:trHeight w:val="255" w:hRule="exact"/>
        </w:trPr>
        <w:tc>
          <w:tcPr>
            <w:tcW w:w="1472" w:type="dxa"/>
            <w:gridSpan w:val="2"/>
            <w:vMerge/>
            <w:tcBorders>
              <w:left w:val="single" w:sz="6" w:space="0" w:color="000000"/>
              <w:right w:val="single" w:sz="6" w:space="0" w:color="000000"/>
            </w:tcBorders>
            <w:shd w:val="clear" w:color="auto" w:fill="D2D2D2"/>
          </w:tcPr>
          <w:p>
            <w:pPr/>
          </w:p>
        </w:tc>
        <w:tc>
          <w:tcPr>
            <w:tcW w:w="1412" w:type="dxa"/>
            <w:gridSpan w:val="2"/>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31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1472" w:type="dxa"/>
            <w:gridSpan w:val="2"/>
            <w:vMerge/>
            <w:tcBorders>
              <w:left w:val="single" w:sz="6" w:space="0" w:color="000000"/>
              <w:bottom w:val="single" w:sz="6" w:space="0" w:color="000000"/>
              <w:right w:val="single" w:sz="6" w:space="0" w:color="000000"/>
            </w:tcBorders>
            <w:shd w:val="clear" w:color="auto" w:fill="D2D2D2"/>
          </w:tcPr>
          <w:p>
            <w:pPr/>
          </w:p>
        </w:tc>
        <w:tc>
          <w:tcPr>
            <w:tcW w:w="1412" w:type="dxa"/>
            <w:gridSpan w:val="2"/>
            <w:vMerge/>
            <w:tcBorders>
              <w:left w:val="single" w:sz="6" w:space="0" w:color="000000"/>
              <w:bottom w:val="single" w:sz="6" w:space="0" w:color="000000"/>
              <w:right w:val="single" w:sz="6" w:space="0" w:color="000000"/>
            </w:tcBorders>
            <w:shd w:val="clear" w:color="auto" w:fill="D2D2D2"/>
          </w:tcPr>
          <w:p>
            <w:pPr/>
          </w:p>
        </w:tc>
        <w:tc>
          <w:tcPr>
            <w:tcW w:w="79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796" w:type="dxa"/>
            <w:gridSpan w:val="2"/>
            <w:vMerge/>
            <w:tcBorders>
              <w:left w:val="single" w:sz="6" w:space="0" w:color="000000"/>
              <w:bottom w:val="single" w:sz="6" w:space="0" w:color="000000"/>
              <w:right w:val="single" w:sz="6" w:space="0" w:color="000000"/>
            </w:tcBorders>
            <w:shd w:val="clear" w:color="auto" w:fill="D2D2D2"/>
          </w:tcPr>
          <w:p>
            <w:pPr/>
          </w:p>
        </w:tc>
        <w:tc>
          <w:tcPr>
            <w:tcW w:w="751" w:type="dxa"/>
            <w:vMerge/>
            <w:tcBorders>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left"/>
              <w:rPr>
                <w:rFonts w:ascii="宋体" w:hAnsi="宋体" w:cs="宋体" w:eastAsia="宋体" w:hint="default"/>
                <w:sz w:val="18"/>
                <w:szCs w:val="18"/>
              </w:rPr>
            </w:pPr>
            <w:r>
              <w:rPr>
                <w:rFonts w:ascii="宋体" w:hAnsi="宋体" w:cs="宋体" w:eastAsia="宋体" w:hint="default"/>
                <w:sz w:val="18"/>
                <w:szCs w:val="18"/>
              </w:rPr>
              <w:t>美盛控股集团有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33.67%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306,242,8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-3720799</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306,242,8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10</w:t>
            </w:r>
          </w:p>
        </w:tc>
        <w:tc>
          <w:tcPr>
            <w:tcW w:w="1352" w:type="dxa"/>
            <w:gridSpan w:val="2"/>
            <w:tcBorders>
              <w:top w:val="single" w:sz="54" w:space="0" w:color="D2D2D2"/>
              <w:left w:val="single" w:sz="6" w:space="0" w:color="000000"/>
              <w:bottom w:val="single" w:sz="6" w:space="0" w:color="000000"/>
              <w:right w:val="single" w:sz="6" w:space="0" w:color="000000"/>
            </w:tcBorders>
          </w:tcPr>
          <w:p>
            <w:pPr>
              <w:pStyle w:val="TableParagraph"/>
              <w:spacing w:line="240" w:lineRule="auto" w:before="13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298,334,800</w:t>
            </w: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20.62%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62</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187,587,162</w:t>
            </w: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5.10%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46,362,74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-6859660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46,362,74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45,000,000</w:t>
            </w:r>
          </w:p>
        </w:tc>
      </w:tr>
      <w:tr>
        <w:trPr>
          <w:trHeight w:val="705"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left"/>
              <w:rPr>
                <w:rFonts w:ascii="宋体" w:hAnsi="宋体" w:cs="宋体" w:eastAsia="宋体" w:hint="default"/>
                <w:sz w:val="18"/>
                <w:szCs w:val="18"/>
              </w:rPr>
            </w:pPr>
            <w:r>
              <w:rPr>
                <w:rFonts w:ascii="宋体" w:hAnsi="宋体" w:cs="宋体" w:eastAsia="宋体" w:hint="default"/>
                <w:sz w:val="18"/>
                <w:szCs w:val="18"/>
              </w:rPr>
              <w:t>宁波领飞科技有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25,308,01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25,308,01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79"/>
              <w:jc w:val="left"/>
              <w:rPr>
                <w:rFonts w:ascii="宋体" w:hAnsi="宋体" w:cs="宋体" w:eastAsia="宋体" w:hint="default"/>
                <w:sz w:val="18"/>
                <w:szCs w:val="18"/>
              </w:rPr>
            </w:pPr>
            <w:r>
              <w:rPr>
                <w:rFonts w:ascii="宋体" w:hAnsi="宋体" w:cs="宋体" w:eastAsia="宋体" w:hint="default"/>
                <w:sz w:val="18"/>
                <w:szCs w:val="18"/>
              </w:rPr>
              <w:t>浙江浙商产融投 资发展有限公司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20,786,32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20,786,32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79"/>
              <w:jc w:val="both"/>
              <w:rPr>
                <w:rFonts w:ascii="宋体" w:hAnsi="宋体" w:cs="宋体" w:eastAsia="宋体" w:hint="default"/>
                <w:sz w:val="18"/>
                <w:szCs w:val="18"/>
              </w:rPr>
            </w:pPr>
            <w:r>
              <w:rPr>
                <w:rFonts w:ascii="宋体" w:hAnsi="宋体" w:cs="宋体" w:eastAsia="宋体" w:hint="default"/>
                <w:sz w:val="18"/>
                <w:szCs w:val="18"/>
              </w:rPr>
              <w:t>浙江省新昌县投 资发展集团有限 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13,941,17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13,941,17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79"/>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12,857,99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-699586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12,857,99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79"/>
              <w:jc w:val="left"/>
              <w:rPr>
                <w:rFonts w:ascii="宋体" w:hAnsi="宋体" w:cs="宋体" w:eastAsia="宋体" w:hint="default"/>
                <w:sz w:val="18"/>
                <w:szCs w:val="18"/>
              </w:rPr>
            </w:pPr>
            <w:r>
              <w:rPr>
                <w:rFonts w:ascii="宋体" w:hAnsi="宋体" w:cs="宋体" w:eastAsia="宋体" w:hint="default"/>
                <w:sz w:val="18"/>
                <w:szCs w:val="18"/>
              </w:rPr>
              <w:t>浙江浙商产融控 股有限公司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12,180,00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12,180,00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浙商产融融乐资 </w:t>
            </w:r>
            <w:r>
              <w:rPr>
                <w:rFonts w:ascii="宋体" w:hAnsi="宋体" w:cs="宋体" w:eastAsia="宋体" w:hint="default"/>
                <w:spacing w:val="-4"/>
                <w:sz w:val="18"/>
                <w:szCs w:val="18"/>
              </w:rPr>
              <w:t>产管理（上海）有</w:t>
            </w:r>
            <w:r>
              <w:rPr>
                <w:rFonts w:ascii="宋体" w:hAnsi="宋体" w:cs="宋体" w:eastAsia="宋体" w:hint="default"/>
                <w:sz w:val="18"/>
                <w:szCs w:val="18"/>
              </w:rPr>
              <w:t>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11,856,27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11,856,27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0.95%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8,601,734</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8,601,734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6" w:right="0"/>
              <w:jc w:val="left"/>
              <w:rPr>
                <w:rFonts w:ascii="Times New Roman" w:hAnsi="Times New Roman" w:cs="Times New Roman" w:eastAsia="Times New Roman" w:hint="default"/>
                <w:sz w:val="18"/>
                <w:szCs w:val="18"/>
              </w:rPr>
            </w:pPr>
            <w:r>
              <w:rPr>
                <w:rFonts w:ascii="Times New Roman"/>
                <w:sz w:val="18"/>
              </w:rPr>
              <w:t>8,601,734</w:t>
            </w:r>
          </w:p>
        </w:tc>
      </w:tr>
      <w:tr>
        <w:trPr>
          <w:trHeight w:val="1021" w:hRule="exact"/>
        </w:trPr>
        <w:tc>
          <w:tcPr>
            <w:tcW w:w="28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1" w:hRule="exact"/>
        </w:trPr>
        <w:tc>
          <w:tcPr>
            <w:tcW w:w="28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5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304" w:lineRule="auto" w:before="45"/>
              <w:ind w:left="22" w:right="21"/>
              <w:jc w:val="left"/>
              <w:rPr>
                <w:rFonts w:ascii="宋体" w:hAnsi="宋体" w:cs="宋体" w:eastAsia="宋体" w:hint="default"/>
                <w:sz w:val="18"/>
                <w:szCs w:val="18"/>
              </w:rPr>
            </w:pPr>
            <w:r>
              <w:rPr>
                <w:rFonts w:ascii="宋体" w:hAnsi="宋体" w:cs="宋体" w:eastAsia="宋体" w:hint="default"/>
                <w:spacing w:val="-1"/>
                <w:sz w:val="18"/>
                <w:szCs w:val="18"/>
              </w:rPr>
              <w:t>赵小强先生为公司实际控制人，为美盛控股集团有限公司和新昌县宏盛投资有限公司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的实际控制人，未知其他股东是否有关联关系。</w:t>
            </w:r>
          </w:p>
        </w:tc>
      </w:tr>
      <w:tr>
        <w:trPr>
          <w:trHeight w:val="390" w:hRule="exact"/>
        </w:trPr>
        <w:tc>
          <w:tcPr>
            <w:tcW w:w="9582"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2884"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3995" w:type="dxa"/>
            <w:gridSpan w:val="7"/>
            <w:tcBorders>
              <w:top w:val="single" w:sz="6" w:space="0" w:color="000000"/>
              <w:left w:val="single" w:sz="6" w:space="0" w:color="000000"/>
              <w:bottom w:val="nil" w:sz="6" w:space="0" w:color="auto"/>
              <w:right w:val="single" w:sz="6" w:space="0" w:color="000000"/>
            </w:tcBorders>
            <w:shd w:val="clear" w:color="auto" w:fill="D2D2D2"/>
          </w:tcPr>
          <w:p>
            <w:pPr/>
          </w:p>
        </w:tc>
        <w:tc>
          <w:tcPr>
            <w:tcW w:w="2703"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884"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7"/>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4"/>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884" w:type="dxa"/>
            <w:gridSpan w:val="4"/>
            <w:vMerge/>
            <w:tcBorders>
              <w:left w:val="single" w:sz="6" w:space="0" w:color="000000"/>
              <w:right w:val="single" w:sz="6" w:space="0" w:color="000000"/>
            </w:tcBorders>
            <w:shd w:val="clear" w:color="auto" w:fill="D2D2D2"/>
          </w:tcPr>
          <w:p>
            <w:pPr/>
          </w:p>
        </w:tc>
        <w:tc>
          <w:tcPr>
            <w:tcW w:w="3995" w:type="dxa"/>
            <w:gridSpan w:val="7"/>
            <w:vMerge/>
            <w:tcBorders>
              <w:left w:val="single" w:sz="6" w:space="0" w:color="000000"/>
              <w:bottom w:val="nil" w:sz="6" w:space="0" w:color="auto"/>
              <w:right w:val="single" w:sz="6" w:space="0" w:color="000000"/>
            </w:tcBorders>
            <w:shd w:val="clear" w:color="auto" w:fill="D2D2D2"/>
          </w:tcPr>
          <w:p>
            <w:pP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3" w:hRule="exact"/>
        </w:trPr>
        <w:tc>
          <w:tcPr>
            <w:tcW w:w="2884" w:type="dxa"/>
            <w:gridSpan w:val="4"/>
            <w:vMerge/>
            <w:tcBorders>
              <w:left w:val="single" w:sz="6" w:space="0" w:color="000000"/>
              <w:bottom w:val="single" w:sz="6" w:space="0" w:color="000000"/>
              <w:right w:val="single" w:sz="6" w:space="0" w:color="000000"/>
            </w:tcBorders>
            <w:shd w:val="clear" w:color="auto" w:fill="D2D2D2"/>
          </w:tcPr>
          <w:p>
            <w:pPr/>
          </w:p>
        </w:tc>
        <w:tc>
          <w:tcPr>
            <w:tcW w:w="3995" w:type="dxa"/>
            <w:gridSpan w:val="7"/>
            <w:tcBorders>
              <w:top w:val="nil" w:sz="6" w:space="0" w:color="auto"/>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8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399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306,242,810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306,242,810</w:t>
            </w:r>
          </w:p>
        </w:tc>
      </w:tr>
      <w:tr>
        <w:trPr>
          <w:trHeight w:val="390" w:hRule="exact"/>
        </w:trPr>
        <w:tc>
          <w:tcPr>
            <w:tcW w:w="28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3995"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46,362,740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96" w:right="0"/>
              <w:jc w:val="left"/>
              <w:rPr>
                <w:rFonts w:ascii="Times New Roman" w:hAnsi="Times New Roman" w:cs="Times New Roman" w:eastAsia="Times New Roman" w:hint="default"/>
                <w:sz w:val="18"/>
                <w:szCs w:val="18"/>
              </w:rPr>
            </w:pPr>
            <w:r>
              <w:rPr>
                <w:rFonts w:ascii="Times New Roman"/>
                <w:sz w:val="18"/>
              </w:rPr>
              <w:t>46,362,740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84"/>
        <w:gridCol w:w="3995"/>
        <w:gridCol w:w="1352"/>
        <w:gridCol w:w="1352"/>
      </w:tblGrid>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宁波领飞科技有限公司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25,308,016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25,308,016</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浙江浙商产融投资发展有限公司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20,786,322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20,786,322</w:t>
            </w:r>
          </w:p>
        </w:tc>
      </w:tr>
      <w:tr>
        <w:trPr>
          <w:trHeight w:val="7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1"/>
              <w:jc w:val="left"/>
              <w:rPr>
                <w:rFonts w:ascii="宋体" w:hAnsi="宋体" w:cs="宋体" w:eastAsia="宋体" w:hint="default"/>
                <w:sz w:val="18"/>
                <w:szCs w:val="18"/>
              </w:rPr>
            </w:pPr>
            <w:r>
              <w:rPr>
                <w:rFonts w:ascii="宋体" w:hAnsi="宋体" w:cs="宋体" w:eastAsia="宋体" w:hint="default"/>
                <w:sz w:val="18"/>
                <w:szCs w:val="18"/>
              </w:rPr>
              <w:t>浙江省新昌县投资发展集团有限公 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13,941,177</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13,941,177</w:t>
            </w:r>
          </w:p>
        </w:tc>
      </w:tr>
      <w:tr>
        <w:trPr>
          <w:trHeight w:val="406"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12,857,996</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12,857,996</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浙江浙商产融控股有限公司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12,180,000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12,180,000</w:t>
            </w:r>
          </w:p>
        </w:tc>
      </w:tr>
      <w:tr>
        <w:trPr>
          <w:trHeight w:val="706"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pacing w:val="-4"/>
                <w:sz w:val="18"/>
                <w:szCs w:val="18"/>
              </w:rPr>
              <w:t>浙商产融融乐资产管理（上海）有限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11,856,278</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11,856,278</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8,120,000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8,120,000</w:t>
            </w:r>
          </w:p>
        </w:tc>
      </w:tr>
      <w:tr>
        <w:trPr>
          <w:trHeight w:val="405" w:hRule="exact"/>
        </w:trPr>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全从慧</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4,500,000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4,500,000</w:t>
            </w:r>
          </w:p>
        </w:tc>
      </w:tr>
      <w:tr>
        <w:trPr>
          <w:trHeight w:val="1337" w:hRule="exact"/>
        </w:trPr>
        <w:tc>
          <w:tcPr>
            <w:tcW w:w="28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4" w:lineRule="auto" w:before="51"/>
              <w:ind w:left="15"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0" w:right="21"/>
              <w:jc w:val="left"/>
              <w:rPr>
                <w:rFonts w:ascii="宋体" w:hAnsi="宋体" w:cs="宋体" w:eastAsia="宋体" w:hint="default"/>
                <w:sz w:val="18"/>
                <w:szCs w:val="18"/>
              </w:rPr>
            </w:pPr>
            <w:r>
              <w:rPr>
                <w:rFonts w:ascii="宋体" w:hAnsi="宋体" w:cs="宋体" w:eastAsia="宋体" w:hint="default"/>
                <w:spacing w:val="-1"/>
                <w:sz w:val="18"/>
                <w:szCs w:val="18"/>
              </w:rPr>
              <w:t>赵小强先生为公司实际控制人，为美盛控股集团有限公司和新昌县宏盛投资有限公司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的实际控制人，未知其他股东是否有关联关系。</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67" w:lineRule="auto" w:before="0"/>
        <w:ind w:right="8589"/>
        <w:jc w:val="left"/>
      </w:pPr>
      <w:r>
        <w:rPr/>
        <w:t>控股股东性质：自然人控股 控股股东类型：法人</w:t>
      </w:r>
    </w:p>
    <w:tbl>
      <w:tblPr>
        <w:tblW w:w="0" w:type="auto"/>
        <w:jc w:val="left"/>
        <w:tblInd w:w="126" w:type="dxa"/>
        <w:tblLayout w:type="fixed"/>
        <w:tblCellMar>
          <w:top w:w="0" w:type="dxa"/>
          <w:left w:w="0" w:type="dxa"/>
          <w:bottom w:w="0" w:type="dxa"/>
          <w:right w:w="0" w:type="dxa"/>
        </w:tblCellMar>
        <w:tblLook w:val="01E0"/>
      </w:tblPr>
      <w:tblGrid>
        <w:gridCol w:w="1997"/>
        <w:gridCol w:w="1832"/>
        <w:gridCol w:w="1893"/>
        <w:gridCol w:w="1937"/>
        <w:gridCol w:w="1922"/>
      </w:tblGrid>
      <w:tr>
        <w:trPr>
          <w:trHeight w:val="7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826" w:right="75"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50"/>
              <w:jc w:val="center"/>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91330624668325905U</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75"/>
              <w:jc w:val="both"/>
              <w:rPr>
                <w:rFonts w:ascii="宋体" w:hAnsi="宋体" w:cs="宋体" w:eastAsia="宋体" w:hint="default"/>
                <w:sz w:val="18"/>
                <w:szCs w:val="18"/>
              </w:rPr>
            </w:pPr>
            <w:r>
              <w:rPr>
                <w:rFonts w:ascii="宋体" w:hAnsi="宋体" w:cs="宋体" w:eastAsia="宋体" w:hint="default"/>
                <w:sz w:val="18"/>
                <w:szCs w:val="18"/>
              </w:rPr>
              <w:t>实业投资；资产管理咨 询，项目投资咨询；房 地产开发；销售：日用 百货、家用纺织品、服 装用原辅材料、差别化 纤维；旅游开发（依法 须经批准的项目，经相 关部门批准后方可开展 经营活动）</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0"/>
        <w:jc w:val="left"/>
      </w:pPr>
      <w:r>
        <w:rPr/>
        <w:t>控股股东报告期内变更</w:t>
      </w:r>
    </w:p>
    <w:p>
      <w:pPr>
        <w:pStyle w:val="BodyText"/>
        <w:spacing w:line="331" w:lineRule="auto" w:before="125"/>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after="0" w:line="331"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52" w:lineRule="auto" w:before="0"/>
        <w:ind w:right="8409"/>
        <w:jc w:val="left"/>
      </w:pPr>
      <w:r>
        <w:rPr/>
        <w:t>实际控制人性质：境内自然人 实际控制人类型：自然人</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不在上市公司任职</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0"/>
        <w:jc w:val="left"/>
      </w:pPr>
      <w:r>
        <w:rPr/>
        <w:t>实际控制人报告期内变更</w:t>
      </w:r>
    </w:p>
    <w:p>
      <w:pPr>
        <w:pStyle w:val="BodyText"/>
        <w:spacing w:line="343"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1"/>
          <w:szCs w:val="21"/>
        </w:rPr>
      </w:pPr>
    </w:p>
    <w:p>
      <w:pPr>
        <w:spacing w:line="3588" w:lineRule="exact"/>
        <w:ind w:left="2060"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679726" cy="22783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3679726" cy="2278379"/>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2"/>
        <w:rPr>
          <w:rFonts w:ascii="宋体" w:hAnsi="宋体" w:cs="宋体" w:eastAsia="宋体" w:hint="default"/>
          <w:sz w:val="19"/>
          <w:szCs w:val="19"/>
        </w:rPr>
      </w:pPr>
    </w:p>
    <w:p>
      <w:pPr>
        <w:pStyle w:val="Heading3"/>
        <w:spacing w:line="240" w:lineRule="auto"/>
        <w:ind w:left="141" w:right="0"/>
        <w:jc w:val="left"/>
      </w:pPr>
      <w:r>
        <w:rPr/>
        <w:t>实际控制人通过信托或其他资产管理方式控制公司</w:t>
      </w:r>
    </w:p>
    <w:p>
      <w:pPr>
        <w:spacing w:line="240" w:lineRule="auto" w:before="3"/>
        <w:rPr>
          <w:rFonts w:ascii="宋体" w:hAnsi="宋体" w:cs="宋体" w:eastAsia="宋体" w:hint="default"/>
          <w:sz w:val="19"/>
          <w:szCs w:val="19"/>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_TOC_250006" w:id="124"/>
      <w:bookmarkStart w:name="第七节优先股相关情况" w:id="125"/>
      <w:r>
        <w:rPr>
          <w:b w:val="0"/>
          <w:bCs w:val="0"/>
        </w:rPr>
      </w:r>
      <w:r>
        <w:rPr>
          <w:spacing w:val="5"/>
        </w:rPr>
        <w:t>第七节优先股相关情况</w:t>
      </w:r>
      <w:bookmarkEnd w:id="124"/>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_TOC_250005" w:id="126"/>
      <w:bookmarkStart w:name="第八节可转换公司债券相关情况" w:id="127"/>
      <w:r>
        <w:rPr>
          <w:b w:val="0"/>
          <w:bCs w:val="0"/>
        </w:rPr>
      </w:r>
      <w:r>
        <w:rPr>
          <w:spacing w:val="5"/>
        </w:rPr>
        <w:t>第八节可转换公司债券相关情况</w:t>
      </w:r>
      <w:bookmarkEnd w:id="126"/>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_TOC_250004" w:id="128"/>
      <w:bookmarkStart w:name="第九节董事、监事、高级管理人员和员工情况" w:id="129"/>
      <w:r>
        <w:rPr>
          <w:b w:val="0"/>
          <w:bCs w:val="0"/>
        </w:rPr>
      </w:r>
      <w:r>
        <w:rPr>
          <w:spacing w:val="5"/>
        </w:rPr>
        <w:t>第九节董事、监事、高级管理人员和员工情况</w:t>
      </w:r>
      <w:bookmarkEnd w:id="128"/>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08"/>
              <w:jc w:val="righ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62</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62</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8,601,734</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8,601,734</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406"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不再担任监事，改任董事</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67" w:lineRule="auto"/>
        <w:ind w:left="501" w:right="0"/>
        <w:jc w:val="left"/>
        <w:rPr>
          <w:rFonts w:ascii="Times New Roman" w:hAnsi="Times New Roman" w:cs="Times New Roman" w:eastAsia="Times New Roman" w:hint="default"/>
        </w:rPr>
      </w:pPr>
      <w:r>
        <w:rPr/>
        <w:t>（一）现任董事的专业背景、主要工作经历以及目前在公司的主要职责 </w:t>
      </w:r>
      <w:r>
        <w:rPr>
          <w:spacing w:val="-4"/>
        </w:rPr>
        <w:t>朱燕儀女士，</w:t>
      </w:r>
      <w:r>
        <w:rPr>
          <w:rFonts w:ascii="Times New Roman" w:hAnsi="Times New Roman" w:cs="Times New Roman" w:eastAsia="Times New Roman" w:hint="default"/>
          <w:spacing w:val="-4"/>
        </w:rPr>
        <w:t>1962</w:t>
      </w:r>
      <w:r>
        <w:rPr>
          <w:spacing w:val="-4"/>
        </w:rPr>
        <w:t>年出生，中国香港籍，拥有香港居留权。毕业于英国普理蒂斯艺术学院服装设计专业。历任英国</w:t>
      </w:r>
      <w:r>
        <w:rPr>
          <w:rFonts w:ascii="Times New Roman" w:hAnsi="Times New Roman" w:cs="Times New Roman" w:eastAsia="Times New Roman" w:hint="default"/>
          <w:spacing w:val="-4"/>
        </w:rPr>
        <w:t>Belker</w:t>
      </w:r>
    </w:p>
    <w:p>
      <w:pPr>
        <w:pStyle w:val="BodyText"/>
        <w:spacing w:line="209" w:lineRule="exact" w:before="0"/>
        <w:ind w:right="0"/>
        <w:jc w:val="left"/>
        <w:rPr>
          <w:rFonts w:ascii="Times New Roman" w:hAnsi="Times New Roman" w:cs="Times New Roman" w:eastAsia="Times New Roman" w:hint="default"/>
        </w:rPr>
      </w:pPr>
      <w:r>
        <w:rPr>
          <w:rFonts w:ascii="Times New Roman" w:hAnsi="Times New Roman" w:cs="Times New Roman" w:eastAsia="Times New Roman" w:hint="default"/>
        </w:rPr>
        <w:t>Sport Craft</w:t>
      </w:r>
      <w:r>
        <w:rPr/>
        <w:t>公司设计师，香港</w:t>
      </w:r>
      <w:r>
        <w:rPr>
          <w:rFonts w:ascii="Times New Roman" w:hAnsi="Times New Roman" w:cs="Times New Roman" w:eastAsia="Times New Roman" w:hint="default"/>
        </w:rPr>
        <w:t>Camberley(HK)Ltd</w:t>
      </w:r>
      <w:r>
        <w:rPr/>
        <w:t>公司设计师、高级业务员，香港</w:t>
      </w:r>
      <w:r>
        <w:rPr>
          <w:rFonts w:ascii="Times New Roman" w:hAnsi="Times New Roman" w:cs="Times New Roman" w:eastAsia="Times New Roman" w:hint="default"/>
        </w:rPr>
        <w:t>Lingrade (HK)</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公司贸易总监，香港</w:t>
      </w:r>
      <w:r>
        <w:rPr>
          <w:rFonts w:ascii="Times New Roman" w:hAnsi="Times New Roman" w:cs="Times New Roman" w:eastAsia="Times New Roman" w:hint="default"/>
        </w:rPr>
        <w:t>OBS</w:t>
      </w:r>
    </w:p>
    <w:p>
      <w:pPr>
        <w:pStyle w:val="BodyText"/>
        <w:spacing w:line="288" w:lineRule="auto" w:before="66"/>
        <w:ind w:right="1106"/>
        <w:jc w:val="left"/>
      </w:pP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Ltd</w:t>
      </w:r>
      <w:r>
        <w:rPr/>
        <w:t>公司高级贸易经理，香港</w:t>
      </w:r>
      <w:r>
        <w:rPr>
          <w:rFonts w:ascii="Times New Roman" w:hAnsi="Times New Roman" w:cs="Times New Roman" w:eastAsia="Times New Roman" w:hint="default"/>
        </w:rPr>
        <w:t>Gent</w:t>
      </w:r>
      <w:r>
        <w:rPr>
          <w:rFonts w:ascii="Times New Roman" w:hAnsi="Times New Roman" w:cs="Times New Roman" w:eastAsia="Times New Roman" w:hint="default"/>
          <w:spacing w:val="-16"/>
        </w:rPr>
        <w:t> </w:t>
      </w:r>
      <w:r>
        <w:rPr>
          <w:rFonts w:ascii="Times New Roman" w:hAnsi="Times New Roman" w:cs="Times New Roman" w:eastAsia="Times New Roman" w:hint="default"/>
        </w:rPr>
        <w:t>ledon</w:t>
      </w:r>
      <w:r>
        <w:rPr>
          <w:rFonts w:ascii="Times New Roman" w:hAnsi="Times New Roman" w:cs="Times New Roman" w:eastAsia="Times New Roman" w:hint="default"/>
          <w:spacing w:val="-23"/>
        </w:rPr>
        <w:t> </w:t>
      </w:r>
      <w:r>
        <w:rPr>
          <w:rFonts w:ascii="Times New Roman" w:hAnsi="Times New Roman" w:cs="Times New Roman" w:eastAsia="Times New Roman" w:hint="default"/>
        </w:rPr>
        <w:t>(HK)</w:t>
      </w:r>
      <w:r>
        <w:rPr>
          <w:rFonts w:ascii="Times New Roman" w:hAnsi="Times New Roman" w:cs="Times New Roman" w:eastAsia="Times New Roman" w:hint="default"/>
          <w:spacing w:val="-23"/>
        </w:rPr>
        <w:t> </w:t>
      </w:r>
      <w:r>
        <w:rPr>
          <w:rFonts w:ascii="Times New Roman" w:hAnsi="Times New Roman" w:cs="Times New Roman" w:eastAsia="Times New Roman" w:hint="default"/>
        </w:rPr>
        <w:t>Ltd</w:t>
      </w:r>
      <w:r>
        <w:rPr/>
        <w:t>公司贸易总监，香港</w:t>
      </w:r>
      <w:r>
        <w:rPr>
          <w:rFonts w:ascii="Times New Roman" w:hAnsi="Times New Roman" w:cs="Times New Roman" w:eastAsia="Times New Roman" w:hint="default"/>
        </w:rPr>
        <w:t>Marks&amp;Spencer(HK)</w:t>
      </w:r>
      <w:r>
        <w:rPr/>
        <w:t>公司贸易经理。曾任公司第</w:t>
      </w:r>
      <w:r>
        <w:rPr>
          <w:w w:val="99"/>
        </w:rPr>
        <w:t> </w:t>
      </w:r>
      <w:r>
        <w:rPr/>
        <w:t>一届、第二届董事会董事，期间担任公司总经理。现任公司董事长。</w:t>
      </w:r>
    </w:p>
    <w:p>
      <w:pPr>
        <w:pStyle w:val="BodyText"/>
        <w:spacing w:line="288" w:lineRule="auto" w:before="89"/>
        <w:ind w:right="1126" w:firstLine="360"/>
        <w:jc w:val="left"/>
      </w:pPr>
      <w:r>
        <w:rPr/>
        <w:t>丁秀萍女士，</w:t>
      </w:r>
      <w:r>
        <w:rPr>
          <w:spacing w:val="-7"/>
        </w:rPr>
        <w:t> </w:t>
      </w:r>
      <w:r>
        <w:rPr>
          <w:rFonts w:ascii="Times New Roman" w:hAnsi="Times New Roman" w:cs="Times New Roman" w:eastAsia="Times New Roman" w:hint="default"/>
        </w:rPr>
        <w:t>1979</w:t>
      </w:r>
      <w:r>
        <w:rPr/>
        <w:t>年出生，中国国籍，无永久境外居留权，大专学历。曾任职于浙江莎美针织有限公司。</w:t>
      </w:r>
      <w:r>
        <w:rPr>
          <w:rFonts w:ascii="Times New Roman" w:hAnsi="Times New Roman" w:cs="Times New Roman" w:eastAsia="Times New Roman" w:hint="default"/>
        </w:rPr>
        <w:t>2010</w:t>
      </w:r>
      <w:r>
        <w:rPr/>
        <w:t>年进入 公司工作。曾任公司第二届、第三届监事会监事。现任公司董事、生产部总经理。</w:t>
      </w:r>
    </w:p>
    <w:p>
      <w:pPr>
        <w:pStyle w:val="BodyText"/>
        <w:spacing w:line="276" w:lineRule="auto" w:before="104"/>
        <w:ind w:right="1129" w:firstLine="360"/>
        <w:jc w:val="left"/>
      </w:pPr>
      <w:r>
        <w:rPr/>
        <w:t>章丽红女士，</w:t>
      </w:r>
      <w:r>
        <w:rPr>
          <w:spacing w:val="-10"/>
        </w:rPr>
        <w:t> </w:t>
      </w:r>
      <w:r>
        <w:rPr>
          <w:rFonts w:ascii="Times New Roman" w:hAnsi="Times New Roman" w:cs="Times New Roman" w:eastAsia="Times New Roman" w:hint="default"/>
        </w:rPr>
        <w:t>1977</w:t>
      </w:r>
      <w:r>
        <w:rPr/>
        <w:t>年出生，中国国籍，无永久境外居留权，大专学历。</w:t>
      </w:r>
      <w:r>
        <w:rPr>
          <w:rFonts w:ascii="Times New Roman" w:hAnsi="Times New Roman" w:cs="Times New Roman" w:eastAsia="Times New Roman" w:hint="default"/>
        </w:rPr>
        <w:t>2005</w:t>
      </w:r>
      <w:r>
        <w:rPr/>
        <w:t>年进入公司工作。现任公司董事、采购部 总经理。</w:t>
      </w:r>
    </w:p>
    <w:p>
      <w:pPr>
        <w:pStyle w:val="BodyText"/>
        <w:spacing w:line="290" w:lineRule="auto" w:before="112"/>
        <w:ind w:right="1026" w:firstLine="360"/>
        <w:jc w:val="left"/>
      </w:pPr>
      <w:r>
        <w:rPr/>
        <w:t>石丹锋先生，</w:t>
      </w:r>
      <w:r>
        <w:rPr>
          <w:spacing w:val="13"/>
        </w:rPr>
        <w:t> </w:t>
      </w:r>
      <w:r>
        <w:rPr>
          <w:rFonts w:ascii="Times New Roman" w:hAnsi="Times New Roman" w:cs="Times New Roman" w:eastAsia="Times New Roman" w:hint="default"/>
          <w:spacing w:val="-2"/>
        </w:rPr>
        <w:t>1990</w:t>
      </w:r>
      <w:r>
        <w:rPr>
          <w:spacing w:val="-2"/>
        </w:rPr>
        <w:t>年出生，中国国籍，无永久境外居留权。本科学历，毕业于北京大学法学院。</w:t>
      </w:r>
      <w:r>
        <w:rPr>
          <w:rFonts w:ascii="Times New Roman" w:hAnsi="Times New Roman" w:cs="Times New Roman" w:eastAsia="Times New Roman" w:hint="default"/>
          <w:spacing w:val="-2"/>
        </w:rPr>
        <w:t>2013</w:t>
      </w:r>
      <w:r>
        <w:rPr>
          <w:spacing w:val="-2"/>
        </w:rPr>
        <w:t>年进入公司工作。</w:t>
      </w:r>
      <w:r>
        <w:rPr/>
        <w:t> 现任公司董事、董事会秘书。</w:t>
      </w:r>
    </w:p>
    <w:p>
      <w:pPr>
        <w:pStyle w:val="BodyText"/>
        <w:spacing w:line="290" w:lineRule="auto" w:before="86"/>
        <w:ind w:right="0" w:firstLine="360"/>
        <w:jc w:val="left"/>
      </w:pPr>
      <w:r>
        <w:rPr>
          <w:spacing w:val="-2"/>
        </w:rPr>
        <w:t>李茂生先生，</w:t>
      </w:r>
      <w:r>
        <w:rPr>
          <w:rFonts w:ascii="Times New Roman" w:hAnsi="Times New Roman" w:cs="Times New Roman" w:eastAsia="Times New Roman" w:hint="default"/>
          <w:spacing w:val="-2"/>
        </w:rPr>
        <w:t>1943</w:t>
      </w:r>
      <w:r>
        <w:rPr>
          <w:spacing w:val="-2"/>
        </w:rPr>
        <w:t>年出生，中国国籍，无永久境外居留权。经济学家、中国社会科学院博士生导师。曾任中国社会科学</w:t>
      </w:r>
      <w:r>
        <w:rPr/>
        <w:t> 院研究生院党委副书记、副院长；中国社会科学出版社党委书记、总编辑。现任公司独立董事。</w:t>
      </w:r>
    </w:p>
    <w:p>
      <w:pPr>
        <w:pStyle w:val="BodyText"/>
        <w:spacing w:line="290" w:lineRule="auto" w:before="86"/>
        <w:ind w:right="0" w:firstLine="360"/>
        <w:jc w:val="left"/>
      </w:pPr>
      <w:r>
        <w:rPr>
          <w:spacing w:val="-10"/>
        </w:rPr>
        <w:t>高闯先生</w:t>
      </w:r>
      <w:r>
        <w:rPr>
          <w:rFonts w:ascii="Times New Roman" w:hAnsi="Times New Roman" w:cs="Times New Roman" w:eastAsia="Times New Roman" w:hint="default"/>
          <w:spacing w:val="-10"/>
        </w:rPr>
        <w:t>,1953</w:t>
      </w:r>
      <w:r>
        <w:rPr>
          <w:spacing w:val="-10"/>
        </w:rPr>
        <w:t>年出生，中国国籍，无永久境外居留权。经济学博士，教授</w:t>
      </w:r>
      <w:r>
        <w:rPr>
          <w:rFonts w:ascii="Times New Roman" w:hAnsi="Times New Roman" w:cs="Times New Roman" w:eastAsia="Times New Roman" w:hint="default"/>
          <w:spacing w:val="-10"/>
        </w:rPr>
        <w:t>,</w:t>
      </w:r>
      <w:r>
        <w:rPr>
          <w:spacing w:val="-10"/>
        </w:rPr>
        <w:t>博士生导师，享受国务院特殊津贴的专家（</w:t>
      </w:r>
      <w:r>
        <w:rPr>
          <w:rFonts w:ascii="Times New Roman" w:hAnsi="Times New Roman" w:cs="Times New Roman" w:eastAsia="Times New Roman" w:hint="default"/>
          <w:spacing w:val="-10"/>
        </w:rPr>
        <w:t>1998</w:t>
      </w:r>
      <w:r>
        <w:rPr>
          <w:spacing w:val="-10"/>
        </w:rPr>
        <w:t>）</w:t>
      </w:r>
      <w:r>
        <w:rPr>
          <w:rFonts w:ascii="Times New Roman" w:hAnsi="Times New Roman" w:cs="Times New Roman" w:eastAsia="Times New Roman" w:hint="default"/>
          <w:spacing w:val="-10"/>
        </w:rPr>
        <w:t>,</w:t>
      </w:r>
      <w:r>
        <w:rPr>
          <w:rFonts w:ascii="Times New Roman" w:hAnsi="Times New Roman" w:cs="Times New Roman" w:eastAsia="Times New Roman" w:hint="default"/>
        </w:rPr>
        <w:t> </w:t>
      </w:r>
      <w:r>
        <w:rPr/>
        <w:t>现任首都经贸大学学术委员会主任。现任公司独立董事。</w:t>
      </w:r>
    </w:p>
    <w:p>
      <w:pPr>
        <w:pStyle w:val="BodyText"/>
        <w:spacing w:line="273" w:lineRule="auto" w:before="102"/>
        <w:ind w:right="0" w:firstLine="360"/>
        <w:jc w:val="left"/>
      </w:pPr>
      <w:r>
        <w:rPr>
          <w:spacing w:val="-2"/>
        </w:rPr>
        <w:t>雷新途先生，</w:t>
      </w:r>
      <w:r>
        <w:rPr>
          <w:rFonts w:ascii="Times New Roman" w:hAnsi="Times New Roman" w:cs="Times New Roman" w:eastAsia="Times New Roman" w:hint="default"/>
          <w:spacing w:val="-2"/>
        </w:rPr>
        <w:t>1972</w:t>
      </w:r>
      <w:r>
        <w:rPr>
          <w:spacing w:val="-2"/>
        </w:rPr>
        <w:t>年出生，中国国籍，无永久境外居留权。会计学博士、博士后，会计学教授，博士生导师。现担任浙</w:t>
      </w:r>
      <w:r>
        <w:rPr/>
        <w:t> 江工业大学会计学研究所所长，会计学科负责人、会计系主任。现任公司独立董事。</w:t>
      </w:r>
    </w:p>
    <w:p>
      <w:pPr>
        <w:pStyle w:val="BodyText"/>
        <w:spacing w:line="367" w:lineRule="auto" w:before="100"/>
        <w:ind w:left="501" w:right="0" w:hanging="60"/>
        <w:jc w:val="left"/>
      </w:pPr>
      <w:r>
        <w:rPr/>
        <w:t>（二）现任监事的专业背景、主要工作经历以及目前在公司的主要职责 </w:t>
      </w:r>
      <w:r>
        <w:rPr>
          <w:spacing w:val="-2"/>
        </w:rPr>
        <w:t>赵风云女士，</w:t>
      </w:r>
      <w:r>
        <w:rPr>
          <w:rFonts w:ascii="Times New Roman" w:hAnsi="Times New Roman" w:cs="Times New Roman" w:eastAsia="Times New Roman" w:hint="default"/>
          <w:spacing w:val="-2"/>
        </w:rPr>
        <w:t>1980</w:t>
      </w:r>
      <w:r>
        <w:rPr>
          <w:spacing w:val="-2"/>
        </w:rPr>
        <w:t>年出生，中国国籍，无永久镜外居留权，本科学历，毕业于青岛科技大学英语专业。先后任职于东莞</w:t>
      </w:r>
    </w:p>
    <w:p>
      <w:pPr>
        <w:pStyle w:val="BodyText"/>
        <w:spacing w:line="181" w:lineRule="exact" w:before="0"/>
        <w:ind w:right="0"/>
        <w:jc w:val="left"/>
      </w:pPr>
      <w:r>
        <w:rPr/>
        <w:t>晨光印刷有限公司、迪华商贸有限公司。现任公司监事、公司验厂部经理。</w:t>
      </w:r>
    </w:p>
    <w:p>
      <w:pPr>
        <w:pStyle w:val="BodyText"/>
        <w:spacing w:line="273" w:lineRule="auto" w:before="140"/>
        <w:ind w:right="0" w:firstLine="360"/>
        <w:jc w:val="left"/>
      </w:pPr>
      <w:r>
        <w:rPr>
          <w:spacing w:val="-2"/>
        </w:rPr>
        <w:t>徐秋玲女士，</w:t>
      </w:r>
      <w:r>
        <w:rPr>
          <w:rFonts w:ascii="Times New Roman" w:hAnsi="Times New Roman" w:cs="Times New Roman" w:eastAsia="Times New Roman" w:hint="default"/>
          <w:spacing w:val="-2"/>
        </w:rPr>
        <w:t>1981</w:t>
      </w:r>
      <w:r>
        <w:rPr>
          <w:spacing w:val="-2"/>
        </w:rPr>
        <w:t>年出生，中国国籍，无永久境外居留权，本科学历，先后任职于南京军区杭州疗养院，浙江省新昌旅</w:t>
      </w:r>
      <w:r>
        <w:rPr/>
        <w:t> 行社有限公司。现任公司监事、办公室主任。</w:t>
      </w:r>
    </w:p>
    <w:p>
      <w:pPr>
        <w:pStyle w:val="BodyText"/>
        <w:spacing w:line="288" w:lineRule="auto" w:before="115"/>
        <w:ind w:right="0" w:firstLine="360"/>
        <w:jc w:val="left"/>
      </w:pPr>
      <w:r>
        <w:rPr>
          <w:spacing w:val="-2"/>
        </w:rPr>
        <w:t>安蓓蕾女士，</w:t>
      </w:r>
      <w:r>
        <w:rPr>
          <w:rFonts w:ascii="Times New Roman" w:hAnsi="Times New Roman" w:cs="Times New Roman" w:eastAsia="Times New Roman" w:hint="default"/>
          <w:spacing w:val="-2"/>
        </w:rPr>
        <w:t>1975</w:t>
      </w:r>
      <w:r>
        <w:rPr>
          <w:spacing w:val="-2"/>
        </w:rPr>
        <w:t>年出生，中国国籍，无永久境外居留权，本科学历。曾任职于浙江日发纺织机械股份有限公司。现任</w:t>
      </w:r>
      <w:r>
        <w:rPr/>
        <w:t> 公司监事、项目部经理。</w:t>
      </w:r>
    </w:p>
    <w:p>
      <w:pPr>
        <w:pStyle w:val="BodyText"/>
        <w:spacing w:line="240" w:lineRule="auto" w:before="74"/>
        <w:ind w:left="501" w:right="0"/>
        <w:jc w:val="left"/>
      </w:pPr>
      <w:r>
        <w:rPr/>
        <w:t>（三）现任高级管理人员的专业背景、主要工作经历以及目前在公司的主要职责</w:t>
      </w:r>
    </w:p>
    <w:p>
      <w:pPr>
        <w:pStyle w:val="BodyText"/>
        <w:spacing w:line="273" w:lineRule="auto" w:before="140"/>
        <w:ind w:right="0" w:firstLine="360"/>
        <w:jc w:val="left"/>
      </w:pPr>
      <w:r>
        <w:rPr>
          <w:spacing w:val="-2"/>
        </w:rPr>
        <w:t>袁贤苗先生，</w:t>
      </w:r>
      <w:r>
        <w:rPr>
          <w:rFonts w:ascii="Times New Roman" w:hAnsi="Times New Roman" w:cs="Times New Roman" w:eastAsia="Times New Roman" w:hint="default"/>
          <w:spacing w:val="-2"/>
        </w:rPr>
        <w:t>1965</w:t>
      </w:r>
      <w:r>
        <w:rPr>
          <w:spacing w:val="-2"/>
        </w:rPr>
        <w:t>年出生，中国国籍，无永久境外居留权。大专学历。曾任职于新昌丝绸服装股份有限公司，是本公司</w:t>
      </w:r>
      <w:r>
        <w:rPr/>
        <w:t> 的主要创立者之一。曾任公司第一届、第二届董事会董事，期间担任公司副总经理。现任公司总裁。</w:t>
      </w:r>
    </w:p>
    <w:p>
      <w:pPr>
        <w:pStyle w:val="BodyText"/>
        <w:spacing w:line="288" w:lineRule="auto" w:before="114"/>
        <w:ind w:right="1081" w:firstLine="360"/>
        <w:jc w:val="left"/>
      </w:pPr>
      <w:r>
        <w:rPr/>
        <w:t>曾华伟先生，</w:t>
      </w:r>
      <w:r>
        <w:rPr>
          <w:rFonts w:ascii="Times New Roman" w:hAnsi="Times New Roman" w:cs="Times New Roman" w:eastAsia="Times New Roman" w:hint="default"/>
        </w:rPr>
        <w:t>1974</w:t>
      </w:r>
      <w:r>
        <w:rPr/>
        <w:t>年出生，中国澳门籍，拥有澳门居留权。毕业于美国加州圣荷西大学。从事玩具制作</w:t>
      </w:r>
      <w:r>
        <w:rPr>
          <w:rFonts w:ascii="Times New Roman" w:hAnsi="Times New Roman" w:cs="Times New Roman" w:eastAsia="Times New Roman" w:hint="default"/>
        </w:rPr>
        <w:t>20</w:t>
      </w:r>
      <w:r>
        <w:rPr/>
        <w:t>年</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现任公司 副总裁，公司子公司香港协骏实业有限公司总经理。</w:t>
      </w:r>
    </w:p>
    <w:p>
      <w:pPr>
        <w:pStyle w:val="BodyText"/>
        <w:spacing w:line="304" w:lineRule="auto" w:before="89"/>
        <w:ind w:right="1100" w:firstLine="360"/>
        <w:jc w:val="both"/>
      </w:pPr>
      <w:r>
        <w:rPr>
          <w:spacing w:val="-2"/>
        </w:rPr>
        <w:t>徐源先生，</w:t>
      </w:r>
      <w:r>
        <w:rPr>
          <w:rFonts w:ascii="Times New Roman" w:hAnsi="Times New Roman" w:cs="Times New Roman" w:eastAsia="Times New Roman" w:hint="default"/>
          <w:spacing w:val="-2"/>
        </w:rPr>
        <w:t>1979</w:t>
      </w:r>
      <w:r>
        <w:rPr>
          <w:spacing w:val="-2"/>
        </w:rPr>
        <w:t>年出生，中国国籍，无永久境外居留权。先后获得中南财经政法大学管理信息系统专业学士学位，法国</w:t>
      </w:r>
      <w:r>
        <w:rPr/>
        <w:t> </w:t>
      </w:r>
      <w:r>
        <w:rPr>
          <w:spacing w:val="-1"/>
        </w:rPr>
        <w:t>巴黎高科路桥大学高级工商管理硕士学位，清华大学</w:t>
      </w:r>
      <w:r>
        <w:rPr>
          <w:rFonts w:ascii="Times New Roman" w:hAnsi="Times New Roman" w:cs="Times New Roman" w:eastAsia="Times New Roman" w:hint="default"/>
          <w:spacing w:val="-1"/>
        </w:rPr>
        <w:t>EMBA</w:t>
      </w:r>
      <w:r>
        <w:rPr>
          <w:spacing w:val="-1"/>
        </w:rPr>
        <w:t>。徐先生拥有超过十五年文创、互联网及零售产业运营管理和投</w:t>
      </w:r>
      <w:r>
        <w:rPr>
          <w:spacing w:val="-73"/>
        </w:rPr>
        <w:t> </w:t>
      </w:r>
      <w:r>
        <w:rPr>
          <w:spacing w:val="-73"/>
        </w:rPr>
      </w:r>
      <w:r>
        <w:rPr>
          <w:spacing w:val="-2"/>
        </w:rPr>
        <w:t>资经验，此前曾出任三胞集团产业副总裁、阿里巴巴影业总监等职务。现任美盛文化公司首席运营官、副总裁，真趣网络执</w:t>
      </w:r>
      <w:r>
        <w:rPr>
          <w:spacing w:val="-57"/>
        </w:rPr>
        <w:t> </w:t>
      </w:r>
      <w:r>
        <w:rPr>
          <w:spacing w:val="-57"/>
        </w:rPr>
      </w:r>
      <w:r>
        <w:rPr/>
        <w:t>行董事兼总经理。</w:t>
      </w:r>
    </w:p>
    <w:p>
      <w:pPr>
        <w:pStyle w:val="BodyText"/>
        <w:spacing w:line="290" w:lineRule="auto" w:before="76"/>
        <w:ind w:right="0" w:firstLine="360"/>
        <w:jc w:val="left"/>
      </w:pPr>
      <w:r>
        <w:rPr>
          <w:spacing w:val="-2"/>
        </w:rPr>
        <w:t>徐斌先生，</w:t>
      </w:r>
      <w:r>
        <w:rPr>
          <w:rFonts w:ascii="Times New Roman" w:hAnsi="Times New Roman" w:cs="Times New Roman" w:eastAsia="Times New Roman" w:hint="default"/>
          <w:spacing w:val="-2"/>
        </w:rPr>
        <w:t>1984</w:t>
      </w:r>
      <w:r>
        <w:rPr>
          <w:spacing w:val="-2"/>
        </w:rPr>
        <w:t>年出生，中国国籍，无永久境外居留权。本科学历，毕业于浙江大学竺可桢荣誉学院。</w:t>
      </w:r>
      <w:r>
        <w:rPr>
          <w:rFonts w:ascii="Times New Roman" w:hAnsi="Times New Roman" w:cs="Times New Roman" w:eastAsia="Times New Roman" w:hint="default"/>
          <w:spacing w:val="-2"/>
        </w:rPr>
        <w:t>2006</w:t>
      </w:r>
      <w:r>
        <w:rPr>
          <w:spacing w:val="-2"/>
        </w:rPr>
        <w:t>年进入公司</w:t>
      </w:r>
      <w:r>
        <w:rPr/>
        <w:t> 工作，现任公司副总裁，新昌生产基地总经理。</w:t>
      </w:r>
    </w:p>
    <w:p>
      <w:pPr>
        <w:pStyle w:val="BodyText"/>
        <w:spacing w:line="295" w:lineRule="auto" w:before="86"/>
        <w:ind w:right="1029" w:firstLine="360"/>
        <w:jc w:val="left"/>
      </w:pPr>
      <w:r>
        <w:rPr/>
        <w:t>石军龙先生，</w:t>
      </w:r>
      <w:r>
        <w:rPr>
          <w:rFonts w:ascii="Times New Roman" w:hAnsi="Times New Roman" w:cs="Times New Roman" w:eastAsia="Times New Roman" w:hint="default"/>
        </w:rPr>
        <w:t>1984</w:t>
      </w:r>
      <w:r>
        <w:rPr/>
        <w:t>年出生，中国国籍，无永久境外居留权，本科学历，毕业于中国石油大学会计学专业，中级会计师、 美国注册管理会计师（</w:t>
      </w:r>
      <w:r>
        <w:rPr>
          <w:rFonts w:ascii="Times New Roman" w:hAnsi="Times New Roman" w:cs="Times New Roman" w:eastAsia="Times New Roman" w:hint="default"/>
        </w:rPr>
        <w:t>CMA</w:t>
      </w:r>
      <w:r>
        <w:rPr/>
        <w:t>）。</w:t>
      </w:r>
      <w:r>
        <w:rPr>
          <w:rFonts w:ascii="Times New Roman" w:hAnsi="Times New Roman" w:cs="Times New Roman" w:eastAsia="Times New Roman" w:hint="default"/>
        </w:rPr>
        <w:t>2010</w:t>
      </w:r>
      <w:r>
        <w:rPr/>
        <w:t>年进入公司工作，历任公司子公司深圳市同道大叔文化传播有限公司财务总监，香港</w:t>
      </w:r>
      <w:r>
        <w:rPr>
          <w:spacing w:val="-80"/>
        </w:rPr>
        <w:t> </w:t>
      </w:r>
      <w:r>
        <w:rPr/>
        <w:t>协骏实业集团财务总监。现任公司财务总监。</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在股东单位任职情况</w:t>
      </w:r>
    </w:p>
    <w:p>
      <w:pPr>
        <w:pStyle w:val="BodyText"/>
        <w:spacing w:line="333"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在其他单位任职情况</w:t>
      </w:r>
    </w:p>
    <w:p>
      <w:pPr>
        <w:spacing w:after="0" w:line="333" w:lineRule="auto"/>
        <w:jc w:val="left"/>
        <w:sectPr>
          <w:footerReference w:type="default" r:id="rId14"/>
          <w:pgSz w:w="11910" w:h="16850"/>
          <w:pgMar w:footer="981" w:header="731" w:top="1040" w:bottom="1180" w:left="1000" w:right="0"/>
          <w:pgNumType w:start="5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5"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0" w:right="44" w:hanging="91"/>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33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首都经贸大学</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学术委员会 </w:t>
            </w:r>
            <w:r>
              <w:rPr>
                <w:rFonts w:ascii="宋体" w:hAnsi="宋体" w:cs="宋体" w:eastAsia="宋体" w:hint="default"/>
                <w:spacing w:val="-8"/>
                <w:sz w:val="18"/>
                <w:szCs w:val="18"/>
              </w:rPr>
              <w:t>主任、国际比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较管理研究 院院长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浙江工业大学</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会计学研究 所所长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5"/>
        <w:ind w:right="0"/>
        <w:jc w:val="left"/>
      </w:pPr>
      <w:r>
        <w:rPr/>
        <w:t>公司现任及报告期内离任董事、监事和高级管理人员近三年证券监管机构处罚的情况</w:t>
      </w:r>
    </w:p>
    <w:p>
      <w:pPr>
        <w:pStyle w:val="BodyText"/>
        <w:spacing w:line="319" w:lineRule="auto" w:before="124"/>
        <w:ind w:right="1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报告期内离任董事赵小强先生于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日收到深圳证券交易所公开谴责处分。报告期内离任董事郭瑞先生于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27</w:t>
      </w:r>
      <w:r>
        <w:rPr/>
        <w:t>日收到深圳证券交易所通报批评的处分。</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1"/>
        <w:rPr>
          <w:rFonts w:ascii="宋体" w:hAnsi="宋体" w:cs="宋体" w:eastAsia="宋体" w:hint="default"/>
          <w:b/>
          <w:bCs/>
          <w:sz w:val="26"/>
          <w:szCs w:val="26"/>
        </w:rPr>
      </w:pPr>
    </w:p>
    <w:p>
      <w:pPr>
        <w:pStyle w:val="BodyText"/>
        <w:spacing w:line="352" w:lineRule="auto" w:before="0"/>
        <w:ind w:left="366" w:right="0" w:hanging="225"/>
        <w:jc w:val="left"/>
      </w:pPr>
      <w:r>
        <w:rPr/>
        <w:t>董事、监事、高级管理人员报酬的决策程序、确定依据、实际支付情况</w:t>
      </w:r>
      <w:r>
        <w:rPr>
          <w:spacing w:val="-85"/>
        </w:rPr>
        <w:t> </w:t>
      </w:r>
      <w:r>
        <w:rPr>
          <w:spacing w:val="-85"/>
        </w:rPr>
      </w:r>
      <w:r>
        <w:rPr>
          <w:spacing w:val="-1"/>
        </w:rPr>
        <w:t>公司董事、监事的报酬是根据公司章程规定和经营情况，由董事会、监事会提出议案，股东大会批准决定，公司总经理、</w:t>
      </w:r>
    </w:p>
    <w:p>
      <w:pPr>
        <w:pStyle w:val="BodyText"/>
        <w:spacing w:line="314" w:lineRule="auto" w:before="0"/>
        <w:ind w:right="1106"/>
        <w:jc w:val="both"/>
      </w:pPr>
      <w:r>
        <w:rPr>
          <w:spacing w:val="-2"/>
        </w:rPr>
        <w:t>副总经理、财务总监、董事会秘书等高级管理人员的报酬由公司董事会薪酬与考核委员会提出议案，报董事会批准决定。报</w:t>
      </w:r>
      <w:r>
        <w:rPr>
          <w:spacing w:val="-42"/>
        </w:rPr>
        <w:t> </w:t>
      </w:r>
      <w:r>
        <w:rPr>
          <w:spacing w:val="-42"/>
        </w:rPr>
      </w:r>
      <w:r>
        <w:rPr>
          <w:spacing w:val="-2"/>
        </w:rPr>
        <w:t>告期，实际发放额的确定依据是根据公司总体发展战略和年度的经营目标、其在公司担任的职务以及行业平均标准，结合公</w:t>
      </w:r>
      <w:r>
        <w:rPr>
          <w:spacing w:val="-75"/>
        </w:rPr>
        <w:t> </w:t>
      </w:r>
      <w:r>
        <w:rPr>
          <w:spacing w:val="-75"/>
        </w:rPr>
      </w:r>
      <w:r>
        <w:rPr/>
        <w:t>司的工资制度、考核办法而确定的。</w:t>
      </w:r>
    </w:p>
    <w:p>
      <w:pPr>
        <w:pStyle w:val="BodyText"/>
        <w:spacing w:line="240" w:lineRule="auto" w:before="68"/>
        <w:ind w:right="0"/>
        <w:jc w:val="left"/>
      </w:pPr>
      <w:r>
        <w:rPr/>
        <w:t>公司报告期内董事、监事和高级管理人员报酬情况</w:t>
      </w:r>
    </w:p>
    <w:p>
      <w:pPr>
        <w:pStyle w:val="BodyText"/>
        <w:spacing w:line="240" w:lineRule="auto" w:before="110"/>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66.8</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45.1</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17.33</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49.43</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22.06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朱燕仪</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57.93</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章丽红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石丹锋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1"/>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徐秋玲</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安蓓蕾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19.43</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袁贤苗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曾华伟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徐源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13.8</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石军龙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547.28</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公司董事、高级管理人员报告期内被授予的股权激励情况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2,702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3,529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3,529</w:t>
            </w:r>
          </w:p>
        </w:tc>
      </w:tr>
      <w:tr>
        <w:trPr>
          <w:trHeight w:val="398"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2,572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618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3,529</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高中学历</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545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初中学历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2,208</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小学学历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331</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3,529</w:t>
            </w:r>
          </w:p>
        </w:tc>
      </w:tr>
    </w:tbl>
    <w:p>
      <w:pPr>
        <w:spacing w:line="240" w:lineRule="auto" w:before="11"/>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106"/>
        <w:jc w:val="both"/>
      </w:pPr>
      <w:r>
        <w:rPr>
          <w:spacing w:val="-2"/>
        </w:rPr>
        <w:t>公司董事、监事的报酬是根据公司章程规定和经营情况，由董事会、监事会提出议案，股东大会批准决定，公司总经理、副</w:t>
      </w:r>
      <w:r>
        <w:rPr>
          <w:spacing w:val="-72"/>
        </w:rPr>
        <w:t> </w:t>
      </w:r>
      <w:r>
        <w:rPr>
          <w:spacing w:val="-72"/>
        </w:rPr>
      </w:r>
      <w:r>
        <w:rPr>
          <w:spacing w:val="-2"/>
        </w:rPr>
        <w:t>总经理、财务总监、董事会秘书等高级管理人员的报酬由公司董事会薪酬与考核委员会提出议案，报董事会批准决定。报告</w:t>
      </w:r>
      <w:r>
        <w:rPr>
          <w:spacing w:val="-42"/>
        </w:rPr>
        <w:t> </w:t>
      </w:r>
      <w:r>
        <w:rPr>
          <w:spacing w:val="-42"/>
        </w:rPr>
      </w:r>
      <w:r>
        <w:rPr>
          <w:spacing w:val="-2"/>
        </w:rPr>
        <w:t>期，实际发放额的确定依据是根据公司总体发展战略和年度的经营目标、其在公司担任的职务以及行业平均标准，结合公司</w:t>
      </w:r>
      <w:r>
        <w:rPr>
          <w:spacing w:val="-75"/>
        </w:rPr>
        <w:t> </w:t>
      </w:r>
      <w:r>
        <w:rPr>
          <w:spacing w:val="-75"/>
        </w:rPr>
      </w:r>
      <w:r>
        <w:rPr>
          <w:spacing w:val="-2"/>
        </w:rPr>
        <w:t>的工资制度、考核办法而确定的。高级管理人员实行年薪制，根据行业薪酬水平，结合经营效益、岗位情况等因素确定。年</w:t>
      </w:r>
      <w:r>
        <w:rPr>
          <w:spacing w:val="-72"/>
        </w:rPr>
        <w:t> </w:t>
      </w:r>
      <w:r>
        <w:rPr>
          <w:spacing w:val="-72"/>
        </w:rPr>
      </w:r>
      <w:r>
        <w:rPr/>
        <w:t>终对高级管理人员履行职责情况和年度实际业绩进行考评。</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136"/>
        <w:jc w:val="both"/>
      </w:pPr>
      <w:r>
        <w:rPr>
          <w:spacing w:val="-2"/>
        </w:rPr>
        <w:t>公司管理层高度重视特定工作岗位所需的用途能力水平的设定，以及对达到该水平所必需的知识和能力的要求。根据实际工</w:t>
      </w:r>
      <w:r>
        <w:rPr>
          <w:spacing w:val="-72"/>
        </w:rPr>
        <w:t> </w:t>
      </w:r>
      <w:r>
        <w:rPr>
          <w:spacing w:val="-72"/>
        </w:rPr>
      </w:r>
      <w:r>
        <w:rPr/>
        <w:t>作的需要，针对不同岗位展开多种形式的后期培训教育，使员工都能胜任目前所处的工作岗位。</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1471"/>
        <w:jc w:val="center"/>
        <w:rPr>
          <w:b w:val="0"/>
          <w:bCs w:val="0"/>
        </w:rPr>
      </w:pPr>
      <w:bookmarkStart w:name="_TOC_250003" w:id="139"/>
      <w:bookmarkStart w:name="第十节公司治理" w:id="140"/>
      <w:r>
        <w:rPr>
          <w:b w:val="0"/>
          <w:bCs w:val="0"/>
        </w:rPr>
      </w:r>
      <w:r>
        <w:rPr>
          <w:spacing w:val="5"/>
        </w:rPr>
        <w:t>第十节公司治理</w:t>
      </w:r>
      <w:bookmarkEnd w:id="139"/>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31" w:lineRule="auto" w:before="0"/>
        <w:ind w:right="0"/>
        <w:jc w:val="left"/>
      </w:pPr>
      <w:r>
        <w:rPr>
          <w:spacing w:val="-2"/>
        </w:rPr>
        <w:t>报告期内，公司严格按照《公司法》、《证券法》、《上市公司治理准则》、《深圳证券交易所股票上市规则》、《中小板</w:t>
      </w:r>
      <w:r>
        <w:rPr>
          <w:spacing w:val="-42"/>
        </w:rPr>
        <w:t> </w:t>
      </w:r>
      <w:r>
        <w:rPr>
          <w:spacing w:val="-42"/>
        </w:rPr>
      </w:r>
      <w:r>
        <w:rPr>
          <w:spacing w:val="-2"/>
        </w:rPr>
        <w:t>企业上市公司规范运作指引》及其他相关法律、法规的要求，不断完善公司治理结构，建立健全内部控制制度，不断加强信</w:t>
      </w:r>
      <w:r>
        <w:rPr>
          <w:spacing w:val="-57"/>
        </w:rPr>
        <w:t> </w:t>
      </w:r>
      <w:r>
        <w:rPr>
          <w:spacing w:val="-57"/>
        </w:rPr>
      </w:r>
      <w:r>
        <w:rPr/>
        <w:t>息披露工作，积极开展投资者关系管理，不断提高公司治理水平。 截止报告期末，公司治理的实际状况基本符合中国证监会发布的有关上市公司治理的规范性文件。</w:t>
      </w:r>
    </w:p>
    <w:p>
      <w:pPr>
        <w:pStyle w:val="BodyText"/>
        <w:spacing w:line="240" w:lineRule="auto" w:before="56"/>
        <w:ind w:right="0"/>
        <w:jc w:val="left"/>
      </w:pPr>
      <w:r>
        <w:rPr/>
        <w:t>公司已建立的各项制度名称和公开信息披露情况：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65"/>
        <w:gridCol w:w="4265"/>
      </w:tblGrid>
      <w:tr>
        <w:trPr>
          <w:trHeight w:val="421"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51"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59"/>
              <w:ind w:right="15"/>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5" w:type="dxa"/>
            <w:vMerge w:val="restart"/>
            <w:tcBorders>
              <w:top w:val="single" w:sz="6" w:space="0" w:color="000000"/>
              <w:left w:val="single" w:sz="6" w:space="0" w:color="000000"/>
              <w:right w:val="single" w:sz="6" w:space="0" w:color="000000"/>
            </w:tcBorders>
          </w:tcPr>
          <w:p>
            <w:pPr>
              <w:pStyle w:val="TableParagraph"/>
              <w:spacing w:line="304" w:lineRule="auto" w:before="74"/>
              <w:ind w:left="-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5" w:type="dxa"/>
            <w:vMerge/>
            <w:tcBorders>
              <w:left w:val="single" w:sz="6" w:space="0" w:color="000000"/>
              <w:right w:val="single" w:sz="6" w:space="0" w:color="000000"/>
            </w:tcBorders>
          </w:tcPr>
          <w:p>
            <w:pPr/>
          </w:p>
        </w:tc>
      </w:tr>
      <w:tr>
        <w:trPr>
          <w:trHeight w:val="43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76"/>
                <w:sz w:val="18"/>
                <w:szCs w:val="18"/>
              </w:rPr>
              <w:t>度</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5" w:type="dxa"/>
            <w:vMerge/>
            <w:tcBorders>
              <w:left w:val="single" w:sz="6" w:space="0" w:color="000000"/>
              <w:bottom w:val="single" w:sz="6" w:space="0" w:color="000000"/>
              <w:right w:val="single" w:sz="6" w:space="0" w:color="000000"/>
            </w:tcBorders>
          </w:tcPr>
          <w:p>
            <w:pPr/>
          </w:p>
        </w:tc>
      </w:tr>
      <w:tr>
        <w:trPr>
          <w:trHeight w:val="73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日，刊登于公司指定信息披露媒体巨潮资 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5" w:type="dxa"/>
            <w:vMerge w:val="restart"/>
            <w:tcBorders>
              <w:top w:val="single" w:sz="6" w:space="0" w:color="000000"/>
              <w:left w:val="single" w:sz="6" w:space="0" w:color="000000"/>
              <w:right w:val="single" w:sz="6" w:space="0" w:color="000000"/>
            </w:tcBorders>
          </w:tcPr>
          <w:p>
            <w:pPr>
              <w:pStyle w:val="TableParagraph"/>
              <w:spacing w:line="276" w:lineRule="auto" w:before="74"/>
              <w:ind w:left="-1"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过。</w:t>
            </w:r>
          </w:p>
        </w:tc>
      </w:tr>
      <w:tr>
        <w:trPr>
          <w:trHeight w:val="43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5" w:type="dxa"/>
            <w:vMerge/>
            <w:tcBorders>
              <w:left w:val="single" w:sz="6" w:space="0" w:color="000000"/>
              <w:right w:val="single" w:sz="6" w:space="0" w:color="000000"/>
            </w:tcBorders>
          </w:tcPr>
          <w:p>
            <w:pPr/>
          </w:p>
        </w:tc>
      </w:tr>
      <w:tr>
        <w:trPr>
          <w:trHeight w:val="421"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5" w:type="dxa"/>
            <w:vMerge/>
            <w:tcBorders>
              <w:left w:val="single" w:sz="6" w:space="0" w:color="000000"/>
              <w:right w:val="single" w:sz="6" w:space="0" w:color="000000"/>
            </w:tcBorders>
          </w:tcPr>
          <w:p>
            <w:pPr/>
          </w:p>
        </w:tc>
      </w:tr>
      <w:tr>
        <w:trPr>
          <w:trHeight w:val="43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5" w:type="dxa"/>
            <w:vMerge/>
            <w:tcBorders>
              <w:left w:val="single" w:sz="6" w:space="0" w:color="000000"/>
              <w:bottom w:val="single" w:sz="6" w:space="0" w:color="000000"/>
              <w:right w:val="single" w:sz="6" w:space="0" w:color="000000"/>
            </w:tcBorders>
          </w:tcPr>
          <w:p>
            <w:pP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5" w:type="dxa"/>
            <w:vMerge w:val="restart"/>
            <w:tcBorders>
              <w:top w:val="single" w:sz="6" w:space="0" w:color="000000"/>
              <w:left w:val="single" w:sz="6" w:space="0" w:color="000000"/>
              <w:right w:val="single" w:sz="6" w:space="0" w:color="000000"/>
            </w:tcBorders>
          </w:tcPr>
          <w:p>
            <w:pPr>
              <w:pStyle w:val="TableParagraph"/>
              <w:spacing w:line="290" w:lineRule="auto" w:before="59"/>
              <w:ind w:left="-1"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过。</w:t>
            </w:r>
          </w:p>
        </w:tc>
      </w:tr>
      <w:tr>
        <w:trPr>
          <w:trHeight w:val="43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5" w:type="dxa"/>
            <w:vMerge/>
            <w:tcBorders>
              <w:left w:val="single" w:sz="6" w:space="0" w:color="000000"/>
              <w:bottom w:val="single" w:sz="6" w:space="0" w:color="000000"/>
              <w:right w:val="single" w:sz="6" w:space="0" w:color="000000"/>
            </w:tcBorders>
          </w:tcPr>
          <w:p>
            <w:pPr/>
          </w:p>
        </w:tc>
      </w:tr>
      <w:tr>
        <w:trPr>
          <w:trHeight w:val="73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5" w:type="dxa"/>
            <w:vMerge w:val="restart"/>
            <w:tcBorders>
              <w:top w:val="single" w:sz="6" w:space="0" w:color="000000"/>
              <w:left w:val="single" w:sz="6" w:space="0" w:color="000000"/>
              <w:right w:val="single" w:sz="6" w:space="0" w:color="000000"/>
            </w:tcBorders>
          </w:tcPr>
          <w:p>
            <w:pPr>
              <w:pStyle w:val="TableParagraph"/>
              <w:spacing w:line="290" w:lineRule="auto" w:before="74"/>
              <w:ind w:left="-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3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5" w:type="dxa"/>
            <w:vMerge/>
            <w:tcBorders>
              <w:left w:val="single" w:sz="6" w:space="0" w:color="000000"/>
              <w:right w:val="single" w:sz="6" w:space="0" w:color="000000"/>
            </w:tcBorders>
          </w:tcPr>
          <w:p>
            <w:pP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5" w:type="dxa"/>
            <w:vMerge/>
            <w:tcBorders>
              <w:left w:val="single" w:sz="6" w:space="0" w:color="000000"/>
              <w:right w:val="single" w:sz="6" w:space="0" w:color="000000"/>
            </w:tcBorders>
          </w:tcPr>
          <w:p>
            <w:pPr/>
          </w:p>
        </w:tc>
      </w:tr>
      <w:tr>
        <w:trPr>
          <w:trHeight w:val="43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5" w:type="dxa"/>
            <w:vMerge/>
            <w:tcBorders>
              <w:left w:val="single" w:sz="6" w:space="0" w:color="000000"/>
              <w:right w:val="single" w:sz="6" w:space="0" w:color="000000"/>
            </w:tcBorders>
          </w:tcPr>
          <w:p>
            <w:pPr/>
          </w:p>
        </w:tc>
      </w:tr>
      <w:tr>
        <w:trPr>
          <w:trHeight w:val="42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5" w:type="dxa"/>
            <w:vMerge/>
            <w:tcBorders>
              <w:left w:val="single" w:sz="6" w:space="0" w:color="000000"/>
              <w:right w:val="single" w:sz="6" w:space="0" w:color="000000"/>
            </w:tcBorders>
          </w:tcPr>
          <w:p>
            <w:pPr/>
          </w:p>
        </w:tc>
      </w:tr>
      <w:tr>
        <w:trPr>
          <w:trHeight w:val="43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5" w:type="dxa"/>
            <w:vMerge/>
            <w:tcBorders>
              <w:left w:val="single" w:sz="6" w:space="0" w:color="000000"/>
              <w:bottom w:val="single" w:sz="6" w:space="0" w:color="000000"/>
              <w:right w:val="single" w:sz="6" w:space="0" w:color="000000"/>
            </w:tcBorders>
          </w:tcPr>
          <w:p>
            <w:pPr/>
          </w:p>
        </w:tc>
      </w:tr>
    </w:tbl>
    <w:p>
      <w:pPr>
        <w:pStyle w:val="BodyText"/>
        <w:spacing w:line="319" w:lineRule="auto" w:before="60"/>
        <w:ind w:right="0"/>
        <w:jc w:val="left"/>
      </w:pPr>
      <w:r>
        <w:rPr>
          <w:rFonts w:ascii="Times New Roman" w:hAnsi="Times New Roman" w:cs="Times New Roman" w:eastAsia="Times New Roman" w:hint="default"/>
        </w:rPr>
        <w:t>1</w:t>
      </w:r>
      <w:r>
        <w:rPr/>
        <w:t>、关于股东与股东大会 </w:t>
      </w:r>
      <w:r>
        <w:rPr>
          <w:spacing w:val="-2"/>
        </w:rPr>
        <w:t>公司严格遵守法律法规，按程序召集、召开股东大会。股东大会的召集、召开程序、出席股东大会的人员资格及股东大会的</w:t>
      </w:r>
      <w:r>
        <w:rPr>
          <w:spacing w:val="-57"/>
        </w:rPr>
        <w:t> </w:t>
      </w:r>
      <w:r>
        <w:rPr>
          <w:spacing w:val="-57"/>
        </w:rPr>
      </w:r>
      <w:r>
        <w:rPr>
          <w:spacing w:val="-2"/>
        </w:rPr>
        <w:t>表决程序均符合《公司法》、《公司章程》及其他法律法规的规定，能够确保全体股东尤其是中小股东享有平等地位，充分</w:t>
      </w:r>
      <w:r>
        <w:rPr>
          <w:spacing w:val="-74"/>
        </w:rPr>
        <w:t> </w:t>
      </w:r>
      <w:r>
        <w:rPr>
          <w:spacing w:val="-74"/>
        </w:rPr>
      </w:r>
      <w:r>
        <w:rPr/>
        <w:t>行使自己的权利。报告期内召开的股东大会均由公司董事会召集召开，并邀请律师进行现场见证。</w:t>
      </w:r>
    </w:p>
    <w:p>
      <w:pPr>
        <w:pStyle w:val="BodyText"/>
        <w:spacing w:line="240" w:lineRule="auto" w:before="65"/>
        <w:ind w:right="0"/>
        <w:jc w:val="left"/>
      </w:pPr>
      <w:r>
        <w:rPr>
          <w:rFonts w:ascii="Times New Roman" w:hAnsi="Times New Roman" w:cs="Times New Roman" w:eastAsia="Times New Roman" w:hint="default"/>
        </w:rPr>
        <w:t>2</w:t>
      </w:r>
      <w:r>
        <w:rPr/>
        <w:t>、关于公司与控股股东</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1129"/>
        <w:jc w:val="both"/>
      </w:pPr>
      <w:r>
        <w:rPr>
          <w:spacing w:val="-2"/>
        </w:rPr>
        <w:t>公司在业务、人员、资产、机构、财务等方面与控股股东相互独立，公司董事会、监事会和内部机构独立运作，公司的重大</w:t>
      </w:r>
      <w:r>
        <w:rPr>
          <w:spacing w:val="-73"/>
        </w:rPr>
        <w:t> </w:t>
      </w:r>
      <w:r>
        <w:rPr>
          <w:spacing w:val="-73"/>
        </w:rPr>
      </w:r>
      <w:r>
        <w:rPr>
          <w:spacing w:val="-2"/>
        </w:rPr>
        <w:t>决策由股东大会依法做出，控股股东依法行使股东权利，没有超越公司股东大会直接或者间接干预公司的决策和经营活动行</w:t>
      </w:r>
      <w:r>
        <w:rPr>
          <w:spacing w:val="-66"/>
        </w:rPr>
        <w:t> </w:t>
      </w:r>
      <w:r>
        <w:rPr>
          <w:spacing w:val="-66"/>
        </w:rPr>
      </w:r>
      <w:r>
        <w:rPr/>
        <w:t>为。本报告期内，不存在控股股东占用公司资金的现象，也不存在公司为控股股东及其子公司提供担保的行为。</w:t>
      </w:r>
    </w:p>
    <w:p>
      <w:pPr>
        <w:pStyle w:val="BodyText"/>
        <w:spacing w:line="240" w:lineRule="auto" w:before="63"/>
        <w:ind w:right="0"/>
        <w:jc w:val="both"/>
      </w:pPr>
      <w:r>
        <w:rPr>
          <w:rFonts w:ascii="Times New Roman" w:hAnsi="Times New Roman" w:cs="Times New Roman" w:eastAsia="Times New Roman" w:hint="default"/>
        </w:rPr>
        <w:t>3</w:t>
      </w:r>
      <w:r>
        <w:rPr/>
        <w:t>、关于董事与董事会</w:t>
      </w:r>
    </w:p>
    <w:p>
      <w:pPr>
        <w:pStyle w:val="BodyText"/>
        <w:spacing w:line="297" w:lineRule="auto" w:before="111"/>
        <w:ind w:right="1112"/>
        <w:jc w:val="both"/>
      </w:pPr>
      <w:r>
        <w:rPr>
          <w:spacing w:val="-2"/>
        </w:rPr>
        <w:t>公司严格按照法律法规和《公司章程》规定选举董事：董事会目前人数</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人，人数和人员构成符合法律法</w:t>
      </w:r>
      <w:r>
        <w:rPr>
          <w:spacing w:val="-48"/>
        </w:rPr>
        <w:t> </w:t>
      </w:r>
      <w:r>
        <w:rPr>
          <w:spacing w:val="-48"/>
        </w:rPr>
      </w:r>
      <w:r>
        <w:rPr>
          <w:spacing w:val="-2"/>
        </w:rPr>
        <w:t>规和《公司章程》的要求。公司董事会设立了审计委员会、提名委员会、薪酬与考核委员会和发展战略委员会，为董事会的</w:t>
      </w:r>
      <w:r>
        <w:rPr>
          <w:spacing w:val="-72"/>
        </w:rPr>
        <w:t> </w:t>
      </w:r>
      <w:r>
        <w:rPr>
          <w:spacing w:val="-72"/>
        </w:rPr>
      </w:r>
      <w:r>
        <w:rPr>
          <w:spacing w:val="-2"/>
        </w:rPr>
        <w:t>决策提供专业意见。公司全体董事能够依据《董事会议事规则》、《独立董事制度》等制度开展工作。公司三名独立董事在</w:t>
      </w:r>
    </w:p>
    <w:p>
      <w:pPr>
        <w:pStyle w:val="BodyText"/>
        <w:spacing w:line="240" w:lineRule="auto" w:before="36"/>
        <w:ind w:right="0"/>
        <w:jc w:val="both"/>
      </w:pPr>
      <w:r>
        <w:rPr/>
        <w:t>工作中保持充分的独立性，认真审议各项议案，对有关事项发表了独立意见，切实维护了公司和中小股东的利益。</w:t>
      </w:r>
    </w:p>
    <w:p>
      <w:pPr>
        <w:pStyle w:val="BodyText"/>
        <w:spacing w:line="240" w:lineRule="auto" w:before="125"/>
        <w:ind w:right="0"/>
        <w:jc w:val="both"/>
      </w:pPr>
      <w:r>
        <w:rPr>
          <w:rFonts w:ascii="Times New Roman" w:hAnsi="Times New Roman" w:cs="Times New Roman" w:eastAsia="Times New Roman" w:hint="default"/>
        </w:rPr>
        <w:t>4</w:t>
      </w:r>
      <w:r>
        <w:rPr/>
        <w:t>、关于监事和监事会</w:t>
      </w:r>
    </w:p>
    <w:p>
      <w:pPr>
        <w:pStyle w:val="BodyText"/>
        <w:spacing w:line="297" w:lineRule="auto" w:before="111"/>
        <w:ind w:right="1136"/>
        <w:jc w:val="both"/>
      </w:pPr>
      <w:r>
        <w:rPr/>
        <w:t>公司监事会由</w:t>
      </w:r>
      <w:r>
        <w:rPr>
          <w:rFonts w:ascii="Times New Roman" w:hAnsi="Times New Roman" w:cs="Times New Roman" w:eastAsia="Times New Roman" w:hint="default"/>
        </w:rPr>
        <w:t>3</w:t>
      </w:r>
      <w:r>
        <w:rPr/>
        <w:t>名监事组成，监事人数和人员构成符合法律、法规及《公司章程》的要求。报告期内，公司监事会按照《监 </w:t>
      </w:r>
      <w:r>
        <w:rPr>
          <w:spacing w:val="-2"/>
        </w:rPr>
        <w:t>事会议事规则》和有关法律、法规的规定履行职责，本着对股东负责的态度，对公司经营运作、财务状况以及公司董事、经</w:t>
      </w:r>
      <w:r>
        <w:rPr>
          <w:spacing w:val="-72"/>
        </w:rPr>
        <w:t> </w:t>
      </w:r>
      <w:r>
        <w:rPr>
          <w:spacing w:val="-72"/>
        </w:rPr>
      </w:r>
      <w:r>
        <w:rPr/>
        <w:t>理和其他管理人员履行职责的合法合规性进行监督，维护了公司及股东的权益。</w:t>
      </w:r>
    </w:p>
    <w:p>
      <w:pPr>
        <w:pStyle w:val="BodyText"/>
        <w:spacing w:line="319" w:lineRule="auto" w:before="97"/>
        <w:ind w:right="1029"/>
        <w:jc w:val="left"/>
      </w:pPr>
      <w:r>
        <w:rPr>
          <w:rFonts w:ascii="Times New Roman" w:hAnsi="Times New Roman" w:cs="Times New Roman" w:eastAsia="Times New Roman" w:hint="default"/>
        </w:rPr>
        <w:t>5</w:t>
      </w:r>
      <w:r>
        <w:rPr/>
        <w:t>、独立董事制度及其执行情况 </w:t>
      </w:r>
      <w:r>
        <w:rPr>
          <w:spacing w:val="-2"/>
        </w:rPr>
        <w:t>报告期内，公司全体董事严格按照《公司法》、《公司章程》的规定和要求，履行董事职责，遵守董事行为规范，董事在董</w:t>
      </w:r>
      <w:r>
        <w:rPr>
          <w:spacing w:val="-67"/>
        </w:rPr>
        <w:t> </w:t>
      </w:r>
      <w:r>
        <w:rPr>
          <w:spacing w:val="-67"/>
        </w:rPr>
      </w:r>
      <w:r>
        <w:rPr/>
        <w:t>事会会议投票表决重大事项或其他对公司有重大影响的事项时，严格遵循公司董事会议事规则的有关审议规定，审慎决策， 切实保护公司和投资者利益。</w:t>
      </w:r>
    </w:p>
    <w:p>
      <w:pPr>
        <w:pStyle w:val="BodyText"/>
        <w:spacing w:line="333" w:lineRule="auto" w:before="65"/>
        <w:ind w:right="4449" w:firstLine="75"/>
        <w:jc w:val="left"/>
      </w:pPr>
      <w:r>
        <w:rPr>
          <w:rFonts w:ascii="Times New Roman" w:hAnsi="Times New Roman" w:cs="Times New Roman" w:eastAsia="Times New Roman" w:hint="default"/>
        </w:rPr>
        <w:t>6</w:t>
      </w:r>
      <w:r>
        <w:rPr/>
        <w:t>、关于信息披露与投资者关系管理 公司治理专项活动开展情况以及内幕信息知情人登记管理制度的制定、实施情况</w:t>
      </w:r>
    </w:p>
    <w:p>
      <w:pPr>
        <w:pStyle w:val="BodyText"/>
        <w:spacing w:line="304" w:lineRule="auto" w:before="54"/>
        <w:ind w:right="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日，经公司第一届董事会第十次会议审议通过了《内幕知情人管理制度》，并于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日刊登于公司指定</w:t>
      </w:r>
      <w:r>
        <w:rPr>
          <w:spacing w:val="-83"/>
        </w:rPr>
        <w:t> </w:t>
      </w:r>
      <w:r>
        <w:rPr>
          <w:spacing w:val="-1"/>
        </w:rPr>
        <w:t>信息披露媒体巨潮资讯网（</w:t>
      </w:r>
      <w:hyperlink r:id="rId11">
        <w:r>
          <w:rPr>
            <w:rFonts w:ascii="Times New Roman" w:hAnsi="Times New Roman" w:cs="Times New Roman" w:eastAsia="Times New Roman" w:hint="default"/>
            <w:spacing w:val="-1"/>
          </w:rPr>
          <w:t>www.cninfo.com.cn</w:t>
        </w:r>
      </w:hyperlink>
      <w:r>
        <w:rPr>
          <w:spacing w:val="-1"/>
        </w:rPr>
        <w:t>）。报告期内公司严格按照制度执行，认真做好内幕知情人的等级备案工作。</w:t>
      </w:r>
    </w:p>
    <w:p>
      <w:pPr>
        <w:spacing w:line="240" w:lineRule="auto" w:before="0"/>
        <w:rPr>
          <w:rFonts w:ascii="宋体" w:hAnsi="宋体" w:cs="宋体" w:eastAsia="宋体" w:hint="default"/>
          <w:sz w:val="18"/>
          <w:szCs w:val="18"/>
        </w:rPr>
      </w:pPr>
    </w:p>
    <w:p>
      <w:pPr>
        <w:pStyle w:val="BodyText"/>
        <w:spacing w:line="240" w:lineRule="auto" w:before="152"/>
        <w:ind w:right="0"/>
        <w:jc w:val="both"/>
      </w:pPr>
      <w:r>
        <w:rPr/>
        <w:t>公司治理的实际状况与中国证监会发布的有关上市公司治理的规范性文件是否存在重大差异</w:t>
      </w:r>
    </w:p>
    <w:p>
      <w:pPr>
        <w:pStyle w:val="BodyText"/>
        <w:spacing w:line="316" w:lineRule="auto" w:before="140"/>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321" w:lineRule="auto" w:before="0"/>
        <w:ind w:right="1164" w:firstLine="225"/>
        <w:jc w:val="left"/>
      </w:pPr>
      <w:r>
        <w:rPr/>
        <w:t>公司自设立以来，严格按照《公司法》、《证券法》等有关法律、法规和公司章程的要求规范运作，公司与控股股东在 业务、人员、资产、机构、财务等方面完全分开，具有独立完整的自主经营能力。</w:t>
      </w:r>
    </w:p>
    <w:p>
      <w:pPr>
        <w:pStyle w:val="BodyText"/>
        <w:spacing w:line="321" w:lineRule="auto" w:before="4"/>
        <w:ind w:right="0" w:firstLine="150"/>
        <w:jc w:val="left"/>
      </w:pPr>
      <w:r>
        <w:rPr>
          <w:spacing w:val="-3"/>
        </w:rPr>
        <w:t>（一）业务独立情况，公司拥有完整的供应、研发、生产和销售体系，具有独立面向市场自主经营的能力，独立开展业务，</w:t>
      </w:r>
      <w:r>
        <w:rPr/>
        <w:t> 独立核算和决策，独立承担责任与风险。</w:t>
      </w:r>
    </w:p>
    <w:p>
      <w:pPr>
        <w:pStyle w:val="BodyText"/>
        <w:spacing w:line="321" w:lineRule="auto" w:before="19"/>
        <w:ind w:right="0" w:firstLine="150"/>
        <w:jc w:val="left"/>
      </w:pPr>
      <w:r>
        <w:rPr>
          <w:spacing w:val="-2"/>
        </w:rPr>
        <w:t>（二）资产完整情况，公司与控股股东产权关系明晰，公司对所有资产有完全的控制支配权，不存在资产、资金被控股股</w:t>
      </w:r>
      <w:r>
        <w:rPr/>
        <w:t> 东占用而损害公司利益的情况。</w:t>
      </w:r>
    </w:p>
    <w:p>
      <w:pPr>
        <w:pStyle w:val="BodyText"/>
        <w:spacing w:line="304" w:lineRule="auto" w:before="18"/>
        <w:ind w:right="0" w:firstLine="150"/>
        <w:jc w:val="left"/>
      </w:pPr>
      <w:r>
        <w:rPr>
          <w:spacing w:val="-1"/>
        </w:rPr>
        <w:t>（三）人员独立情况，公司董事、监事、高级管理人员均严格按照《公司法》、《公司章程》的有关规定产生，不存在在</w:t>
      </w:r>
      <w:r>
        <w:rPr/>
        <w:t> 股东公司或下属企业兼任除董事、监事以外的执行职务的情况。</w:t>
      </w:r>
    </w:p>
    <w:p>
      <w:pPr>
        <w:pStyle w:val="BodyText"/>
        <w:spacing w:line="321" w:lineRule="auto" w:before="31"/>
        <w:ind w:right="0" w:firstLine="150"/>
        <w:jc w:val="left"/>
      </w:pPr>
      <w:r>
        <w:rPr>
          <w:spacing w:val="-2"/>
        </w:rPr>
        <w:t>（四）机构独立情况，公司拥有独立完整的组织机构，建立健全了股东大会、董事会、监事会和总经理等相互约束的法人</w:t>
      </w:r>
      <w:r>
        <w:rPr/>
        <w:t> 治理结构。不存在股东公司及其它关联公司干预公司机构设置的情况。</w:t>
      </w:r>
    </w:p>
    <w:p>
      <w:pPr>
        <w:pStyle w:val="BodyText"/>
        <w:spacing w:line="321" w:lineRule="auto" w:before="18"/>
        <w:ind w:right="0" w:firstLine="150"/>
        <w:jc w:val="left"/>
      </w:pPr>
      <w:r>
        <w:rPr>
          <w:spacing w:val="-3"/>
        </w:rPr>
        <w:t>（五）财务独立情况，公司设有独立的财务会计部门和内部审计部门，建立了独立的会计核算体系和规范的财务管理制度，</w:t>
      </w:r>
      <w:r>
        <w:rPr/>
        <w:t> 独立进行财务决策。不存在与股东共用银行账户或者混合纳税现象。</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43"/>
      <w:bookmarkEnd w:id="143"/>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63.80%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2019-040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58.41%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2019-070</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59.35%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2019-077</w:t>
            </w:r>
          </w:p>
        </w:tc>
      </w:tr>
    </w:tbl>
    <w:p>
      <w:pPr>
        <w:spacing w:line="240" w:lineRule="auto" w:before="11"/>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28"/>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独立董事对公司有关事项是否提出异议</w:t>
      </w:r>
    </w:p>
    <w:p>
      <w:pPr>
        <w:pStyle w:val="BodyText"/>
        <w:spacing w:line="319" w:lineRule="auto" w:before="140"/>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独立董事对公司有关建议是否被采纳</w:t>
      </w:r>
    </w:p>
    <w:p>
      <w:pPr>
        <w:pStyle w:val="BodyText"/>
        <w:spacing w:line="333" w:lineRule="auto" w:before="124"/>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240" w:lineRule="auto" w:before="54"/>
        <w:ind w:right="0"/>
        <w:jc w:val="left"/>
      </w:pPr>
      <w:r>
        <w:rPr>
          <w:rFonts w:ascii="Times New Roman" w:hAnsi="Times New Roman" w:cs="Times New Roman" w:eastAsia="Times New Roman" w:hint="default"/>
        </w:rPr>
        <w:t>2019</w:t>
      </w:r>
      <w:r>
        <w:rPr/>
        <w:t>年度，独立董事利用参加董事会、股东大会和业务交流的机会对公司进行了多次现场考察，了解公司的生产经营情况、</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ind w:right="0"/>
        <w:jc w:val="left"/>
      </w:pPr>
      <w:r>
        <w:rPr>
          <w:spacing w:val="-2"/>
        </w:rPr>
        <w:t>内部控制和财务状况；与公司其他董事、高管人员及相关工作人员保持密切联系，及时获悉公司各重大事项的进展情况，时</w:t>
      </w:r>
      <w:r>
        <w:rPr>
          <w:spacing w:val="-42"/>
        </w:rPr>
        <w:t> </w:t>
      </w:r>
      <w:r>
        <w:rPr>
          <w:spacing w:val="-42"/>
        </w:rPr>
      </w:r>
      <w:r>
        <w:rPr/>
        <w:t>刻关注外部环境及市场变化对公司的美盛文化创意股份有限公司</w:t>
      </w:r>
      <w:r>
        <w:rPr>
          <w:spacing w:val="-9"/>
        </w:rPr>
        <w:t> </w:t>
      </w:r>
      <w:r>
        <w:rPr/>
        <w:t>影响，对公司经营管理提出积极有益的建议。</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13"/>
        <w:rPr>
          <w:rFonts w:ascii="宋体" w:hAnsi="宋体" w:cs="宋体" w:eastAsia="宋体" w:hint="default"/>
          <w:b/>
          <w:bCs/>
          <w:sz w:val="24"/>
          <w:szCs w:val="24"/>
        </w:rPr>
      </w:pPr>
    </w:p>
    <w:p>
      <w:pPr>
        <w:pStyle w:val="BodyText"/>
        <w:spacing w:line="321" w:lineRule="auto" w:before="0"/>
        <w:ind w:right="1112" w:firstLine="150"/>
        <w:jc w:val="left"/>
      </w:pPr>
      <w:r>
        <w:rPr>
          <w:spacing w:val="-1"/>
        </w:rPr>
        <w:t>报告期内，董事会下设专门委员会，各委员在报告期内恪尽职守、诚实守信地履行职责，积极参加董事会和股东大会，召</w:t>
      </w:r>
      <w:r>
        <w:rPr/>
        <w:t> 开相关会议，发挥各自的专业特长、技能和经验，积极地履行职责，切实维护公司及股东特别是社会公众股股东的权益。</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33" w:lineRule="auto" w:before="125"/>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21" w:lineRule="auto" w:before="0"/>
        <w:ind w:right="0" w:firstLine="150"/>
        <w:jc w:val="left"/>
      </w:pPr>
      <w:r>
        <w:rPr>
          <w:spacing w:val="-2"/>
        </w:rPr>
        <w:t>高级管理人员实行年薪制，根据行业薪酬水平，结合经营效益、岗位情况等因素确定。年终对高级管理人员履行职责情况</w:t>
      </w:r>
      <w:r>
        <w:rPr/>
        <w:t> 和年度实际业绩进行考评。</w:t>
      </w:r>
      <w:r>
        <w:rPr>
          <w:rFonts w:ascii="Times New Roman" w:hAnsi="Times New Roman" w:cs="Times New Roman" w:eastAsia="Times New Roman" w:hint="default"/>
        </w:rPr>
        <w:t>2019</w:t>
      </w:r>
      <w:r>
        <w:rPr/>
        <w:t>年度公司未实行股权激励等事项。</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95"/>
        <w:gridCol w:w="3323"/>
        <w:gridCol w:w="3064"/>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详见公司在巨潮资讯网上披露的公告</w:t>
            </w:r>
          </w:p>
        </w:tc>
      </w:tr>
      <w:tr>
        <w:trPr>
          <w:trHeight w:val="7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97.25%</w:t>
            </w:r>
            <w:r>
              <w:rPr>
                <w:rFonts w:ascii="Times New Roman"/>
                <w:sz w:val="18"/>
              </w:rPr>
            </w:r>
          </w:p>
        </w:tc>
      </w:tr>
      <w:tr>
        <w:trPr>
          <w:trHeight w:val="7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29.54%</w:t>
            </w:r>
            <w:r>
              <w:rPr>
                <w:rFonts w:ascii="Times New Roman"/>
                <w:sz w:val="18"/>
              </w:rPr>
            </w:r>
          </w:p>
        </w:tc>
      </w:tr>
      <w:tr>
        <w:trPr>
          <w:trHeight w:val="405"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237"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8" w:right="0"/>
              <w:jc w:val="both"/>
              <w:rPr>
                <w:rFonts w:ascii="宋体" w:hAnsi="宋体" w:cs="宋体" w:eastAsia="宋体" w:hint="default"/>
                <w:sz w:val="18"/>
                <w:szCs w:val="18"/>
              </w:rPr>
            </w:pPr>
            <w:r>
              <w:rPr>
                <w:rFonts w:ascii="宋体" w:hAnsi="宋体" w:cs="宋体" w:eastAsia="宋体" w:hint="default"/>
                <w:sz w:val="18"/>
                <w:szCs w:val="18"/>
              </w:rPr>
              <w:t>财务报告内部控制重大缺陷的迹象包括：</w:t>
            </w:r>
          </w:p>
          <w:p>
            <w:pPr>
              <w:pStyle w:val="TableParagraph"/>
              <w:spacing w:line="319" w:lineRule="auto" w:before="65"/>
              <w:ind w:left="18" w:right="44"/>
              <w:jc w:val="both"/>
              <w:rPr>
                <w:rFonts w:ascii="宋体" w:hAnsi="宋体" w:cs="宋体" w:eastAsia="宋体" w:hint="default"/>
                <w:sz w:val="18"/>
                <w:szCs w:val="18"/>
              </w:rPr>
            </w:pPr>
            <w:r>
              <w:rPr>
                <w:rFonts w:ascii="宋体" w:hAnsi="宋体" w:cs="宋体" w:eastAsia="宋体" w:hint="default"/>
                <w:sz w:val="18"/>
                <w:szCs w:val="18"/>
              </w:rPr>
              <w:t>①公司董事、监事和高级管理人员的舞弊 行为；②公司更正已公布的财务报告；③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注册会计师发现的却未被公司内部控制识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别的当期财务报告中的重大错报；④审计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委员会和审计部门对公司的对外财务报告 和财务报告内部控制监督无效。财务报告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评价的定性标准以缺陷对业务流程有 效性的影响程度、发生的可能性作判 </w:t>
            </w:r>
            <w:r>
              <w:rPr>
                <w:rFonts w:ascii="宋体" w:hAnsi="宋体" w:cs="宋体" w:eastAsia="宋体" w:hint="default"/>
                <w:spacing w:val="-4"/>
                <w:sz w:val="18"/>
                <w:szCs w:val="18"/>
              </w:rPr>
              <w:t>定，认定标准如下：①非财务报告内部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控制的重大缺陷包括：缺陷发生的可能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性高，会严重降低工作效率或效果、或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严重加大效果的不确定性、或使之严重</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r>
        <w:rPr/>
        <w:pict>
          <v:shape style="position:absolute;margin-left:259.77301pt;margin-top:199.675003pt;width:275.7pt;height:30.8pt;mso-position-horizontal-relative:page;mso-position-vertical-relative:page;z-index:-1110784" type="#_x0000_t202" filled="false" stroked="false">
            <v:textbox inset="0,0,0,0">
              <w:txbxContent>
                <w:p>
                  <w:pPr>
                    <w:spacing w:line="240" w:lineRule="auto" w:before="9"/>
                    <w:rPr>
                      <w:rFonts w:ascii="宋体" w:hAnsi="宋体" w:cs="宋体" w:eastAsia="宋体" w:hint="default"/>
                      <w:sz w:val="20"/>
                      <w:szCs w:val="20"/>
                    </w:rPr>
                  </w:pPr>
                </w:p>
                <w:p>
                  <w:pPr>
                    <w:pStyle w:val="BodyText"/>
                    <w:spacing w:line="240" w:lineRule="auto" w:before="0"/>
                    <w:ind w:left="0" w:right="0"/>
                    <w:jc w:val="left"/>
                  </w:pPr>
                  <w:r>
                    <w:rPr/>
                    <w:t>重要缺陷之外的其他控制缺陷。</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3199"/>
        <w:gridCol w:w="3319"/>
        <w:gridCol w:w="3064"/>
      </w:tblGrid>
      <w:tr>
        <w:trPr>
          <w:trHeight w:val="3167"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4" w:right="44"/>
              <w:jc w:val="both"/>
              <w:rPr>
                <w:rFonts w:ascii="宋体" w:hAnsi="宋体" w:cs="宋体" w:eastAsia="宋体" w:hint="default"/>
                <w:sz w:val="18"/>
                <w:szCs w:val="18"/>
              </w:rPr>
            </w:pPr>
            <w:r>
              <w:rPr>
                <w:rFonts w:ascii="宋体" w:hAnsi="宋体" w:cs="宋体" w:eastAsia="宋体" w:hint="default"/>
                <w:sz w:val="18"/>
                <w:szCs w:val="18"/>
              </w:rPr>
              <w:t>内部控制重要缺陷的迹象包括：①未依照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公认会计准则选择和应用会计政策；②未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建立反舞弊程序和控制措施；③对于非常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规或特殊交易的账务处理没有建立相应的 控制机制或没有实施且没有相应的补偿性 控制；④对于期末财务报告过程的控制存 在一项或多项缺陷且不能合理保证编制的 财务报表达到真实、完整的目标。财务报 告内部控制一般缺陷的迹象包括：除上述 重大缺陷、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42"/>
              <w:jc w:val="left"/>
              <w:rPr>
                <w:rFonts w:ascii="宋体" w:hAnsi="宋体" w:cs="宋体" w:eastAsia="宋体" w:hint="default"/>
                <w:sz w:val="18"/>
                <w:szCs w:val="18"/>
              </w:rPr>
            </w:pPr>
            <w:r>
              <w:rPr>
                <w:rFonts w:ascii="宋体" w:hAnsi="宋体" w:cs="宋体" w:eastAsia="宋体" w:hint="default"/>
                <w:spacing w:val="-4"/>
                <w:sz w:val="18"/>
                <w:szCs w:val="18"/>
              </w:rPr>
              <w:t>偏离预期目标。②非财务报告内部控制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的重要缺陷包括：缺陷发生的可能性较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高，会显著降低工作效率或效果、或显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离预期目标。③非财务报告内部控制的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一般缺陷包括：缺陷发生的可能性较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果的不确定性、或使之偏离预期目标。</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615"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52.450pt;height:30.8pt;mso-position-horizontal-relative:char;mso-position-vertical-relative:line" coordorigin="0,0" coordsize="3049,616">
                  <v:group style="position:absolute;left:0;top:0;width:3049;height:616" coordorigin="0,0" coordsize="3049,616">
                    <v:shape style="position:absolute;left:0;top:0;width:3049;height:616" coordorigin="0,0" coordsize="3049,616" path="m0,615l3049,615,3049,0,0,0,0,615xe" filled="true" fillcolor="#ffffff" stroked="false">
                      <v:path arrowok="t"/>
                      <v:fill type="solid"/>
                    </v:shape>
                  </v:group>
                </v:group>
              </w:pict>
            </w:r>
            <w:r>
              <w:rPr>
                <w:rFonts w:ascii="宋体" w:hAnsi="宋体" w:cs="宋体" w:eastAsia="宋体" w:hint="default"/>
                <w:position w:val="-11"/>
                <w:sz w:val="20"/>
                <w:szCs w:val="20"/>
              </w:rPr>
            </w:r>
          </w:p>
        </w:tc>
      </w:tr>
      <w:tr>
        <w:trPr>
          <w:trHeight w:val="2282"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19"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宋体" w:hAnsi="宋体" w:cs="宋体" w:eastAsia="宋体" w:hint="default"/>
                <w:spacing w:val="1"/>
                <w:sz w:val="18"/>
                <w:szCs w:val="18"/>
              </w:rPr>
              <w:t>金</w:t>
            </w:r>
            <w:r>
              <w:rPr>
                <w:rFonts w:ascii="宋体" w:hAnsi="宋体" w:cs="宋体" w:eastAsia="宋体" w:hint="default"/>
                <w:sz w:val="18"/>
                <w:szCs w:val="18"/>
              </w:rPr>
              <w:t>额</w:t>
            </w:r>
            <w:r>
              <w:rPr>
                <w:rFonts w:ascii="Times New Roman" w:hAnsi="Times New Roman" w:cs="Times New Roman" w:eastAsia="Times New Roman" w:hint="default"/>
                <w:spacing w:val="6"/>
                <w:w w:val="100"/>
                <w:sz w:val="18"/>
                <w:szCs w:val="18"/>
              </w:rPr>
              <w:t>≥</w:t>
            </w:r>
            <w:r>
              <w:rPr>
                <w:rFonts w:ascii="宋体" w:hAnsi="宋体" w:cs="宋体" w:eastAsia="宋体" w:hint="default"/>
                <w:sz w:val="18"/>
                <w:szCs w:val="18"/>
              </w:rPr>
              <w:t>资产总额的</w:t>
            </w:r>
          </w:p>
          <w:p>
            <w:pPr>
              <w:pStyle w:val="TableParagraph"/>
              <w:spacing w:line="240" w:lineRule="auto" w:before="51"/>
              <w:ind w:left="14" w:right="-61"/>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）错报金</w:t>
            </w:r>
            <w:r>
              <w:rPr>
                <w:rFonts w:ascii="宋体" w:hAnsi="宋体" w:cs="宋体" w:eastAsia="宋体" w:hint="default"/>
                <w:spacing w:val="1"/>
                <w:w w:val="99"/>
                <w:sz w:val="18"/>
                <w:szCs w:val="18"/>
              </w:rPr>
              <w:t>额</w:t>
            </w:r>
            <w:r>
              <w:rPr>
                <w:rFonts w:ascii="Times New Roman" w:hAnsi="Times New Roman" w:cs="Times New Roman" w:eastAsia="Times New Roman" w:hint="default"/>
                <w:spacing w:val="6"/>
                <w:w w:val="100"/>
                <w:sz w:val="18"/>
                <w:szCs w:val="18"/>
              </w:rPr>
              <w:t>≥</w:t>
            </w:r>
            <w:r>
              <w:rPr>
                <w:rFonts w:ascii="宋体" w:hAnsi="宋体" w:cs="宋体" w:eastAsia="宋体" w:hint="default"/>
                <w:sz w:val="18"/>
                <w:szCs w:val="18"/>
              </w:rPr>
              <w:t>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0" w:lineRule="auto" w:before="66"/>
              <w:ind w:left="14" w:right="-6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宋体" w:hAnsi="宋体" w:cs="宋体" w:eastAsia="宋体" w:hint="default"/>
                <w:spacing w:val="-86"/>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）营业收入总额</w:t>
            </w:r>
            <w:r>
              <w:rPr>
                <w:rFonts w:ascii="宋体" w:hAnsi="宋体" w:cs="宋体" w:eastAsia="宋体" w:hint="default"/>
                <w:spacing w:val="-84"/>
                <w:sz w:val="18"/>
                <w:szCs w:val="18"/>
              </w:rPr>
              <w:t> </w:t>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88"/>
                <w:sz w:val="18"/>
                <w:szCs w:val="18"/>
              </w:rPr>
              <w:t> </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资产总额的</w:t>
            </w:r>
            <w:r>
              <w:rPr>
                <w:rFonts w:ascii="宋体" w:hAnsi="宋体" w:cs="宋体" w:eastAsia="宋体" w:hint="default"/>
                <w:spacing w:val="-85"/>
                <w:sz w:val="18"/>
                <w:szCs w:val="18"/>
              </w:rPr>
              <w:t>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）错报金额</w:t>
            </w:r>
            <w:r>
              <w:rPr>
                <w:rFonts w:ascii="Times New Roman" w:hAnsi="Times New Roman" w:cs="Times New Roman" w:eastAsia="Times New Roman" w:hint="default"/>
                <w:spacing w:val="-9"/>
                <w:sz w:val="18"/>
                <w:szCs w:val="18"/>
              </w:rPr>
              <w:t>&lt;</w:t>
            </w:r>
            <w:r>
              <w:rPr>
                <w:rFonts w:ascii="宋体" w:hAnsi="宋体" w:cs="宋体" w:eastAsia="宋体" w:hint="default"/>
                <w:spacing w:val="-9"/>
                <w:sz w:val="18"/>
                <w:szCs w:val="18"/>
              </w:rPr>
              <w:t>营业收入总额的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r>
          </w:p>
        </w:tc>
        <w:tc>
          <w:tcPr>
            <w:tcW w:w="3064" w:type="dxa"/>
            <w:tcBorders>
              <w:top w:val="single" w:sz="6" w:space="0" w:color="000000"/>
              <w:left w:val="single" w:sz="18" w:space="0" w:color="FFFFFF"/>
              <w:bottom w:val="single" w:sz="6" w:space="0" w:color="000000"/>
              <w:right w:val="single" w:sz="6" w:space="0" w:color="000000"/>
            </w:tcBorders>
          </w:tcPr>
          <w:p>
            <w:pPr>
              <w:pStyle w:val="TableParagraph"/>
              <w:spacing w:line="297" w:lineRule="auto" w:before="60"/>
              <w:ind w:left="15"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r>
              <w:rPr>
                <w:rFonts w:ascii="宋体" w:hAnsi="宋体" w:cs="宋体" w:eastAsia="宋体" w:hint="default"/>
                <w:spacing w:val="-82"/>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w:t>
            </w:r>
            <w:r>
              <w:rPr>
                <w:rFonts w:ascii="Times New Roman" w:hAnsi="Times New Roman" w:cs="Times New Roman" w:eastAsia="Times New Roman" w:hint="default"/>
                <w:spacing w:val="-6"/>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非财务报告内 部控制缺陷导致的直接经济损失</w:t>
            </w:r>
            <w:r>
              <w:rPr>
                <w:rFonts w:ascii="Times New Roman" w:hAnsi="Times New Roman" w:cs="Times New Roman" w:eastAsia="Times New Roman" w:hint="default"/>
                <w:sz w:val="18"/>
                <w:szCs w:val="18"/>
              </w:rPr>
              <w:t>&lt;200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、一般缺陷：非财务报告内部 控制缺陷导致的直接经济损失金额</w:t>
            </w:r>
          </w:p>
          <w:p>
            <w:pPr>
              <w:pStyle w:val="TableParagraph"/>
              <w:spacing w:line="240" w:lineRule="auto" w:before="3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15" w:lineRule="exact"/>
              <w:ind w:left="15" w:right="-36"/>
              <w:jc w:val="left"/>
              <w:rPr>
                <w:rFonts w:ascii="宋体" w:hAnsi="宋体" w:cs="宋体" w:eastAsia="宋体" w:hint="default"/>
                <w:sz w:val="20"/>
                <w:szCs w:val="20"/>
              </w:rPr>
            </w:pPr>
            <w:r>
              <w:rPr>
                <w:rFonts w:ascii="宋体" w:hAnsi="宋体" w:cs="宋体" w:eastAsia="宋体" w:hint="default"/>
                <w:position w:val="-5"/>
                <w:sz w:val="20"/>
                <w:szCs w:val="20"/>
              </w:rPr>
              <w:pict>
                <v:group style="width:150.2pt;height:15.8pt;mso-position-horizontal-relative:char;mso-position-vertical-relative:line" coordorigin="0,0" coordsize="3004,316">
                  <v:group style="position:absolute;left:0;top:0;width:3004;height:316" coordorigin="0,0" coordsize="3004,316">
                    <v:shape style="position:absolute;left:0;top:0;width:3004;height:316" coordorigin="0,0" coordsize="3004,316" path="m0,315l3004,315,3004,0,0,0,0,315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360" w:lineRule="exact"/>
              <w:ind w:left="15" w:right="-36"/>
              <w:jc w:val="left"/>
              <w:rPr>
                <w:rFonts w:ascii="宋体" w:hAnsi="宋体" w:cs="宋体" w:eastAsia="宋体" w:hint="default"/>
                <w:sz w:val="20"/>
                <w:szCs w:val="20"/>
              </w:rPr>
            </w:pPr>
            <w:r>
              <w:rPr>
                <w:rFonts w:ascii="宋体" w:hAnsi="宋体" w:cs="宋体" w:eastAsia="宋体" w:hint="default"/>
                <w:position w:val="-6"/>
                <w:sz w:val="20"/>
                <w:szCs w:val="20"/>
              </w:rPr>
              <w:pict>
                <v:group style="width:150.2pt;height:18.05pt;mso-position-horizontal-relative:char;mso-position-vertical-relative:line" coordorigin="0,0" coordsize="3004,361">
                  <v:group style="position:absolute;left:0;top:0;width:3004;height:361" coordorigin="0,0" coordsize="3004,361">
                    <v:shape style="position:absolute;left:0;top:0;width:3004;height:361" coordorigin="0,0" coordsize="3004,361" path="m0,361l3004,361,3004,0,0,0,0,361xe" filled="true" fillcolor="#ffffff" stroked="false">
                      <v:path arrowok="t"/>
                      <v:fill type="solid"/>
                    </v:shape>
                  </v:group>
                </v:group>
              </w:pict>
            </w:r>
            <w:r>
              <w:rPr>
                <w:rFonts w:ascii="宋体" w:hAnsi="宋体" w:cs="宋体" w:eastAsia="宋体" w:hint="default"/>
                <w:position w:val="-6"/>
                <w:sz w:val="20"/>
                <w:szCs w:val="20"/>
              </w:rPr>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_TOC_250002" w:id="158"/>
      <w:bookmarkStart w:name="第十一节公司债券相关情况" w:id="159"/>
      <w:r>
        <w:rPr>
          <w:b w:val="0"/>
          <w:bCs w:val="0"/>
        </w:rPr>
      </w:r>
      <w:r>
        <w:rPr>
          <w:spacing w:val="5"/>
        </w:rPr>
        <w:t>第十一节公司债券相关情况</w:t>
      </w:r>
      <w:bookmarkEnd w:id="158"/>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before="0"/>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_TOC_250001" w:id="160"/>
      <w:bookmarkStart w:name="第十二节 财务报告" w:id="161"/>
      <w:r>
        <w:rPr>
          <w:b w:val="0"/>
          <w:bCs w:val="0"/>
        </w:rPr>
      </w:r>
      <w:r>
        <w:rPr>
          <w:spacing w:val="6"/>
        </w:rPr>
        <w:t>第十二节</w:t>
      </w:r>
      <w:r>
        <w:rPr>
          <w:spacing w:val="49"/>
        </w:rPr>
        <w:t> </w:t>
      </w:r>
      <w:r>
        <w:rPr>
          <w:spacing w:val="3"/>
        </w:rPr>
        <w:t>财务报告</w:t>
      </w:r>
      <w:bookmarkEnd w:id="160"/>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2"/>
      <w:bookmarkEnd w:id="162"/>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17-00070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郭东星、李嘉宁</w:t>
            </w:r>
          </w:p>
        </w:tc>
      </w:tr>
    </w:tbl>
    <w:p>
      <w:pPr>
        <w:pStyle w:val="BodyText"/>
        <w:spacing w:line="240" w:lineRule="auto"/>
        <w:ind w:left="488" w:right="1473"/>
        <w:jc w:val="center"/>
      </w:pPr>
      <w:r>
        <w:rPr/>
        <w:t>审计报告正文</w:t>
      </w:r>
    </w:p>
    <w:p>
      <w:pPr>
        <w:spacing w:line="240" w:lineRule="auto" w:before="7"/>
        <w:rPr>
          <w:rFonts w:ascii="宋体" w:hAnsi="宋体" w:cs="宋体" w:eastAsia="宋体" w:hint="default"/>
          <w:sz w:val="14"/>
          <w:szCs w:val="14"/>
        </w:rPr>
      </w:pPr>
    </w:p>
    <w:p>
      <w:pPr>
        <w:pStyle w:val="Heading3"/>
        <w:spacing w:line="240" w:lineRule="auto"/>
        <w:ind w:left="621" w:right="0"/>
        <w:jc w:val="left"/>
      </w:pPr>
      <w:r>
        <w:rPr/>
        <w:t>一、审计意见</w:t>
      </w:r>
    </w:p>
    <w:p>
      <w:pPr>
        <w:pStyle w:val="Heading5"/>
        <w:spacing w:line="261" w:lineRule="auto" w:before="6"/>
        <w:ind w:right="1086" w:firstLine="420"/>
        <w:jc w:val="both"/>
      </w:pPr>
      <w:r>
        <w:rPr/>
        <w:t>我们审计了美盛文化创意股份有限公司（以下简称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并及母公司资产负债表，</w:t>
      </w:r>
      <w:r>
        <w:rPr>
          <w:rFonts w:ascii="Times New Roman" w:hAnsi="Times New Roman" w:cs="Times New Roman" w:eastAsia="Times New Roman" w:hint="default"/>
        </w:rPr>
        <w:t>2019</w:t>
      </w:r>
      <w:r>
        <w:rPr/>
        <w:t>年度的合并及母公司利润表、合并及母公司现金流量表、合并及母公司股东 权益变动表，以及财务报表附注。</w:t>
      </w:r>
    </w:p>
    <w:p>
      <w:pPr>
        <w:pStyle w:val="Heading5"/>
        <w:spacing w:line="240" w:lineRule="auto" w:before="21"/>
        <w:ind w:left="561" w:right="0"/>
        <w:jc w:val="left"/>
      </w:pPr>
      <w:r>
        <w:rPr/>
        <w:t>我们认为，后附的财务报表在所有重大方面按照企业会计准则的规定编制，公允反映了贵公司</w:t>
      </w:r>
      <w:r>
        <w:rPr>
          <w:rFonts w:ascii="Times New Roman" w:hAnsi="Times New Roman" w:cs="Times New Roman" w:eastAsia="Times New Roman" w:hint="default"/>
        </w:rPr>
        <w:t>2019</w:t>
      </w:r>
      <w:r>
        <w:rPr/>
        <w:t>年</w:t>
      </w:r>
    </w:p>
    <w:p>
      <w:pPr>
        <w:pStyle w:val="Heading5"/>
        <w:spacing w:line="240" w:lineRule="auto" w:before="24"/>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23"/>
          <w:szCs w:val="23"/>
        </w:rPr>
      </w:pPr>
    </w:p>
    <w:p>
      <w:pPr>
        <w:pStyle w:val="Heading3"/>
        <w:spacing w:line="240" w:lineRule="auto"/>
        <w:ind w:right="0"/>
        <w:jc w:val="left"/>
      </w:pPr>
      <w:r>
        <w:rPr/>
        <w:t>二、形成审计意见的基础</w:t>
      </w:r>
    </w:p>
    <w:p>
      <w:pPr>
        <w:pStyle w:val="Heading5"/>
        <w:spacing w:line="259" w:lineRule="auto" w:before="21"/>
        <w:ind w:right="1119" w:firstLine="42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 的责任</w:t>
      </w:r>
      <w:r>
        <w:rPr>
          <w:rFonts w:ascii="Times New Roman" w:hAnsi="Times New Roman" w:cs="Times New Roman" w:eastAsia="Times New Roman" w:hint="default"/>
        </w:rPr>
        <w:t>”</w:t>
      </w:r>
      <w:r>
        <w:rPr/>
        <w:t>部分进一步阐述了我们在这些准则下的责任。按照中国注册会计师职业道德守则，我们独立于贵</w:t>
      </w:r>
      <w:r>
        <w:rPr>
          <w:spacing w:val="-19"/>
        </w:rPr>
        <w:t> </w:t>
      </w:r>
      <w:r>
        <w:rPr>
          <w:spacing w:val="-19"/>
        </w:rPr>
      </w:r>
      <w:r>
        <w:rPr/>
        <w:t>公司，并履行了职业道德方面的其他责任。</w:t>
      </w:r>
    </w:p>
    <w:p>
      <w:pPr>
        <w:pStyle w:val="Heading5"/>
        <w:spacing w:line="240" w:lineRule="auto" w:before="8"/>
        <w:ind w:left="561" w:right="0"/>
        <w:jc w:val="left"/>
      </w:pPr>
      <w:r>
        <w:rPr/>
        <w:t>我们相信，我们获取的审计证据是充分、适当的，为发表审计意见提供了基础。</w:t>
      </w:r>
    </w:p>
    <w:p>
      <w:pPr>
        <w:spacing w:line="240" w:lineRule="auto" w:before="9"/>
        <w:rPr>
          <w:rFonts w:ascii="宋体" w:hAnsi="宋体" w:cs="宋体" w:eastAsia="宋体" w:hint="default"/>
          <w:sz w:val="25"/>
          <w:szCs w:val="25"/>
        </w:rPr>
      </w:pPr>
    </w:p>
    <w:p>
      <w:pPr>
        <w:pStyle w:val="Heading3"/>
        <w:spacing w:line="240" w:lineRule="auto"/>
        <w:ind w:right="0"/>
        <w:jc w:val="left"/>
      </w:pPr>
      <w:r>
        <w:rPr/>
        <w:t>三、关键审计事项</w:t>
      </w:r>
    </w:p>
    <w:p>
      <w:pPr>
        <w:pStyle w:val="Heading5"/>
        <w:spacing w:line="276" w:lineRule="auto" w:before="21"/>
        <w:ind w:right="0" w:firstLine="420"/>
        <w:jc w:val="left"/>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Heading5"/>
        <w:spacing w:line="269" w:lineRule="exact"/>
        <w:ind w:left="561" w:right="0"/>
        <w:jc w:val="left"/>
      </w:pPr>
      <w:r>
        <w:rPr/>
        <w:t>（一）收入确认</w:t>
      </w:r>
    </w:p>
    <w:p>
      <w:pPr>
        <w:pStyle w:val="Heading5"/>
        <w:spacing w:line="261" w:lineRule="auto" w:before="40"/>
        <w:ind w:left="561" w:right="1101"/>
        <w:jc w:val="left"/>
      </w:pPr>
      <w:r>
        <w:rPr>
          <w:rFonts w:ascii="Times New Roman" w:hAnsi="Times New Roman" w:cs="Times New Roman" w:eastAsia="Times New Roman" w:hint="default"/>
        </w:rPr>
        <w:t>1.</w:t>
      </w:r>
      <w:r>
        <w:rPr/>
        <w:t>事项描述</w:t>
      </w:r>
      <w:r>
        <w:rPr>
          <w:spacing w:val="-98"/>
        </w:rPr>
        <w:t> </w:t>
      </w:r>
      <w:r>
        <w:rPr>
          <w:spacing w:val="-2"/>
        </w:rPr>
        <w:t>如财务报表附注</w:t>
      </w:r>
      <w:r>
        <w:rPr>
          <w:rFonts w:ascii="Times New Roman" w:hAnsi="Times New Roman" w:cs="Times New Roman" w:eastAsia="Times New Roman" w:hint="default"/>
          <w:spacing w:val="-2"/>
        </w:rPr>
        <w:t>“</w:t>
      </w:r>
      <w:r>
        <w:rPr>
          <w:spacing w:val="-2"/>
        </w:rPr>
        <w:t>三、重要会计政策和会计估计</w:t>
      </w:r>
      <w:r>
        <w:rPr>
          <w:rFonts w:ascii="Times New Roman" w:hAnsi="Times New Roman" w:cs="Times New Roman" w:eastAsia="Times New Roman" w:hint="default"/>
          <w:spacing w:val="-2"/>
        </w:rPr>
        <w:t>”</w:t>
      </w:r>
      <w:r>
        <w:rPr>
          <w:spacing w:val="-2"/>
        </w:rPr>
        <w:t>之（二十二）收入、</w:t>
      </w:r>
      <w:r>
        <w:rPr>
          <w:rFonts w:ascii="Times New Roman" w:hAnsi="Times New Roman" w:cs="Times New Roman" w:eastAsia="Times New Roman" w:hint="default"/>
          <w:spacing w:val="-2"/>
        </w:rPr>
        <w:t>“</w:t>
      </w:r>
      <w:r>
        <w:rPr>
          <w:spacing w:val="-2"/>
        </w:rPr>
        <w:t>五、合并财务报表重要项目注释</w:t>
      </w:r>
    </w:p>
    <w:p>
      <w:pPr>
        <w:pStyle w:val="Heading5"/>
        <w:spacing w:line="259" w:lineRule="auto" w:before="3"/>
        <w:ind w:right="984"/>
        <w:jc w:val="left"/>
      </w:pPr>
      <w:r>
        <w:rPr/>
        <w:t>之（三十二）营业收入和营业成本所示，</w:t>
      </w:r>
      <w:r>
        <w:rPr>
          <w:rFonts w:ascii="Times New Roman" w:hAnsi="Times New Roman" w:cs="Times New Roman" w:eastAsia="Times New Roman" w:hint="default"/>
        </w:rPr>
        <w:t>2019</w:t>
      </w:r>
      <w:r>
        <w:rPr/>
        <w:t>年度贵公司营业收入</w:t>
      </w:r>
      <w:r>
        <w:rPr>
          <w:rFonts w:ascii="Times New Roman" w:hAnsi="Times New Roman" w:cs="Times New Roman" w:eastAsia="Times New Roman" w:hint="default"/>
        </w:rPr>
        <w:t>137,975.49</w:t>
      </w:r>
      <w:r>
        <w:rPr/>
        <w:t>万元，主要来自于服饰销售、 游戏服务平台运营和玩具销售。</w:t>
      </w:r>
    </w:p>
    <w:p>
      <w:pPr>
        <w:pStyle w:val="Heading5"/>
        <w:spacing w:line="276" w:lineRule="auto" w:before="8"/>
        <w:ind w:right="0" w:firstLine="420"/>
        <w:jc w:val="left"/>
      </w:pPr>
      <w:r>
        <w:rPr>
          <w:spacing w:val="-1"/>
        </w:rPr>
        <w:t>由于营业收入是贵公司关键业绩指标之一，从而存在管理层为达到特定目标或期望而操纵收入确认时</w:t>
      </w:r>
      <w:r>
        <w:rPr/>
        <w:t> 点的固有风险，因此，我们将收入确认识别为关键审计事项。</w:t>
      </w:r>
    </w:p>
    <w:p>
      <w:pPr>
        <w:pStyle w:val="Heading5"/>
        <w:spacing w:line="240" w:lineRule="auto" w:before="9"/>
        <w:ind w:left="561" w:right="0"/>
        <w:jc w:val="left"/>
      </w:pPr>
      <w:r>
        <w:rPr>
          <w:rFonts w:ascii="Times New Roman" w:hAnsi="Times New Roman" w:cs="Times New Roman" w:eastAsia="Times New Roman" w:hint="default"/>
        </w:rPr>
        <w:t>2.</w:t>
      </w:r>
      <w:r>
        <w:rPr/>
        <w:t>审计应对</w:t>
      </w:r>
    </w:p>
    <w:p>
      <w:pPr>
        <w:pStyle w:val="Heading5"/>
        <w:spacing w:line="259" w:lineRule="auto" w:before="24"/>
        <w:ind w:right="1118" w:firstLine="420"/>
        <w:jc w:val="left"/>
      </w:pPr>
      <w:r>
        <w:rPr/>
        <w:t>（</w:t>
      </w:r>
      <w:r>
        <w:rPr>
          <w:rFonts w:ascii="Times New Roman" w:hAnsi="Times New Roman" w:cs="Times New Roman" w:eastAsia="Times New Roman" w:hint="default"/>
        </w:rPr>
        <w:t>1</w:t>
      </w:r>
      <w:r>
        <w:rPr/>
        <w:t>）了解和评价与收入确认相关的关键内部控制，确定是否得到执行，并测试相关内部控制运行有 效性；</w:t>
      </w:r>
    </w:p>
    <w:p>
      <w:pPr>
        <w:pStyle w:val="Heading5"/>
        <w:spacing w:line="240" w:lineRule="auto" w:before="8"/>
        <w:ind w:left="561" w:right="0"/>
        <w:jc w:val="left"/>
      </w:pPr>
      <w:r>
        <w:rPr/>
        <w:t>（</w:t>
      </w:r>
      <w:r>
        <w:rPr>
          <w:rFonts w:ascii="Times New Roman" w:hAnsi="Times New Roman" w:cs="Times New Roman" w:eastAsia="Times New Roman" w:hint="default"/>
        </w:rPr>
        <w:t>2</w:t>
      </w:r>
      <w:r>
        <w:rPr/>
        <w:t>）利用本所内部信息技术专家的工作，测试信息系统一般控制、与收入确认流程相关的应用控制；</w:t>
      </w:r>
    </w:p>
    <w:p>
      <w:pPr>
        <w:pStyle w:val="Heading5"/>
        <w:spacing w:line="259" w:lineRule="auto" w:before="24"/>
        <w:ind w:right="0" w:firstLine="420"/>
        <w:jc w:val="left"/>
      </w:pPr>
      <w:r>
        <w:rPr/>
        <w:t>（</w:t>
      </w:r>
      <w:r>
        <w:rPr>
          <w:rFonts w:ascii="Times New Roman" w:hAnsi="Times New Roman" w:cs="Times New Roman" w:eastAsia="Times New Roman" w:hint="default"/>
        </w:rPr>
        <w:t>3</w:t>
      </w:r>
      <w:r>
        <w:rPr/>
        <w:t>）结合对公司业务模式的了解，检查主要销售合同，识别与商品所有权上的风险和报酬转移相关 的合同条款，评价收入确认政策是否符合企业会计准则的规定；</w:t>
      </w:r>
    </w:p>
    <w:p>
      <w:pPr>
        <w:pStyle w:val="Heading5"/>
        <w:spacing w:line="240" w:lineRule="auto" w:before="24"/>
        <w:ind w:left="561" w:right="0"/>
        <w:jc w:val="left"/>
      </w:pPr>
      <w:r>
        <w:rPr/>
        <w:t>（</w:t>
      </w:r>
      <w:r>
        <w:rPr>
          <w:rFonts w:ascii="Times New Roman" w:hAnsi="Times New Roman" w:cs="Times New Roman" w:eastAsia="Times New Roman" w:hint="default"/>
        </w:rPr>
        <w:t>4</w:t>
      </w:r>
      <w:r>
        <w:rPr/>
        <w:t>）询问管理层等相关人员，并结合工商信息查询等程序，以确认客户与贵公司是否存在关联关系；</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59" w:lineRule="auto" w:before="35"/>
        <w:ind w:right="0" w:firstLine="420"/>
        <w:jc w:val="left"/>
      </w:pPr>
      <w:r>
        <w:rPr/>
        <w:t>（</w:t>
      </w:r>
      <w:r>
        <w:rPr>
          <w:rFonts w:ascii="Times New Roman" w:hAnsi="Times New Roman" w:cs="Times New Roman" w:eastAsia="Times New Roman" w:hint="default"/>
        </w:rPr>
        <w:t>5</w:t>
      </w:r>
      <w:r>
        <w:rPr/>
        <w:t>）对营业收入及毛利率按月度、产品等进行实质性分析程序，识别是否存在重大或异常波动，并 查明波动原因；</w:t>
      </w:r>
    </w:p>
    <w:p>
      <w:pPr>
        <w:pStyle w:val="Heading5"/>
        <w:spacing w:line="261" w:lineRule="auto" w:before="23"/>
        <w:ind w:right="1083" w:firstLine="420"/>
        <w:jc w:val="both"/>
      </w:pPr>
      <w:r>
        <w:rPr/>
        <w:t>（</w:t>
      </w:r>
      <w:r>
        <w:rPr>
          <w:rFonts w:ascii="Times New Roman" w:hAnsi="Times New Roman" w:cs="Times New Roman" w:eastAsia="Times New Roman" w:hint="default"/>
        </w:rPr>
        <w:t>6</w:t>
      </w:r>
      <w:r>
        <w:rPr/>
        <w:t>）对内销收入，抽样检查与收入确认相关的支持性文件，包括销售合同或订单、销售发票、发货 单、运输单及客户签收证明等；对外销收入，获取海关电子口岸信息并与企业账面记录核对，抽样检查销 售合同或订单、出口报关单、销售发票、提单等支持性文件；</w:t>
      </w:r>
    </w:p>
    <w:p>
      <w:pPr>
        <w:pStyle w:val="Heading5"/>
        <w:spacing w:line="240" w:lineRule="auto" w:before="22"/>
        <w:ind w:left="561" w:right="0"/>
        <w:jc w:val="left"/>
      </w:pPr>
      <w:r>
        <w:rPr/>
        <w:t>（</w:t>
      </w:r>
      <w:r>
        <w:rPr>
          <w:rFonts w:ascii="Times New Roman" w:hAnsi="Times New Roman" w:cs="Times New Roman" w:eastAsia="Times New Roman" w:hint="default"/>
        </w:rPr>
        <w:t>7</w:t>
      </w:r>
      <w:r>
        <w:rPr/>
        <w:t>）对重要客户进行函证，核对交易金额及往来余额；</w:t>
      </w:r>
    </w:p>
    <w:p>
      <w:pPr>
        <w:pStyle w:val="Heading5"/>
        <w:spacing w:line="259" w:lineRule="auto" w:before="24"/>
        <w:ind w:right="0" w:firstLine="420"/>
        <w:jc w:val="left"/>
      </w:pPr>
      <w:r>
        <w:rPr/>
        <w:t>（</w:t>
      </w:r>
      <w:r>
        <w:rPr>
          <w:rFonts w:ascii="Times New Roman" w:hAnsi="Times New Roman" w:cs="Times New Roman" w:eastAsia="Times New Roman" w:hint="default"/>
        </w:rPr>
        <w:t>8</w:t>
      </w:r>
      <w:r>
        <w:rPr/>
        <w:t>）选取资产负债表日前后确认的营业收入，核对至出入单、发货单、客户签收证明、出口报关单、 货运提单等支持性文件，以确定收入是否在恰当的期间确认；</w:t>
      </w:r>
    </w:p>
    <w:p>
      <w:pPr>
        <w:pStyle w:val="Heading5"/>
        <w:spacing w:line="240" w:lineRule="auto" w:before="8"/>
        <w:ind w:left="561" w:right="0"/>
        <w:jc w:val="left"/>
      </w:pPr>
      <w:r>
        <w:rPr/>
        <w:t>（</w:t>
      </w:r>
      <w:r>
        <w:rPr>
          <w:rFonts w:ascii="Times New Roman" w:hAnsi="Times New Roman" w:cs="Times New Roman" w:eastAsia="Times New Roman" w:hint="default"/>
        </w:rPr>
        <w:t>9</w:t>
      </w:r>
      <w:r>
        <w:rPr/>
        <w:t>）获取资产负债表日后的销售退回记录，检查是否存在资产负债表日不满足收入确认条件的情形；</w:t>
      </w:r>
    </w:p>
    <w:p>
      <w:pPr>
        <w:pStyle w:val="Heading5"/>
        <w:spacing w:line="240" w:lineRule="auto" w:before="25"/>
        <w:ind w:left="561" w:right="0"/>
        <w:jc w:val="left"/>
      </w:pPr>
      <w:r>
        <w:rPr/>
        <w:t>（</w:t>
      </w:r>
      <w:r>
        <w:rPr>
          <w:rFonts w:ascii="Times New Roman" w:hAnsi="Times New Roman" w:cs="Times New Roman" w:eastAsia="Times New Roman" w:hint="default"/>
        </w:rPr>
        <w:t>10</w:t>
      </w:r>
      <w:r>
        <w:rPr/>
        <w:t>）检查与营业收入相关的信息是否已在财务报表中做出恰当列报和披露。</w:t>
      </w:r>
    </w:p>
    <w:p>
      <w:pPr>
        <w:spacing w:line="240" w:lineRule="auto" w:before="13"/>
        <w:rPr>
          <w:rFonts w:ascii="宋体" w:hAnsi="宋体" w:cs="宋体" w:eastAsia="宋体" w:hint="default"/>
          <w:sz w:val="25"/>
          <w:szCs w:val="25"/>
        </w:rPr>
      </w:pPr>
    </w:p>
    <w:p>
      <w:pPr>
        <w:pStyle w:val="Heading5"/>
        <w:spacing w:line="240" w:lineRule="auto"/>
        <w:ind w:left="561" w:right="0"/>
        <w:jc w:val="left"/>
      </w:pPr>
      <w:r>
        <w:rPr/>
        <w:t>（二）商誉减值</w:t>
      </w:r>
    </w:p>
    <w:p>
      <w:pPr>
        <w:pStyle w:val="Heading5"/>
        <w:spacing w:line="247" w:lineRule="auto" w:before="40"/>
        <w:ind w:left="561" w:right="1089"/>
        <w:jc w:val="left"/>
      </w:pPr>
      <w:r>
        <w:rPr>
          <w:rFonts w:ascii="Times New Roman" w:hAnsi="Times New Roman" w:cs="Times New Roman" w:eastAsia="Times New Roman" w:hint="default"/>
        </w:rPr>
        <w:t>1.</w:t>
      </w:r>
      <w:r>
        <w:rPr/>
        <w:t>事项描述</w:t>
      </w:r>
      <w:r>
        <w:rPr>
          <w:spacing w:val="-98"/>
        </w:rPr>
        <w:t> </w:t>
      </w:r>
      <w:r>
        <w:rPr/>
        <w:t>如财务报表附注五、合并财务报表重要项目注释（十五）商誉所示，截止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日，贵公司商</w:t>
      </w:r>
    </w:p>
    <w:p>
      <w:pPr>
        <w:pStyle w:val="Heading5"/>
        <w:spacing w:line="259" w:lineRule="auto" w:before="18"/>
        <w:ind w:left="561" w:right="0" w:hanging="421"/>
        <w:jc w:val="left"/>
      </w:pPr>
      <w:r>
        <w:rPr>
          <w:spacing w:val="-2"/>
        </w:rPr>
        <w:t>誉账面原值为人民币</w:t>
      </w:r>
      <w:r>
        <w:rPr>
          <w:rFonts w:ascii="Times New Roman" w:hAnsi="Times New Roman" w:cs="Times New Roman" w:eastAsia="Times New Roman" w:hint="default"/>
          <w:spacing w:val="-2"/>
        </w:rPr>
        <w:t>152,119.09</w:t>
      </w:r>
      <w:r>
        <w:rPr>
          <w:spacing w:val="-2"/>
        </w:rPr>
        <w:t>万元，减值准备为人民币</w:t>
      </w:r>
      <w:r>
        <w:rPr>
          <w:rFonts w:ascii="Times New Roman" w:hAnsi="Times New Roman" w:cs="Times New Roman" w:eastAsia="Times New Roman" w:hint="default"/>
          <w:spacing w:val="-2"/>
        </w:rPr>
        <w:t>33,839.59</w:t>
      </w:r>
      <w:r>
        <w:rPr>
          <w:spacing w:val="-2"/>
        </w:rPr>
        <w:t>万元，账面价值为人民币</w:t>
      </w:r>
      <w:r>
        <w:rPr>
          <w:rFonts w:ascii="Times New Roman" w:hAnsi="Times New Roman" w:cs="Times New Roman" w:eastAsia="Times New Roman" w:hint="default"/>
          <w:spacing w:val="-2"/>
        </w:rPr>
        <w:t>118,279.50</w:t>
      </w:r>
      <w:r>
        <w:rPr>
          <w:spacing w:val="-2"/>
        </w:rPr>
        <w:t>万元。</w:t>
      </w:r>
      <w:r>
        <w:rPr>
          <w:spacing w:val="-91"/>
        </w:rPr>
        <w:t> </w:t>
      </w:r>
      <w:r>
        <w:rPr/>
        <w:t>管理层于每年年度终了对企业合并所形成的商誉进行减值测试。管理层将商誉结合与其相关的资产组</w:t>
      </w:r>
    </w:p>
    <w:p>
      <w:pPr>
        <w:pStyle w:val="Heading5"/>
        <w:spacing w:line="276" w:lineRule="auto" w:before="23"/>
        <w:ind w:right="0"/>
        <w:jc w:val="left"/>
      </w:pPr>
      <w:r>
        <w:rPr/>
        <w:t>或者资产组组合进行减值测试，相关资产组或资产组组合的可收回金额按照预计未来现金流量现值计算确 定。减值测试中采用的关键假设包括：详细预测期收入增长率、永续预测期增长率、毛利率、折现率等。</w:t>
      </w:r>
    </w:p>
    <w:p>
      <w:pPr>
        <w:pStyle w:val="Heading5"/>
        <w:spacing w:line="269" w:lineRule="exact"/>
        <w:ind w:left="561" w:right="0"/>
        <w:jc w:val="left"/>
      </w:pPr>
      <w:r>
        <w:rPr/>
        <w:t>由于商誉金额重大，且商誉减值测试涉及重大管理层判断，我们将商誉减值识别为关键审计事项。</w:t>
      </w:r>
    </w:p>
    <w:p>
      <w:pPr>
        <w:pStyle w:val="Heading5"/>
        <w:spacing w:line="240" w:lineRule="auto" w:before="40"/>
        <w:ind w:left="561" w:right="0"/>
        <w:jc w:val="left"/>
      </w:pPr>
      <w:r>
        <w:rPr>
          <w:rFonts w:ascii="Times New Roman" w:hAnsi="Times New Roman" w:cs="Times New Roman" w:eastAsia="Times New Roman" w:hint="default"/>
        </w:rPr>
        <w:t>2.</w:t>
      </w:r>
      <w:r>
        <w:rPr/>
        <w:t>审计应对</w:t>
      </w:r>
    </w:p>
    <w:p>
      <w:pPr>
        <w:pStyle w:val="Heading5"/>
        <w:spacing w:line="259" w:lineRule="auto" w:before="24"/>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了解与商誉减值相关的关键内部控制，评价这些控制的设计，确定是否得到执行，并测试相关内</w:t>
      </w:r>
      <w:r>
        <w:rPr>
          <w:w w:val="99"/>
        </w:rPr>
        <w:t> </w:t>
      </w:r>
      <w:r>
        <w:rPr/>
        <w:t>部控制的运行有效性；</w:t>
      </w:r>
    </w:p>
    <w:p>
      <w:pPr>
        <w:pStyle w:val="Heading5"/>
        <w:spacing w:line="240" w:lineRule="auto" w:before="23"/>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复核管理层以前年度对未来现金流量现值的预测和实际经营结果，评价管理层过往预测的准确性；</w:t>
      </w:r>
    </w:p>
    <w:p>
      <w:pPr>
        <w:pStyle w:val="Heading5"/>
        <w:spacing w:line="240" w:lineRule="auto" w:before="10"/>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了解并评价管理层聘用的外部估值专家的胜任能力、专业素质和客观性；</w:t>
      </w:r>
    </w:p>
    <w:p>
      <w:pPr>
        <w:pStyle w:val="Heading5"/>
        <w:spacing w:line="240" w:lineRule="auto" w:before="24"/>
        <w:ind w:left="561"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评价管理层在减值测试中使用方法的合理性和一致性；</w:t>
      </w:r>
    </w:p>
    <w:p>
      <w:pPr>
        <w:pStyle w:val="Heading5"/>
        <w:spacing w:line="259" w:lineRule="auto" w:before="24"/>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评价管理层在减值测试中采用的关键假设的合理性，复核相关假设是否与总体经济环境、行业状</w:t>
      </w:r>
      <w:r>
        <w:rPr>
          <w:w w:val="99"/>
        </w:rPr>
        <w:t> </w:t>
      </w:r>
      <w:r>
        <w:rPr/>
        <w:t>况、经营情况、历史经验、运营计划、管理层使用的与财务报表相关的其他假设等相符；</w:t>
      </w:r>
    </w:p>
    <w:p>
      <w:pPr>
        <w:pStyle w:val="Heading5"/>
        <w:spacing w:line="247" w:lineRule="auto" w:before="24"/>
        <w:ind w:right="1118"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测试管理层在减值测试中使用数据的准确性、完整性和相关性，并复核减值测试中有关信息的内</w:t>
      </w:r>
      <w:r>
        <w:rPr>
          <w:w w:val="99"/>
        </w:rPr>
        <w:t> </w:t>
      </w:r>
      <w:r>
        <w:rPr/>
        <w:t>在一致性；</w:t>
      </w:r>
    </w:p>
    <w:p>
      <w:pPr>
        <w:pStyle w:val="Heading5"/>
        <w:spacing w:line="240" w:lineRule="auto" w:before="34"/>
        <w:ind w:left="561"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6"/>
        </w:rPr>
        <w:t> </w:t>
      </w:r>
      <w:r>
        <w:rPr/>
        <w:t>测试管理层对预计未来现金流量现值的计算是否准确；</w:t>
      </w:r>
    </w:p>
    <w:p>
      <w:pPr>
        <w:pStyle w:val="Heading5"/>
        <w:spacing w:line="240" w:lineRule="auto" w:before="24"/>
        <w:ind w:left="561"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41"/>
        </w:rPr>
        <w:t> </w:t>
      </w:r>
      <w:r>
        <w:rPr/>
        <w:t>检查与商誉减值相关的信息是否已在财务报表中作出恰当列报和披露。</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Heading3"/>
        <w:spacing w:line="240" w:lineRule="auto"/>
        <w:ind w:right="0"/>
        <w:jc w:val="left"/>
      </w:pPr>
      <w:r>
        <w:rPr/>
        <w:t>四、其他信息</w:t>
      </w:r>
    </w:p>
    <w:p>
      <w:pPr>
        <w:pStyle w:val="Heading5"/>
        <w:spacing w:line="259" w:lineRule="auto" w:before="21"/>
        <w:ind w:right="0" w:firstLine="420"/>
        <w:jc w:val="left"/>
      </w:pPr>
      <w:r>
        <w:rPr>
          <w:spacing w:val="-2"/>
        </w:rPr>
        <w:t>贵公司管理层（以下简称管理层）对其他信息负责。其他信息包括贵公司</w:t>
      </w:r>
      <w:r>
        <w:rPr>
          <w:rFonts w:ascii="Times New Roman" w:hAnsi="Times New Roman" w:cs="Times New Roman" w:eastAsia="Times New Roman" w:hint="default"/>
          <w:spacing w:val="-2"/>
        </w:rPr>
        <w:t>201X</w:t>
      </w:r>
      <w:r>
        <w:rPr>
          <w:spacing w:val="-2"/>
        </w:rPr>
        <w:t>年年度报告中涵盖的信</w:t>
      </w:r>
      <w:r>
        <w:rPr/>
        <w:t> 息，但不包括财务报表和我们的审计报告。</w:t>
      </w:r>
    </w:p>
    <w:p>
      <w:pPr>
        <w:pStyle w:val="Heading5"/>
        <w:spacing w:line="276" w:lineRule="auto" w:before="24"/>
        <w:ind w:left="561" w:right="0"/>
        <w:jc w:val="left"/>
      </w:pPr>
      <w:r>
        <w:rPr/>
        <w:t>我们对财务报表发表的审计意见并不涵盖其他信息，我们也不对其他信息发表任何形式的鉴证结论。 结合我们对财务报表的审计，我们的责任是阅读其他信息，在此过程中，考虑其他信息是否与财务报</w:t>
      </w:r>
    </w:p>
    <w:p>
      <w:pPr>
        <w:pStyle w:val="Heading5"/>
        <w:spacing w:line="276" w:lineRule="auto"/>
        <w:ind w:left="561" w:right="0" w:hanging="421"/>
        <w:jc w:val="left"/>
      </w:pPr>
      <w:r>
        <w:rPr/>
        <w:t>表或我们在审计过程中了解到的情况存在重大不一致或者似乎存在重大错报。 基于我们已执行的工作，如果我们确定其他信息存在重大错报，我们应当报告该事实。在这方面，我</w:t>
      </w:r>
    </w:p>
    <w:p>
      <w:pPr>
        <w:pStyle w:val="Heading5"/>
        <w:spacing w:line="240" w:lineRule="auto" w:before="9"/>
        <w:ind w:right="0"/>
        <w:jc w:val="left"/>
      </w:pPr>
      <w:r>
        <w:rPr/>
        <w:t>们无任何事项需要报告。</w:t>
      </w:r>
    </w:p>
    <w:p>
      <w:pPr>
        <w:spacing w:line="240" w:lineRule="auto" w:before="9"/>
        <w:rPr>
          <w:rFonts w:ascii="宋体" w:hAnsi="宋体" w:cs="宋体" w:eastAsia="宋体" w:hint="default"/>
          <w:sz w:val="25"/>
          <w:szCs w:val="25"/>
        </w:rPr>
      </w:pPr>
    </w:p>
    <w:p>
      <w:pPr>
        <w:pStyle w:val="Heading3"/>
        <w:spacing w:line="240" w:lineRule="auto"/>
        <w:ind w:right="0"/>
        <w:jc w:val="left"/>
      </w:pPr>
      <w:r>
        <w:rPr/>
        <w:t>五、管理层和治理层对财务报表的责任</w:t>
      </w:r>
    </w:p>
    <w:p>
      <w:pPr>
        <w:pStyle w:val="Heading5"/>
        <w:spacing w:line="240" w:lineRule="auto" w:before="6"/>
        <w:ind w:left="561" w:right="0"/>
        <w:jc w:val="left"/>
      </w:pPr>
      <w:r>
        <w:rPr/>
        <w:t>管理层负责按照企业会计准则的规定编制财务报表，使其实现公允反映，并设计、执行和维护必要的</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6" w:lineRule="auto" w:before="35"/>
        <w:ind w:left="561" w:right="0" w:hanging="421"/>
        <w:jc w:val="left"/>
      </w:pPr>
      <w:r>
        <w:rPr/>
        <w:t>内部控制，以使财务报表不存在由于舞弊或错误导致的重大错报。 </w:t>
      </w:r>
      <w:r>
        <w:rPr>
          <w:spacing w:val="-3"/>
        </w:rPr>
        <w:t>在编制财务报表时，管理层负责评估贵公司的持续经营能力，披露与持续经营相关的事项（如适用），</w:t>
      </w:r>
    </w:p>
    <w:p>
      <w:pPr>
        <w:pStyle w:val="Heading5"/>
        <w:spacing w:line="261" w:lineRule="auto" w:before="9"/>
        <w:ind w:left="561" w:right="0" w:hanging="421"/>
        <w:jc w:val="left"/>
      </w:pPr>
      <w:r>
        <w:rPr/>
        <w:t>并运用持续经营假设，除非管理层计划清算贵公司、终止运营或别无其他现实的选择。 治理层负责监督贵公司的财务报告过程。</w:t>
      </w:r>
    </w:p>
    <w:p>
      <w:pPr>
        <w:spacing w:line="240" w:lineRule="auto" w:before="3"/>
        <w:rPr>
          <w:rFonts w:ascii="宋体" w:hAnsi="宋体" w:cs="宋体" w:eastAsia="宋体" w:hint="default"/>
          <w:sz w:val="24"/>
          <w:szCs w:val="24"/>
        </w:rPr>
      </w:pPr>
    </w:p>
    <w:p>
      <w:pPr>
        <w:pStyle w:val="Heading3"/>
        <w:spacing w:line="240" w:lineRule="auto"/>
        <w:ind w:left="621" w:right="0"/>
        <w:jc w:val="left"/>
      </w:pPr>
      <w:r>
        <w:rPr/>
        <w:t>六、注册会计师对财务报表审计的责任</w:t>
      </w:r>
    </w:p>
    <w:p>
      <w:pPr>
        <w:pStyle w:val="Heading5"/>
        <w:spacing w:line="271" w:lineRule="auto" w:before="21"/>
        <w:ind w:right="1106"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91"/>
        </w:rPr>
        <w:t> </w:t>
      </w:r>
      <w:r>
        <w:rPr>
          <w:spacing w:val="-91"/>
        </w:rPr>
      </w:r>
      <w:r>
        <w:rPr>
          <w:spacing w:val="-1"/>
        </w:rPr>
        <w:t>存在时总能发现。错报可能由于舞弊或错误导致，如果合理预期错报单独或汇总起来可能影响财务报表使</w:t>
      </w:r>
      <w:r>
        <w:rPr>
          <w:spacing w:val="-91"/>
        </w:rPr>
        <w:t> </w:t>
      </w:r>
      <w:r>
        <w:rPr>
          <w:spacing w:val="-91"/>
        </w:rPr>
      </w:r>
      <w:r>
        <w:rPr/>
        <w:t>用者依据财务报表作出的经济决策，则通常认为错报是重大的。</w:t>
      </w:r>
    </w:p>
    <w:p>
      <w:pPr>
        <w:pStyle w:val="Heading5"/>
        <w:spacing w:line="276" w:lineRule="auto" w:before="13"/>
        <w:ind w:right="1085" w:firstLine="420"/>
        <w:jc w:val="both"/>
      </w:pPr>
      <w:r>
        <w:rPr/>
        <w:t>在按照审计准则执行审计工作的过程中，我们运用职业判断，并保持职业怀疑。同时，我们也执行以 下工作：</w:t>
      </w:r>
    </w:p>
    <w:p>
      <w:pPr>
        <w:pStyle w:val="Heading5"/>
        <w:spacing w:line="271" w:lineRule="auto" w:before="9"/>
        <w:ind w:right="0"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76"/>
        </w:rPr>
        <w:t> </w:t>
      </w:r>
      <w:r>
        <w:rPr>
          <w:spacing w:val="-76"/>
        </w:rPr>
      </w:r>
      <w:r>
        <w:rPr/>
        <w:t>虚假陈述或凌驾于内部控制之上，未能发现由于舞弊导致的重大错报的风险高于未能发现由于错误导致的</w:t>
      </w:r>
      <w:r>
        <w:rPr/>
        <w:t> 重大错报的风险。</w:t>
      </w:r>
    </w:p>
    <w:p>
      <w:pPr>
        <w:pStyle w:val="Heading5"/>
        <w:spacing w:line="276" w:lineRule="auto" w:before="13"/>
        <w:ind w:right="1085" w:firstLine="420"/>
        <w:jc w:val="both"/>
      </w:pPr>
      <w:r>
        <w:rPr/>
        <w:t>（二）了解与审计相关的内部控制，以设计恰当的审计程序，但目的并非对内部控制的有效性发表意 见。</w:t>
      </w:r>
    </w:p>
    <w:p>
      <w:pPr>
        <w:pStyle w:val="Heading5"/>
        <w:spacing w:line="269" w:lineRule="exact"/>
        <w:ind w:left="561" w:right="0"/>
        <w:jc w:val="left"/>
      </w:pPr>
      <w:r>
        <w:rPr/>
        <w:t>（三）评价管理层选用会计政策的恰当性和作出会计估计及相关披露的合理性。</w:t>
      </w:r>
    </w:p>
    <w:p>
      <w:pPr>
        <w:pStyle w:val="Heading5"/>
        <w:spacing w:line="271" w:lineRule="auto" w:before="40"/>
        <w:ind w:right="1083" w:firstLine="420"/>
        <w:jc w:val="both"/>
      </w:pPr>
      <w:r>
        <w:rPr/>
        <w:t>（四）对管理层使用持续经营假设的恰当性得出结论。同时，根据获取的审计证据，就可能导致对贵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Heading5"/>
        <w:spacing w:line="240" w:lineRule="auto" w:before="13"/>
        <w:ind w:left="561" w:right="0"/>
        <w:jc w:val="left"/>
      </w:pPr>
      <w:r>
        <w:rPr/>
        <w:t>（五）评价财务报表的总体列报、结构和内容，并评价财务报表是否公允反映相关交易和事项。</w:t>
      </w:r>
    </w:p>
    <w:p>
      <w:pPr>
        <w:pStyle w:val="Heading5"/>
        <w:spacing w:line="276" w:lineRule="auto" w:before="40"/>
        <w:ind w:right="1085" w:firstLine="420"/>
        <w:jc w:val="both"/>
      </w:pPr>
      <w:r>
        <w:rPr/>
        <w:t>（六）就贵公司中实体或业务活动的财务信息获取充分、恰当的审计证据，以对财务报表发表审计意 见。我们负责指导、监督和执行集团审计，并对审计意见承担全部责任。</w:t>
      </w:r>
    </w:p>
    <w:p>
      <w:pPr>
        <w:pStyle w:val="Heading5"/>
        <w:spacing w:line="261" w:lineRule="auto" w:before="9"/>
        <w:ind w:right="1122"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Heading5"/>
        <w:spacing w:line="276" w:lineRule="auto" w:before="21"/>
        <w:ind w:right="1099" w:firstLine="420"/>
        <w:jc w:val="both"/>
      </w:pPr>
      <w:r>
        <w:rPr/>
        <w:t>我们还就遵守与独立性相关的职业道德要求向治理层提供声明，并与治理层沟通可能被合理认为影响 我们独立性的所有关系和其他事项，以及相关的防范措施（如适用）。</w:t>
      </w:r>
    </w:p>
    <w:p>
      <w:pPr>
        <w:pStyle w:val="Heading5"/>
        <w:spacing w:line="271" w:lineRule="auto" w:before="9"/>
        <w:ind w:right="1083" w:firstLine="420"/>
        <w:jc w:val="both"/>
      </w:pPr>
      <w:r>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5"/>
        <w:tabs>
          <w:tab w:pos="4872" w:val="left" w:leader="none"/>
        </w:tabs>
        <w:spacing w:line="240" w:lineRule="auto"/>
        <w:ind w:left="561" w:right="0"/>
        <w:jc w:val="left"/>
      </w:pPr>
      <w:r>
        <w:rPr>
          <w:spacing w:val="-1"/>
        </w:rPr>
        <w:t>大信会计师事务所（特殊普通合伙）</w:t>
        <w:tab/>
      </w:r>
      <w:r>
        <w:rPr/>
        <w:t>中国注册会计师：</w:t>
      </w:r>
    </w:p>
    <w:p>
      <w:pPr>
        <w:pStyle w:val="Heading5"/>
        <w:spacing w:line="240" w:lineRule="auto" w:before="40"/>
        <w:ind w:left="488" w:right="1679"/>
        <w:jc w:val="center"/>
      </w:pPr>
      <w:r>
        <w:rPr/>
        <w:t>（项目合伙人）</w:t>
      </w:r>
    </w:p>
    <w:p>
      <w:pPr>
        <w:spacing w:line="240" w:lineRule="auto" w:before="1"/>
        <w:rPr>
          <w:rFonts w:ascii="宋体" w:hAnsi="宋体" w:cs="宋体" w:eastAsia="宋体" w:hint="default"/>
          <w:sz w:val="26"/>
          <w:szCs w:val="26"/>
        </w:rPr>
      </w:pPr>
    </w:p>
    <w:p>
      <w:pPr>
        <w:pStyle w:val="Heading5"/>
        <w:tabs>
          <w:tab w:pos="4436" w:val="left" w:leader="none"/>
        </w:tabs>
        <w:spacing w:line="240" w:lineRule="auto"/>
        <w:ind w:left="1403" w:right="0"/>
        <w:jc w:val="left"/>
      </w:pPr>
      <w:r>
        <w:rPr/>
        <w:t>中 国  </w:t>
      </w:r>
      <w:r>
        <w:rPr>
          <w:rFonts w:ascii="Times New Roman" w:hAnsi="Times New Roman" w:cs="Times New Roman" w:eastAsia="Times New Roman" w:hint="default"/>
        </w:rPr>
        <w:t>·   </w:t>
      </w:r>
      <w:r>
        <w:rPr/>
        <w:t>北</w:t>
      </w:r>
      <w:r>
        <w:rPr>
          <w:spacing w:val="-63"/>
        </w:rPr>
        <w:t> </w:t>
      </w:r>
      <w:r>
        <w:rPr/>
        <w:t>京</w:t>
        <w:tab/>
        <w:t>中国注册会计师：</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left="0" w:right="1122"/>
        <w:jc w:val="right"/>
      </w:pPr>
      <w:r>
        <w:rPr>
          <w:spacing w:val="-2"/>
        </w:rPr>
        <w:t>二</w:t>
      </w:r>
      <w:r>
        <w:rPr>
          <w:rFonts w:ascii="Times New Roman" w:hAnsi="Times New Roman" w:cs="Times New Roman" w:eastAsia="Times New Roman" w:hint="default"/>
          <w:spacing w:val="-2"/>
        </w:rPr>
        <w:t>○</w:t>
      </w:r>
      <w:r>
        <w:rPr>
          <w:spacing w:val="-2"/>
        </w:rPr>
        <w:t>二</w:t>
      </w:r>
      <w:r>
        <w:rPr>
          <w:rFonts w:ascii="Times New Roman" w:hAnsi="Times New Roman" w:cs="Times New Roman" w:eastAsia="Times New Roman" w:hint="default"/>
          <w:spacing w:val="-2"/>
        </w:rPr>
        <w:t>○</w:t>
      </w:r>
      <w:r>
        <w:rPr>
          <w:spacing w:val="-2"/>
        </w:rPr>
        <w:t>年四月二十八日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2"/>
        <w:spacing w:line="240" w:lineRule="auto" w:before="26"/>
        <w:ind w:right="0"/>
        <w:jc w:val="left"/>
        <w:rPr>
          <w:b w:val="0"/>
          <w:bCs w:val="0"/>
        </w:rPr>
      </w:pPr>
      <w:bookmarkStart w:name="二、财务报表" w:id="163"/>
      <w:bookmarkEnd w:id="163"/>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0"/>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编制单位：美盛文化创意股份有限公司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before="0"/>
        <w:ind w:right="-19"/>
        <w:jc w:val="left"/>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3" w:equalWidth="0">
            <w:col w:w="3202" w:space="883"/>
            <w:col w:w="1628" w:space="3223"/>
            <w:col w:w="197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877,700,736.08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374,948,807.76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161,457,550.00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372,193,614.86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237,327,806.51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88,193,550.21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29,077,346.89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74,631,851.75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1,546,246,413.29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64,824.65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199,870,393.02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130,693,407.38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23,458,154.81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40,892,602.36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1,797,505,850.73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2,359,186,384.19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149,575,151.95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86,976,899.17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141,830,524.53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143,215,217.41</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5,771,342.37</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88,627,660.90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91,857,137.26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294,279,057.84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269,466,240.97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533,980.58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85,315,606.39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41,526,037.86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1,182,795,042.78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813,304,612.35</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6,368,195.65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4,707,220.11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7,658,230.58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609,235.29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1,935,041,233.67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1,536,376,160.32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3,732,547,084.40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3,895,562,544.51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312,734,574.94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488,905,600.00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134,959,406.91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145,233,697.98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15,639,927.18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10,826,839.02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34,323,939.46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14,646,700.22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27,642,798.92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22,025,509.84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11,238,940.24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32,305,682.25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652,858.89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536,539,587.65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713,944,029.31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21,270,756.84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22,334,273.92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4,223,595.64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7,313,519.91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25,494,352.48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99,647,793.83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562,033,940.13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813,591,823.14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909,572,725.00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909,572,725.00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1,843,434,091.02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1,789,860,387.64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-8,081,731.24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-11,655,422.01</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67,441,880.92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64,026,557.90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332,240,710.81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298,060,727.16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3,144,607,676.51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3,049,864,975.69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25,905,467.76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32,105,745.68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3,170,513,144.27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3,081,970,721.37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3,732,547,084.40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3,895,562,544.51</w:t>
            </w:r>
          </w:p>
        </w:tc>
      </w:tr>
    </w:tbl>
    <w:p>
      <w:pPr>
        <w:spacing w:line="240" w:lineRule="auto" w:before="2"/>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ind w:right="0"/>
        <w:jc w:val="left"/>
      </w:pPr>
      <w:r>
        <w:rPr/>
        <w:t>法定代表人：袁贤苗</w:t>
        <w:tab/>
        <w:t>主管会计工作负责人：石军龙</w:t>
        <w:tab/>
        <w:t>会计机构负责人：石军龙</w:t>
      </w:r>
    </w:p>
    <w:p>
      <w:pPr>
        <w:spacing w:line="240" w:lineRule="auto" w:before="0"/>
        <w:rPr>
          <w:rFonts w:ascii="宋体" w:hAnsi="宋体" w:cs="宋体" w:eastAsia="宋体" w:hint="default"/>
          <w:sz w:val="18"/>
          <w:szCs w:val="18"/>
        </w:rPr>
      </w:pPr>
    </w:p>
    <w:p>
      <w:pPr>
        <w:pStyle w:val="Heading4"/>
        <w:spacing w:line="240" w:lineRule="auto" w:before="155"/>
        <w:ind w:right="0"/>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465,675,256.79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131,051,644.17</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61,429,387.90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66,963,327.61</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24,279,459.90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3,606,481.55</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183,287,395.77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1,384,864,233.83</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64,824.65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55,260,947.94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56,535,942.63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12,725,198.52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36,371,239.36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802,657,646.82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1,679,392,869.15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91,417,542.02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2,339,289,731.11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1,937,440,914.27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92,436,017.41</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1,768,382.35</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88,627,660.90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91,857,137.26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250,567,575.06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256,474,711.60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10,358,511.41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10,783,834.76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1,466,756.28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3,015,606.48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9,051,322.66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2,827,065,957.18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2,414,489,746.39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3,629,723,604.00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4,093,882,615.54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264,188,559.90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488,905,600.00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6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40,899,710.08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69,286,577.67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675,010.50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443,041.43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13,387,746.24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4,654,111.74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656,870.64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5,445,175.06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172,743,396.32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218,406,737.92</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652,858.89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492,551,293.68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787,141,243.82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20,968,298.69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21,806,489.93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4,223,595.64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7,313,519.91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25,191,894.33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99,120,009.84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517,743,188.01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886,261,253.66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909,572,725.00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909,572,725.00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1,911,017,507.18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2,042,065,932.24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67,441,880.92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64,026,557.90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223,948,302.89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193,038,604.72</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3,111,980,415.99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3,207,621,361.88</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3,629,723,604.00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4,093,882,615.54</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1,379,754,926.74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835,775,647.18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1,379,754,926.74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835,775,647.18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1,190,888,032.15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754,128,185.83</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964,517,564.11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543,944,759.28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8,637,427.55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7,408,350.77</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27,844,160.10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34,518,202.60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137,433,045.79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119,605,547.00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42,872,131.48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29,588,301.00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9,583,703.12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19,063,025.18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97"/>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24,939,202.80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32,944,920.44</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7"/>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10,511,196.24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4,654,145.52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10,031,064.77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9,787,316.23</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-57,358,550.83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-342,618.97</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-66,866,031.17</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-50,016,404.58</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201,303.20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-6,838,764.25</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-27,604,227.03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-68,157,472.11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-309,600,256.05</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15,703.73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45,979,012.59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-225,331,157.96</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1,424,319.46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300,232.63</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2,835,227.55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259,895.95</w:t>
            </w:r>
          </w:p>
        </w:tc>
      </w:tr>
      <w:tr>
        <w:trPr>
          <w:trHeight w:val="406"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132" w:val="left" w:leader="none"/>
              </w:tabs>
              <w:spacing w:line="240" w:lineRule="auto" w:before="45"/>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44,568,104.50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-225,290,821.28</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12,943,545.72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17,249,642.91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31,624,558.78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-242,540,464.19</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31,624,558.78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-242,540,464.19</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37,561,253.38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-233,913,937.03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-5,936,694.60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-8,626,527.16</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1,969,911.81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12,159,827.13</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2,233,495.13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12,010,486.69</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-1,822,667.63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-1,822,667.63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4,056,162.76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12,010,486.69</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1,412,394.08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-485,696.62</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-1,344,701.05</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2,643,768.68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13,840,884.36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-263,583.32</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149,340.44</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33,594,470.59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-230,380,637.06</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39,794,748.51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-221,903,450.34</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-6,200,277.92</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-8,477,186.72</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r>
    </w:tbl>
    <w:p>
      <w:pPr>
        <w:pStyle w:val="BodyText"/>
        <w:tabs>
          <w:tab w:pos="3565" w:val="left" w:leader="none"/>
          <w:tab w:pos="7710" w:val="left" w:leader="none"/>
        </w:tabs>
        <w:spacing w:line="612" w:lineRule="auto" w:before="45"/>
        <w:ind w:right="1218"/>
        <w:jc w:val="left"/>
      </w:pPr>
      <w:r>
        <w:rPr/>
        <w:t>本期发生同一控制下企业合并的，被合并方在合并前实现的净利润为：元，上期被合并方实现的净利润为：元。 法定代表人：袁贤苗</w:t>
        <w:tab/>
        <w:t>主管会计工作负责人：石军龙</w:t>
        <w:tab/>
        <w:t>会计机构负责人：石军龙</w:t>
      </w:r>
    </w:p>
    <w:p>
      <w:pPr>
        <w:spacing w:after="0" w:line="612"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407,516,286.83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275,699,323.42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282,900,426.18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201,214,144.82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4,771,822.93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5,063,590.70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5,971,174.74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4,193,941.39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53,627,153.41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33,181,402.12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14,355,210.35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10,844,260.80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16,842,957.79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27,016,694.75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6,737,673.76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7,416,900.50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6,536,687.33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36,705,611.17</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350,840.33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-1,183,561.64</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-12,742,993.21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-1,350,364.80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-215,335,162.72</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28,579,384.84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-178,210,923.85</w:t>
            </w:r>
            <w:r>
              <w:rPr>
                <w:rFonts w:ascii="Times New Roman"/>
                <w:sz w:val="18"/>
              </w:rPr>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1,806.15</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1,934,508.56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14,124.32</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26,646,682.43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-178,225,048.17</w:t>
            </w:r>
            <w:r>
              <w:rPr>
                <w:rFonts w:ascii="Times New Roman"/>
                <w:sz w:val="18"/>
              </w:rPr>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-7,506,547.81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6,650,822.88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34,153,230.24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-184,875,871.05</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34,153,230.24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-184,875,871.05</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34,153,230.24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-185,958,329.03</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1,332,274,232.37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904,773,196.39</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71,221,480.78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24,989,910.63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56,621,666.02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227,562,242.35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1,460,117,379.17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1,157,325,349.37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1,022,728,095.34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511,563,217.49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234,338,944.70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150,922,869.11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70,989,526.59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59,518,540.41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135,214,675.14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286,798,843.38</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1,463,271,241.77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1,008,803,470.39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-3,153,862.60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148,521,878.98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231,233,951.84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5,163,164.53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7,454,180.84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47,320,406.75</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53,051.77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265,329.45</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-19,089.86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1,678,727,790.46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8,626,915,040.00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1,917,449,885.05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8,679,703,940.73</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35,793,907.58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14,643,325.88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256,280,000.00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52,500,000.00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528,874,421.05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261,500,000.00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280,110,000.00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8,410,083,492.52</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1,101,058,328.63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8,738,726,818.40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816,391,556.42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-59,022,877.67</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531,117,472.00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994,160,600.00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531,117,472.00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994,160,600.00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819,527,682.62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1,004,995,000.00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25,402,320.39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33,730,545.99</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23,320.50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844,953,323.51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1,038,725,545.99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-313,835,851.51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-44,564,945.99</w:t>
            </w:r>
            <w:r>
              <w:rPr>
                <w:rFonts w:ascii="Times New Roman"/>
                <w:sz w:val="18"/>
              </w:rPr>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2,649,088.57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2,502,123.17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502,050,930.88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47,436,178.49</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374,948,807.76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327,512,629.27</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876,999,738.64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374,948,807.76</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403,933,628.55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291,759,710.15</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30,913,773.42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23,670,249.06</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216,162,379.04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8,253,868.35</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651,009,781.01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323,683,827.56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327,821,474.15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156,562,479.35</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54,756,405.23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59,957,651.46</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21,933,283.40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23,039,751.81</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421,780,893.60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421,942,320.44</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826,292,056.38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661,502,203.06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-175,282,275.37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-337,818,375.50</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3,318,231.52</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6,978,690.38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47,122,635.86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4,600.00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1,668,727,790.46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8,624,670,000.00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1,679,024,712.36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8,671,797,235.86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15,150,987.60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6,940,496.18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51,000,000.00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577,500,000.00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261,500,000.00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112,610,000.00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8,024,818,817.28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733,260,987.60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8,344,259,313.46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945,763,724.76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327,537,922.40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839,165,600.00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949,165,600.00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610,667,800.00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850,000,000.00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23,416,742.63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33,118,740.85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5,870,000.00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760,584,542.63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888,988,740.85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-436,584,542.63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60,176,859.15</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725,708.42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1,200,322.92</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334,622,615.18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51,096,728.97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131,051,644.17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79,954,915.20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465,674,259.35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131,051,644.17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
        </w:tc>
        <w:tc>
          <w:tcPr>
            <w:tcW w:w="8320"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62" w:type="dxa"/>
            <w:vMerge/>
            <w:tcBorders>
              <w:left w:val="single" w:sz="6" w:space="0" w:color="000000"/>
              <w:right w:val="single" w:sz="6" w:space="0" w:color="000000"/>
            </w:tcBorders>
            <w:shd w:val="clear" w:color="auto" w:fill="D2D2D2"/>
          </w:tcPr>
          <w:p>
            <w:pPr/>
          </w:p>
        </w:tc>
        <w:tc>
          <w:tcPr>
            <w:tcW w:w="714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62" w:type="dxa"/>
            <w:vMerge/>
            <w:tcBorders>
              <w:left w:val="single" w:sz="6" w:space="0" w:color="000000"/>
              <w:right w:val="single" w:sz="6" w:space="0" w:color="000000"/>
            </w:tcBorders>
            <w:shd w:val="clear" w:color="auto" w:fill="D2D2D2"/>
          </w:tcPr>
          <w:p>
            <w:pPr/>
          </w:p>
        </w:tc>
        <w:tc>
          <w:tcPr>
            <w:tcW w:w="7149"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62" w:type="dxa"/>
            <w:vMerge/>
            <w:tcBorders>
              <w:left w:val="single" w:sz="6" w:space="0" w:color="000000"/>
              <w:bottom w:val="nil" w:sz="6" w:space="0" w:color="auto"/>
              <w:right w:val="single" w:sz="6" w:space="0" w:color="000000"/>
            </w:tcBorders>
            <w:shd w:val="clear" w:color="auto" w:fill="D2D2D2"/>
          </w:tcPr>
          <w:p>
            <w:pPr/>
          </w:p>
        </w:tc>
        <w:tc>
          <w:tcPr>
            <w:tcW w:w="7149"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0" w:hRule="exact"/>
        </w:trPr>
        <w:tc>
          <w:tcPr>
            <w:tcW w:w="1262" w:type="dxa"/>
            <w:vMerge w:val="restart"/>
            <w:tcBorders>
              <w:top w:val="nil" w:sz="6" w:space="0" w:color="auto"/>
              <w:left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62"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62" w:type="dxa"/>
            <w:vMerge w:val="restart"/>
            <w:tcBorders>
              <w:top w:val="nil" w:sz="6" w:space="0" w:color="auto"/>
              <w:left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62"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62"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262"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8" w:space="0" w:color="D2D2D2"/>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5.00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860,38</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7.64</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75" w:right="0"/>
              <w:jc w:val="left"/>
              <w:rPr>
                <w:rFonts w:ascii="Times New Roman" w:hAnsi="Times New Roman" w:cs="Times New Roman" w:eastAsia="Times New Roman" w:hint="default"/>
                <w:sz w:val="18"/>
                <w:szCs w:val="18"/>
              </w:rPr>
            </w:pPr>
            <w:r>
              <w:rPr>
                <w:rFonts w:ascii="Times New Roman"/>
                <w:sz w:val="18"/>
              </w:rPr>
              <w:t>-11,65</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5,422.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01</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,557.9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298,06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0,727.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16</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3,049,</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864,97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5.69</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32,105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,745.6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6"/>
              <w:ind w:left="60" w:right="0"/>
              <w:jc w:val="center"/>
              <w:rPr>
                <w:rFonts w:ascii="Times New Roman" w:hAnsi="Times New Roman" w:cs="Times New Roman" w:eastAsia="Times New Roman" w:hint="default"/>
                <w:sz w:val="18"/>
                <w:szCs w:val="18"/>
              </w:rPr>
            </w:pPr>
            <w:r>
              <w:rPr>
                <w:rFonts w:ascii="Times New Roman"/>
                <w:sz w:val="18"/>
              </w:rPr>
              <w:t>3,081,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970,72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1.37</w:t>
            </w:r>
          </w:p>
        </w:tc>
      </w:tr>
      <w:tr>
        <w:trPr>
          <w:trHeight w:val="705" w:hRule="exact"/>
        </w:trPr>
        <w:tc>
          <w:tcPr>
            <w:tcW w:w="126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62"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28"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1,340,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195.64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-1,340,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195.64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5.00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860,38</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7.64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5,226.</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37</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,557.9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296,72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0,531.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3,049,</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864,97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5.69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32,105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3,081,</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970,72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1.37</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2,233,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495.13</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323.02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35,520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,179.2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94,742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,700.8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-6,200,</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277.92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2,233,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495.13</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37,561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,253.3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39,794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,748.5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-6,200,</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277.92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33,594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,470.5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323.02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323.02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323.02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323.02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53,573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w:t>
            </w: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248.93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248.93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248.93</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248.93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248.93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248.93</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5.00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1,843,</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434,09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-8,081,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731.24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67,441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,880.9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332,24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0,710.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3,144,</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607,67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6.51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25,905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,467.7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3,170,</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513,14</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4.27</w:t>
            </w:r>
          </w:p>
        </w:tc>
      </w:tr>
    </w:tbl>
    <w:p>
      <w:pPr>
        <w:pStyle w:val="BodyText"/>
        <w:spacing w:line="240" w:lineRule="auto"/>
        <w:ind w:right="0"/>
        <w:jc w:val="left"/>
      </w:pPr>
      <w:r>
        <w:rPr/>
        <w:t>上期金额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02"/>
        <w:gridCol w:w="488"/>
        <w:gridCol w:w="450"/>
        <w:gridCol w:w="451"/>
        <w:gridCol w:w="496"/>
        <w:gridCol w:w="570"/>
        <w:gridCol w:w="586"/>
        <w:gridCol w:w="571"/>
        <w:gridCol w:w="585"/>
        <w:gridCol w:w="571"/>
        <w:gridCol w:w="586"/>
        <w:gridCol w:w="586"/>
        <w:gridCol w:w="571"/>
        <w:gridCol w:w="571"/>
        <w:gridCol w:w="631"/>
        <w:gridCol w:w="661"/>
      </w:tblGrid>
      <w:tr>
        <w:trPr>
          <w:trHeight w:val="406"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7"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7"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5.00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Times New Roman" w:hAnsi="Times New Roman" w:cs="Times New Roman" w:eastAsia="Times New Roman" w:hint="default"/>
                <w:sz w:val="18"/>
                <w:szCs w:val="18"/>
              </w:rPr>
            </w:pPr>
            <w:r>
              <w:rPr>
                <w:rFonts w:ascii="Times New Roman"/>
                <w:sz w:val="18"/>
              </w:rPr>
              <w:t>2,006,</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580,39</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9.85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9"/>
              <w:ind w:left="75" w:right="0"/>
              <w:jc w:val="left"/>
              <w:rPr>
                <w:rFonts w:ascii="Times New Roman" w:hAnsi="Times New Roman" w:cs="Times New Roman" w:eastAsia="Times New Roman" w:hint="default"/>
                <w:sz w:val="18"/>
                <w:szCs w:val="18"/>
              </w:rPr>
            </w:pPr>
            <w:r>
              <w:rPr>
                <w:rFonts w:ascii="Times New Roman"/>
                <w:sz w:val="18"/>
              </w:rPr>
              <w:t>-23,29</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8,264.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96</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,557.9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0" w:right="0"/>
              <w:jc w:val="left"/>
              <w:rPr>
                <w:rFonts w:ascii="Times New Roman" w:hAnsi="Times New Roman" w:cs="Times New Roman" w:eastAsia="Times New Roman" w:hint="default"/>
                <w:sz w:val="18"/>
                <w:szCs w:val="18"/>
              </w:rPr>
            </w:pPr>
            <w:r>
              <w:rPr>
                <w:rFonts w:ascii="Times New Roman"/>
                <w:sz w:val="18"/>
              </w:rPr>
              <w:t>531,97</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4,664.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Times New Roman" w:hAnsi="Times New Roman" w:cs="Times New Roman" w:eastAsia="Times New Roman" w:hint="default"/>
                <w:sz w:val="18"/>
                <w:szCs w:val="18"/>
              </w:rPr>
            </w:pPr>
            <w:r>
              <w:rPr>
                <w:rFonts w:ascii="Times New Roman"/>
                <w:sz w:val="18"/>
              </w:rPr>
              <w:t>3,488,</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856,08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1.98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810.16</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3,524,4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97,892.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14</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7"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-238,9</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99,000</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-238,9</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99,000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-238,99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72,72</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4"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581,39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-23,29</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8,264.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,557.9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531,97</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4,664.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3,249,</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857,08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810.16</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3,285,4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98,892.</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35" w:right="0"/>
              <w:jc w:val="left"/>
              <w:rPr>
                <w:rFonts w:ascii="Times New Roman" w:hAnsi="Times New Roman" w:cs="Times New Roman" w:eastAsia="Times New Roman" w:hint="default"/>
                <w:sz w:val="18"/>
                <w:szCs w:val="18"/>
              </w:rPr>
            </w:pPr>
            <w:r>
              <w:rPr>
                <w:rFonts w:ascii="Times New Roman"/>
                <w:sz w:val="18"/>
              </w:rPr>
              <w:t>5.00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39" w:right="0"/>
              <w:jc w:val="left"/>
              <w:rPr>
                <w:rFonts w:ascii="Times New Roman" w:hAnsi="Times New Roman" w:cs="Times New Roman" w:eastAsia="Times New Roman" w:hint="default"/>
                <w:sz w:val="18"/>
                <w:szCs w:val="18"/>
              </w:rPr>
            </w:pPr>
            <w:r>
              <w:rPr>
                <w:rFonts w:ascii="Times New Roman"/>
                <w:sz w:val="18"/>
              </w:rPr>
              <w:t>9.85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60" w:right="0"/>
              <w:jc w:val="left"/>
              <w:rPr>
                <w:rFonts w:ascii="Times New Roman" w:hAnsi="Times New Roman" w:cs="Times New Roman" w:eastAsia="Times New Roman" w:hint="default"/>
                <w:sz w:val="18"/>
                <w:szCs w:val="18"/>
              </w:rPr>
            </w:pPr>
            <w:r>
              <w:rPr>
                <w:rFonts w:ascii="Times New Roman"/>
                <w:sz w:val="18"/>
              </w:rPr>
              <w:t>96</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5" w:right="0"/>
              <w:jc w:val="left"/>
              <w:rPr>
                <w:rFonts w:ascii="Times New Roman" w:hAnsi="Times New Roman" w:cs="Times New Roman" w:eastAsia="Times New Roman" w:hint="default"/>
                <w:sz w:val="18"/>
                <w:szCs w:val="18"/>
              </w:rPr>
            </w:pPr>
            <w:r>
              <w:rPr>
                <w:rFonts w:ascii="Times New Roman"/>
                <w:sz w:val="18"/>
              </w:rPr>
              <w:t>19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10" w:right="0"/>
              <w:jc w:val="left"/>
              <w:rPr>
                <w:rFonts w:ascii="Times New Roman" w:hAnsi="Times New Roman" w:cs="Times New Roman" w:eastAsia="Times New Roman" w:hint="default"/>
                <w:sz w:val="18"/>
                <w:szCs w:val="18"/>
              </w:rPr>
            </w:pPr>
            <w:r>
              <w:rPr>
                <w:rFonts w:ascii="Times New Roman"/>
                <w:sz w:val="18"/>
              </w:rPr>
              <w:t>1.98</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14</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05"/>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,987.7</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11,642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,842.9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-233,9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13,937</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-199,9</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92,106</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.29</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-3,536,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064.48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-203,52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8,170.7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12,010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,486.6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-233,9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13,937</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-221,9</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03,450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-8,477,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186.72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0,637.0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,987.7</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,987.7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987.79</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,987.7</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,987.7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987.79</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22.24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22.24</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22.24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22.24</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3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-367,6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43.74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-367,6</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43.74</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-367,64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3.74</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72,72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5.00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860,38</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7.64</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-11,65</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5,422.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,557.9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298,06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0,727.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3,049,</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864,97</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5.69</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32,105,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745.68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3,081,9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70,721.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37</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9"/>
        <w:gridCol w:w="638"/>
        <w:gridCol w:w="601"/>
        <w:gridCol w:w="601"/>
        <w:gridCol w:w="615"/>
        <w:gridCol w:w="721"/>
        <w:gridCol w:w="736"/>
        <w:gridCol w:w="721"/>
        <w:gridCol w:w="736"/>
        <w:gridCol w:w="721"/>
        <w:gridCol w:w="616"/>
        <w:gridCol w:w="706"/>
        <w:gridCol w:w="871"/>
      </w:tblGrid>
      <w:tr>
        <w:trPr>
          <w:trHeight w:val="398" w:hRule="exact"/>
        </w:trPr>
        <w:tc>
          <w:tcPr>
            <w:tcW w:w="12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9"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2,042,06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5,932.24</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108"/>
              <w:ind w:left="269" w:right="0"/>
              <w:jc w:val="center"/>
              <w:rPr>
                <w:rFonts w:ascii="Times New Roman" w:hAnsi="Times New Roman" w:cs="Times New Roman" w:eastAsia="Times New Roman" w:hint="default"/>
                <w:sz w:val="18"/>
                <w:szCs w:val="18"/>
              </w:rPr>
            </w:pPr>
            <w:r>
              <w:rPr>
                <w:rFonts w:ascii="Times New Roman"/>
                <w:sz w:val="18"/>
              </w:rPr>
              <w:t>57.98</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64,026,5</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57.90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193,03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8,604.7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3,207,621,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361.88</w:t>
            </w: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1,082,45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7.98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457.98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2,042,06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5,932.24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64,026,5</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57.90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191,95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6,146.7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3,207,621,</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361.88</w:t>
            </w: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3"/>
                <w:sz w:val="18"/>
                <w:szCs w:val="18"/>
              </w:rPr>
              <w:t>三、本期增减变</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-131,048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9" w:right="0"/>
              <w:jc w:val="left"/>
              <w:rPr>
                <w:rFonts w:ascii="Times New Roman" w:hAnsi="Times New Roman" w:cs="Times New Roman" w:eastAsia="Times New Roman" w:hint="default"/>
                <w:sz w:val="18"/>
                <w:szCs w:val="18"/>
              </w:rPr>
            </w:pPr>
            <w:r>
              <w:rPr>
                <w:rFonts w:ascii="Times New Roman"/>
                <w:sz w:val="18"/>
              </w:rPr>
              <w:t>3,415,32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31,992,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-95,640,94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67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pacing w:val="-3"/>
                <w:sz w:val="18"/>
                <w:szCs w:val="18"/>
              </w:rPr>
              <w:t>动金额（减少以</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0" w:right="0"/>
              <w:jc w:val="left"/>
              <w:rPr>
                <w:rFonts w:ascii="Times New Roman" w:hAnsi="Times New Roman" w:cs="Times New Roman" w:eastAsia="Times New Roman" w:hint="default"/>
                <w:sz w:val="18"/>
                <w:szCs w:val="18"/>
              </w:rPr>
            </w:pPr>
            <w:r>
              <w:rPr>
                <w:rFonts w:ascii="Times New Roman"/>
                <w:sz w:val="18"/>
              </w:rPr>
              <w:t>,425.06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4" w:right="0"/>
              <w:jc w:val="left"/>
              <w:rPr>
                <w:rFonts w:ascii="Times New Roman" w:hAnsi="Times New Roman" w:cs="Times New Roman" w:eastAsia="Times New Roman" w:hint="default"/>
                <w:sz w:val="18"/>
                <w:szCs w:val="18"/>
              </w:rPr>
            </w:pPr>
            <w:r>
              <w:rPr>
                <w:rFonts w:ascii="Times New Roman"/>
                <w:sz w:val="18"/>
              </w:rPr>
              <w:t>3.02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75" w:right="0"/>
              <w:jc w:val="left"/>
              <w:rPr>
                <w:rFonts w:ascii="Times New Roman" w:hAnsi="Times New Roman" w:cs="Times New Roman" w:eastAsia="Times New Roman" w:hint="default"/>
                <w:sz w:val="18"/>
                <w:szCs w:val="18"/>
              </w:rPr>
            </w:pPr>
            <w:r>
              <w:rPr>
                <w:rFonts w:ascii="Times New Roman"/>
                <w:sz w:val="18"/>
              </w:rPr>
              <w:t>156.15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525" w:right="0"/>
              <w:jc w:val="left"/>
              <w:rPr>
                <w:rFonts w:ascii="Times New Roman" w:hAnsi="Times New Roman" w:cs="Times New Roman" w:eastAsia="Times New Roman" w:hint="default"/>
                <w:sz w:val="18"/>
                <w:szCs w:val="18"/>
              </w:rPr>
            </w:pPr>
            <w:r>
              <w:rPr>
                <w:rFonts w:ascii="Times New Roman"/>
                <w:sz w:val="18"/>
              </w:rPr>
              <w:t>5.89</w:t>
            </w: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34,153,</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230.24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34,153,23</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0.24</w:t>
            </w: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-131,048</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,425.06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-131,048,4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25.06</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-131,048</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,425.06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-131,048,4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25.06</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3,415,32</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3.02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323.02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3,415,32</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3.02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323.02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1,254,2</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48.93</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1,254,248.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93</w:t>
            </w: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1,254,2</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48.93</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1,254,248.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1,911,01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7,507.18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67,441,8</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80.92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223,94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8,302.8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3,111,980,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415.99</w:t>
            </w:r>
          </w:p>
        </w:tc>
      </w:tr>
    </w:tbl>
    <w:p>
      <w:pPr>
        <w:pStyle w:val="BodyText"/>
        <w:spacing w:line="240" w:lineRule="auto"/>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391"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18"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9"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1"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0"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18"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65,932.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557.90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377,914,4</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75.77</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3,386,579,6</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90.91</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8"/>
              <w:jc w:val="righ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67"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2,035,0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65,932.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557.90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377,914,4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75.77</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3,386,579,6</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90.91</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29"/>
              <w:ind w:left="7"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57.98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-184,875,</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871.05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-178,958,32</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9.03</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57.98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-184,875,</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871.05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-185,958,32</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9.03</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7,000,000.0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67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7,000,000.0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2,042,0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65,932.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-1,082,4</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57.98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557.90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193,038,6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04.72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3,207,621,3</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61.88</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72"/>
      <w:bookmarkEnd w:id="172"/>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5"/>
        <w:spacing w:line="261" w:lineRule="auto"/>
        <w:ind w:right="0" w:firstLine="420"/>
        <w:jc w:val="left"/>
      </w:pPr>
      <w:r>
        <w:rPr>
          <w:spacing w:val="-6"/>
        </w:rPr>
        <w:t>美盛文化创意股份有限公司（以下简称公司或本公司）系由原新昌美盛饰品有限公司发起设立，于</w:t>
      </w:r>
      <w:r>
        <w:rPr>
          <w:rFonts w:ascii="Times New Roman" w:hAnsi="Times New Roman" w:cs="Times New Roman" w:eastAsia="Times New Roman" w:hint="default"/>
          <w:spacing w:val="-6"/>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日在浙江省工商行政管理局重新登记注册，总部位于浙江省绍兴市新昌县。公司现持有统一社会</w:t>
      </w:r>
    </w:p>
    <w:p>
      <w:pPr>
        <w:spacing w:after="0" w:line="261"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59" w:lineRule="auto" w:before="35"/>
        <w:ind w:right="0"/>
        <w:jc w:val="left"/>
      </w:pPr>
      <w:r>
        <w:rPr/>
        <w:t>信用代码为</w:t>
      </w:r>
      <w:r>
        <w:rPr>
          <w:rFonts w:ascii="Times New Roman" w:hAnsi="Times New Roman" w:cs="Times New Roman" w:eastAsia="Times New Roman" w:hint="default"/>
        </w:rPr>
        <w:t>913300007384284925</w:t>
      </w:r>
      <w:r>
        <w:rPr>
          <w:rFonts w:ascii="Times New Roman" w:hAnsi="Times New Roman" w:cs="Times New Roman" w:eastAsia="Times New Roman" w:hint="default"/>
          <w:spacing w:val="26"/>
        </w:rPr>
        <w:t> </w:t>
      </w:r>
      <w:r>
        <w:rPr/>
        <w:t>的营业执照，注册资本</w:t>
      </w:r>
      <w:r>
        <w:rPr>
          <w:rFonts w:ascii="Times New Roman" w:hAnsi="Times New Roman" w:cs="Times New Roman" w:eastAsia="Times New Roman" w:hint="default"/>
        </w:rPr>
        <w:t>909,572,725.00</w:t>
      </w:r>
      <w:r>
        <w:rPr/>
        <w:t>元，股份总数</w:t>
      </w:r>
      <w:r>
        <w:rPr>
          <w:rFonts w:ascii="Times New Roman" w:hAnsi="Times New Roman" w:cs="Times New Roman" w:eastAsia="Times New Roman" w:hint="default"/>
        </w:rPr>
        <w:t>909,572,725</w:t>
      </w:r>
      <w:r>
        <w:rPr/>
        <w:t>股（每股</w:t>
      </w:r>
      <w:r>
        <w:rPr>
          <w:spacing w:val="-97"/>
        </w:rPr>
        <w:t> </w:t>
      </w:r>
      <w:r>
        <w:rPr/>
        <w:t>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日在深圳证券交易所上市，股票代码是</w:t>
      </w:r>
      <w:r>
        <w:rPr>
          <w:rFonts w:ascii="Times New Roman" w:hAnsi="Times New Roman" w:cs="Times New Roman" w:eastAsia="Times New Roman" w:hint="default"/>
        </w:rPr>
        <w:t>002699</w:t>
      </w:r>
      <w:r>
        <w:rPr/>
        <w:t>。</w:t>
      </w:r>
    </w:p>
    <w:p>
      <w:pPr>
        <w:pStyle w:val="Heading5"/>
        <w:spacing w:line="261" w:lineRule="auto" w:before="6"/>
        <w:ind w:right="0" w:firstLine="420"/>
        <w:jc w:val="left"/>
      </w:pPr>
      <w:r>
        <w:rPr/>
        <w:t>本公司属文化行业。涉足动漫原创、影视制作、动画制作、动漫衍生品、玩具研发生产和销售、媒体 广告、网络游戏、手机游戏、演艺等领域。</w:t>
      </w:r>
    </w:p>
    <w:p>
      <w:pPr>
        <w:pStyle w:val="Heading5"/>
        <w:spacing w:line="240" w:lineRule="auto" w:before="21"/>
        <w:ind w:left="561" w:right="0"/>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日第四届第三次董事会批准对外报出。</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5"/>
        <w:spacing w:line="261" w:lineRule="auto"/>
        <w:ind w:right="1083"/>
        <w:jc w:val="both"/>
      </w:pPr>
      <w:r>
        <w:rPr/>
        <w:t>本公司将杭州真趣网络科技有限公司、杭州美盛游戏技术开发有限公司、香港美盛文化有限公司、杭州美 </w:t>
      </w:r>
      <w:r>
        <w:rPr>
          <w:spacing w:val="-3"/>
        </w:rPr>
        <w:t>盛电子商务有限公司等子公司纳入合并报表范围，具体见本附注</w:t>
      </w:r>
      <w:r>
        <w:rPr>
          <w:rFonts w:ascii="Times New Roman" w:hAnsi="Times New Roman" w:cs="Times New Roman" w:eastAsia="Times New Roman" w:hint="default"/>
          <w:spacing w:val="-3"/>
        </w:rPr>
        <w:t>“</w:t>
      </w:r>
      <w:r>
        <w:rPr>
          <w:spacing w:val="-3"/>
        </w:rPr>
        <w:t>六、合并范围的变更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七、在其他主体</w:t>
      </w:r>
      <w:r>
        <w:rPr>
          <w:spacing w:val="-71"/>
        </w:rPr>
        <w:t> </w:t>
      </w:r>
      <w:r>
        <w:rPr>
          <w:spacing w:val="-71"/>
        </w:rPr>
      </w:r>
      <w:r>
        <w:rPr/>
        <w:t>中的权益</w:t>
      </w:r>
      <w:r>
        <w:rPr>
          <w:rFonts w:ascii="Times New Roman" w:hAnsi="Times New Roman" w:cs="Times New Roman" w:eastAsia="Times New Roman" w:hint="default"/>
        </w:rPr>
        <w:t>”</w:t>
      </w:r>
      <w:r>
        <w:rPr>
          <w:color w:val="0000FF"/>
        </w:rPr>
        <w:t>。</w:t>
      </w:r>
      <w:r>
        <w:rPr/>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both"/>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5"/>
          <w:szCs w:val="25"/>
        </w:rPr>
      </w:pPr>
    </w:p>
    <w:p>
      <w:pPr>
        <w:pStyle w:val="Heading5"/>
        <w:spacing w:line="240" w:lineRule="auto"/>
        <w:ind w:left="561" w:right="0"/>
        <w:jc w:val="left"/>
      </w:pPr>
      <w:r>
        <w:rPr/>
        <w:t>本公司财务报表以持续经营为基础，根据实际发生的交易和事项，按照财政部颁布的《企业会计准则</w:t>
      </w:r>
    </w:p>
    <w:p>
      <w:pPr>
        <w:pStyle w:val="Heading5"/>
        <w:spacing w:line="261" w:lineRule="auto" w:before="25"/>
        <w:ind w:right="0"/>
        <w:jc w:val="left"/>
      </w:pPr>
      <w:r>
        <w:rPr>
          <w:rFonts w:ascii="Times New Roman" w:hAnsi="Times New Roman" w:cs="Times New Roman" w:eastAsia="Times New Roman" w:hint="default"/>
          <w:spacing w:val="-2"/>
        </w:rPr>
        <w:t>-</w:t>
      </w:r>
      <w:r>
        <w:rPr>
          <w:spacing w:val="-2"/>
        </w:rPr>
        <w:t>基本准则》和具体会计准则等规定（以下合称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），并基于以下所述重要会计政策、会计估</w:t>
      </w:r>
      <w:r>
        <w:rPr>
          <w:spacing w:val="-91"/>
        </w:rPr>
        <w:t> </w:t>
      </w:r>
      <w:r>
        <w:rPr>
          <w:spacing w:val="-91"/>
        </w:rPr>
      </w:r>
      <w:r>
        <w:rPr/>
        <w:t>计进行编制。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both"/>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67" w:lineRule="auto" w:before="0"/>
        <w:ind w:right="8098"/>
        <w:jc w:val="left"/>
      </w:pPr>
      <w:r>
        <w:rPr/>
        <w:t>具体会计政策和会计估计提示： 无</w:t>
      </w:r>
    </w:p>
    <w:p>
      <w:pPr>
        <w:spacing w:line="600" w:lineRule="exact" w:before="30"/>
        <w:ind w:left="561" w:right="1089" w:hanging="421"/>
        <w:jc w:val="left"/>
        <w:rPr>
          <w:rFonts w:ascii="宋体" w:hAnsi="宋体" w:cs="宋体" w:eastAsia="宋体" w:hint="default"/>
          <w:sz w:val="21"/>
          <w:szCs w:val="21"/>
        </w:rPr>
      </w:pPr>
      <w:bookmarkStart w:name="1、遵循企业会计准则的声明" w:id="177"/>
      <w:bookmarkEnd w:id="1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本公司编制的财务报表符合《企业会计准则》的要求，真实、完整地反映了本公司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w:t>
      </w:r>
    </w:p>
    <w:p>
      <w:pPr>
        <w:pStyle w:val="Heading5"/>
        <w:spacing w:line="241" w:lineRule="exact"/>
        <w:ind w:right="0"/>
        <w:jc w:val="both"/>
      </w:pPr>
      <w:r>
        <w:rPr/>
        <w:t>财务状况、</w:t>
      </w:r>
      <w:r>
        <w:rPr>
          <w:rFonts w:ascii="Times New Roman" w:hAnsi="Times New Roman" w:cs="Times New Roman" w:eastAsia="Times New Roman" w:hint="default"/>
        </w:rPr>
        <w:t>2019</w:t>
      </w:r>
      <w:r>
        <w:rPr/>
        <w:t>年度的经营成果和现金流量等相关信息。</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4"/>
        <w:spacing w:line="240" w:lineRule="auto"/>
        <w:ind w:right="0"/>
        <w:jc w:val="both"/>
        <w:rPr>
          <w:b w:val="0"/>
          <w:bCs w:val="0"/>
        </w:rPr>
      </w:pPr>
      <w:bookmarkStart w:name="2、会计期间" w:id="178"/>
      <w:bookmarkEnd w:id="17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t>本公司以一年</w:t>
      </w:r>
      <w:r>
        <w:rPr>
          <w:spacing w:val="-16"/>
        </w:rPr>
        <w:t> </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3、营业周期" w:id="179"/>
      <w:bookmarkEnd w:id="17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t>本公司以一年</w:t>
      </w:r>
      <w:r>
        <w:rPr>
          <w:spacing w:val="-16"/>
        </w:rPr>
        <w:t> </w:t>
      </w:r>
      <w:r>
        <w:rPr>
          <w:rFonts w:ascii="Times New Roman" w:hAnsi="Times New Roman" w:cs="Times New Roman" w:eastAsia="Times New Roman" w:hint="default"/>
        </w:rPr>
        <w:t>12</w:t>
      </w:r>
      <w:r>
        <w:rPr/>
        <w:t>个月作为正常营业周期，并以营业周期作为资产和负债的流动性划分标准。</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0"/>
        <w:jc w:val="both"/>
        <w:rPr>
          <w:b w:val="0"/>
          <w:bCs w:val="0"/>
        </w:rPr>
      </w:pPr>
      <w:bookmarkStart w:name="4、记账本位币" w:id="180"/>
      <w:bookmarkEnd w:id="18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color w:val="8063A1"/>
        </w:rPr>
        <w:t>本公司以人民币为记账本位币。</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right="0"/>
        <w:jc w:val="both"/>
        <w:rPr>
          <w:b w:val="0"/>
          <w:bCs w:val="0"/>
        </w:rPr>
      </w:pPr>
      <w:bookmarkStart w:name="5、同一控制下和非同一控制下企业合并的会计处理方法" w:id="181"/>
      <w:bookmarkEnd w:id="18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561" w:right="1089"/>
        <w:jc w:val="left"/>
      </w:pPr>
      <w:r>
        <w:rPr>
          <w:rFonts w:ascii="Times New Roman" w:hAnsi="Times New Roman" w:cs="Times New Roman" w:eastAsia="Times New Roman" w:hint="default"/>
        </w:rPr>
        <w:t>1.</w:t>
      </w:r>
      <w:r>
        <w:rPr/>
        <w:t>同一控制下的企业合并</w:t>
      </w:r>
      <w:r>
        <w:rPr>
          <w:spacing w:val="-98"/>
        </w:rPr>
        <w:t> </w:t>
      </w:r>
      <w:r>
        <w:rPr/>
        <w:t>同一控制下企业合并形成的长期股权投资合并方以支付现金、转让非现金资产或承担债务方式作为合</w:t>
      </w:r>
    </w:p>
    <w:p>
      <w:pPr>
        <w:pStyle w:val="Heading5"/>
        <w:spacing w:line="271" w:lineRule="auto" w:before="23"/>
        <w:ind w:right="1083"/>
        <w:jc w:val="both"/>
      </w:pPr>
      <w:r>
        <w:rPr/>
        <w:t>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Heading5"/>
        <w:spacing w:line="259" w:lineRule="auto" w:before="13"/>
        <w:ind w:left="561" w:right="0"/>
        <w:jc w:val="left"/>
      </w:pPr>
      <w:r>
        <w:rPr>
          <w:rFonts w:ascii="Times New Roman" w:hAnsi="Times New Roman" w:cs="Times New Roman" w:eastAsia="Times New Roman" w:hint="default"/>
        </w:rPr>
        <w:t>2.</w:t>
      </w:r>
      <w:r>
        <w:rPr/>
        <w:t>非同一控制下的企业合并</w:t>
      </w:r>
      <w:r>
        <w:rPr>
          <w:spacing w:val="-98"/>
        </w:rPr>
        <w:t> </w:t>
      </w:r>
      <w:r>
        <w:rPr>
          <w:spacing w:val="4"/>
        </w:rPr>
        <w:t>对于非同一控制下的企业合并，合并成本为购买方在购买日为取得对被购买方的控制权而付出的资</w:t>
      </w:r>
    </w:p>
    <w:p>
      <w:pPr>
        <w:pStyle w:val="Heading5"/>
        <w:spacing w:line="276" w:lineRule="auto" w:before="9"/>
        <w:ind w:right="1094"/>
        <w:jc w:val="both"/>
      </w:pPr>
      <w:r>
        <w:rPr>
          <w:spacing w:val="-1"/>
        </w:rPr>
        <w:t>产、发生或承担的负债以及发行的权益性证券的公允价值之和。非同一控制下企业合并中所取得的被购买</w:t>
      </w:r>
      <w:r>
        <w:rPr>
          <w:spacing w:val="-89"/>
        </w:rPr>
        <w:t> </w:t>
      </w:r>
      <w:r>
        <w:rPr>
          <w:spacing w:val="-89"/>
        </w:rPr>
      </w:r>
      <w:r>
        <w:rPr/>
        <w:t>方符合确认条件的可辨认资产、负债及或有负债，在购买日以公允价值计量。购买方对合并成本大于合并</w:t>
      </w:r>
      <w:r>
        <w:rPr/>
        <w:t> </w:t>
      </w:r>
      <w:r>
        <w:rPr>
          <w:spacing w:val="-1"/>
        </w:rPr>
        <w:t>中取得的被购买方可辨认净资产公允价值份额的差额，体现为商誉价值。购买方对合并成本小于合并中取</w:t>
      </w:r>
      <w:r>
        <w:rPr>
          <w:spacing w:val="-91"/>
        </w:rPr>
        <w:t> </w:t>
      </w:r>
      <w:r>
        <w:rPr>
          <w:spacing w:val="-91"/>
        </w:rPr>
      </w:r>
      <w:r>
        <w:rPr/>
        <w:t>得的被购买方可辨认净资产公允价值份额的，经复核后合并成本仍小于合并中取得的被购买方可辨认净资</w:t>
      </w:r>
      <w:r>
        <w:rPr/>
        <w:t> 产公允价值份额的差额，计入当期营业外收入。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666" w:right="0" w:hanging="105"/>
        <w:jc w:val="left"/>
      </w:pPr>
      <w:r>
        <w:rPr>
          <w:rFonts w:ascii="Times New Roman" w:hAnsi="Times New Roman" w:cs="Times New Roman" w:eastAsia="Times New Roman" w:hint="default"/>
        </w:rPr>
        <w:t>1.</w:t>
      </w:r>
      <w:r>
        <w:rPr/>
        <w:t>合并财务报表范围</w:t>
      </w:r>
      <w:r>
        <w:rPr>
          <w:spacing w:val="-98"/>
        </w:rPr>
        <w:t> </w:t>
      </w:r>
      <w:r>
        <w:rPr/>
        <w:t>本公司将其控制的所有子公司纳入合并财务报表的合并范围。合并财务报表以母公司及其子公司的</w:t>
      </w:r>
    </w:p>
    <w:p>
      <w:pPr>
        <w:pStyle w:val="Heading5"/>
        <w:spacing w:line="254" w:lineRule="auto" w:before="23"/>
        <w:ind w:left="561" w:right="0" w:hanging="421"/>
        <w:jc w:val="left"/>
      </w:pPr>
      <w:r>
        <w:rPr/>
        <w:t>财务报表为基础，根据其他有关资料，由母公司按照《企业会计准则第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 </w:t>
      </w:r>
      <w:r>
        <w:rPr>
          <w:rFonts w:ascii="Times New Roman" w:hAnsi="Times New Roman" w:cs="Times New Roman" w:eastAsia="Times New Roman" w:hint="default"/>
        </w:rPr>
        <w:t>2.</w:t>
      </w:r>
      <w:r>
        <w:rPr/>
        <w:t>统一母子公司的会计政策、统一母子公司的资产负债表日及会计期间 </w:t>
      </w:r>
      <w:r>
        <w:rPr>
          <w:spacing w:val="-1"/>
        </w:rPr>
        <w:t>子公司与本公司采用的会计政策或会计期间不一致的，在编制合并财务报表时，按照本公司的会计政</w:t>
      </w:r>
    </w:p>
    <w:p>
      <w:pPr>
        <w:pStyle w:val="Heading5"/>
        <w:spacing w:line="240" w:lineRule="auto" w:before="27"/>
        <w:ind w:right="0"/>
        <w:jc w:val="both"/>
      </w:pPr>
      <w:r>
        <w:rPr/>
        <w:t>策或会计期间对子公司财务报表进行必要的调整。</w:t>
      </w:r>
    </w:p>
    <w:p>
      <w:pPr>
        <w:pStyle w:val="Heading5"/>
        <w:spacing w:line="259" w:lineRule="auto" w:before="40"/>
        <w:ind w:left="561" w:right="0"/>
        <w:jc w:val="left"/>
      </w:pPr>
      <w:r>
        <w:rPr>
          <w:rFonts w:ascii="Times New Roman" w:hAnsi="Times New Roman" w:cs="Times New Roman" w:eastAsia="Times New Roman" w:hint="default"/>
        </w:rPr>
        <w:t>3.</w:t>
      </w:r>
      <w:r>
        <w:rPr/>
        <w:t>合并财务报表抵销事项</w:t>
      </w:r>
      <w:r>
        <w:rPr>
          <w:spacing w:val="-98"/>
        </w:rPr>
        <w:t> </w:t>
      </w:r>
      <w:r>
        <w:rPr>
          <w:spacing w:val="-1"/>
        </w:rPr>
        <w:t>合并财务报表以本公司和子公司的财务报表为基础，已抵销了本公司与子公司、子公司相互之间发生</w:t>
      </w:r>
    </w:p>
    <w:p>
      <w:pPr>
        <w:pStyle w:val="Heading5"/>
        <w:spacing w:line="268" w:lineRule="auto" w:before="8"/>
        <w:ind w:right="1083"/>
        <w:jc w:val="both"/>
      </w:pPr>
      <w:r>
        <w:rPr/>
        <w:t>的内部交易。子公司所有者权益中不属于本公司的份额，作为少数股东权益，在合并资产负债表中股东权 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项目列示。子公司持有本公司的长期股权投资，视为本公司的库存股，作为股 东权益的减项，在合并资产负债表中股东权益项目下以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Heading5"/>
        <w:spacing w:line="259" w:lineRule="auto"/>
        <w:ind w:left="561" w:right="0"/>
        <w:jc w:val="left"/>
      </w:pPr>
      <w:r>
        <w:rPr>
          <w:rFonts w:ascii="Times New Roman" w:hAnsi="Times New Roman" w:cs="Times New Roman" w:eastAsia="Times New Roman" w:hint="default"/>
        </w:rPr>
        <w:t>4.</w:t>
      </w:r>
      <w:r>
        <w:rPr/>
        <w:t>合并取得子公司会计处理</w:t>
      </w:r>
      <w:r>
        <w:rPr>
          <w:spacing w:val="-98"/>
        </w:rPr>
        <w:t> </w:t>
      </w:r>
      <w:r>
        <w:rPr/>
        <w:t>对于同一控制下企业合并取得的子公司，视同该企业合并于自最终控制方开始实施控制时已经发生，</w:t>
      </w:r>
    </w:p>
    <w:p>
      <w:pPr>
        <w:pStyle w:val="Heading5"/>
        <w:spacing w:line="276" w:lineRule="auto" w:before="8"/>
        <w:ind w:right="1083"/>
        <w:jc w:val="both"/>
      </w:pPr>
      <w:r>
        <w:rPr/>
        <w:t>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Heading5"/>
        <w:spacing w:line="261" w:lineRule="auto" w:before="8"/>
        <w:ind w:left="561" w:right="0"/>
        <w:jc w:val="left"/>
      </w:pPr>
      <w:r>
        <w:rPr>
          <w:rFonts w:ascii="Times New Roman" w:hAnsi="Times New Roman" w:cs="Times New Roman" w:eastAsia="Times New Roman" w:hint="default"/>
        </w:rPr>
        <w:t>5.</w:t>
      </w:r>
      <w:r>
        <w:rPr/>
        <w:t>处置子公司的会计处理</w:t>
      </w:r>
      <w:r>
        <w:rPr>
          <w:spacing w:val="-98"/>
        </w:rPr>
        <w:t> </w:t>
      </w:r>
      <w:r>
        <w:rPr>
          <w:spacing w:val="-1"/>
        </w:rPr>
        <w:t>在不丧失控制权的情况下部分处置对子公司的长期股权投资，在合并财务报表中，处置价款与处置长</w:t>
      </w:r>
    </w:p>
    <w:p>
      <w:pPr>
        <w:spacing w:after="0" w:line="261"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40" w:lineRule="auto" w:before="35"/>
        <w:ind w:right="0"/>
        <w:jc w:val="both"/>
      </w:pPr>
      <w:r>
        <w:rPr/>
        <w:t>期股权投资相对应享有子公司自购买日或合并日开始持续计算的净资产份额之间的差额，调整资本公积</w:t>
      </w:r>
    </w:p>
    <w:p>
      <w:pPr>
        <w:pStyle w:val="Heading5"/>
        <w:spacing w:line="276" w:lineRule="auto" w:before="40"/>
        <w:ind w:left="561" w:right="0" w:hanging="421"/>
        <w:jc w:val="left"/>
      </w:pPr>
      <w:r>
        <w:rPr/>
        <w:t>（资本溢价或股本溢价），资本公积不足冲减的，调整留存收益。 因处置部分股权投资等原因丧失了对被投资方的控制权的，在编制合并财务报表时，对于剩余股权，</w:t>
      </w:r>
    </w:p>
    <w:p>
      <w:pPr>
        <w:pStyle w:val="Heading5"/>
        <w:spacing w:line="276" w:lineRule="auto"/>
        <w:ind w:right="1083"/>
        <w:jc w:val="both"/>
      </w:pPr>
      <w:r>
        <w:rPr/>
        <w:t>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bookmarkStart w:name="7、合营安排分类及共同经营会计处理方法" w:id="183"/>
      <w:bookmarkEnd w:id="18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561" w:right="0"/>
        <w:jc w:val="left"/>
      </w:pPr>
      <w:r>
        <w:rPr>
          <w:rFonts w:ascii="Times New Roman" w:hAnsi="Times New Roman" w:cs="Times New Roman" w:eastAsia="Times New Roman" w:hint="default"/>
        </w:rPr>
        <w:t>1.</w:t>
      </w:r>
      <w:r>
        <w:rPr/>
        <w:t>合营安排的分类</w:t>
      </w:r>
      <w:r>
        <w:rPr>
          <w:spacing w:val="-98"/>
        </w:rPr>
        <w:t> </w:t>
      </w:r>
      <w:r>
        <w:rPr/>
        <w:t>合营安排分为共同经营和合营企业。未通过单独主体达成的合营安排，划分为共同经营。单独主体，</w:t>
      </w:r>
    </w:p>
    <w:p>
      <w:pPr>
        <w:pStyle w:val="Heading5"/>
        <w:spacing w:line="268" w:lineRule="auto" w:before="24"/>
        <w:ind w:right="1083"/>
        <w:jc w:val="both"/>
      </w:pPr>
      <w:r>
        <w:rPr/>
        <w:t>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Heading5"/>
        <w:spacing w:line="259" w:lineRule="auto" w:before="15"/>
        <w:ind w:left="621" w:right="0" w:hanging="60"/>
        <w:jc w:val="left"/>
      </w:pPr>
      <w:r>
        <w:rPr>
          <w:rFonts w:ascii="Times New Roman" w:hAnsi="Times New Roman" w:cs="Times New Roman" w:eastAsia="Times New Roman" w:hint="default"/>
        </w:rPr>
        <w:t>2.</w:t>
      </w:r>
      <w:r>
        <w:rPr/>
        <w:t>共同经营的会计处理</w:t>
      </w:r>
      <w:r>
        <w:rPr>
          <w:spacing w:val="-98"/>
        </w:rPr>
        <w:t> </w:t>
      </w:r>
      <w:r>
        <w:rPr>
          <w:spacing w:val="-3"/>
        </w:rPr>
        <w:t>本公司为共同经营参与方，确认与共同经营中利益份额相关的下列项目，并按照相关企业会计准则的</w:t>
      </w:r>
    </w:p>
    <w:p>
      <w:pPr>
        <w:pStyle w:val="Heading5"/>
        <w:spacing w:line="268" w:lineRule="auto" w:before="24"/>
        <w:ind w:right="1090"/>
        <w:jc w:val="both"/>
      </w:pPr>
      <w:r>
        <w:rPr/>
        <w:t>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Heading5"/>
        <w:spacing w:line="276" w:lineRule="auto" w:before="15"/>
        <w:ind w:right="0" w:firstLine="480"/>
        <w:jc w:val="left"/>
      </w:pPr>
      <w:r>
        <w:rPr>
          <w:spacing w:val="-2"/>
        </w:rPr>
        <w:t>本公司为对共同经营不享有共同控制的参与方，如果享有该共同经营相关资产且承担该共同经营相关</w:t>
      </w:r>
      <w:r>
        <w:rPr/>
        <w:t> 负债，则参照共同经营参与方的规定进行会计处理；否则，按照相关企业会计准则的规定进行会计处理。</w:t>
      </w:r>
    </w:p>
    <w:p>
      <w:pPr>
        <w:pStyle w:val="Heading5"/>
        <w:spacing w:line="240" w:lineRule="auto" w:before="9"/>
        <w:ind w:left="561" w:right="0"/>
        <w:jc w:val="left"/>
      </w:pPr>
      <w:r>
        <w:rPr>
          <w:rFonts w:ascii="Times New Roman" w:hAnsi="Times New Roman" w:cs="Times New Roman" w:eastAsia="Times New Roman" w:hint="default"/>
        </w:rPr>
        <w:t>3.</w:t>
      </w:r>
      <w:r>
        <w:rPr/>
        <w:t>合营企业的会计处理</w:t>
      </w:r>
    </w:p>
    <w:p>
      <w:pPr>
        <w:pStyle w:val="Heading5"/>
        <w:spacing w:line="247" w:lineRule="auto" w:before="24"/>
        <w:ind w:right="1134" w:firstLine="480"/>
        <w:jc w:val="left"/>
      </w:pPr>
      <w:r>
        <w:rPr/>
        <w:t>本公司为合营企业合营方，按照《企业会计准则第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 进行会计处理；本公司为非合营方，根据对该合营企业的影响程度进行会计处理。</w:t>
      </w:r>
    </w:p>
    <w:p>
      <w:pPr>
        <w:spacing w:line="240" w:lineRule="auto" w:before="9"/>
        <w:rPr>
          <w:rFonts w:ascii="宋体" w:hAnsi="宋体" w:cs="宋体" w:eastAsia="宋体" w:hint="default"/>
          <w:sz w:val="28"/>
          <w:szCs w:val="28"/>
        </w:rPr>
      </w:pPr>
    </w:p>
    <w:p>
      <w:pPr>
        <w:spacing w:line="580" w:lineRule="atLeast" w:before="0"/>
        <w:ind w:left="561" w:right="1089" w:hanging="421"/>
        <w:jc w:val="left"/>
        <w:rPr>
          <w:rFonts w:ascii="宋体" w:hAnsi="宋体" w:cs="宋体" w:eastAsia="宋体" w:hint="default"/>
          <w:sz w:val="21"/>
          <w:szCs w:val="21"/>
        </w:rPr>
      </w:pPr>
      <w:bookmarkStart w:name="8、现金及现金等价物的确定标准" w:id="184"/>
      <w:bookmarkEnd w:id="1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列示于现金流量表中的现金是指库存现金以及可以随时用于支付的存款。现金等价物是指企业持有的</w:t>
      </w:r>
    </w:p>
    <w:p>
      <w:pPr>
        <w:pStyle w:val="Heading5"/>
        <w:spacing w:line="240" w:lineRule="auto" w:before="40"/>
        <w:ind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2"/>
        <w:ind w:right="0"/>
        <w:jc w:val="both"/>
        <w:rPr>
          <w:b w:val="0"/>
          <w:bCs w:val="0"/>
        </w:rPr>
      </w:pPr>
      <w:bookmarkStart w:name="9、外币业务和外币报表折算" w:id="185"/>
      <w:bookmarkEnd w:id="18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561" w:right="0"/>
        <w:jc w:val="left"/>
      </w:pPr>
      <w:r>
        <w:rPr>
          <w:rFonts w:ascii="Times New Roman" w:hAnsi="Times New Roman" w:cs="Times New Roman" w:eastAsia="Times New Roman" w:hint="default"/>
        </w:rPr>
        <w:t>1.</w:t>
      </w:r>
      <w:r>
        <w:rPr/>
        <w:t>外币业务折算</w:t>
      </w:r>
      <w:r>
        <w:rPr>
          <w:spacing w:val="-98"/>
        </w:rPr>
        <w:t> </w:t>
      </w:r>
      <w:r>
        <w:rPr/>
        <w:t>外币交易在初始确认时，采用交易发生日的即期汇率折算为人民币金额。资产负债表日，外币货币性</w:t>
      </w:r>
    </w:p>
    <w:p>
      <w:pPr>
        <w:pStyle w:val="Heading5"/>
        <w:spacing w:line="271" w:lineRule="auto" w:before="23"/>
        <w:ind w:right="1083"/>
        <w:jc w:val="both"/>
      </w:pPr>
      <w:r>
        <w:rPr/>
        <w:t>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Heading5"/>
        <w:spacing w:line="259" w:lineRule="auto" w:before="13"/>
        <w:ind w:left="561" w:right="0"/>
        <w:jc w:val="left"/>
      </w:pPr>
      <w:r>
        <w:rPr>
          <w:rFonts w:ascii="Times New Roman" w:hAnsi="Times New Roman" w:cs="Times New Roman" w:eastAsia="Times New Roman" w:hint="default"/>
        </w:rPr>
        <w:t>2.</w:t>
      </w:r>
      <w:r>
        <w:rPr/>
        <w:t>外币财务报表折算</w:t>
      </w:r>
      <w:r>
        <w:rPr>
          <w:spacing w:val="-98"/>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Heading5"/>
        <w:spacing w:line="240" w:lineRule="auto" w:before="6"/>
        <w:ind w:right="0"/>
        <w:jc w:val="both"/>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项目外，其他项目采用交易发生日的即期汇率折算；利润表中的收入和费用项目，采用交易发生日即</w:t>
      </w:r>
    </w:p>
    <w:p>
      <w:pPr>
        <w:spacing w:after="0" w:line="240"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40" w:lineRule="auto" w:before="35"/>
        <w:ind w:right="0"/>
        <w:jc w:val="both"/>
      </w:pPr>
      <w:r>
        <w:rPr/>
        <w:t>期汇率的近似汇率折算。按照上述折算产生的外币财务报表折算差额，计入其他综合收益。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0"/>
        <w:jc w:val="both"/>
        <w:rPr>
          <w:b w:val="0"/>
          <w:bCs w:val="0"/>
        </w:rPr>
      </w:pPr>
      <w:bookmarkStart w:name="10、金融工具" w:id="186"/>
      <w:bookmarkEnd w:id="18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2"/>
          <w:szCs w:val="22"/>
        </w:rPr>
      </w:pPr>
    </w:p>
    <w:p>
      <w:pPr>
        <w:pStyle w:val="Heading5"/>
        <w:spacing w:line="259" w:lineRule="auto"/>
        <w:ind w:left="561" w:right="1389"/>
        <w:jc w:val="left"/>
      </w:pPr>
      <w:r>
        <w:rPr>
          <w:rFonts w:ascii="Times New Roman" w:hAnsi="Times New Roman" w:cs="Times New Roman" w:eastAsia="Times New Roman" w:hint="default"/>
        </w:rPr>
        <w:t>1.</w:t>
      </w:r>
      <w:r>
        <w:rPr/>
        <w:t>金融工具的分类及重分类</w:t>
      </w:r>
      <w:r>
        <w:rPr>
          <w:spacing w:val="-98"/>
        </w:rPr>
        <w:t> </w:t>
      </w:r>
      <w:r>
        <w:rPr/>
        <w:t>金融工具，是指形成一方的金融资产并形成其他方的金融负债或权益工具的合同。</w:t>
      </w:r>
    </w:p>
    <w:p>
      <w:pPr>
        <w:pStyle w:val="Heading5"/>
        <w:spacing w:line="259" w:lineRule="auto" w:before="23"/>
        <w:ind w:left="561" w:right="1089"/>
        <w:jc w:val="left"/>
      </w:pPr>
      <w:r>
        <w:rPr/>
        <w:t>（</w:t>
      </w:r>
      <w:r>
        <w:rPr>
          <w:rFonts w:ascii="Times New Roman" w:hAnsi="Times New Roman" w:cs="Times New Roman" w:eastAsia="Times New Roman" w:hint="default"/>
        </w:rPr>
        <w:t>1</w:t>
      </w:r>
      <w:r>
        <w:rPr/>
        <w:t>）金融资产 本公司将同时符合下列条件的金融资产分类为以摊余成本计量的金融资产：①本公司管理金融资产的</w:t>
      </w:r>
    </w:p>
    <w:p>
      <w:pPr>
        <w:pStyle w:val="Heading5"/>
        <w:spacing w:line="261" w:lineRule="auto" w:before="24"/>
        <w:ind w:right="1114"/>
        <w:jc w:val="both"/>
      </w:pPr>
      <w:r>
        <w:rPr>
          <w:spacing w:val="-1"/>
        </w:rPr>
        <w:t>业务模式是以收取合同现金流量为目标；②该金融资产的合同条款规定，在特定日期产生的现金流量仅为</w:t>
      </w:r>
      <w:r>
        <w:rPr>
          <w:spacing w:val="-91"/>
        </w:rPr>
        <w:t> </w:t>
      </w:r>
      <w:r>
        <w:rPr>
          <w:spacing w:val="-91"/>
        </w:rPr>
      </w:r>
      <w:r>
        <w:rPr/>
        <w:t>对本金和以未偿付本金金额为基础的利息的支付。</w:t>
      </w:r>
    </w:p>
    <w:p>
      <w:pPr>
        <w:pStyle w:val="Heading5"/>
        <w:spacing w:line="276" w:lineRule="auto" w:before="21"/>
        <w:ind w:right="0" w:firstLine="420"/>
        <w:jc w:val="left"/>
      </w:pPr>
      <w:r>
        <w:rPr/>
        <w:t>本公司将同时符合下列条件的金融资产分类为以公允价值计量且其变动计入其他综合收益的金融资 </w:t>
      </w:r>
      <w:r>
        <w:rPr>
          <w:spacing w:val="-1"/>
        </w:rPr>
        <w:t>产：①本公司管理金融资产的业务模式既以收取合同现金流量又以出售该金融资产为目标；②该金融资产</w:t>
      </w:r>
      <w:r>
        <w:rPr>
          <w:spacing w:val="-89"/>
        </w:rPr>
        <w:t> </w:t>
      </w:r>
      <w:r>
        <w:rPr>
          <w:spacing w:val="-89"/>
        </w:rPr>
      </w:r>
      <w:r>
        <w:rPr/>
        <w:t>的合同条款规定，在特定日期产生的现金流量，仅为对本金和以未偿付本金金额为基础的利息的支付。</w:t>
      </w:r>
    </w:p>
    <w:p>
      <w:pPr>
        <w:pStyle w:val="Heading5"/>
        <w:spacing w:line="268" w:lineRule="auto" w:before="9"/>
        <w:ind w:right="1099" w:firstLine="420"/>
        <w:jc w:val="both"/>
      </w:pPr>
      <w:r>
        <w:rPr/>
        <w:t>对于非交易性权益工具投资，本公司可在初始确认时将其不可撤销地指定为以公允价值计量且其变动 </w:t>
      </w:r>
      <w:r>
        <w:rPr>
          <w:spacing w:val="-1"/>
        </w:rPr>
        <w:t>计入其他综合收益的金融资产。该指定在单项投资的基础上作出，且相关投资从发行者的角度符合权益工</w:t>
      </w:r>
      <w:r>
        <w:rPr>
          <w:spacing w:val="-91"/>
        </w:rPr>
        <w:t> </w:t>
      </w:r>
      <w:r>
        <w:rPr>
          <w:spacing w:val="-91"/>
        </w:rPr>
      </w:r>
      <w:r>
        <w:rPr/>
        <w:t>具的定义。</w:t>
      </w:r>
    </w:p>
    <w:p>
      <w:pPr>
        <w:pStyle w:val="Heading5"/>
        <w:spacing w:line="271" w:lineRule="auto" w:before="15"/>
        <w:ind w:right="0" w:firstLine="420"/>
        <w:jc w:val="left"/>
      </w:pPr>
      <w:r>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Heading5"/>
        <w:spacing w:line="276" w:lineRule="auto" w:before="13"/>
        <w:ind w:right="1099" w:firstLine="420"/>
        <w:jc w:val="both"/>
      </w:pPr>
      <w:r>
        <w:rPr/>
        <w:t>本公司改变管理金融资产的业务模式时，将对所有受影响的相关金融资产在业务模式发生变更后的首 </w:t>
      </w:r>
      <w:r>
        <w:rPr>
          <w:spacing w:val="-1"/>
        </w:rPr>
        <w:t>个报告期间的第一天进行重分类，且自重分类日起采用未来适用法进行相关会计处理，不对以前已经确认</w:t>
      </w:r>
      <w:r>
        <w:rPr>
          <w:spacing w:val="-91"/>
        </w:rPr>
        <w:t> </w:t>
      </w:r>
      <w:r>
        <w:rPr>
          <w:spacing w:val="-91"/>
        </w:rPr>
      </w:r>
      <w:r>
        <w:rPr/>
        <w:t>的利得、损失（包括减值损失或利得）或利息进行追溯调整。</w:t>
      </w:r>
    </w:p>
    <w:p>
      <w:pPr>
        <w:pStyle w:val="Heading5"/>
        <w:spacing w:line="247" w:lineRule="auto" w:before="8"/>
        <w:ind w:left="561" w:right="0"/>
        <w:jc w:val="left"/>
      </w:pPr>
      <w:r>
        <w:rPr/>
        <w:t>（</w:t>
      </w:r>
      <w:r>
        <w:rPr>
          <w:rFonts w:ascii="Times New Roman" w:hAnsi="Times New Roman" w:cs="Times New Roman" w:eastAsia="Times New Roman" w:hint="default"/>
        </w:rPr>
        <w:t>2</w:t>
      </w:r>
      <w:r>
        <w:rPr/>
        <w:t>）金融负债 </w:t>
      </w:r>
      <w:r>
        <w:rPr>
          <w:spacing w:val="-1"/>
        </w:rPr>
        <w:t>金融负债于初始确认时分类为：以公允价值计量且其变动计入当期损益的金融负债；金融资产转移不</w:t>
      </w:r>
    </w:p>
    <w:p>
      <w:pPr>
        <w:pStyle w:val="Heading5"/>
        <w:spacing w:line="276" w:lineRule="auto" w:before="34"/>
        <w:ind w:right="1114"/>
        <w:jc w:val="both"/>
      </w:pPr>
      <w:r>
        <w:rPr>
          <w:spacing w:val="-1"/>
        </w:rPr>
        <w:t>符合终止确认条件或继续涉入被转移金融资产所形成的金融负债；以摊余成本计量的金融负债。所有的金</w:t>
      </w:r>
      <w:r>
        <w:rPr>
          <w:spacing w:val="-91"/>
        </w:rPr>
        <w:t> </w:t>
      </w:r>
      <w:r>
        <w:rPr>
          <w:spacing w:val="-91"/>
        </w:rPr>
      </w:r>
      <w:r>
        <w:rPr/>
        <w:t>融负债不进行重分类。</w:t>
      </w:r>
    </w:p>
    <w:p>
      <w:pPr>
        <w:pStyle w:val="Heading5"/>
        <w:spacing w:line="259" w:lineRule="auto" w:before="8"/>
        <w:ind w:left="561" w:right="1089"/>
        <w:jc w:val="left"/>
      </w:pPr>
      <w:r>
        <w:rPr>
          <w:rFonts w:ascii="Times New Roman" w:hAnsi="Times New Roman" w:cs="Times New Roman" w:eastAsia="Times New Roman" w:hint="default"/>
        </w:rPr>
        <w:t>2.</w:t>
      </w:r>
      <w:r>
        <w:rPr/>
        <w:t>金融工具的计量</w:t>
      </w:r>
      <w:r>
        <w:rPr>
          <w:spacing w:val="-98"/>
        </w:rPr>
        <w:t> </w:t>
      </w:r>
      <w:r>
        <w:rPr/>
        <w:t>本公司金融工具初始确认按照公允价值计量。对于以公允价值计量且其变动计入当期损益的金融资产</w:t>
      </w:r>
    </w:p>
    <w:p>
      <w:pPr>
        <w:pStyle w:val="Heading5"/>
        <w:spacing w:line="276" w:lineRule="auto" w:before="8"/>
        <w:ind w:right="1083"/>
        <w:jc w:val="both"/>
      </w:pPr>
      <w:r>
        <w:rPr/>
        <w:t>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Heading5"/>
        <w:spacing w:line="240" w:lineRule="auto" w:before="9"/>
        <w:ind w:left="561" w:right="0"/>
        <w:jc w:val="left"/>
      </w:pPr>
      <w:r>
        <w:rPr/>
        <w:t>（</w:t>
      </w:r>
      <w:r>
        <w:rPr>
          <w:rFonts w:ascii="Times New Roman" w:hAnsi="Times New Roman" w:cs="Times New Roman" w:eastAsia="Times New Roman" w:hint="default"/>
        </w:rPr>
        <w:t>1</w:t>
      </w:r>
      <w:r>
        <w:rPr/>
        <w:t>）金融资产</w:t>
      </w:r>
    </w:p>
    <w:p>
      <w:pPr>
        <w:pStyle w:val="Heading5"/>
        <w:spacing w:line="268" w:lineRule="auto" w:before="24"/>
        <w:ind w:right="1085" w:firstLine="420"/>
        <w:jc w:val="both"/>
      </w:pPr>
      <w:r>
        <w:rPr/>
        <w:t>①以摊余成本计量的金融资产。初始确认后，对于该类金融资产采用实际利率法以摊余成本计量。以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Heading5"/>
        <w:spacing w:line="276" w:lineRule="auto" w:before="15"/>
        <w:ind w:right="1083" w:firstLine="420"/>
        <w:jc w:val="both"/>
      </w:pPr>
      <w:r>
        <w:rPr/>
        <w:t>②以公允价值计量且其变动计入当期损益的金融资产。初始确认后，对于该类金融资产（除属于套期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Heading5"/>
        <w:spacing w:line="276" w:lineRule="auto"/>
        <w:ind w:right="1083" w:firstLine="420"/>
        <w:jc w:val="both"/>
      </w:pPr>
      <w:r>
        <w:rPr/>
        <w:t>③以公允价值计量且其变动计入其他综合收益的债务工具投资。初始确认后，对于该类金融资产以公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spacing w:after="0" w:line="276"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40" w:lineRule="auto" w:before="35"/>
        <w:ind w:left="561" w:right="0"/>
        <w:jc w:val="left"/>
      </w:pPr>
      <w:r>
        <w:rPr/>
        <w:t>（</w:t>
      </w:r>
      <w:r>
        <w:rPr>
          <w:rFonts w:ascii="Times New Roman" w:hAnsi="Times New Roman" w:cs="Times New Roman" w:eastAsia="Times New Roman" w:hint="default"/>
        </w:rPr>
        <w:t>2</w:t>
      </w:r>
      <w:r>
        <w:rPr/>
        <w:t>）金融负债</w:t>
      </w:r>
    </w:p>
    <w:p>
      <w:pPr>
        <w:pStyle w:val="Heading5"/>
        <w:spacing w:line="268" w:lineRule="auto" w:before="24"/>
        <w:ind w:right="1083" w:firstLine="420"/>
        <w:jc w:val="both"/>
      </w:pPr>
      <w:r>
        <w:rPr/>
        <w:t>①以公允价值计量且其变动计入当期损益的金融负债。该类金融负债包括交易性金融负债</w:t>
      </w:r>
      <w:r>
        <w:rPr>
          <w:spacing w:val="-22"/>
        </w:rPr>
        <w:t> </w:t>
      </w:r>
      <w:r>
        <w:rPr>
          <w:rFonts w:ascii="Times New Roman" w:hAnsi="Times New Roman" w:cs="Times New Roman" w:eastAsia="Times New Roman" w:hint="default"/>
        </w:rPr>
        <w:t>(</w:t>
      </w:r>
      <w:r>
        <w:rPr/>
        <w:t>含属于金 融负债的衍生工具</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Heading5"/>
        <w:spacing w:line="268" w:lineRule="auto"/>
        <w:ind w:left="561" w:right="0"/>
        <w:jc w:val="left"/>
      </w:pPr>
      <w:r>
        <w:rPr/>
        <w:t>②以摊余成本计量的金融负债。初始确认后，对此类金融负债采用实际利率法以摊余成本计量。 </w:t>
      </w:r>
      <w:r>
        <w:rPr>
          <w:rFonts w:ascii="Times New Roman" w:hAnsi="Times New Roman" w:cs="Times New Roman" w:eastAsia="Times New Roman" w:hint="default"/>
        </w:rPr>
        <w:t>3.</w:t>
      </w:r>
      <w:r>
        <w:rPr/>
        <w:t>本公司对金融工具的公允价值的确认方法</w:t>
      </w:r>
      <w:r>
        <w:rPr>
          <w:spacing w:val="-98"/>
        </w:rPr>
        <w:t> </w:t>
      </w:r>
      <w:r>
        <w:rPr/>
        <w:t>如存在活跃市场的金融工具，以活跃市场中的报价确定其公允价值；如不存在活跃市场的金融工具，</w:t>
      </w:r>
    </w:p>
    <w:p>
      <w:pPr>
        <w:pStyle w:val="Heading5"/>
        <w:spacing w:line="271" w:lineRule="auto" w:before="15"/>
        <w:ind w:right="1083"/>
        <w:jc w:val="both"/>
      </w:pPr>
      <w:r>
        <w:rPr/>
        <w:t>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Heading5"/>
        <w:spacing w:line="240" w:lineRule="auto" w:before="13"/>
        <w:ind w:left="561" w:right="0"/>
        <w:jc w:val="left"/>
      </w:pPr>
      <w:r>
        <w:rPr>
          <w:rFonts w:ascii="Times New Roman" w:hAnsi="Times New Roman" w:cs="Times New Roman" w:eastAsia="Times New Roman" w:hint="default"/>
        </w:rPr>
        <w:t>4.</w:t>
      </w:r>
      <w:r>
        <w:rPr/>
        <w:t>金融资产和金融负债转移的确认依据和计量方法</w:t>
      </w:r>
    </w:p>
    <w:p>
      <w:pPr>
        <w:pStyle w:val="Heading5"/>
        <w:spacing w:line="259" w:lineRule="auto" w:before="24"/>
        <w:ind w:left="561" w:right="0"/>
        <w:jc w:val="left"/>
      </w:pPr>
      <w:r>
        <w:rPr/>
        <w:t>（</w:t>
      </w:r>
      <w:r>
        <w:rPr>
          <w:rFonts w:ascii="Times New Roman" w:hAnsi="Times New Roman" w:cs="Times New Roman" w:eastAsia="Times New Roman" w:hint="default"/>
        </w:rPr>
        <w:t>1</w:t>
      </w:r>
      <w:r>
        <w:rPr/>
        <w:t>）金融资产 本公司金融资产满足下列条件之一的，予以终止确认：①收取该金融资产现金流量的合同权利终止；</w:t>
      </w:r>
    </w:p>
    <w:p>
      <w:pPr>
        <w:pStyle w:val="Heading5"/>
        <w:spacing w:line="276" w:lineRule="auto" w:before="9"/>
        <w:ind w:right="1083"/>
        <w:jc w:val="both"/>
      </w:pPr>
      <w:r>
        <w:rPr/>
        <w:t>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Heading5"/>
        <w:spacing w:line="276" w:lineRule="auto" w:before="9"/>
        <w:ind w:right="1115" w:firstLine="420"/>
        <w:jc w:val="both"/>
      </w:pPr>
      <w:r>
        <w:rPr>
          <w:spacing w:val="-1"/>
        </w:rPr>
        <w:t>本公司既没有转移也没有保留金融资产所有权上几乎所有报酬的，且保留了对该金融资产控制的，按</w:t>
      </w:r>
      <w:r>
        <w:rPr/>
        <w:t> 照继续涉入被转移金融资产的程度确认有关金融资产，并相应确认相关负债。</w:t>
      </w:r>
    </w:p>
    <w:p>
      <w:pPr>
        <w:pStyle w:val="Heading5"/>
        <w:spacing w:line="271" w:lineRule="auto" w:before="9"/>
        <w:ind w:right="1099" w:firstLine="420"/>
        <w:jc w:val="both"/>
      </w:pPr>
      <w:r>
        <w:rPr>
          <w:spacing w:val="-1"/>
        </w:rPr>
        <w:t>金融资产转移整体满足终止确认条件的，将以下两项金额的差额计入当期损益：①被转移金融资产在</w:t>
      </w:r>
      <w:r>
        <w:rPr/>
        <w:t> </w:t>
      </w:r>
      <w:r>
        <w:rPr>
          <w:spacing w:val="-1"/>
        </w:rPr>
        <w:t>终止确认日的账面价值；②因转移金融资产而收到的对价，与原直接计入其他综合收益的公允价值变动累</w:t>
      </w:r>
      <w:r>
        <w:rPr>
          <w:spacing w:val="-91"/>
        </w:rPr>
        <w:t> </w:t>
      </w:r>
      <w:r>
        <w:rPr>
          <w:spacing w:val="-91"/>
        </w:rPr>
      </w:r>
      <w:r>
        <w:rPr/>
        <w:t>计额中对应终止确认部分的金额（涉及转移的金融资产为分类为以公允价值计量且其变动计入其他综合收</w:t>
      </w:r>
      <w:r>
        <w:rPr/>
        <w:t> 益的金融资产）之和。</w:t>
      </w:r>
    </w:p>
    <w:p>
      <w:pPr>
        <w:pStyle w:val="Heading5"/>
        <w:spacing w:line="276" w:lineRule="auto" w:before="13"/>
        <w:ind w:right="0" w:firstLine="420"/>
        <w:jc w:val="left"/>
      </w:pPr>
      <w:r>
        <w:rPr/>
        <w:t>金融资产部分转移满足终止确认条件的，将所转移金融资产整体的账面价值，在终止确认部分和未终 </w:t>
      </w:r>
      <w:r>
        <w:rPr>
          <w:spacing w:val="-3"/>
        </w:rPr>
        <w:t>止确认部分之间，先按照转移日各自的相对公允价值进行分摊，然后将以下两项金额的差额计入当期损益：</w:t>
      </w:r>
    </w:p>
    <w:p>
      <w:pPr>
        <w:pStyle w:val="Heading5"/>
        <w:spacing w:line="276" w:lineRule="auto"/>
        <w:ind w:right="1099"/>
        <w:jc w:val="both"/>
      </w:pPr>
      <w:r>
        <w:rPr>
          <w:spacing w:val="-1"/>
        </w:rPr>
        <w:t>①终止确认部分在终止确认日的账面价值；②终止确认部分收到的对价，与原计入其他综合收益的公允价</w:t>
      </w:r>
      <w:r>
        <w:rPr>
          <w:spacing w:val="-91"/>
        </w:rPr>
        <w:t> </w:t>
      </w:r>
      <w:r>
        <w:rPr>
          <w:spacing w:val="-91"/>
        </w:rPr>
      </w:r>
      <w:r>
        <w:rPr/>
        <w:t>值变动累计额中对应终止确认部分的金额（涉及转移的金融资产为分类为以公允价值计量且其变动计入其</w:t>
      </w:r>
      <w:r>
        <w:rPr/>
        <w:t> 他综合收益的金融资产）之和。</w:t>
      </w:r>
    </w:p>
    <w:p>
      <w:pPr>
        <w:pStyle w:val="Heading5"/>
        <w:spacing w:line="276" w:lineRule="auto" w:before="9"/>
        <w:ind w:right="1100" w:firstLine="420"/>
        <w:jc w:val="both"/>
      </w:pPr>
      <w:r>
        <w:rPr/>
        <w:t>针对本公司指定为公允价值计量且其变动计入其他综合收益的非交易性权益工具投资终止确认时，将 之前计入其他综合收益的累计利得或损失从其他综合收益中转出，计入留存收益。</w:t>
      </w:r>
    </w:p>
    <w:p>
      <w:pPr>
        <w:pStyle w:val="Heading5"/>
        <w:spacing w:line="268" w:lineRule="auto"/>
        <w:ind w:left="561" w:right="0"/>
        <w:jc w:val="left"/>
      </w:pPr>
      <w:r>
        <w:rPr/>
        <w:t>（</w:t>
      </w:r>
      <w:r>
        <w:rPr>
          <w:rFonts w:ascii="Times New Roman" w:hAnsi="Times New Roman" w:cs="Times New Roman" w:eastAsia="Times New Roman" w:hint="default"/>
        </w:rPr>
        <w:t>2</w:t>
      </w:r>
      <w:r>
        <w:rPr/>
        <w:t>）金融负债 </w:t>
      </w:r>
      <w:r>
        <w:rPr>
          <w:spacing w:val="-4"/>
        </w:rPr>
        <w:t>金融负债（或其一部分）的现时义务已经解除的，本公司终止确认该金融负债（或该部分金融负债）。</w:t>
      </w:r>
      <w:r>
        <w:rPr>
          <w:spacing w:val="-62"/>
        </w:rPr>
        <w:t> </w:t>
      </w:r>
      <w:r>
        <w:rPr>
          <w:spacing w:val="-62"/>
        </w:rPr>
      </w:r>
      <w:r>
        <w:rPr/>
        <w:t>金融负债（或其一部分）终止确认的，本公司将其账面价值与支付的对价（包括转出的非现金资产或</w:t>
      </w:r>
    </w:p>
    <w:p>
      <w:pPr>
        <w:pStyle w:val="Heading5"/>
        <w:spacing w:line="240" w:lineRule="auto" w:before="15"/>
        <w:ind w:right="0"/>
        <w:jc w:val="both"/>
      </w:pPr>
      <w:r>
        <w:rPr/>
        <w:t>承担的负债）之间的差额，计入当期损益。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2"/>
        <w:ind w:right="0"/>
        <w:jc w:val="both"/>
        <w:rPr>
          <w:b w:val="0"/>
          <w:bCs w:val="0"/>
        </w:rPr>
      </w:pPr>
      <w:bookmarkStart w:name="11、应收票据" w:id="187"/>
      <w:bookmarkEnd w:id="187"/>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2、应收账款" w:id="188"/>
      <w:bookmarkEnd w:id="188"/>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预期信用损失的确定方法</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1" w:lineRule="auto" w:before="35"/>
        <w:ind w:right="1083" w:firstLine="420"/>
        <w:jc w:val="both"/>
      </w:pPr>
      <w:r>
        <w:rPr/>
        <w:t>本公司以预期信用损失为基础，对以摊余成本计量的金融资产（含应收款项）、分类为以公允价值计 量且其变动计入其他综合收益的金融资产（含应收款项融资）、租赁应收款、本公司做出的除分类为以公 允价值计量且变动计入当期损益的金融负债以外的贷款承诺、非以公允价值计量且其变动计入当期损益的 财务担保合同等，进行减值会计处理并确认损失准备。</w:t>
      </w:r>
    </w:p>
    <w:p>
      <w:pPr>
        <w:pStyle w:val="Heading5"/>
        <w:spacing w:line="276" w:lineRule="auto" w:before="13"/>
        <w:ind w:right="1083" w:firstLine="420"/>
        <w:jc w:val="both"/>
      </w:pPr>
      <w:r>
        <w:rPr/>
        <w:t>本公司以预期信用损失为基础，对以摊余成本计量的金融资产（含应收款项）、分类为以公允价值计 量且其变动计入其他综合收益的金融资产（含应收款项融资）、租赁应收款进行减值会计处理并确认损失 准备。</w:t>
      </w:r>
    </w:p>
    <w:p>
      <w:pPr>
        <w:pStyle w:val="Heading5"/>
        <w:spacing w:line="264" w:lineRule="auto" w:before="9"/>
        <w:ind w:right="1083" w:firstLine="420"/>
        <w:jc w:val="both"/>
      </w:pPr>
      <w:r>
        <w:rPr/>
        <w:t>本公司在每个资产负债表日评估相关金融工具的信用风险自初始确认后是否显著增加，将金融工具发 生信用减值的过程分为三个阶段，对于不同阶段的金融工具减值采用不同的会计处理方法：（</w:t>
      </w:r>
      <w:r>
        <w:rPr>
          <w:rFonts w:ascii="Times New Roman" w:hAnsi="Times New Roman" w:cs="Times New Roman" w:eastAsia="Times New Roman" w:hint="default"/>
        </w:rPr>
        <w:t>1</w:t>
      </w:r>
      <w:r>
        <w:rPr/>
        <w:t>）第一阶</w:t>
      </w:r>
      <w:r>
        <w:rPr>
          <w:spacing w:val="-38"/>
        </w:rPr>
        <w:t> </w:t>
      </w:r>
      <w:r>
        <w:rPr/>
        <w:t>段，金融工具的信用风险自初始确认后未显著增加的，本公司按照该金融工具未来</w:t>
      </w:r>
      <w:r>
        <w:rPr>
          <w:rFonts w:ascii="Times New Roman" w:hAnsi="Times New Roman" w:cs="Times New Roman" w:eastAsia="Times New Roman" w:hint="default"/>
        </w:rPr>
        <w:t>12</w:t>
      </w:r>
      <w:r>
        <w:rPr/>
        <w:t>个月的预期信用损失 计量损失准备，并按照其账面余额（即未扣除减值准备）和实际利率计算利息收入；（</w:t>
      </w:r>
      <w:r>
        <w:rPr>
          <w:rFonts w:ascii="Times New Roman" w:hAnsi="Times New Roman" w:cs="Times New Roman" w:eastAsia="Times New Roman" w:hint="default"/>
        </w:rPr>
        <w:t>2</w:t>
      </w:r>
      <w:r>
        <w:rPr/>
        <w:t>）第二阶段，金</w:t>
      </w:r>
      <w:r>
        <w:rPr>
          <w:spacing w:val="-38"/>
        </w:rPr>
        <w:t> </w:t>
      </w:r>
      <w:r>
        <w:rPr>
          <w:spacing w:val="-38"/>
        </w:rPr>
      </w:r>
      <w:r>
        <w:rPr/>
        <w:t>融工具的信用风险自初始确认后已显著增加但未发生信用减值的，本公司按照该金融工具整个存续期的预</w:t>
      </w:r>
      <w:r>
        <w:rPr/>
        <w:t> 期信用损失计量损失准备，并按照其账面余额和实际利率计算利息收入；（</w:t>
      </w:r>
      <w:r>
        <w:rPr>
          <w:rFonts w:ascii="Times New Roman" w:hAnsi="Times New Roman" w:cs="Times New Roman" w:eastAsia="Times New Roman" w:hint="default"/>
        </w:rPr>
        <w:t>3</w:t>
      </w:r>
      <w:r>
        <w:rPr/>
        <w:t>）第三阶段，初始确认后发</w:t>
      </w:r>
      <w:r>
        <w:rPr>
          <w:spacing w:val="-37"/>
        </w:rPr>
        <w:t> </w:t>
      </w:r>
      <w:r>
        <w:rPr>
          <w:spacing w:val="-37"/>
        </w:rPr>
      </w:r>
      <w:r>
        <w:rPr/>
        <w:t>生信用减值的，本公司按照该金融工具整个存续期的预期信用损失计量损失准备，并按照其摊余成本（账 面余额减已计提减值准备）和实际利率计算利息收入。</w:t>
      </w:r>
    </w:p>
    <w:p>
      <w:pPr>
        <w:pStyle w:val="Heading5"/>
        <w:spacing w:line="259" w:lineRule="auto" w:before="19"/>
        <w:ind w:left="561" w:right="1089"/>
        <w:jc w:val="left"/>
      </w:pPr>
      <w:r>
        <w:rPr/>
        <w:t>（</w:t>
      </w:r>
      <w:r>
        <w:rPr>
          <w:rFonts w:ascii="Times New Roman" w:hAnsi="Times New Roman" w:cs="Times New Roman" w:eastAsia="Times New Roman" w:hint="default"/>
        </w:rPr>
        <w:t>1</w:t>
      </w:r>
      <w:r>
        <w:rPr/>
        <w:t>）较低信用风险的金融工具计量损失准备的方法 对于在资产负债表日具有较低信用风险的金融工具，本公司可以不用与其初始确认时的信用风险进行</w:t>
      </w:r>
    </w:p>
    <w:p>
      <w:pPr>
        <w:pStyle w:val="Heading5"/>
        <w:spacing w:line="261" w:lineRule="auto" w:before="23"/>
        <w:ind w:left="561" w:right="0" w:hanging="421"/>
        <w:jc w:val="left"/>
      </w:pPr>
      <w:r>
        <w:rPr/>
        <w:t>比较，而直接做出该工具的信用风险自初始确认后未显著增加的假定。 </w:t>
      </w:r>
      <w:r>
        <w:rPr>
          <w:spacing w:val="-1"/>
        </w:rPr>
        <w:t>如果金融工具的违约风险较低，债务人在短期内履行其合同现金流量义务的能力很强，并且即便较长</w:t>
      </w:r>
    </w:p>
    <w:p>
      <w:pPr>
        <w:pStyle w:val="Heading5"/>
        <w:spacing w:line="276" w:lineRule="auto" w:before="21"/>
        <w:ind w:right="1089"/>
        <w:jc w:val="left"/>
      </w:pPr>
      <w:r>
        <w:rPr/>
        <w:t>时期内经济形势和经营环境存在不利变化但未必一定降低借款人履行其合同现金流量义务的能力，该金融 工具被视为具有较低的信用风险。</w:t>
      </w:r>
    </w:p>
    <w:p>
      <w:pPr>
        <w:pStyle w:val="Heading5"/>
        <w:spacing w:line="240" w:lineRule="auto" w:before="8"/>
        <w:ind w:left="561" w:right="0"/>
        <w:jc w:val="left"/>
      </w:pPr>
      <w:r>
        <w:rPr/>
        <w:t>（</w:t>
      </w:r>
      <w:r>
        <w:rPr>
          <w:rFonts w:ascii="Times New Roman" w:hAnsi="Times New Roman" w:cs="Times New Roman" w:eastAsia="Times New Roman" w:hint="default"/>
        </w:rPr>
        <w:t>2</w:t>
      </w:r>
      <w:r>
        <w:rPr/>
        <w:t>）应收款项、租赁应收款计量损失准备的方法</w:t>
      </w:r>
    </w:p>
    <w:p>
      <w:pPr>
        <w:pStyle w:val="Heading5"/>
        <w:spacing w:line="254" w:lineRule="auto" w:before="24"/>
        <w:ind w:right="1088" w:firstLine="420"/>
        <w:jc w:val="both"/>
      </w:pPr>
      <w:r>
        <w:rPr/>
        <w:t>本公司对于由《企业会计准则第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收入》规范的交易形成的应收款项及应收票据（无论是否含 重大融资成分），以及由《企业会计准则第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租赁》规范的租赁应收款，均采用简化方法，即始终 按整个存续期预期信用损失计量损失准备。</w:t>
      </w:r>
    </w:p>
    <w:p>
      <w:pPr>
        <w:pStyle w:val="Heading5"/>
        <w:spacing w:line="268" w:lineRule="auto" w:before="28"/>
        <w:ind w:right="1083" w:firstLine="420"/>
        <w:jc w:val="both"/>
      </w:pPr>
      <w:r>
        <w:rPr/>
        <w:t>资产负债表日，对于单项金额重大的应收账款（单项金额重大的标准为</w:t>
      </w:r>
      <w:r>
        <w:rPr>
          <w:rFonts w:ascii="Times New Roman" w:hAnsi="Times New Roman" w:cs="Times New Roman" w:eastAsia="Times New Roman" w:hint="default"/>
        </w:rPr>
        <w:t>100</w:t>
      </w:r>
      <w:r>
        <w:rPr/>
        <w:t>万元）及部分单项金额不 重大的应收账款，在无须付出不必要的额外成本或努力后即可以评价其预期信用损失的，则单独进行减值 会计处理并确认坏账准备。余下应收账款，本公司根据信用风险特征划分为若干组合，对于划分为组合的 应收账款，本公司参考历史信用损失经验，结合当前状况及对未来经济状况的预测，以账龄分析为基础， 计算预期信用损失，确定的组合如下：</w:t>
      </w:r>
    </w:p>
    <w:p>
      <w:pPr>
        <w:spacing w:line="240" w:lineRule="auto" w:before="9"/>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476"/>
        <w:gridCol w:w="4108"/>
      </w:tblGrid>
      <w:tr>
        <w:trPr>
          <w:trHeight w:val="353" w:hRule="exact"/>
        </w:trPr>
        <w:tc>
          <w:tcPr>
            <w:tcW w:w="4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1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60" w:hRule="exact"/>
        </w:trPr>
        <w:tc>
          <w:tcPr>
            <w:tcW w:w="447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10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客户信用风险特征</w:t>
            </w:r>
          </w:p>
        </w:tc>
      </w:tr>
      <w:tr>
        <w:trPr>
          <w:trHeight w:val="346" w:hRule="exact"/>
        </w:trPr>
        <w:tc>
          <w:tcPr>
            <w:tcW w:w="4476" w:type="dxa"/>
            <w:tcBorders>
              <w:top w:val="single" w:sz="12" w:space="0" w:color="000000"/>
              <w:left w:val="single" w:sz="6" w:space="0" w:color="000000"/>
              <w:bottom w:val="single" w:sz="12" w:space="0" w:color="000000"/>
              <w:right w:val="single" w:sz="6" w:space="0" w:color="000000"/>
            </w:tcBorders>
          </w:tcPr>
          <w:p>
            <w:pPr/>
          </w:p>
        </w:tc>
        <w:tc>
          <w:tcPr>
            <w:tcW w:w="4108"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4476" w:type="dxa"/>
            <w:tcBorders>
              <w:top w:val="single" w:sz="12" w:space="0" w:color="000000"/>
              <w:left w:val="single" w:sz="6" w:space="0" w:color="000000"/>
              <w:bottom w:val="single" w:sz="12" w:space="0" w:color="000000"/>
              <w:right w:val="single" w:sz="6" w:space="0" w:color="000000"/>
            </w:tcBorders>
          </w:tcPr>
          <w:p>
            <w:pPr/>
          </w:p>
        </w:tc>
        <w:tc>
          <w:tcPr>
            <w:tcW w:w="4108"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4476" w:type="dxa"/>
            <w:tcBorders>
              <w:top w:val="single" w:sz="12" w:space="0" w:color="000000"/>
              <w:left w:val="single" w:sz="6" w:space="0" w:color="000000"/>
              <w:bottom w:val="single" w:sz="12" w:space="0" w:color="000000"/>
              <w:right w:val="single" w:sz="6" w:space="0" w:color="000000"/>
            </w:tcBorders>
          </w:tcPr>
          <w:p>
            <w:pPr/>
          </w:p>
        </w:tc>
        <w:tc>
          <w:tcPr>
            <w:tcW w:w="4108"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4476" w:type="dxa"/>
            <w:tcBorders>
              <w:top w:val="single" w:sz="12" w:space="0" w:color="000000"/>
              <w:left w:val="single" w:sz="6" w:space="0" w:color="000000"/>
              <w:bottom w:val="single" w:sz="12" w:space="0" w:color="000000"/>
              <w:right w:val="single" w:sz="6" w:space="0" w:color="000000"/>
            </w:tcBorders>
          </w:tcPr>
          <w:p>
            <w:pPr/>
          </w:p>
        </w:tc>
        <w:tc>
          <w:tcPr>
            <w:tcW w:w="4108" w:type="dxa"/>
            <w:tcBorders>
              <w:top w:val="single" w:sz="12" w:space="0" w:color="000000"/>
              <w:left w:val="single" w:sz="6" w:space="0" w:color="000000"/>
              <w:bottom w:val="single" w:sz="12" w:space="0" w:color="000000"/>
              <w:right w:val="nil" w:sz="6" w:space="0" w:color="auto"/>
            </w:tcBorders>
          </w:tcPr>
          <w:p>
            <w:pPr/>
          </w:p>
        </w:tc>
      </w:tr>
    </w:tbl>
    <w:p>
      <w:pPr>
        <w:pStyle w:val="Heading5"/>
        <w:spacing w:line="270" w:lineRule="exact"/>
        <w:ind w:left="651" w:right="0"/>
        <w:jc w:val="left"/>
      </w:pPr>
      <w:r>
        <w:rPr/>
        <w:t>（</w:t>
      </w:r>
      <w:r>
        <w:rPr>
          <w:rFonts w:ascii="Times New Roman" w:hAnsi="Times New Roman" w:cs="Times New Roman" w:eastAsia="Times New Roman" w:hint="default"/>
        </w:rPr>
        <w:t>3</w:t>
      </w:r>
      <w:r>
        <w:rPr/>
        <w:t>）其他金融资产计量损失准备的方法</w:t>
      </w:r>
    </w:p>
    <w:p>
      <w:pPr>
        <w:pStyle w:val="Heading5"/>
        <w:spacing w:line="276" w:lineRule="auto" w:before="24"/>
        <w:ind w:right="1099" w:firstLine="420"/>
        <w:jc w:val="both"/>
      </w:pPr>
      <w:r>
        <w:rPr/>
        <w:t>对于除上述以外的金融资产，如：债权投资、其他债权投资、其他应收款、除租赁应收款以外的长期 应收款、本公司按照一般方法，即</w:t>
      </w:r>
      <w:r>
        <w:rPr>
          <w:rFonts w:ascii="Times New Roman" w:hAnsi="Times New Roman" w:cs="Times New Roman" w:eastAsia="Times New Roman" w:hint="default"/>
        </w:rPr>
        <w:t>“</w:t>
      </w:r>
      <w:r>
        <w:rPr/>
        <w:t>三阶段</w:t>
      </w:r>
      <w:r>
        <w:rPr>
          <w:rFonts w:ascii="Times New Roman" w:hAnsi="Times New Roman" w:cs="Times New Roman" w:eastAsia="Times New Roman" w:hint="default"/>
        </w:rPr>
        <w:t>”</w:t>
      </w:r>
      <w:r>
        <w:rPr/>
        <w:t>模型计量损失准备。</w:t>
      </w:r>
    </w:p>
    <w:p>
      <w:pPr>
        <w:pStyle w:val="Heading5"/>
        <w:spacing w:line="266" w:lineRule="auto"/>
        <w:ind w:right="1083" w:firstLine="420"/>
        <w:jc w:val="both"/>
      </w:pPr>
      <w:r>
        <w:rPr/>
        <w:t>本公司在计量金融工具发生信用减值时，评估信用风险是否显著增加考虑了以下因素：如果某项金融 </w:t>
      </w:r>
      <w:r>
        <w:rPr>
          <w:spacing w:val="4"/>
        </w:rPr>
        <w:t>资产在资产负债表日确定的预计存续期内的违约概率显著高于在初始确认时确定的预计存续期内的违约</w:t>
      </w:r>
      <w:r>
        <w:rPr/>
        <w:t> 概率，则表明该项金融资产的信用风险显著增加。除特殊情况外，本公司采用未来</w:t>
      </w:r>
      <w:r>
        <w:rPr>
          <w:rFonts w:ascii="Times New Roman" w:hAnsi="Times New Roman" w:cs="Times New Roman" w:eastAsia="Times New Roman" w:hint="default"/>
        </w:rPr>
        <w:t>12</w:t>
      </w:r>
      <w:r>
        <w:rPr/>
        <w:t>个月内发生的违约风 险的变化作为整个存续期内发生违约风险变化的合理估计，来确定自初始确认后信用风险是否显著增加。</w:t>
      </w:r>
    </w:p>
    <w:p>
      <w:pPr>
        <w:spacing w:after="0" w:line="266"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6" w:lineRule="auto" w:before="35"/>
        <w:ind w:right="1101" w:firstLine="420"/>
        <w:jc w:val="left"/>
      </w:pPr>
      <w:r>
        <w:rPr>
          <w:spacing w:val="-1"/>
        </w:rPr>
        <w:t>本公司根据信用风险特征对其他应收款划分为若干组合，其他应收款确定的组合及预期信用损失率如</w:t>
      </w:r>
      <w:r>
        <w:rPr/>
        <w:t> 下：</w:t>
      </w:r>
    </w:p>
    <w:p>
      <w:pPr>
        <w:spacing w:line="240" w:lineRule="auto" w:before="3"/>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94"/>
        <w:gridCol w:w="5640"/>
      </w:tblGrid>
      <w:tr>
        <w:trPr>
          <w:trHeight w:val="353" w:hRule="exact"/>
        </w:trPr>
        <w:tc>
          <w:tcPr>
            <w:tcW w:w="309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组合</w:t>
            </w:r>
          </w:p>
        </w:tc>
        <w:tc>
          <w:tcPr>
            <w:tcW w:w="5640"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56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本组合以应收出口退税款作为信用风险特征</w:t>
            </w: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56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本组合为日常经常活动中应收的押金和保证金等应收款项</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56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本组合为日常经常活动中应收的备用金等应收款项</w:t>
            </w: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4</w:t>
            </w:r>
          </w:p>
        </w:tc>
        <w:tc>
          <w:tcPr>
            <w:tcW w:w="5640"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本组合为关联方往来款项</w:t>
            </w: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5</w:t>
            </w:r>
          </w:p>
        </w:tc>
        <w:tc>
          <w:tcPr>
            <w:tcW w:w="564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本组合以应收账龄作为信用风险特征</w:t>
            </w:r>
          </w:p>
        </w:tc>
      </w:tr>
    </w:tbl>
    <w:p>
      <w:pPr>
        <w:pStyle w:val="Heading5"/>
        <w:spacing w:line="271" w:lineRule="exact"/>
        <w:ind w:left="561" w:right="0"/>
        <w:jc w:val="left"/>
      </w:pPr>
      <w:r>
        <w:rPr/>
        <w:t>对于划分为组合</w:t>
      </w:r>
      <w:r>
        <w:rPr>
          <w:rFonts w:ascii="Times New Roman" w:hAnsi="Times New Roman" w:cs="Times New Roman" w:eastAsia="Times New Roman" w:hint="default"/>
        </w:rPr>
        <w:t>1-4</w:t>
      </w:r>
      <w:r>
        <w:rPr/>
        <w:t>的其他应收款，本公司在每个资产负债表日评估其信用风险，并划分为三阶段，计</w:t>
      </w:r>
    </w:p>
    <w:p>
      <w:pPr>
        <w:pStyle w:val="Heading5"/>
        <w:spacing w:line="240" w:lineRule="auto" w:before="24"/>
        <w:ind w:right="0"/>
        <w:jc w:val="left"/>
      </w:pPr>
      <w:r>
        <w:rPr/>
        <w:t>算预期信用损失。</w:t>
      </w:r>
    </w:p>
    <w:p>
      <w:pPr>
        <w:spacing w:line="240" w:lineRule="auto" w:before="9"/>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094"/>
        <w:gridCol w:w="1697"/>
        <w:gridCol w:w="1982"/>
        <w:gridCol w:w="1960"/>
      </w:tblGrid>
      <w:tr>
        <w:trPr>
          <w:trHeight w:val="353" w:hRule="exact"/>
        </w:trPr>
        <w:tc>
          <w:tcPr>
            <w:tcW w:w="3094" w:type="dxa"/>
            <w:vMerge w:val="restart"/>
            <w:tcBorders>
              <w:top w:val="single" w:sz="6" w:space="0" w:color="000000"/>
              <w:left w:val="single" w:sz="6" w:space="0" w:color="000000"/>
              <w:right w:val="single" w:sz="6" w:space="0" w:color="000000"/>
            </w:tcBorders>
          </w:tcPr>
          <w:p>
            <w:pPr/>
          </w:p>
        </w:tc>
        <w:tc>
          <w:tcPr>
            <w:tcW w:w="5639" w:type="dxa"/>
            <w:gridSpan w:val="3"/>
            <w:tcBorders>
              <w:top w:val="single" w:sz="6" w:space="0" w:color="000000"/>
              <w:left w:val="single" w:sz="6" w:space="0" w:color="000000"/>
              <w:bottom w:val="single" w:sz="12" w:space="0" w:color="000000"/>
              <w:right w:val="nil" w:sz="6" w:space="0" w:color="auto"/>
            </w:tcBorders>
          </w:tcPr>
          <w:p>
            <w:pPr/>
          </w:p>
        </w:tc>
      </w:tr>
      <w:tr>
        <w:trPr>
          <w:trHeight w:val="346" w:hRule="exact"/>
        </w:trPr>
        <w:tc>
          <w:tcPr>
            <w:tcW w:w="3094" w:type="dxa"/>
            <w:vMerge/>
            <w:tcBorders>
              <w:left w:val="single" w:sz="6" w:space="0" w:color="000000"/>
              <w:bottom w:val="single" w:sz="12" w:space="0" w:color="000000"/>
              <w:right w:val="single" w:sz="6" w:space="0" w:color="000000"/>
            </w:tcBorders>
          </w:tcPr>
          <w:p>
            <w:pPr/>
          </w:p>
        </w:tc>
        <w:tc>
          <w:tcPr>
            <w:tcW w:w="1697" w:type="dxa"/>
            <w:tcBorders>
              <w:top w:val="single" w:sz="12" w:space="0" w:color="000000"/>
              <w:left w:val="single" w:sz="6" w:space="0" w:color="000000"/>
              <w:bottom w:val="single" w:sz="12" w:space="0" w:color="000000"/>
              <w:right w:val="single" w:sz="6" w:space="0" w:color="000000"/>
            </w:tcBorders>
          </w:tcPr>
          <w:p>
            <w:pPr/>
          </w:p>
        </w:tc>
        <w:tc>
          <w:tcPr>
            <w:tcW w:w="1982"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697" w:type="dxa"/>
            <w:tcBorders>
              <w:top w:val="single" w:sz="12" w:space="0" w:color="000000"/>
              <w:left w:val="single" w:sz="6" w:space="0" w:color="000000"/>
              <w:bottom w:val="single" w:sz="12" w:space="0" w:color="000000"/>
              <w:right w:val="single" w:sz="6" w:space="0" w:color="000000"/>
            </w:tcBorders>
          </w:tcPr>
          <w:p>
            <w:pPr/>
          </w:p>
        </w:tc>
        <w:tc>
          <w:tcPr>
            <w:tcW w:w="1982"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697" w:type="dxa"/>
            <w:tcBorders>
              <w:top w:val="single" w:sz="12" w:space="0" w:color="000000"/>
              <w:left w:val="single" w:sz="6" w:space="0" w:color="000000"/>
              <w:bottom w:val="single" w:sz="12" w:space="0" w:color="000000"/>
              <w:right w:val="single" w:sz="6" w:space="0" w:color="000000"/>
            </w:tcBorders>
          </w:tcPr>
          <w:p>
            <w:pPr/>
          </w:p>
        </w:tc>
        <w:tc>
          <w:tcPr>
            <w:tcW w:w="1982"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697" w:type="dxa"/>
            <w:tcBorders>
              <w:top w:val="single" w:sz="12" w:space="0" w:color="000000"/>
              <w:left w:val="single" w:sz="6" w:space="0" w:color="000000"/>
              <w:bottom w:val="single" w:sz="12" w:space="0" w:color="000000"/>
              <w:right w:val="single" w:sz="6" w:space="0" w:color="000000"/>
            </w:tcBorders>
          </w:tcPr>
          <w:p>
            <w:pPr/>
          </w:p>
        </w:tc>
        <w:tc>
          <w:tcPr>
            <w:tcW w:w="1982"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094" w:type="dxa"/>
            <w:tcBorders>
              <w:top w:val="single" w:sz="12" w:space="0" w:color="000000"/>
              <w:left w:val="single" w:sz="6" w:space="0" w:color="000000"/>
              <w:bottom w:val="single" w:sz="12" w:space="0" w:color="000000"/>
              <w:right w:val="single" w:sz="6" w:space="0" w:color="000000"/>
            </w:tcBorders>
          </w:tcPr>
          <w:p>
            <w:pPr/>
          </w:p>
        </w:tc>
        <w:tc>
          <w:tcPr>
            <w:tcW w:w="1697" w:type="dxa"/>
            <w:tcBorders>
              <w:top w:val="single" w:sz="12" w:space="0" w:color="000000"/>
              <w:left w:val="single" w:sz="6" w:space="0" w:color="000000"/>
              <w:bottom w:val="single" w:sz="12" w:space="0" w:color="000000"/>
              <w:right w:val="single" w:sz="6" w:space="0" w:color="000000"/>
            </w:tcBorders>
          </w:tcPr>
          <w:p>
            <w:pPr/>
          </w:p>
        </w:tc>
        <w:tc>
          <w:tcPr>
            <w:tcW w:w="1982" w:type="dxa"/>
            <w:tcBorders>
              <w:top w:val="single" w:sz="12" w:space="0" w:color="000000"/>
              <w:left w:val="single" w:sz="6" w:space="0" w:color="000000"/>
              <w:bottom w:val="single" w:sz="12" w:space="0" w:color="000000"/>
              <w:right w:val="single" w:sz="6" w:space="0" w:color="000000"/>
            </w:tcBorders>
          </w:tcPr>
          <w:p>
            <w:pPr/>
          </w:p>
        </w:tc>
        <w:tc>
          <w:tcPr>
            <w:tcW w:w="1960" w:type="dxa"/>
            <w:tcBorders>
              <w:top w:val="single" w:sz="12" w:space="0" w:color="000000"/>
              <w:left w:val="single" w:sz="6" w:space="0" w:color="000000"/>
              <w:bottom w:val="single" w:sz="12" w:space="0" w:color="000000"/>
              <w:right w:val="nil" w:sz="6" w:space="0" w:color="auto"/>
            </w:tcBorders>
          </w:tcPr>
          <w:p>
            <w:pPr/>
          </w:p>
        </w:tc>
      </w:tr>
    </w:tbl>
    <w:p>
      <w:pPr>
        <w:pStyle w:val="Heading5"/>
        <w:spacing w:line="271" w:lineRule="exact"/>
        <w:ind w:left="561" w:right="0"/>
        <w:jc w:val="left"/>
      </w:pPr>
      <w:r>
        <w:rPr/>
        <w:t>对于划分为组合</w:t>
      </w:r>
      <w:r>
        <w:rPr>
          <w:rFonts w:ascii="Times New Roman" w:hAnsi="Times New Roman" w:cs="Times New Roman" w:eastAsia="Times New Roman" w:hint="default"/>
        </w:rPr>
        <w:t>5</w:t>
      </w:r>
      <w:r>
        <w:rPr/>
        <w:t>的其他应收款，本公司参考历史信用损失经验，结合当前状况以及对未来经济状况</w:t>
      </w:r>
    </w:p>
    <w:p>
      <w:pPr>
        <w:pStyle w:val="Heading5"/>
        <w:spacing w:line="240" w:lineRule="auto" w:before="24"/>
        <w:ind w:right="0"/>
        <w:jc w:val="left"/>
      </w:pPr>
      <w:r>
        <w:rPr/>
        <w:t>的预测，编制其他应收款与整个存续期预期信用损失率对照表，计算预期信用损失。</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566"/>
        <w:gridCol w:w="4168"/>
      </w:tblGrid>
      <w:tr>
        <w:trPr>
          <w:trHeight w:val="353" w:hRule="exact"/>
        </w:trPr>
        <w:tc>
          <w:tcPr>
            <w:tcW w:w="4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41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其他应收款预期信用损失率（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5" w:hRule="exact"/>
        </w:trPr>
        <w:tc>
          <w:tcPr>
            <w:tcW w:w="4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年以内（含，下同）</w:t>
            </w:r>
          </w:p>
        </w:tc>
        <w:tc>
          <w:tcPr>
            <w:tcW w:w="4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5</w:t>
            </w:r>
          </w:p>
        </w:tc>
      </w:tr>
      <w:tr>
        <w:trPr>
          <w:trHeight w:val="360" w:hRule="exact"/>
        </w:trPr>
        <w:tc>
          <w:tcPr>
            <w:tcW w:w="4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4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4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4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13"/>
              <w:jc w:val="center"/>
              <w:rPr>
                <w:rFonts w:ascii="Times New Roman" w:hAnsi="Times New Roman" w:cs="Times New Roman" w:eastAsia="Times New Roman" w:hint="default"/>
                <w:sz w:val="18"/>
                <w:szCs w:val="18"/>
              </w:rPr>
            </w:pPr>
            <w:r>
              <w:rPr>
                <w:rFonts w:ascii="Times New Roman"/>
                <w:sz w:val="18"/>
              </w:rPr>
              <w:t>80</w:t>
            </w:r>
          </w:p>
        </w:tc>
      </w:tr>
      <w:tr>
        <w:trPr>
          <w:trHeight w:val="345" w:hRule="exact"/>
        </w:trPr>
        <w:tc>
          <w:tcPr>
            <w:tcW w:w="4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6"/>
              <w:ind w:right="13"/>
              <w:jc w:val="center"/>
              <w:rPr>
                <w:rFonts w:ascii="Times New Roman" w:hAnsi="Times New Roman" w:cs="Times New Roman" w:eastAsia="Times New Roman" w:hint="default"/>
                <w:sz w:val="18"/>
                <w:szCs w:val="18"/>
              </w:rPr>
            </w:pPr>
            <w:r>
              <w:rPr>
                <w:rFonts w:ascii="Times New Roman"/>
                <w:sz w:val="18"/>
              </w:rPr>
              <w:t>100</w:t>
            </w:r>
          </w:p>
        </w:tc>
      </w:tr>
    </w:tbl>
    <w:p>
      <w:pPr>
        <w:pStyle w:val="Heading5"/>
        <w:spacing w:line="271" w:lineRule="exact"/>
        <w:ind w:left="561" w:right="0"/>
        <w:jc w:val="left"/>
      </w:pPr>
      <w:r>
        <w:rPr>
          <w:rFonts w:ascii="Times New Roman" w:hAnsi="Times New Roman" w:cs="Times New Roman" w:eastAsia="Times New Roman" w:hint="default"/>
        </w:rPr>
        <w:t>2.</w:t>
      </w:r>
      <w:r>
        <w:rPr/>
        <w:t>预期信用损失的会计处理方法</w:t>
      </w:r>
    </w:p>
    <w:p>
      <w:pPr>
        <w:pStyle w:val="Heading5"/>
        <w:spacing w:line="271" w:lineRule="auto" w:before="24"/>
        <w:ind w:right="1083" w:firstLine="420"/>
        <w:jc w:val="both"/>
      </w:pPr>
      <w:r>
        <w:rPr>
          <w:spacing w:val="4"/>
        </w:rPr>
        <w:t>为反映金融工具的信用风险自初始确认后的变化，本公司在每个资产负债表日重新计量预期信用损</w:t>
      </w:r>
      <w:r>
        <w:rPr/>
        <w:t>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13、应收款项融资" w:id="189"/>
      <w:bookmarkEnd w:id="189"/>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4、其他应收款" w:id="190"/>
      <w:bookmarkEnd w:id="190"/>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其他应收款的预期信用损失的确定方法及会计处理方法</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5、存货" w:id="191"/>
      <w:bookmarkEnd w:id="191"/>
      <w:r>
        <w:rPr>
          <w:b w:val="0"/>
          <w:bCs w:val="0"/>
        </w:rPr>
      </w:r>
      <w:r>
        <w:rPr>
          <w:rFonts w:ascii="Times New Roman" w:hAnsi="Times New Roman" w:cs="Times New Roman" w:eastAsia="Times New Roman" w:hint="default"/>
        </w:rPr>
        <w:t>15</w:t>
      </w:r>
      <w:r>
        <w:rPr/>
        <w:t>、存货</w:t>
      </w:r>
      <w:r>
        <w:rPr>
          <w:b w:val="0"/>
          <w:bCs w:val="0"/>
        </w:rPr>
      </w:r>
    </w:p>
    <w:p>
      <w:pPr>
        <w:spacing w:line="240" w:lineRule="auto" w:before="9"/>
        <w:rPr>
          <w:rFonts w:ascii="宋体" w:hAnsi="宋体" w:cs="宋体" w:eastAsia="宋体" w:hint="default"/>
          <w:b/>
          <w:bCs/>
          <w:sz w:val="23"/>
          <w:szCs w:val="23"/>
        </w:rPr>
      </w:pPr>
    </w:p>
    <w:p>
      <w:pPr>
        <w:pStyle w:val="Heading5"/>
        <w:spacing w:line="247" w:lineRule="auto"/>
        <w:ind w:left="561" w:right="0"/>
        <w:jc w:val="left"/>
      </w:pPr>
      <w:r>
        <w:rPr>
          <w:rFonts w:ascii="Times New Roman" w:hAnsi="Times New Roman" w:cs="Times New Roman" w:eastAsia="Times New Roman" w:hint="default"/>
        </w:rPr>
        <w:t>1.</w:t>
      </w:r>
      <w:r>
        <w:rPr/>
        <w:t>存货的分类</w:t>
      </w:r>
      <w:r>
        <w:rPr>
          <w:spacing w:val="-98"/>
        </w:rPr>
        <w:t> </w:t>
      </w:r>
      <w:r>
        <w:rPr>
          <w:spacing w:val="-1"/>
        </w:rPr>
        <w:t>存货是指本公司在日常活动中持有以备出售的产成品或商品、处在生产过程中的在产品、在生产过程</w:t>
      </w:r>
    </w:p>
    <w:p>
      <w:pPr>
        <w:pStyle w:val="Heading5"/>
        <w:spacing w:line="276" w:lineRule="auto" w:before="34"/>
        <w:ind w:right="0"/>
        <w:jc w:val="left"/>
      </w:pPr>
      <w:r>
        <w:rPr/>
        <w:t>或提供劳务过程中耗用的材料和物料等。主要包括原材料、在产品、库存商品、开发产品、发出商品、委 托加工物资等。</w:t>
      </w:r>
    </w:p>
    <w:p>
      <w:pPr>
        <w:spacing w:after="0" w:line="276"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68" w:lineRule="auto" w:before="35"/>
        <w:ind w:left="561" w:right="4449"/>
        <w:jc w:val="left"/>
      </w:pPr>
      <w:r>
        <w:rPr>
          <w:rFonts w:ascii="Times New Roman" w:hAnsi="Times New Roman" w:cs="Times New Roman" w:eastAsia="Times New Roman" w:hint="default"/>
        </w:rPr>
        <w:t>2.</w:t>
      </w:r>
      <w:r>
        <w:rPr/>
        <w:t>发出存货的计价方法</w:t>
      </w:r>
      <w:r>
        <w:rPr>
          <w:spacing w:val="-98"/>
        </w:rPr>
        <w:t> </w:t>
      </w:r>
      <w:r>
        <w:rPr/>
        <w:t>存货发出时，采取月末一次加权平均法确定其发出的实际成本。 </w:t>
      </w:r>
      <w:r>
        <w:rPr>
          <w:rFonts w:ascii="Times New Roman" w:hAnsi="Times New Roman" w:cs="Times New Roman" w:eastAsia="Times New Roman" w:hint="default"/>
        </w:rPr>
        <w:t>3.</w:t>
      </w:r>
      <w:r>
        <w:rPr/>
        <w:t>存货跌价准备的计提方法</w:t>
      </w:r>
    </w:p>
    <w:p>
      <w:pPr>
        <w:pStyle w:val="Heading5"/>
        <w:spacing w:line="257" w:lineRule="exact"/>
        <w:ind w:right="0" w:firstLine="420"/>
        <w:jc w:val="left"/>
      </w:pPr>
      <w:r>
        <w:rPr/>
        <w:t>资产负债表日，存货采用成本与可变现净值孰低计量，按照单个存货成本高于可变现净值的差额计提</w:t>
      </w:r>
    </w:p>
    <w:p>
      <w:pPr>
        <w:pStyle w:val="Heading5"/>
        <w:spacing w:line="271" w:lineRule="auto" w:before="40"/>
        <w:ind w:right="0"/>
        <w:jc w:val="left"/>
      </w:pPr>
      <w:r>
        <w:rPr/>
        <w:t>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9"/>
        </w:rPr>
        <w:t> </w:t>
      </w:r>
      <w:r>
        <w:rPr>
          <w:spacing w:val="-99"/>
        </w:rPr>
      </w:r>
      <w:r>
        <w:rPr/>
        <w:t>并与其对应的成本进行比较，分别确定存货跌价准备的计提或转回的金额。</w:t>
      </w:r>
    </w:p>
    <w:p>
      <w:pPr>
        <w:pStyle w:val="Heading5"/>
        <w:spacing w:line="264" w:lineRule="auto" w:before="13"/>
        <w:ind w:left="561" w:right="6339"/>
        <w:jc w:val="left"/>
      </w:pPr>
      <w:r>
        <w:rPr>
          <w:rFonts w:ascii="Times New Roman" w:hAnsi="Times New Roman" w:cs="Times New Roman" w:eastAsia="Times New Roman" w:hint="default"/>
        </w:rPr>
        <w:t>4.</w:t>
      </w:r>
      <w:r>
        <w:rPr/>
        <w:t>存货的盘存制度</w:t>
      </w:r>
      <w:r>
        <w:rPr>
          <w:spacing w:val="-98"/>
        </w:rPr>
        <w:t> </w:t>
      </w:r>
      <w:r>
        <w:rPr/>
        <w:t>本公司的存货盘存制度为永续盘存制。 </w:t>
      </w:r>
      <w:r>
        <w:rPr>
          <w:rFonts w:ascii="Times New Roman" w:hAnsi="Times New Roman" w:cs="Times New Roman" w:eastAsia="Times New Roman" w:hint="default"/>
        </w:rPr>
        <w:t>5.</w:t>
      </w:r>
      <w:r>
        <w:rPr/>
        <w:t>低值易耗品和包装物的摊销方法</w:t>
      </w:r>
      <w:r>
        <w:rPr>
          <w:spacing w:val="-98"/>
        </w:rPr>
        <w:t> </w:t>
      </w:r>
      <w:r>
        <w:rPr/>
        <w:t>低值易耗品和包装物采用一次转销法摊销</w:t>
      </w:r>
      <w:r>
        <w:rPr>
          <w:color w:val="000099"/>
        </w:rPr>
        <w:t>。</w:t>
      </w:r>
      <w:r>
        <w:rPr>
          <w:color w:val="000099"/>
        </w:rPr>
        <w:t> </w:t>
      </w: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动漫、影视作品</w:t>
      </w:r>
    </w:p>
    <w:p>
      <w:pPr>
        <w:pStyle w:val="Heading5"/>
        <w:spacing w:line="259" w:lineRule="auto" w:before="1"/>
        <w:ind w:right="1124"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公司动漫、影视作品按照实际成本进行初始计量。公司从事与境内外其他单位合作摄制影片业务</w:t>
      </w:r>
      <w:r>
        <w:rPr>
          <w:w w:val="99"/>
        </w:rPr>
        <w:t> </w:t>
      </w:r>
      <w:r>
        <w:rPr/>
        <w:t>的，按以下方法执行：</w:t>
      </w:r>
    </w:p>
    <w:p>
      <w:pPr>
        <w:pStyle w:val="Heading5"/>
        <w:spacing w:line="254" w:lineRule="auto" w:before="23"/>
        <w:ind w:right="111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公司负责摄制成本核算的，在收到合作方按合同约定预付的制片款项时，先通过</w:t>
      </w:r>
      <w:r>
        <w:rPr>
          <w:rFonts w:ascii="Times New Roman" w:hAnsi="Times New Roman" w:cs="Times New Roman" w:eastAsia="Times New Roman" w:hint="default"/>
        </w:rPr>
        <w:t>“</w:t>
      </w:r>
      <w:r>
        <w:rPr/>
        <w:t>预收款项－预收 制片款</w:t>
      </w:r>
      <w:r>
        <w:rPr>
          <w:rFonts w:ascii="Times New Roman" w:hAnsi="Times New Roman" w:cs="Times New Roman" w:eastAsia="Times New Roman" w:hint="default"/>
        </w:rPr>
        <w:t>”</w:t>
      </w:r>
      <w:r>
        <w:rPr/>
        <w:t>科目进行核算；当动漫、影视作品完成摄制结转入库时，再将该款项转作动漫、影视作品库存成</w:t>
      </w:r>
      <w:r>
        <w:rPr>
          <w:spacing w:val="-19"/>
        </w:rPr>
        <w:t> </w:t>
      </w:r>
      <w:r>
        <w:rPr>
          <w:spacing w:val="-19"/>
        </w:rPr>
      </w:r>
      <w:r>
        <w:rPr/>
        <w:t>本的备抵，并在结转销售成本时予以冲抵。</w:t>
      </w:r>
    </w:p>
    <w:p>
      <w:pPr>
        <w:pStyle w:val="Heading5"/>
        <w:spacing w:line="264" w:lineRule="auto" w:before="27"/>
        <w:ind w:right="1083" w:firstLine="420"/>
        <w:jc w:val="both"/>
      </w:pPr>
      <w:r>
        <w:rPr>
          <w:rFonts w:ascii="Times New Roman" w:hAnsi="Times New Roman" w:cs="Times New Roman" w:eastAsia="Times New Roman" w:hint="default"/>
        </w:rPr>
        <w:t>2) </w:t>
      </w:r>
      <w:r>
        <w:rPr/>
        <w:t>其他合作方负责摄制成本核算的，公司按合同约定支付合作方的制片款，先通过</w:t>
      </w:r>
      <w:r>
        <w:rPr>
          <w:rFonts w:ascii="Times New Roman" w:hAnsi="Times New Roman" w:cs="Times New Roman" w:eastAsia="Times New Roman" w:hint="default"/>
        </w:rPr>
        <w:t>“</w:t>
      </w:r>
      <w:r>
        <w:rPr/>
        <w:t>预付款项－预付 制片款</w:t>
      </w:r>
      <w:r>
        <w:rPr>
          <w:rFonts w:ascii="Times New Roman" w:hAnsi="Times New Roman" w:cs="Times New Roman" w:eastAsia="Times New Roman" w:hint="default"/>
        </w:rPr>
        <w:t>”</w:t>
      </w:r>
      <w:r>
        <w:rPr/>
        <w:t>科目进行核算，当动漫、影视作品完成摄制并收到其他合作方出具的经审计或双方确认的有关成</w:t>
      </w:r>
      <w:r>
        <w:rPr>
          <w:spacing w:val="-19"/>
        </w:rPr>
        <w:t> </w:t>
      </w:r>
      <w:r>
        <w:rPr>
          <w:spacing w:val="-19"/>
        </w:rPr>
      </w:r>
      <w:r>
        <w:rPr/>
        <w:t>本、费用结算凭据或报表时，按实际结算金额将该款项转作动漫、影视作品库存成本。当动漫、影视作品</w:t>
      </w:r>
      <w:r>
        <w:rPr/>
        <w:t> 完成摄制并取得《国产动画片播放许可证》、《电影片公映许可证》或《电视剧发行许可证》时，结转至 </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w:t>
      </w:r>
    </w:p>
    <w:p>
      <w:pPr>
        <w:pStyle w:val="Heading5"/>
        <w:spacing w:line="240" w:lineRule="auto" w:before="1"/>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发出存货采用个别计价法，自符合收入确认条件之日起，按以下方法和规定结转销售成本：</w:t>
      </w:r>
    </w:p>
    <w:p>
      <w:pPr>
        <w:pStyle w:val="Heading5"/>
        <w:spacing w:line="240" w:lineRule="auto" w:before="24"/>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一次性卖断国内全部著作权的，在确认收入时，将全部实际成本一次性结转销售成本。</w:t>
      </w:r>
    </w:p>
    <w:p>
      <w:pPr>
        <w:pStyle w:val="Heading5"/>
        <w:spacing w:line="271" w:lineRule="auto" w:before="24"/>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采用按票款、发行收入等分账结算方式，或采用多次、局部（特定院线或一定区域、一定时期内）将发</w:t>
      </w:r>
      <w:r>
        <w:rPr>
          <w:w w:val="99"/>
        </w:rPr>
        <w:t> </w:t>
      </w:r>
      <w:r>
        <w:rPr>
          <w:spacing w:val="-3"/>
        </w:rPr>
        <w:t>行权、放映权转让给部分电影院线（发行公司）或电视台等，且仍可继续向其他单位发行、销售的影视剧，</w:t>
      </w:r>
      <w:r>
        <w:rPr>
          <w:spacing w:val="-102"/>
        </w:rPr>
        <w:t> </w:t>
      </w:r>
      <w:r>
        <w:rPr>
          <w:spacing w:val="-102"/>
        </w:rPr>
      </w:r>
      <w:r>
        <w:rPr/>
        <w:t>一般在符合收入确认条件之日起，在一定期限内（提供给电视台播映电视剧片可在不超过五年的期间内、</w:t>
      </w:r>
      <w:r>
        <w:rPr>
          <w:w w:val="99"/>
        </w:rPr>
        <w:t> </w:t>
      </w:r>
      <w:r>
        <w:rPr/>
        <w:t>动漫作品可在不超过三年的期间内、电影作品在不超过两年的期间内），采用计划收入比例法将其全部实</w:t>
      </w:r>
      <w:r>
        <w:rPr>
          <w:w w:val="99"/>
        </w:rPr>
        <w:t> </w:t>
      </w:r>
      <w:r>
        <w:rPr/>
        <w:t>际成本逐笔（期）结转销售成本。计划收入比例法具体的计算原则和方法：从符合收入确认条件之日起，</w:t>
      </w:r>
      <w:r>
        <w:rPr>
          <w:w w:val="99"/>
        </w:rPr>
        <w:t> </w:t>
      </w:r>
      <w:r>
        <w:rPr/>
        <w:t>在各收入确认的期间内，以本期确认收入占预计总收入的比例为权数，计算确定本期应结转的销售成本。</w:t>
      </w:r>
      <w:r>
        <w:rPr>
          <w:w w:val="99"/>
        </w:rPr>
        <w:t> </w:t>
      </w:r>
      <w:r>
        <w:rPr/>
        <w:t>即当期应结转的销售成本＝总成本</w:t>
      </w:r>
      <w:r>
        <w:rPr>
          <w:rFonts w:ascii="Times New Roman" w:hAnsi="Times New Roman" w:cs="Times New Roman" w:eastAsia="Times New Roman" w:hint="default"/>
        </w:rPr>
        <w:t>×</w:t>
      </w:r>
      <w:r>
        <w:rPr/>
        <w:t>（当期收入</w:t>
      </w:r>
      <w:r>
        <w:rPr>
          <w:rFonts w:ascii="Times New Roman" w:hAnsi="Times New Roman" w:cs="Times New Roman" w:eastAsia="Times New Roman" w:hint="default"/>
        </w:rPr>
        <w:t>÷</w:t>
      </w:r>
      <w:r>
        <w:rPr/>
        <w:t>预计总收入）。</w:t>
      </w:r>
    </w:p>
    <w:p>
      <w:pPr>
        <w:spacing w:after="0" w:line="27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both"/>
        <w:rPr>
          <w:b w:val="0"/>
          <w:bCs w:val="0"/>
        </w:rPr>
      </w:pPr>
      <w:bookmarkStart w:name="16、合同资产" w:id="192"/>
      <w:bookmarkEnd w:id="192"/>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7、合同成本" w:id="193"/>
      <w:bookmarkEnd w:id="193"/>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8、持有待售资产" w:id="194"/>
      <w:bookmarkEnd w:id="194"/>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9、债权投资" w:id="195"/>
      <w:bookmarkEnd w:id="195"/>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20、其他债权投资" w:id="196"/>
      <w:bookmarkEnd w:id="196"/>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both"/>
        <w:rPr>
          <w:b w:val="0"/>
          <w:bCs w:val="0"/>
        </w:rPr>
      </w:pPr>
      <w:bookmarkStart w:name="21、长期应收款" w:id="197"/>
      <w:bookmarkEnd w:id="197"/>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22、长期股权投资" w:id="198"/>
      <w:bookmarkEnd w:id="198"/>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9"/>
        <w:rPr>
          <w:rFonts w:ascii="宋体" w:hAnsi="宋体" w:cs="宋体" w:eastAsia="宋体" w:hint="default"/>
          <w:b/>
          <w:bCs/>
          <w:sz w:val="23"/>
          <w:szCs w:val="23"/>
        </w:rPr>
      </w:pPr>
    </w:p>
    <w:p>
      <w:pPr>
        <w:pStyle w:val="Heading5"/>
        <w:spacing w:line="261" w:lineRule="auto"/>
        <w:ind w:left="561" w:right="0"/>
        <w:jc w:val="left"/>
      </w:pPr>
      <w:r>
        <w:rPr>
          <w:rFonts w:ascii="Times New Roman" w:hAnsi="Times New Roman" w:cs="Times New Roman" w:eastAsia="Times New Roman" w:hint="default"/>
        </w:rPr>
        <w:t>1.</w:t>
      </w:r>
      <w:r>
        <w:rPr/>
        <w:t>初始投资成本确定</w:t>
      </w:r>
      <w:r>
        <w:rPr>
          <w:spacing w:val="-98"/>
        </w:rPr>
        <w:t> </w:t>
      </w:r>
      <w:r>
        <w:rPr>
          <w:spacing w:val="-1"/>
        </w:rPr>
        <w:t>对于企业合并取得的长期股权投资，如为同一控制下的企业合并，应当在合并日按照被合并方所有者</w:t>
      </w:r>
    </w:p>
    <w:p>
      <w:pPr>
        <w:pStyle w:val="Heading5"/>
        <w:spacing w:line="271" w:lineRule="auto" w:before="21"/>
        <w:ind w:right="1083"/>
        <w:jc w:val="both"/>
      </w:pPr>
      <w:r>
        <w:rPr/>
        <w:t>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rFonts w:ascii="Times New Roman" w:hAnsi="Times New Roman" w:cs="Times New Roman" w:eastAsia="Times New Roman" w:hint="default"/>
        </w:rPr>
        <w:t>12</w:t>
      </w:r>
      <w:r>
        <w:rPr/>
        <w:t>号</w:t>
      </w:r>
    </w:p>
    <w:p>
      <w:pPr>
        <w:pStyle w:val="Heading5"/>
        <w:spacing w:line="259" w:lineRule="auto"/>
        <w:ind w:right="0"/>
        <w:jc w:val="left"/>
      </w:pPr>
      <w:r>
        <w:rPr>
          <w:rFonts w:ascii="Times New Roman" w:hAnsi="Times New Roman" w:cs="Times New Roman" w:eastAsia="Times New Roman" w:hint="default"/>
        </w:rPr>
        <w:t>——</w:t>
      </w:r>
      <w:r>
        <w:rPr/>
        <w:t>债务重组》的有关规定确定；非货币性资产交换取得的长期股权投资，初始投资成本按照《企业会计 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非货币性资产交换》的有关规定确定。</w:t>
      </w:r>
    </w:p>
    <w:p>
      <w:pPr>
        <w:pStyle w:val="Heading5"/>
        <w:spacing w:line="247" w:lineRule="auto" w:before="6"/>
        <w:ind w:left="561" w:right="1089"/>
        <w:jc w:val="left"/>
      </w:pPr>
      <w:r>
        <w:rPr>
          <w:rFonts w:ascii="Times New Roman" w:hAnsi="Times New Roman" w:cs="Times New Roman" w:eastAsia="Times New Roman" w:hint="default"/>
        </w:rPr>
        <w:t>2.</w:t>
      </w:r>
      <w:r>
        <w:rPr/>
        <w:t>后续计量及损益确认方法</w:t>
      </w:r>
      <w:r>
        <w:rPr>
          <w:spacing w:val="-98"/>
        </w:rPr>
        <w:t> </w:t>
      </w:r>
      <w:r>
        <w:rPr/>
        <w:t>本公司能够对被投资单位实施控制的长期股权投资采用成本法核算，对联营企业和合营企业的长期股</w:t>
      </w:r>
    </w:p>
    <w:p>
      <w:pPr>
        <w:pStyle w:val="Heading5"/>
        <w:spacing w:line="271" w:lineRule="auto" w:before="34"/>
        <w:ind w:right="1083"/>
        <w:jc w:val="both"/>
      </w:pPr>
      <w:r>
        <w:rPr/>
        <w:t>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金融工具确认和计量》的有关规定处理，并对其余部分采用权益法核 算。</w:t>
      </w:r>
    </w:p>
    <w:p>
      <w:pPr>
        <w:pStyle w:val="Heading5"/>
        <w:spacing w:line="259" w:lineRule="auto"/>
        <w:ind w:left="561" w:right="1089"/>
        <w:jc w:val="left"/>
      </w:pPr>
      <w:r>
        <w:rPr>
          <w:rFonts w:ascii="Times New Roman" w:hAnsi="Times New Roman" w:cs="Times New Roman" w:eastAsia="Times New Roman" w:hint="default"/>
        </w:rPr>
        <w:t>3.</w:t>
      </w:r>
      <w:r>
        <w:rPr/>
        <w:t>确定对被投资单位具有共同控制、重大影响的依据</w:t>
      </w:r>
      <w:r>
        <w:rPr>
          <w:spacing w:val="-98"/>
        </w:rPr>
        <w:t> </w:t>
      </w:r>
      <w:r>
        <w:rPr/>
        <w:t>对被投资单位具有共同控制，是指对某项安排的回报产生重大影响的活动必须经过分享控制权的参与</w:t>
      </w:r>
    </w:p>
    <w:p>
      <w:pPr>
        <w:pStyle w:val="Heading5"/>
        <w:spacing w:line="264" w:lineRule="auto" w:before="23"/>
        <w:ind w:right="1083"/>
        <w:jc w:val="both"/>
      </w:pPr>
      <w:r>
        <w:rPr/>
        <w:t>方一致同意后才能决策，包括商品或劳务的销售和购买、金融资产的管理、资产的购买和处置、研究与开 发活动以及融资活动等；对被投资单位具有重大影响，是指当持有被投资单位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w:t>
      </w:r>
      <w:r>
        <w:rPr>
          <w:spacing w:val="-73"/>
        </w:rPr>
        <w:t> </w:t>
      </w:r>
      <w:r>
        <w:rPr/>
        <w:t>本时，具有重大影响。或虽不足</w:t>
      </w:r>
      <w:r>
        <w:rPr>
          <w:rFonts w:ascii="Times New Roman" w:hAnsi="Times New Roman" w:cs="Times New Roman" w:eastAsia="Times New Roman" w:hint="default"/>
        </w:rPr>
        <w:t>20%</w:t>
      </w:r>
      <w:r>
        <w:rPr/>
        <w:t>，但符合下列条件之一时，具有重大影响：在被投资单位的董事会或</w:t>
      </w:r>
      <w:r>
        <w:rPr>
          <w:spacing w:val="-103"/>
        </w:rPr>
        <w:t> </w:t>
      </w:r>
      <w:r>
        <w:rPr/>
        <w:t>类似的权力机构中派有代表；参与被投资单位的政策制定过程；向被投资单位派出管理人员；被投资单位</w:t>
      </w:r>
      <w:r>
        <w:rPr/>
        <w:t> 依赖投资公司的技术或技术资料；与被投资单位之间发生重要交易。</w:t>
      </w:r>
    </w:p>
    <w:p>
      <w:pPr>
        <w:spacing w:line="240" w:lineRule="auto" w:before="8"/>
        <w:rPr>
          <w:rFonts w:ascii="宋体" w:hAnsi="宋体" w:cs="宋体" w:eastAsia="宋体" w:hint="default"/>
          <w:sz w:val="25"/>
          <w:szCs w:val="25"/>
        </w:rPr>
      </w:pPr>
    </w:p>
    <w:p>
      <w:pPr>
        <w:pStyle w:val="Heading4"/>
        <w:spacing w:line="240" w:lineRule="auto"/>
        <w:ind w:right="0"/>
        <w:jc w:val="both"/>
        <w:rPr>
          <w:b w:val="0"/>
          <w:bCs w:val="0"/>
        </w:rPr>
      </w:pPr>
      <w:bookmarkStart w:name="23、投资性房地产" w:id="199"/>
      <w:bookmarkEnd w:id="199"/>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60" w:lineRule="auto" w:before="0"/>
        <w:ind w:right="8949"/>
        <w:jc w:val="left"/>
      </w:pPr>
      <w:r>
        <w:rPr/>
        <w:t>投资性房地产计量模式 成本法计量 折旧或摊销方法</w:t>
      </w:r>
    </w:p>
    <w:p>
      <w:pPr>
        <w:pStyle w:val="Heading5"/>
        <w:spacing w:line="290" w:lineRule="exact"/>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投资性房地产包括已出租的土地使用权、持有并准备增值后转让的土地使用权和已出租的建筑物。</w:t>
      </w:r>
    </w:p>
    <w:p>
      <w:pPr>
        <w:pStyle w:val="Heading5"/>
        <w:spacing w:line="261" w:lineRule="auto" w:before="24"/>
        <w:ind w:right="10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投资性房地产按照成本进行初始计量，采用成本模式进行后续计量，并采用与固定资产和无形资产相同 的方法计提折旧或进行摊销。</w:t>
      </w:r>
    </w:p>
    <w:p>
      <w:pPr>
        <w:spacing w:after="0" w:line="261"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24、固定资产" w:id="200"/>
      <w:bookmarkEnd w:id="200"/>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201"/>
      <w:bookmarkEnd w:id="20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21" w:lineRule="auto" w:before="0"/>
        <w:ind w:right="1083"/>
        <w:jc w:val="left"/>
      </w:pPr>
      <w:r>
        <w:rPr>
          <w:spacing w:val="-1"/>
        </w:rPr>
        <w:t>固定资产指为生产商品、提供劳务、出租或经营管理而持有的，使用寿命超过一个会计年度的有形资产。同时满足以下条件</w:t>
      </w:r>
      <w:r>
        <w:rPr>
          <w:spacing w:val="-85"/>
        </w:rPr>
        <w:t> </w:t>
      </w:r>
      <w:r>
        <w:rPr>
          <w:spacing w:val="-85"/>
        </w:rPr>
      </w:r>
      <w:r>
        <w:rPr/>
        <w:t>时予以确认：与该固定资产有关的经济利益很可能流入企业；该固定资产的成本能够可靠地计量。</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2）折旧方法" w:id="202"/>
      <w:bookmarkEnd w:id="20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18%</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办公、电子设备及其他</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11"/>
        <w:rPr>
          <w:rFonts w:ascii="宋体" w:hAnsi="宋体" w:cs="宋体" w:eastAsia="宋体" w:hint="default"/>
          <w:b/>
          <w:bCs/>
          <w:sz w:val="19"/>
          <w:szCs w:val="19"/>
        </w:rPr>
      </w:pPr>
    </w:p>
    <w:p>
      <w:pPr>
        <w:pStyle w:val="Heading4"/>
        <w:spacing w:line="508" w:lineRule="auto" w:before="35"/>
        <w:ind w:right="5795"/>
        <w:jc w:val="left"/>
        <w:rPr>
          <w:b w:val="0"/>
          <w:bCs w:val="0"/>
        </w:rPr>
      </w:pPr>
      <w:bookmarkStart w:name="（3）融资租入固定资产的认定依据、计价和折旧方法" w:id="203"/>
      <w:bookmarkEnd w:id="203"/>
      <w:r>
        <w:rPr>
          <w:b w:val="0"/>
          <w:bCs w:val="0"/>
        </w:rPr>
      </w:r>
      <w:r>
        <w:rPr/>
        <w:t>（</w:t>
      </w:r>
      <w:r>
        <w:rPr>
          <w:rFonts w:ascii="Times New Roman" w:hAnsi="Times New Roman" w:cs="Times New Roman" w:eastAsia="Times New Roman" w:hint="default"/>
        </w:rPr>
        <w:t>3</w:t>
      </w:r>
      <w:r>
        <w:rPr/>
        <w:t>）融资租入固定资产的认定依据、计价和折旧方法</w:t>
      </w:r>
      <w:r>
        <w:rPr>
          <w:w w:val="99"/>
        </w:rPr>
        <w:t> </w:t>
      </w:r>
      <w:bookmarkStart w:name="25、在建工程" w:id="204"/>
      <w:bookmarkEnd w:id="204"/>
      <w:r>
        <w:rPr>
          <w:w w:val="99"/>
        </w:rPr>
      </w:r>
      <w:r>
        <w:rPr>
          <w:rFonts w:ascii="Times New Roman" w:hAnsi="Times New Roman" w:cs="Times New Roman" w:eastAsia="Times New Roman" w:hint="default"/>
        </w:rPr>
        <w:t>25</w:t>
      </w:r>
      <w:r>
        <w:rPr/>
        <w:t>、在建工程</w:t>
      </w:r>
      <w:r>
        <w:rPr>
          <w:b w:val="0"/>
          <w:bCs w:val="0"/>
        </w:rPr>
      </w:r>
    </w:p>
    <w:p>
      <w:pPr>
        <w:pStyle w:val="Heading5"/>
        <w:spacing w:line="247" w:lineRule="auto" w:before="49"/>
        <w:ind w:right="110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在建工程同时满足经济利益很可能流入、成本能够可靠计量则予以确认。在建工程按建造该项资产 达到预定可使用状态前所发生的实际成本计量。</w:t>
      </w:r>
    </w:p>
    <w:p>
      <w:pPr>
        <w:pStyle w:val="Heading5"/>
        <w:spacing w:line="268" w:lineRule="auto" w:before="34"/>
        <w:ind w:right="108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在建工程达到预定可使用状态时，按工程实际成本转入固定资产。已达到预定可使用状态但尚未办 理竣工决算的，先按估计价值转入固定资产，待办理竣工决算后再按实际成本调整原暂估价值，但不再调 整原已计提的折旧。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0"/>
        <w:jc w:val="both"/>
        <w:rPr>
          <w:b w:val="0"/>
          <w:bCs w:val="0"/>
        </w:rPr>
      </w:pPr>
      <w:bookmarkStart w:name="26、借款费用" w:id="205"/>
      <w:bookmarkEnd w:id="205"/>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561" w:right="0"/>
        <w:jc w:val="left"/>
      </w:pPr>
      <w:r>
        <w:rPr>
          <w:rFonts w:ascii="Times New Roman" w:hAnsi="Times New Roman" w:cs="Times New Roman" w:eastAsia="Times New Roman" w:hint="default"/>
        </w:rPr>
        <w:t>1.</w:t>
      </w:r>
      <w:r>
        <w:rPr/>
        <w:t>借款费用资本化的确认原则</w:t>
      </w:r>
      <w:r>
        <w:rPr>
          <w:spacing w:val="-98"/>
        </w:rPr>
        <w:t> </w:t>
      </w:r>
      <w:r>
        <w:rPr/>
        <w:t>本公司发生的借款费用，可直接归属于符合资本化条件的资产的购建或者生产的，予以资本化，计入</w:t>
      </w:r>
    </w:p>
    <w:p>
      <w:pPr>
        <w:pStyle w:val="Heading5"/>
        <w:spacing w:line="240" w:lineRule="auto" w:before="24"/>
        <w:ind w:right="0"/>
        <w:jc w:val="both"/>
      </w:pPr>
      <w:r>
        <w:rPr/>
        <w:t>相关资产成本；其他借款费用，在发生时根据其发生额确认为费用，计入当期损益。</w:t>
      </w:r>
    </w:p>
    <w:p>
      <w:pPr>
        <w:pStyle w:val="Heading5"/>
        <w:spacing w:line="240" w:lineRule="auto" w:before="40"/>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借款费用资本化期间</w:t>
      </w:r>
    </w:p>
    <w:p>
      <w:pPr>
        <w:pStyle w:val="Heading5"/>
        <w:spacing w:line="247" w:lineRule="auto" w:before="24"/>
        <w:ind w:right="1096"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33"/>
        </w:rPr>
        <w:t> </w:t>
      </w:r>
      <w:r>
        <w:rPr/>
        <w:t>为</w:t>
      </w:r>
      <w:r>
        <w:rPr>
          <w:w w:val="99"/>
        </w:rPr>
        <w:t> </w:t>
      </w:r>
      <w:r>
        <w:rPr/>
        <w:t>使资产达到预定可使用或可销售状态所必要的购建或者生产活动已经开始。</w:t>
      </w:r>
    </w:p>
    <w:p>
      <w:pPr>
        <w:pStyle w:val="Heading5"/>
        <w:spacing w:line="268" w:lineRule="auto" w:before="34"/>
        <w:ind w:right="106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Heading5"/>
        <w:spacing w:line="240" w:lineRule="auto" w:before="15"/>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当所购建或者生产符合资本化条件的资产达到预定可使用或可销售状态时，借款费用停止资本化。</w:t>
      </w:r>
    </w:p>
    <w:p>
      <w:pPr>
        <w:pStyle w:val="Heading5"/>
        <w:spacing w:line="259" w:lineRule="auto" w:before="9"/>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借款费用资本化率以及资本化金额 </w:t>
      </w:r>
      <w:r>
        <w:rPr>
          <w:spacing w:val="-1"/>
        </w:rPr>
        <w:t>为购建或者生产符合资本化条件的资产而借入专门借款的，以专门借款当期实际发生的利息费用（包</w:t>
      </w:r>
    </w:p>
    <w:p>
      <w:pPr>
        <w:pStyle w:val="Heading5"/>
        <w:spacing w:line="276" w:lineRule="auto" w:before="24"/>
        <w:ind w:right="1099"/>
        <w:jc w:val="both"/>
      </w:pPr>
      <w:r>
        <w:rPr>
          <w:spacing w:val="-1"/>
        </w:rPr>
        <w:t>括按照实际利率法确定的折价或溢价的摊销），减去将尚未动用的借款资金存入银行取得的利息收入或进</w:t>
      </w:r>
      <w:r>
        <w:rPr>
          <w:spacing w:val="-91"/>
        </w:rPr>
        <w:t> </w:t>
      </w:r>
      <w:r>
        <w:rPr>
          <w:spacing w:val="-91"/>
        </w:rPr>
      </w:r>
      <w:r>
        <w:rPr>
          <w:spacing w:val="-1"/>
        </w:rPr>
        <w:t>行暂时性投资取得的投资收益后的金额，确定应予资本化的利息金额；为购建或者生产符合资本化条件的</w:t>
      </w:r>
      <w:r>
        <w:rPr>
          <w:spacing w:val="-91"/>
        </w:rPr>
        <w:t> </w:t>
      </w:r>
      <w:r>
        <w:rPr>
          <w:spacing w:val="-91"/>
        </w:rPr>
      </w:r>
      <w:r>
        <w:rPr/>
        <w:t>资产占用了一般借款的，根据累计资产支出超过专门借款的资产支出加权平均数乘以占用一般借款的资本</w:t>
      </w:r>
    </w:p>
    <w:p>
      <w:pPr>
        <w:spacing w:after="0" w:line="276"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40" w:lineRule="auto" w:before="35"/>
        <w:ind w:right="0"/>
        <w:jc w:val="left"/>
      </w:pPr>
      <w:r>
        <w:rPr/>
        <w:t>化率，计算确定一般借款应予资本化的利息金额。</w:t>
      </w:r>
    </w:p>
    <w:p>
      <w:pPr>
        <w:spacing w:line="240" w:lineRule="auto" w:before="2"/>
        <w:rPr>
          <w:rFonts w:ascii="宋体" w:hAnsi="宋体" w:cs="宋体" w:eastAsia="宋体" w:hint="default"/>
          <w:sz w:val="27"/>
          <w:szCs w:val="27"/>
        </w:rPr>
      </w:pPr>
    </w:p>
    <w:p>
      <w:pPr>
        <w:pStyle w:val="Heading4"/>
        <w:spacing w:line="240" w:lineRule="auto"/>
        <w:ind w:right="0"/>
        <w:jc w:val="left"/>
        <w:rPr>
          <w:b w:val="0"/>
          <w:bCs w:val="0"/>
        </w:rPr>
      </w:pPr>
      <w:bookmarkStart w:name="27、生物资产" w:id="206"/>
      <w:bookmarkEnd w:id="206"/>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28、油气资产" w:id="207"/>
      <w:bookmarkEnd w:id="207"/>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29、使用权资产" w:id="208"/>
      <w:bookmarkEnd w:id="208"/>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30、无形资产" w:id="209"/>
      <w:bookmarkEnd w:id="209"/>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10"/>
      <w:bookmarkEnd w:id="21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Heading5"/>
        <w:spacing w:line="273" w:lineRule="auto" w:before="25"/>
        <w:ind w:right="109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9"/>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371"/>
        <w:gridCol w:w="4363"/>
      </w:tblGrid>
      <w:tr>
        <w:trPr>
          <w:trHeight w:val="353" w:hRule="exact"/>
        </w:trPr>
        <w:tc>
          <w:tcPr>
            <w:tcW w:w="4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43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使用寿命（年）</w:t>
            </w:r>
          </w:p>
        </w:tc>
      </w:tr>
      <w:tr>
        <w:trPr>
          <w:trHeight w:val="360"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50</w:t>
            </w:r>
          </w:p>
        </w:tc>
      </w:tr>
      <w:tr>
        <w:trPr>
          <w:trHeight w:val="346"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r>
      <w:tr>
        <w:trPr>
          <w:trHeight w:val="360"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w:t>
            </w:r>
          </w:p>
        </w:tc>
      </w:tr>
      <w:tr>
        <w:trPr>
          <w:trHeight w:val="345"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著作权及域名</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r>
      <w:tr>
        <w:trPr>
          <w:trHeight w:val="360" w:hRule="exact"/>
        </w:trPr>
        <w:tc>
          <w:tcPr>
            <w:tcW w:w="43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影视版权</w:t>
            </w:r>
          </w:p>
        </w:tc>
        <w:tc>
          <w:tcPr>
            <w:tcW w:w="436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授权期限</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before="35"/>
        <w:ind w:right="0"/>
        <w:jc w:val="left"/>
        <w:rPr>
          <w:b w:val="0"/>
          <w:bCs w:val="0"/>
        </w:rPr>
      </w:pPr>
      <w:bookmarkStart w:name="（2）内部研究开发支出会计政策" w:id="211"/>
      <w:bookmarkEnd w:id="21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3"/>
          <w:szCs w:val="23"/>
        </w:rPr>
      </w:pPr>
    </w:p>
    <w:p>
      <w:pPr>
        <w:pStyle w:val="Heading5"/>
        <w:spacing w:line="261" w:lineRule="auto"/>
        <w:ind w:right="0"/>
        <w:jc w:val="left"/>
      </w:pPr>
      <w:r>
        <w:rPr/>
        <w:t>内部研究开发项目研究阶段的支出，于发生时计入当期损益。内部研究开发项目开发阶段的支出，同时满 足下列条件的，确认为无形资产：</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具 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无形资产产生经济利益的方式，包括能够证明运用该无形资 产生产的产品存在市场或无形资产自身存在市场，无形资产将在内部使用的，能证明其有用性；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有足 </w:t>
      </w:r>
      <w:r>
        <w:rPr>
          <w:spacing w:val="-3"/>
        </w:rPr>
        <w:t>够的技术、财务资源和其他资源支持，以完成该无形资产的开发，并有能力使用或出售该无形资产；</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44"/>
        </w:rPr>
        <w:t> </w:t>
      </w:r>
      <w:r>
        <w:rPr/>
        <w:t>归 属于该无形资产开发阶段的支出能够可靠地计量。</w:t>
      </w:r>
    </w:p>
    <w:p>
      <w:pPr>
        <w:pStyle w:val="Heading5"/>
        <w:spacing w:line="580" w:lineRule="atLeast" w:before="32"/>
        <w:ind w:left="561" w:right="1089" w:hanging="421"/>
        <w:jc w:val="left"/>
      </w:pPr>
      <w:bookmarkStart w:name="31、长期资产减值" w:id="212"/>
      <w:bookmarkEnd w:id="212"/>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99"/>
        </w:rPr>
        <w:t> </w:t>
      </w:r>
      <w:r>
        <w:rPr/>
        <w:t>长期股权投资、采用成本模式计量的投资性房地产、固定资产、在建工程、无形资产等长期资产于资</w:t>
      </w:r>
    </w:p>
    <w:p>
      <w:pPr>
        <w:pStyle w:val="Heading5"/>
        <w:spacing w:line="276" w:lineRule="auto" w:before="40"/>
        <w:ind w:right="0"/>
        <w:jc w:val="left"/>
      </w:pPr>
      <w:r>
        <w:rPr/>
        <w:t>产负债表日存在减值迹象的，进行减值测试。减值测试结果表明资产的可收回金额低于其账面价值的，按 其差额计提减值准备并计入减值损失。</w:t>
      </w:r>
    </w:p>
    <w:p>
      <w:pPr>
        <w:pStyle w:val="Heading5"/>
        <w:spacing w:line="268" w:lineRule="auto" w:before="8"/>
        <w:ind w:right="1083" w:firstLine="420"/>
        <w:jc w:val="both"/>
      </w:pPr>
      <w:r>
        <w:rPr>
          <w:spacing w:val="4"/>
        </w:rPr>
        <w:t>可收回金额为资产的公允价值减去处置费用后的净额与资产预计未来现金流量的现值两者之间的较</w:t>
      </w:r>
      <w:r>
        <w:rPr/>
        <w:t>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Heading5"/>
        <w:spacing w:line="276" w:lineRule="auto" w:before="15"/>
        <w:ind w:right="1085" w:firstLine="420"/>
        <w:jc w:val="both"/>
      </w:pPr>
      <w:r>
        <w:rPr/>
        <w:t>在财务报表中单独列示的商誉，无论是否存在减值迹象，至少每年进行减值测试。减值测试时，商誉 的账面价值分摊至预期从企业合并的协同效应中受益的资产组或资产组组合。测试结果表明包含分摊的商</w:t>
      </w:r>
    </w:p>
    <w:p>
      <w:pPr>
        <w:spacing w:after="0" w:line="276"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6" w:lineRule="auto" w:before="35"/>
        <w:ind w:right="1099"/>
        <w:jc w:val="both"/>
      </w:pPr>
      <w:r>
        <w:rPr>
          <w:spacing w:val="-1"/>
        </w:rPr>
        <w:t>誉的资产组或资产组组合的可收回金额低于其账面价值的，确认相应的减值损失。减值损失金额先抵减分</w:t>
      </w:r>
      <w:r>
        <w:rPr>
          <w:spacing w:val="-91"/>
        </w:rPr>
        <w:t> </w:t>
      </w:r>
      <w:r>
        <w:rPr>
          <w:spacing w:val="-91"/>
        </w:rPr>
      </w:r>
      <w:r>
        <w:rPr/>
        <w:t>摊至该资产组或资产组组合的商誉的账面价值，再根据资产组或资产组组合中除商誉以外的其他各项资产</w:t>
      </w:r>
      <w:r>
        <w:rPr/>
        <w:t> 的账面价值所占比重，按比例抵减其他各项资产的账面价值。</w:t>
      </w:r>
    </w:p>
    <w:p>
      <w:pPr>
        <w:pStyle w:val="Heading5"/>
        <w:spacing w:line="269" w:lineRule="exact"/>
        <w:ind w:left="561" w:right="0"/>
        <w:jc w:val="left"/>
      </w:pPr>
      <w:r>
        <w:rPr/>
        <w:t>上述资产减值损失一经确认，以后期间不予转回价值得以恢复的部分。</w:t>
      </w:r>
    </w:p>
    <w:p>
      <w:pPr>
        <w:pStyle w:val="Heading5"/>
        <w:spacing w:line="580" w:lineRule="atLeast" w:before="66"/>
        <w:ind w:left="561" w:right="0" w:hanging="421"/>
        <w:jc w:val="left"/>
      </w:pPr>
      <w:bookmarkStart w:name="32、长期待摊费用" w:id="213"/>
      <w:bookmarkEnd w:id="213"/>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99"/>
        </w:rPr>
        <w:t> </w:t>
      </w:r>
      <w:r>
        <w:rPr/>
        <w:t>本公司长期待摊费用是指已经支出，但受益期限在一年以上（不含一年）的各项费用。长期待摊费用</w:t>
      </w:r>
    </w:p>
    <w:p>
      <w:pPr>
        <w:pStyle w:val="Heading5"/>
        <w:spacing w:line="276" w:lineRule="auto" w:before="40"/>
        <w:ind w:right="0"/>
        <w:jc w:val="left"/>
      </w:pPr>
      <w:r>
        <w:rPr>
          <w:spacing w:val="-1"/>
        </w:rPr>
        <w:t>按费用项目的受益期限分期摊销。若长期待摊的费用项目不能使以后会计期间受益，则将尚未摊销的该项</w:t>
      </w:r>
      <w:r>
        <w:rPr>
          <w:spacing w:val="-92"/>
        </w:rPr>
        <w:t> </w:t>
      </w:r>
      <w:r>
        <w:rPr>
          <w:spacing w:val="-92"/>
        </w:rPr>
      </w:r>
      <w:r>
        <w:rPr/>
        <w:t>目的摊余价值全部转入当期损益。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3、合同负债" w:id="214"/>
      <w:bookmarkEnd w:id="214"/>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34、职工薪酬" w:id="215"/>
      <w:bookmarkEnd w:id="215"/>
      <w:r>
        <w:rPr>
          <w:b w:val="0"/>
          <w:bCs w:val="0"/>
        </w:rPr>
      </w:r>
      <w:r>
        <w:rPr>
          <w:rFonts w:ascii="Times New Roman" w:hAnsi="Times New Roman" w:cs="Times New Roman" w:eastAsia="Times New Roman" w:hint="default"/>
        </w:rPr>
        <w:t>34</w:t>
      </w:r>
      <w:r>
        <w:rPr/>
        <w:t>、职工薪酬</w:t>
      </w:r>
      <w:r>
        <w:rPr>
          <w:b w:val="0"/>
          <w:bCs w:val="0"/>
        </w:rPr>
      </w:r>
    </w:p>
    <w:p>
      <w:pPr>
        <w:spacing w:line="580" w:lineRule="atLeast" w:before="35"/>
        <w:ind w:left="561" w:right="0" w:hanging="421"/>
        <w:jc w:val="left"/>
        <w:rPr>
          <w:rFonts w:ascii="宋体" w:hAnsi="宋体" w:cs="宋体" w:eastAsia="宋体" w:hint="default"/>
          <w:sz w:val="21"/>
          <w:szCs w:val="21"/>
        </w:rPr>
      </w:pPr>
      <w:bookmarkStart w:name="（1）短期薪酬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在职工为本公司提供服务的会计期间，将实际发生的短期薪酬确认为负债，并计入当期损益，企业会</w:t>
      </w:r>
    </w:p>
    <w:p>
      <w:pPr>
        <w:pStyle w:val="Heading5"/>
        <w:spacing w:line="271" w:lineRule="auto" w:before="40"/>
        <w:ind w:right="0"/>
        <w:jc w:val="left"/>
      </w:pPr>
      <w:r>
        <w:rPr/>
        <w:t>计准则要求或允许计入资产成本的除外。本公司发生的职工福利费，在实际发生时根据实际发生额计入当 期损益或相关资产成本。职工福利费为非货币性福利的，按照公允价值计量。本公司为职工缴纳的医疗保 </w:t>
      </w:r>
      <w:r>
        <w:rPr>
          <w:spacing w:val="-3"/>
        </w:rPr>
        <w:t>险费、工伤保险费、生育保险费等社会保险费和住房公积金，以及按规定提取的工会经费和职工教育经费，</w:t>
      </w:r>
      <w:r>
        <w:rPr/>
        <w:t> 在职工提供服务的会计期间，根据规定的计提基础和计提比例计算确定相应的职工薪酬金额，并确认相应 负债，计入当期损益或相关资产成本。</w:t>
      </w:r>
    </w:p>
    <w:p>
      <w:pPr>
        <w:spacing w:line="580" w:lineRule="atLeast" w:before="39"/>
        <w:ind w:left="561" w:right="0" w:hanging="421"/>
        <w:jc w:val="left"/>
        <w:rPr>
          <w:rFonts w:ascii="宋体" w:hAnsi="宋体" w:cs="宋体" w:eastAsia="宋体" w:hint="default"/>
          <w:sz w:val="21"/>
          <w:szCs w:val="21"/>
        </w:rPr>
      </w:pPr>
      <w:bookmarkStart w:name="（2）离职后福利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本公司在职工提供服务的会计期间，根据设定提存计划计算的应缴存金额确认为负债，并计入当期损</w:t>
      </w:r>
    </w:p>
    <w:p>
      <w:pPr>
        <w:pStyle w:val="Heading5"/>
        <w:spacing w:line="261" w:lineRule="auto" w:before="40"/>
        <w:ind w:right="1089"/>
        <w:jc w:val="left"/>
      </w:pPr>
      <w:r>
        <w:rPr/>
        <w:t>益或相关资产成本。根据预期累计福利单位法确定的公式将设定受益计划产生的福利义务归属于职工提供 服务的期间，并计入当期损益或相关资产成本。</w:t>
      </w:r>
    </w:p>
    <w:p>
      <w:pPr>
        <w:spacing w:line="580" w:lineRule="atLeast" w:before="47"/>
        <w:ind w:left="561" w:right="0" w:hanging="421"/>
        <w:jc w:val="left"/>
        <w:rPr>
          <w:rFonts w:ascii="宋体" w:hAnsi="宋体" w:cs="宋体" w:eastAsia="宋体" w:hint="default"/>
          <w:sz w:val="21"/>
          <w:szCs w:val="21"/>
        </w:rPr>
      </w:pPr>
      <w:bookmarkStart w:name="（3）辞退福利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本公司向职工提供辞退福利时，在下列两者孰早日确认辞退福利产生的职工薪酬负债，并计入当期损</w:t>
      </w:r>
    </w:p>
    <w:p>
      <w:pPr>
        <w:pStyle w:val="Heading5"/>
        <w:spacing w:line="276" w:lineRule="auto" w:before="40"/>
        <w:ind w:right="0"/>
        <w:jc w:val="left"/>
      </w:pPr>
      <w:r>
        <w:rPr>
          <w:spacing w:val="-1"/>
        </w:rPr>
        <w:t>益：本公司不能单方面撤回因解除劳动关系计划或裁减建议所提供的辞退福利时；本公司确认与涉及支付</w:t>
      </w:r>
      <w:r>
        <w:rPr>
          <w:spacing w:val="-89"/>
        </w:rPr>
        <w:t> </w:t>
      </w:r>
      <w:r>
        <w:rPr>
          <w:spacing w:val="-89"/>
        </w:rPr>
      </w:r>
      <w:r>
        <w:rPr/>
        <w:t>辞退福利的重组相关的成本或费用时。</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bookmarkStart w:name="（4）其他长期职工福利的会计处理方法" w:id="219"/>
      <w:bookmarkEnd w:id="21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2"/>
          <w:szCs w:val="22"/>
        </w:rPr>
      </w:pPr>
    </w:p>
    <w:p>
      <w:pPr>
        <w:pStyle w:val="Heading5"/>
        <w:spacing w:line="276" w:lineRule="auto"/>
        <w:ind w:right="0"/>
        <w:jc w:val="left"/>
      </w:pPr>
      <w:r>
        <w:rPr>
          <w:spacing w:val="-1"/>
        </w:rPr>
        <w:t>本公司向职工提供的其他长期职工福利，符合设定提存计划条件的，应当按照有关设定提存计划的规定进</w:t>
      </w:r>
      <w:r>
        <w:rPr>
          <w:spacing w:val="-91"/>
        </w:rPr>
        <w:t> </w:t>
      </w:r>
      <w:r>
        <w:rPr>
          <w:spacing w:val="-91"/>
        </w:rPr>
      </w:r>
      <w:r>
        <w:rPr/>
        <w:t>行处理；除此外，根据设定受益计划的有关规定，确认和计量其他长期职工福利净负债或净资产。</w:t>
      </w:r>
    </w:p>
    <w:p>
      <w:pPr>
        <w:spacing w:after="0" w:line="276"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both"/>
        <w:rPr>
          <w:b w:val="0"/>
          <w:bCs w:val="0"/>
        </w:rPr>
      </w:pPr>
      <w:bookmarkStart w:name="35、租赁负债" w:id="220"/>
      <w:bookmarkEnd w:id="220"/>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36、预计负债" w:id="221"/>
      <w:bookmarkEnd w:id="221"/>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37、股份支付" w:id="222"/>
      <w:bookmarkEnd w:id="222"/>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38、优先股、永续债等其他金融工具" w:id="223"/>
      <w:bookmarkEnd w:id="223"/>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39、收入" w:id="224"/>
      <w:bookmarkEnd w:id="224"/>
      <w:r>
        <w:rPr>
          <w:b w:val="0"/>
          <w:bCs w:val="0"/>
        </w:rPr>
      </w:r>
      <w:r>
        <w:rPr>
          <w:rFonts w:ascii="Times New Roman" w:hAnsi="Times New Roman" w:cs="Times New Roman" w:eastAsia="Times New Roman" w:hint="default"/>
        </w:rPr>
        <w:t>39</w:t>
      </w:r>
      <w:r>
        <w:rPr/>
        <w:t>、收入</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both"/>
      </w:pPr>
      <w:r>
        <w:rPr/>
        <w:t>是否已执行新收入准则</w:t>
      </w:r>
    </w:p>
    <w:p>
      <w:pPr>
        <w:pStyle w:val="BodyText"/>
        <w:spacing w:line="240" w:lineRule="auto" w:before="140"/>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Heading5"/>
        <w:spacing w:line="259" w:lineRule="auto" w:before="61"/>
        <w:ind w:left="561" w:right="8911"/>
        <w:jc w:val="left"/>
      </w:pPr>
      <w:r>
        <w:rPr>
          <w:rFonts w:ascii="Times New Roman" w:hAnsi="Times New Roman" w:cs="Times New Roman" w:eastAsia="Times New Roman" w:hint="default"/>
        </w:rPr>
        <w:t>1.</w:t>
      </w:r>
      <w:r>
        <w:rPr/>
        <w:t>收入确认原则</w:t>
      </w:r>
      <w:r>
        <w:rPr>
          <w:spacing w:val="-99"/>
        </w:rPr>
        <w:t> </w:t>
      </w:r>
      <w:r>
        <w:rPr>
          <w:spacing w:val="-99"/>
        </w:rPr>
      </w: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销售商品</w:t>
      </w:r>
    </w:p>
    <w:p>
      <w:pPr>
        <w:pStyle w:val="Heading5"/>
        <w:spacing w:line="259" w:lineRule="auto" w:before="6"/>
        <w:ind w:right="1029"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收入的金 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相关的已发生或将发生的成本能够可靠地计量。</w:t>
      </w:r>
    </w:p>
    <w:p>
      <w:pPr>
        <w:pStyle w:val="Heading5"/>
        <w:spacing w:line="261" w:lineRule="auto"/>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提供劳务</w:t>
      </w:r>
      <w:r>
        <w:rPr>
          <w:spacing w:val="-102"/>
        </w:rPr>
        <w:t> </w:t>
      </w:r>
      <w:r>
        <w:rPr>
          <w:spacing w:val="-1"/>
        </w:rPr>
        <w:t>提供劳务收入采用交付并验收合格后确认提供劳务的收入（同时满足收入的金额能够可靠地计量、相</w:t>
      </w:r>
    </w:p>
    <w:p>
      <w:pPr>
        <w:pStyle w:val="Heading5"/>
        <w:spacing w:line="271" w:lineRule="auto" w:before="21"/>
        <w:ind w:right="1083"/>
        <w:jc w:val="both"/>
      </w:pPr>
      <w:r>
        <w:rPr/>
        <w:t>关经济利益很可能流入、交易中已发生和将发生的成本能够可靠地计量）。提供劳务交易的结果在资产负 债表日不能够可靠估计的，若已经发生的劳务成本预计能够得到补偿，按已经发生的劳务成本金额确认提 供劳务收入，并按相同金额结转劳务成本；若已经发生的劳务成本预计不能够得到补偿，将已经发生的劳 务成本计入当期损益，不确认劳务收入。</w:t>
      </w:r>
    </w:p>
    <w:p>
      <w:pPr>
        <w:pStyle w:val="Heading5"/>
        <w:spacing w:line="259" w:lineRule="auto" w:before="13"/>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让渡资产使用权</w:t>
      </w:r>
      <w:r>
        <w:rPr>
          <w:spacing w:val="-102"/>
        </w:rPr>
        <w:t> </w:t>
      </w:r>
      <w:r>
        <w:rPr>
          <w:spacing w:val="-1"/>
        </w:rPr>
        <w:t>让渡资产使用权在同时满足相关的经济利益很可能流入、收入金额能够可靠计量时，确认让渡资产使</w:t>
      </w:r>
    </w:p>
    <w:p>
      <w:pPr>
        <w:pStyle w:val="Heading5"/>
        <w:spacing w:line="276" w:lineRule="auto" w:before="23"/>
        <w:ind w:right="1118"/>
        <w:jc w:val="both"/>
      </w:pPr>
      <w:r>
        <w:rPr>
          <w:spacing w:val="-1"/>
        </w:rPr>
        <w:t>用权的收入。利息收入按照他人使用本公司货币资金的时间和实际利率计算确定；使用费收入按有关合同</w:t>
      </w:r>
      <w:r>
        <w:rPr>
          <w:spacing w:val="-89"/>
        </w:rPr>
        <w:t> </w:t>
      </w:r>
      <w:r>
        <w:rPr>
          <w:spacing w:val="-89"/>
        </w:rPr>
      </w:r>
      <w:r>
        <w:rPr/>
        <w:t>或协议约定的收费时间和方法计算确定。</w:t>
      </w:r>
    </w:p>
    <w:p>
      <w:pPr>
        <w:pStyle w:val="Heading5"/>
        <w:spacing w:line="285" w:lineRule="exact"/>
        <w:ind w:left="561" w:right="0"/>
        <w:jc w:val="left"/>
      </w:pPr>
      <w:r>
        <w:rPr>
          <w:rFonts w:ascii="Times New Roman" w:hAnsi="Times New Roman" w:cs="Times New Roman" w:eastAsia="Times New Roman" w:hint="default"/>
        </w:rPr>
        <w:t>2.</w:t>
      </w:r>
      <w:r>
        <w:rPr/>
        <w:t>具体确认方法</w:t>
      </w:r>
    </w:p>
    <w:p>
      <w:pPr>
        <w:pStyle w:val="Heading5"/>
        <w:spacing w:line="259" w:lineRule="auto" w:before="24"/>
        <w:ind w:left="561" w:right="0"/>
        <w:jc w:val="left"/>
      </w:pPr>
      <w:r>
        <w:rPr/>
        <w:t>（</w:t>
      </w:r>
      <w:r>
        <w:rPr>
          <w:rFonts w:ascii="Times New Roman" w:hAnsi="Times New Roman" w:cs="Times New Roman" w:eastAsia="Times New Roman" w:hint="default"/>
        </w:rPr>
        <w:t>1</w:t>
      </w:r>
      <w:r>
        <w:rPr/>
        <w:t>）服饰、玩具销售收入的确认方法 服饰、玩具销售分为内销与外销，内销业务在根据合同约定将产品交付给购货方、产品销售收入金额</w:t>
      </w:r>
    </w:p>
    <w:p>
      <w:pPr>
        <w:pStyle w:val="Heading5"/>
        <w:spacing w:line="268" w:lineRule="auto" w:before="23"/>
        <w:ind w:right="1083"/>
        <w:jc w:val="both"/>
      </w:pPr>
      <w:r>
        <w:rPr/>
        <w:t>已确定、已经收回货款或取得了收款凭证且相关的经济利益很可能流入、产品相关的成本能够可靠地计量 时确认销售收入。外销业务在产品发货并取得承运人签发的货运提单、销售收入金额已确定、已经收回货 款或取得了收款凭证且相关的经济利益很可能流入、产品相关的成本能够可靠地计量时确认销售收入。</w:t>
      </w:r>
    </w:p>
    <w:p>
      <w:pPr>
        <w:pStyle w:val="Heading5"/>
        <w:spacing w:line="240" w:lineRule="auto" w:before="15"/>
        <w:ind w:left="561" w:right="0"/>
        <w:jc w:val="left"/>
      </w:pPr>
      <w:r>
        <w:rPr/>
        <w:t>（</w:t>
      </w:r>
      <w:r>
        <w:rPr>
          <w:rFonts w:ascii="Times New Roman" w:hAnsi="Times New Roman" w:cs="Times New Roman" w:eastAsia="Times New Roman" w:hint="default"/>
        </w:rPr>
        <w:t>2</w:t>
      </w:r>
      <w:r>
        <w:rPr/>
        <w:t>）游戏服务平台</w:t>
      </w:r>
    </w:p>
    <w:p>
      <w:pPr>
        <w:pStyle w:val="Heading5"/>
        <w:spacing w:line="276" w:lineRule="auto" w:before="24"/>
        <w:ind w:left="561" w:right="0"/>
        <w:jc w:val="left"/>
      </w:pPr>
      <w:r>
        <w:rPr/>
        <w:t>①轻游戏服务平台 根据移动电信运营商、服务商提供的后台扣费数据，经公司相关部门核对确认，且同时满足收入的金</w:t>
      </w:r>
    </w:p>
    <w:p>
      <w:pPr>
        <w:pStyle w:val="Heading5"/>
        <w:spacing w:line="261" w:lineRule="auto" w:before="9"/>
        <w:ind w:right="1085"/>
        <w:jc w:val="both"/>
      </w:pPr>
      <w:r>
        <w:rPr/>
        <w:t>额能够可靠地计量、相关经济利益很可能流入、交易中已发生和将发生的成本能够可靠地计量时，按照与 客户约定的分成比例确认收入。</w:t>
      </w:r>
    </w:p>
    <w:p>
      <w:pPr>
        <w:pStyle w:val="Heading5"/>
        <w:spacing w:line="240" w:lineRule="auto" w:before="21"/>
        <w:ind w:left="561" w:right="0"/>
        <w:jc w:val="left"/>
      </w:pPr>
      <w:r>
        <w:rPr/>
        <w:t>②广告服务平台</w:t>
      </w:r>
    </w:p>
    <w:p>
      <w:pPr>
        <w:pStyle w:val="Heading5"/>
        <w:spacing w:line="259" w:lineRule="auto" w:before="40"/>
        <w:ind w:left="561" w:right="0"/>
        <w:jc w:val="left"/>
      </w:pPr>
      <w:r>
        <w:rPr>
          <w:rFonts w:ascii="Times New Roman" w:hAnsi="Times New Roman" w:cs="Times New Roman" w:eastAsia="Times New Roman" w:hint="default"/>
        </w:rPr>
        <w:t>A</w:t>
      </w:r>
      <w:r>
        <w:rPr/>
        <w:t>自有流量平台收入 </w:t>
      </w:r>
      <w:r>
        <w:rPr>
          <w:spacing w:val="-1"/>
        </w:rPr>
        <w:t>根据广告主提供的后台数据或公司流量平台后台数据，经公司相关部门核对确认，且同时满足收入的</w:t>
      </w:r>
    </w:p>
    <w:p>
      <w:pPr>
        <w:pStyle w:val="Heading5"/>
        <w:spacing w:line="261" w:lineRule="auto" w:before="24"/>
        <w:ind w:right="1083"/>
        <w:jc w:val="both"/>
      </w:pPr>
      <w:r>
        <w:rPr/>
        <w:t>金额能够可靠地计量、相关经济利益很可能流入、交易中已发生和将发生的成本能够可靠地计量时，按照 与客户约定的结算方式确认收入。其中在</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25"/>
        </w:rPr>
        <w:t> </w:t>
      </w:r>
      <w:r>
        <w:rPr>
          <w:rFonts w:ascii="Times New Roman" w:hAnsi="Times New Roman" w:cs="Times New Roman" w:eastAsia="Times New Roman" w:hint="default"/>
        </w:rPr>
        <w:t>Per</w:t>
      </w:r>
      <w:r>
        <w:rPr>
          <w:rFonts w:ascii="Times New Roman" w:hAnsi="Times New Roman" w:cs="Times New Roman" w:eastAsia="Times New Roman" w:hint="default"/>
          <w:spacing w:val="-9"/>
        </w:rPr>
        <w:t> </w:t>
      </w:r>
      <w:r>
        <w:rPr>
          <w:rFonts w:ascii="Times New Roman" w:hAnsi="Times New Roman" w:cs="Times New Roman" w:eastAsia="Times New Roman" w:hint="default"/>
        </w:rPr>
        <w:t>Sales</w:t>
      </w:r>
      <w:r>
        <w:rPr/>
        <w:t>）和</w:t>
      </w:r>
      <w:r>
        <w:rPr>
          <w:rFonts w:ascii="Times New Roman" w:hAnsi="Times New Roman" w:cs="Times New Roman" w:eastAsia="Times New Roman" w:hint="default"/>
        </w:rPr>
        <w:t>CPA</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13"/>
        </w:rPr>
        <w:t> </w:t>
      </w:r>
      <w:r>
        <w:rPr>
          <w:rFonts w:ascii="Times New Roman" w:hAnsi="Times New Roman" w:cs="Times New Roman" w:eastAsia="Times New Roman" w:hint="default"/>
        </w:rPr>
        <w:t>Per</w:t>
      </w:r>
      <w:r>
        <w:rPr>
          <w:rFonts w:ascii="Times New Roman" w:hAnsi="Times New Roman" w:cs="Times New Roman" w:eastAsia="Times New Roman" w:hint="default"/>
          <w:spacing w:val="-9"/>
        </w:rPr>
        <w:t> </w:t>
      </w:r>
      <w:r>
        <w:rPr>
          <w:rFonts w:ascii="Times New Roman" w:hAnsi="Times New Roman" w:cs="Times New Roman" w:eastAsia="Times New Roman" w:hint="default"/>
        </w:rPr>
        <w:t>Action</w:t>
      </w:r>
      <w:r>
        <w:rPr/>
        <w:t>）模式下，公司广 告服务取得的收入，根据广告主提供的推广收益、新增有效启动用户数量等业务指针按约定的收费标准确</w:t>
      </w:r>
    </w:p>
    <w:p>
      <w:pPr>
        <w:spacing w:after="0" w:line="261"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59" w:lineRule="auto" w:before="35"/>
        <w:ind w:right="1120"/>
        <w:jc w:val="both"/>
      </w:pPr>
      <w:r>
        <w:rPr>
          <w:spacing w:val="-3"/>
        </w:rPr>
        <w:t>认；在</w:t>
      </w:r>
      <w:r>
        <w:rPr>
          <w:rFonts w:ascii="Times New Roman" w:hAnsi="Times New Roman" w:cs="Times New Roman" w:eastAsia="Times New Roman" w:hint="default"/>
          <w:spacing w:val="-3"/>
        </w:rPr>
        <w:t>CPC</w:t>
      </w:r>
      <w:r>
        <w:rPr>
          <w:spacing w:val="-3"/>
        </w:rPr>
        <w:t>模式下</w:t>
      </w:r>
      <w:r>
        <w:rPr>
          <w:rFonts w:ascii="Times New Roman" w:hAnsi="Times New Roman" w:cs="Times New Roman" w:eastAsia="Times New Roman" w:hint="default"/>
          <w:spacing w:val="-3"/>
        </w:rPr>
        <w:t>(Cost</w:t>
      </w:r>
      <w:r>
        <w:rPr>
          <w:rFonts w:ascii="Times New Roman" w:hAnsi="Times New Roman" w:cs="Times New Roman" w:eastAsia="Times New Roman" w:hint="default"/>
          <w:spacing w:val="8"/>
        </w:rPr>
        <w:t> </w:t>
      </w:r>
      <w:r>
        <w:rPr>
          <w:rFonts w:ascii="Times New Roman" w:hAnsi="Times New Roman" w:cs="Times New Roman" w:eastAsia="Times New Roman" w:hint="default"/>
        </w:rPr>
        <w:t>Per</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3"/>
        </w:rPr>
        <w:t>Click)</w:t>
      </w:r>
      <w:r>
        <w:rPr>
          <w:spacing w:val="-3"/>
        </w:rPr>
        <w:t>，公司广告服务取得的收入，根据公司平台记录的有效点击等业务指针按</w:t>
      </w:r>
      <w:r>
        <w:rPr>
          <w:spacing w:val="-95"/>
        </w:rPr>
        <w:t> </w:t>
      </w:r>
      <w:r>
        <w:rPr>
          <w:spacing w:val="-95"/>
        </w:rPr>
      </w:r>
      <w:r>
        <w:rPr/>
        <w:t>约定的收费标准确认。</w:t>
      </w:r>
    </w:p>
    <w:p>
      <w:pPr>
        <w:pStyle w:val="Heading5"/>
        <w:spacing w:line="247" w:lineRule="auto" w:before="23"/>
        <w:ind w:left="561" w:right="0"/>
        <w:jc w:val="left"/>
      </w:pPr>
      <w:r>
        <w:rPr>
          <w:rFonts w:ascii="Times New Roman" w:hAnsi="Times New Roman" w:cs="Times New Roman" w:eastAsia="Times New Roman" w:hint="default"/>
        </w:rPr>
        <w:t>B</w:t>
      </w:r>
      <w:r>
        <w:rPr/>
        <w:t>外部中长尾流量平台收入 </w:t>
      </w:r>
      <w:r>
        <w:rPr>
          <w:spacing w:val="-1"/>
        </w:rPr>
        <w:t>根据广告主提供的后台数据或外部流量平台后台数据，经公司相关部门核对确认，且同时满足收入的</w:t>
      </w:r>
    </w:p>
    <w:p>
      <w:pPr>
        <w:pStyle w:val="Heading5"/>
        <w:spacing w:line="264" w:lineRule="auto" w:before="34"/>
        <w:ind w:right="1083"/>
        <w:jc w:val="both"/>
      </w:pPr>
      <w:r>
        <w:rPr/>
        <w:t>金额能够可靠地计量、相关经济利益很可能流入、交易中已发生和将发生的成本能够可靠地计量时，根据 与客户约定的结算方式确认收入。其中在</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25"/>
        </w:rPr>
        <w:t> </w:t>
      </w:r>
      <w:r>
        <w:rPr>
          <w:rFonts w:ascii="Times New Roman" w:hAnsi="Times New Roman" w:cs="Times New Roman" w:eastAsia="Times New Roman" w:hint="default"/>
        </w:rPr>
        <w:t>Per</w:t>
      </w:r>
      <w:r>
        <w:rPr>
          <w:rFonts w:ascii="Times New Roman" w:hAnsi="Times New Roman" w:cs="Times New Roman" w:eastAsia="Times New Roman" w:hint="default"/>
          <w:spacing w:val="-9"/>
        </w:rPr>
        <w:t> </w:t>
      </w:r>
      <w:r>
        <w:rPr>
          <w:rFonts w:ascii="Times New Roman" w:hAnsi="Times New Roman" w:cs="Times New Roman" w:eastAsia="Times New Roman" w:hint="default"/>
        </w:rPr>
        <w:t>Sales</w:t>
      </w:r>
      <w:r>
        <w:rPr/>
        <w:t>）和</w:t>
      </w:r>
      <w:r>
        <w:rPr>
          <w:rFonts w:ascii="Times New Roman" w:hAnsi="Times New Roman" w:cs="Times New Roman" w:eastAsia="Times New Roman" w:hint="default"/>
        </w:rPr>
        <w:t>CPA</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13"/>
        </w:rPr>
        <w:t> </w:t>
      </w:r>
      <w:r>
        <w:rPr>
          <w:rFonts w:ascii="Times New Roman" w:hAnsi="Times New Roman" w:cs="Times New Roman" w:eastAsia="Times New Roman" w:hint="default"/>
        </w:rPr>
        <w:t>Per</w:t>
      </w:r>
      <w:r>
        <w:rPr>
          <w:rFonts w:ascii="Times New Roman" w:hAnsi="Times New Roman" w:cs="Times New Roman" w:eastAsia="Times New Roman" w:hint="default"/>
          <w:spacing w:val="-9"/>
        </w:rPr>
        <w:t> </w:t>
      </w:r>
      <w:r>
        <w:rPr>
          <w:rFonts w:ascii="Times New Roman" w:hAnsi="Times New Roman" w:cs="Times New Roman" w:eastAsia="Times New Roman" w:hint="default"/>
        </w:rPr>
        <w:t>Action</w:t>
      </w:r>
      <w:r>
        <w:rPr/>
        <w:t>）模式下，公司广 告服务取得的收入，根据广告主提供的推广收益、新增有效启动用户数量等业务指针按约定的收费标准确 </w:t>
      </w:r>
      <w:r>
        <w:rPr>
          <w:spacing w:val="-4"/>
        </w:rPr>
        <w:t>认；在</w:t>
      </w:r>
      <w:r>
        <w:rPr>
          <w:rFonts w:ascii="Times New Roman" w:hAnsi="Times New Roman" w:cs="Times New Roman" w:eastAsia="Times New Roman" w:hint="default"/>
          <w:spacing w:val="-4"/>
        </w:rPr>
        <w:t>CPC(Cost</w:t>
      </w:r>
      <w:r>
        <w:rPr>
          <w:rFonts w:ascii="Times New Roman" w:hAnsi="Times New Roman" w:cs="Times New Roman" w:eastAsia="Times New Roman" w:hint="default"/>
          <w:spacing w:val="-27"/>
        </w:rPr>
        <w:t> </w:t>
      </w:r>
      <w:r>
        <w:rPr>
          <w:rFonts w:ascii="Times New Roman" w:hAnsi="Times New Roman" w:cs="Times New Roman" w:eastAsia="Times New Roman" w:hint="default"/>
        </w:rPr>
        <w:t>Per</w:t>
      </w:r>
      <w:r>
        <w:rPr>
          <w:rFonts w:ascii="Times New Roman" w:hAnsi="Times New Roman" w:cs="Times New Roman" w:eastAsia="Times New Roman" w:hint="default"/>
          <w:spacing w:val="-24"/>
        </w:rPr>
        <w:t> </w:t>
      </w:r>
      <w:r>
        <w:rPr>
          <w:rFonts w:ascii="Times New Roman" w:hAnsi="Times New Roman" w:cs="Times New Roman" w:eastAsia="Times New Roman" w:hint="default"/>
        </w:rPr>
        <w:t>Click)</w:t>
      </w:r>
      <w:r>
        <w:rPr/>
        <w:t>模式下，公司广告服务取得的收入，根据外部平台提供的有效点击等业务指针按 约定的收费标准确认。</w:t>
      </w:r>
    </w:p>
    <w:p>
      <w:pPr>
        <w:pStyle w:val="Heading5"/>
        <w:spacing w:line="259" w:lineRule="auto" w:before="19"/>
        <w:ind w:left="561" w:right="0"/>
        <w:jc w:val="left"/>
      </w:pPr>
      <w:r>
        <w:rPr>
          <w:rFonts w:ascii="Times New Roman" w:hAnsi="Times New Roman" w:cs="Times New Roman" w:eastAsia="Times New Roman" w:hint="default"/>
        </w:rPr>
        <w:t>C</w:t>
      </w:r>
      <w:r>
        <w:rPr/>
        <w:t>外部头部流量平台收入 </w:t>
      </w:r>
      <w:r>
        <w:rPr>
          <w:spacing w:val="-1"/>
        </w:rPr>
        <w:t>根据外部平台提供的后台账户消耗数据，经公司相关部门核对确认，且同时满足收入的金额能够可靠</w:t>
      </w:r>
    </w:p>
    <w:p>
      <w:pPr>
        <w:pStyle w:val="Heading5"/>
        <w:spacing w:line="240" w:lineRule="auto" w:before="23"/>
        <w:ind w:right="0"/>
        <w:jc w:val="both"/>
      </w:pPr>
      <w:r>
        <w:rPr/>
        <w:t>地计量、相关经济利益很可能流入、交易中已发生和将发生的成本能够可靠地计量时确认收入。</w:t>
      </w:r>
    </w:p>
    <w:p>
      <w:pPr>
        <w:pStyle w:val="Heading5"/>
        <w:spacing w:line="261" w:lineRule="auto" w:before="40"/>
        <w:ind w:left="561" w:right="1089"/>
        <w:jc w:val="left"/>
      </w:pPr>
      <w:r>
        <w:rPr/>
        <w:t>③动漫、影视作品收入的确认方法 动漫、影视作品在取得《国产动画片播放许可证》、《电视剧发行许可证》，母带已经交付，且交易</w:t>
      </w:r>
    </w:p>
    <w:p>
      <w:pPr>
        <w:pStyle w:val="Heading5"/>
        <w:spacing w:line="240" w:lineRule="auto" w:before="22"/>
        <w:ind w:right="0"/>
        <w:jc w:val="both"/>
      </w:pPr>
      <w:r>
        <w:rPr/>
        <w:t>相关的经济利益很可能流入本公司时确认</w:t>
      </w:r>
      <w:r>
        <w:rPr>
          <w:spacing w:val="-90"/>
        </w:rPr>
        <w:t>。</w:t>
      </w:r>
      <w:r>
        <w:rPr/>
        <w:t>动漫</w:t>
      </w:r>
      <w:r>
        <w:rPr>
          <w:spacing w:val="-90"/>
        </w:rPr>
        <w:t>、</w:t>
      </w:r>
      <w:r>
        <w:rPr/>
        <w:t>影视作品授权形象收入在取</w:t>
      </w:r>
      <w:r>
        <w:rPr>
          <w:spacing w:val="-90"/>
        </w:rPr>
        <w:t>得</w:t>
      </w:r>
      <w:r>
        <w:rPr/>
        <w:t>《国产动画片播放许可</w:t>
      </w:r>
      <w:r>
        <w:rPr>
          <w:spacing w:val="15"/>
        </w:rPr>
        <w:t>证</w:t>
      </w:r>
      <w:r>
        <w:rPr>
          <w:spacing w:val="-90"/>
        </w:rPr>
        <w:t>》</w:t>
      </w:r>
      <w:r>
        <w:rPr/>
        <w:t>、</w:t>
      </w:r>
    </w:p>
    <w:p>
      <w:pPr>
        <w:pStyle w:val="Heading5"/>
        <w:spacing w:line="276" w:lineRule="auto" w:before="40"/>
        <w:ind w:right="1114"/>
        <w:jc w:val="both"/>
      </w:pPr>
      <w:r>
        <w:rPr>
          <w:spacing w:val="-1"/>
        </w:rPr>
        <w:t>《电视剧发行许可证》且当交易相关的经济利益很可能流入本公司，根据合同或者协议规定的金额或收费</w:t>
      </w:r>
      <w:r>
        <w:rPr>
          <w:spacing w:val="-91"/>
        </w:rPr>
        <w:t> </w:t>
      </w:r>
      <w:r>
        <w:rPr>
          <w:spacing w:val="-91"/>
        </w:rPr>
      </w:r>
      <w:r>
        <w:rPr/>
        <w:t>方法确认收入。</w:t>
      </w:r>
    </w:p>
    <w:p>
      <w:pPr>
        <w:pStyle w:val="Heading5"/>
        <w:spacing w:line="240" w:lineRule="auto" w:before="8"/>
        <w:ind w:left="561" w:right="0"/>
        <w:jc w:val="left"/>
      </w:pPr>
      <w:r>
        <w:rPr/>
        <w:t>④游戏收入的确认方法</w:t>
      </w:r>
    </w:p>
    <w:p>
      <w:pPr>
        <w:pStyle w:val="Heading5"/>
        <w:spacing w:line="264" w:lineRule="auto" w:before="25"/>
        <w:ind w:left="561" w:right="0"/>
        <w:jc w:val="left"/>
      </w:pPr>
      <w:r>
        <w:rPr>
          <w:rFonts w:ascii="Times New Roman" w:hAnsi="Times New Roman" w:cs="Times New Roman" w:eastAsia="Times New Roman" w:hint="default"/>
        </w:rPr>
        <w:t>A</w:t>
      </w:r>
      <w:r>
        <w:rPr/>
        <w:t>移动终端单机游戏 在收到电信运营商或服务商提供的计费账单并经公司相关部门核对结算金额后，确认为收入。 </w:t>
      </w:r>
      <w:r>
        <w:rPr>
          <w:rFonts w:ascii="Times New Roman" w:hAnsi="Times New Roman" w:cs="Times New Roman" w:eastAsia="Times New Roman" w:hint="default"/>
        </w:rPr>
        <w:t>B</w:t>
      </w:r>
      <w:r>
        <w:rPr/>
        <w:t>移动终端联网游戏、互联网页面游戏 </w:t>
      </w:r>
      <w:r>
        <w:rPr>
          <w:spacing w:val="-1"/>
        </w:rPr>
        <w:t>公司官方网站上运营的自有网络游戏：道具收费模式下，在游戏玩家实际使用虚拟货币购买虚拟道具</w:t>
      </w:r>
    </w:p>
    <w:p>
      <w:pPr>
        <w:pStyle w:val="Heading5"/>
        <w:spacing w:line="261" w:lineRule="auto" w:before="19"/>
        <w:ind w:right="1088"/>
        <w:jc w:val="both"/>
      </w:pPr>
      <w:r>
        <w:rPr/>
        <w:t>时确认收入。公司官方网站上运营的合作网络游戏、公司与网络游戏平台合作运营的网络游戏：在取得合 作方提供的按协议约定计算并经双方核对无误的计费账单后，确认为收入。</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40、政府补助" w:id="225"/>
      <w:bookmarkEnd w:id="225"/>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9"/>
        <w:rPr>
          <w:rFonts w:ascii="宋体" w:hAnsi="宋体" w:cs="宋体" w:eastAsia="宋体" w:hint="default"/>
          <w:b/>
          <w:bCs/>
          <w:sz w:val="23"/>
          <w:szCs w:val="23"/>
        </w:rPr>
      </w:pPr>
    </w:p>
    <w:p>
      <w:pPr>
        <w:pStyle w:val="Heading5"/>
        <w:spacing w:line="259" w:lineRule="auto"/>
        <w:ind w:left="561" w:right="1089"/>
        <w:jc w:val="left"/>
      </w:pPr>
      <w:r>
        <w:rPr>
          <w:rFonts w:ascii="Times New Roman" w:hAnsi="Times New Roman" w:cs="Times New Roman" w:eastAsia="Times New Roman" w:hint="default"/>
        </w:rPr>
        <w:t>1.</w:t>
      </w:r>
      <w:r>
        <w:rPr/>
        <w:t>政府补助的类型及会计处理</w:t>
      </w:r>
      <w:r>
        <w:rPr>
          <w:spacing w:val="-98"/>
        </w:rPr>
        <w:t> </w:t>
      </w:r>
      <w:r>
        <w:rPr/>
        <w:t>政府补助是指本公司从政府无偿取得的货币性资产或非货币性资产（但不包括政府作为所有者投入的</w:t>
      </w:r>
    </w:p>
    <w:p>
      <w:pPr>
        <w:pStyle w:val="Heading5"/>
        <w:spacing w:line="261" w:lineRule="auto" w:before="23"/>
        <w:ind w:right="1083"/>
        <w:jc w:val="both"/>
      </w:pPr>
      <w:r>
        <w:rPr/>
        <w:t>资本）。政府补助为货币性资产的，应当按照收到或应收的金额计量。政府补助为非货币性资产的，应当 按照公允价值计量；公允价值不能可靠取得的，按照名义金额计量。</w:t>
      </w:r>
    </w:p>
    <w:p>
      <w:pPr>
        <w:pStyle w:val="Heading5"/>
        <w:spacing w:line="276" w:lineRule="auto" w:before="22"/>
        <w:ind w:right="0" w:firstLine="420"/>
        <w:jc w:val="left"/>
      </w:pPr>
      <w:r>
        <w:rPr/>
        <w:t>与日常活动相关的政府补助，按照经济业务实质，计入其他收益。与日常活动无关的政府补助，计入 营业外收支。</w:t>
      </w:r>
    </w:p>
    <w:p>
      <w:pPr>
        <w:pStyle w:val="Heading5"/>
        <w:spacing w:line="266" w:lineRule="auto" w:before="9"/>
        <w:ind w:right="1089" w:firstLine="420"/>
        <w:jc w:val="left"/>
      </w:pPr>
      <w:r>
        <w:rPr>
          <w:rFonts w:ascii="Times New Roman" w:hAnsi="Times New Roman" w:cs="Times New Roman" w:eastAsia="Times New Roman" w:hint="default"/>
        </w:rPr>
        <w:t>2.</w:t>
      </w:r>
      <w:r>
        <w:rPr/>
        <w:t>政府补助确认时点 </w:t>
      </w:r>
      <w:r>
        <w:rPr>
          <w:spacing w:val="-1"/>
        </w:rPr>
        <w:t>政府补助在满足政府补助所附条件并能够收到时确认。按照应收金额计量的政府补助，在期末有确凿证据</w:t>
      </w:r>
      <w:r>
        <w:rPr>
          <w:spacing w:val="-91"/>
        </w:rPr>
        <w:t> </w:t>
      </w:r>
      <w:r>
        <w:rPr>
          <w:spacing w:val="-91"/>
        </w:rPr>
      </w:r>
      <w:r>
        <w:rPr/>
        <w:t>表明能够符合财政扶持政策规定的相关条件且预计能够收到财政扶持资金时予以确认。除按照应收金额计</w:t>
      </w:r>
      <w:r>
        <w:rPr/>
        <w:t> 量的政府补助外的其他政府补助，在实际收到补助款项时予以确认。</w:t>
      </w:r>
    </w:p>
    <w:p>
      <w:pPr>
        <w:pStyle w:val="Heading5"/>
        <w:spacing w:line="259" w:lineRule="auto" w:before="17"/>
        <w:ind w:left="561" w:right="108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与资产相关的政府补助判断依据及会计处理方法 政府档规定用于购建或以其他方式形成长期资产的政府补助划分为与资产相关的政府补助。政府档不</w:t>
      </w:r>
    </w:p>
    <w:p>
      <w:pPr>
        <w:pStyle w:val="Heading5"/>
        <w:spacing w:line="271" w:lineRule="auto" w:before="23"/>
        <w:ind w:right="1083"/>
        <w:jc w:val="both"/>
      </w:pPr>
      <w:r>
        <w:rPr/>
        <w:t>明确的，以取得该补助必须具备的基本条件为基础进行判断，以购建或其他方式形成长期资产为基本条件 的作为与资产相关的政府补助。与资产相关的政府补助，冲减相关资产的账面价值或确认为递延收益。与 资产相关的政府补助确认为递延收益的，在相关资产使用寿命内按照合理、系统的方法分期计入损益。按 照名义金额计量的政府补助，直接计入当期损益。相关资产在使用寿命结束前被出售、转让、报废或发生 毁损的，将尚未分配的相关递延收益余额转入资产处置当期的损益。</w:t>
      </w:r>
    </w:p>
    <w:p>
      <w:pPr>
        <w:spacing w:after="0" w:line="271"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59" w:lineRule="auto" w:before="35"/>
        <w:ind w:left="561" w:right="108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与收益相关的政府补助判断依据及会计处理方法 除与资产相关的政府补助之外的政府补助划分为与收益相关的政府补助。对于同时包含与资产相关部</w:t>
      </w:r>
    </w:p>
    <w:p>
      <w:pPr>
        <w:pStyle w:val="Heading5"/>
        <w:spacing w:line="271" w:lineRule="auto" w:before="23"/>
        <w:ind w:right="1083"/>
        <w:jc w:val="both"/>
      </w:pPr>
      <w:r>
        <w:rPr/>
        <w:t>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Heading5"/>
        <w:spacing w:line="240" w:lineRule="auto" w:before="13"/>
        <w:ind w:left="561" w:right="0"/>
        <w:jc w:val="left"/>
      </w:pPr>
      <w:r>
        <w:rPr>
          <w:rFonts w:ascii="Times New Roman" w:hAnsi="Times New Roman" w:cs="Times New Roman" w:eastAsia="Times New Roman" w:hint="default"/>
        </w:rPr>
        <w:t>5.</w:t>
      </w:r>
      <w:r>
        <w:rPr/>
        <w:t>政策性优惠贷款贴现的会计处理方法</w:t>
      </w:r>
    </w:p>
    <w:p>
      <w:pPr>
        <w:pStyle w:val="Heading5"/>
        <w:spacing w:line="247" w:lineRule="auto" w:before="24"/>
        <w:ind w:right="1117" w:firstLine="420"/>
        <w:jc w:val="both"/>
      </w:pPr>
      <w:r>
        <w:rPr/>
        <w:t>（</w:t>
      </w:r>
      <w:r>
        <w:rPr>
          <w:rFonts w:ascii="Times New Roman" w:hAnsi="Times New Roman" w:cs="Times New Roman" w:eastAsia="Times New Roman" w:hint="default"/>
        </w:rPr>
        <w:t>1</w:t>
      </w:r>
      <w:r>
        <w:rPr/>
        <w:t>）财政将贴息资金拨付给贷款银行，由贷款银行以政策性优惠利率向公司提供贷款的，以实际收 到的借款金额作为借款的入账价值，按照借款本金和该政策性优惠利率计算相关费用。</w:t>
      </w:r>
    </w:p>
    <w:p>
      <w:pPr>
        <w:pStyle w:val="Heading5"/>
        <w:spacing w:line="240" w:lineRule="auto" w:before="34"/>
        <w:ind w:left="561" w:right="0"/>
        <w:jc w:val="left"/>
      </w:pPr>
      <w:r>
        <w:rPr/>
        <w:t>（</w:t>
      </w:r>
      <w:r>
        <w:rPr>
          <w:rFonts w:ascii="Times New Roman" w:hAnsi="Times New Roman" w:cs="Times New Roman" w:eastAsia="Times New Roman" w:hint="default"/>
        </w:rPr>
        <w:t>2</w:t>
      </w:r>
      <w:r>
        <w:rPr/>
        <w:t>）财政将贴息资金直接拨付给公司的，将对应的贴息冲减相关借款费用。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4"/>
        <w:spacing w:line="240" w:lineRule="auto"/>
        <w:ind w:right="0"/>
        <w:jc w:val="left"/>
        <w:rPr>
          <w:b w:val="0"/>
          <w:bCs w:val="0"/>
        </w:rPr>
      </w:pPr>
      <w:bookmarkStart w:name="41、递延所得税资产/递延所得税负债" w:id="226"/>
      <w:bookmarkEnd w:id="226"/>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5"/>
        <w:spacing w:line="261" w:lineRule="auto"/>
        <w:ind w:right="1083"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Heading5"/>
        <w:spacing w:line="268" w:lineRule="auto" w:before="21"/>
        <w:ind w:right="0" w:firstLine="420"/>
        <w:jc w:val="left"/>
      </w:pPr>
      <w:r>
        <w:rPr>
          <w:rFonts w:ascii="Times New Roman" w:hAnsi="Times New Roman" w:cs="Times New Roman" w:eastAsia="Times New Roman" w:hint="default"/>
          <w:spacing w:val="-2"/>
        </w:rPr>
        <w:t>2.</w:t>
      </w:r>
      <w:r>
        <w:rPr>
          <w:spacing w:val="-2"/>
        </w:rPr>
        <w:t>确认递延所得税资产以很可能取得用来抵扣可抵扣暂时性差异的应纳税所得额为限。资产负债表日，</w:t>
      </w:r>
      <w:r>
        <w:rPr/>
        <w:t> 有确凿证据表明未来期间很可能获得足够的应纳税所得额用来抵扣可抵扣暂时性差异的，确认以前会计期 间未确认的递延所得税资产。</w:t>
      </w:r>
    </w:p>
    <w:p>
      <w:pPr>
        <w:pStyle w:val="Heading5"/>
        <w:spacing w:line="268" w:lineRule="auto"/>
        <w:ind w:right="1114"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91"/>
        </w:rPr>
        <w:t> </w:t>
      </w:r>
      <w:r>
        <w:rPr>
          <w:spacing w:val="-91"/>
        </w:rPr>
      </w:r>
      <w:r>
        <w:rPr/>
        <w:t>税所得额时，转回减记的金额。</w:t>
      </w:r>
    </w:p>
    <w:p>
      <w:pPr>
        <w:pStyle w:val="Heading5"/>
        <w:spacing w:line="259" w:lineRule="auto" w:before="15"/>
        <w:ind w:right="1114" w:firstLine="420"/>
        <w:jc w:val="both"/>
      </w:pPr>
      <w:r>
        <w:rPr>
          <w:rFonts w:ascii="Times New Roman" w:hAnsi="Times New Roman" w:cs="Times New Roman" w:eastAsia="Times New Roman" w:hint="default"/>
        </w:rPr>
        <w:t>4.</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bookmarkStart w:name="42、租赁" w:id="227"/>
      <w:bookmarkEnd w:id="227"/>
      <w:r>
        <w:rPr>
          <w:b w:val="0"/>
          <w:bCs w:val="0"/>
        </w:rPr>
      </w:r>
      <w:r>
        <w:rPr>
          <w:rFonts w:ascii="Times New Roman" w:hAnsi="Times New Roman" w:cs="Times New Roman" w:eastAsia="Times New Roman" w:hint="default"/>
        </w:rPr>
        <w:t>42</w:t>
      </w:r>
      <w:r>
        <w:rPr/>
        <w:t>、租赁</w:t>
      </w:r>
      <w:r>
        <w:rPr>
          <w:b w:val="0"/>
          <w:bCs w:val="0"/>
        </w:rPr>
      </w:r>
    </w:p>
    <w:p>
      <w:pPr>
        <w:spacing w:line="580" w:lineRule="atLeast" w:before="35"/>
        <w:ind w:left="561" w:right="0" w:hanging="421"/>
        <w:jc w:val="left"/>
        <w:rPr>
          <w:rFonts w:ascii="宋体" w:hAnsi="宋体" w:cs="宋体" w:eastAsia="宋体" w:hint="default"/>
          <w:sz w:val="21"/>
          <w:szCs w:val="21"/>
        </w:rPr>
      </w:pPr>
      <w:bookmarkStart w:name="（1）经营租赁的会计处理方法"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Heading5"/>
        <w:spacing w:line="276" w:lineRule="auto" w:before="40"/>
        <w:ind w:left="561" w:right="0" w:hanging="421"/>
        <w:jc w:val="left"/>
      </w:pPr>
      <w:r>
        <w:rPr/>
        <w:t>的初始直接费用，直接计入当期损益。或有租金在实际发生时计入当期损益。 公司为出租人时，在租赁期内各个期间按照直线法将租金确认为当期损益，发生的初始直接费用，除</w:t>
      </w:r>
    </w:p>
    <w:p>
      <w:pPr>
        <w:pStyle w:val="Heading5"/>
        <w:spacing w:line="269" w:lineRule="exact"/>
        <w:ind w:right="0"/>
        <w:jc w:val="left"/>
      </w:pPr>
      <w:r>
        <w:rPr/>
        <w:t>金额较大的予以资本化并分期计入损益外，均直接计入当期损益。或有租金在实际发生时计入当期损益。</w:t>
      </w:r>
    </w:p>
    <w:p>
      <w:pPr>
        <w:spacing w:after="0" w:line="269" w:lineRule="exact"/>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508" w:lineRule="auto" w:before="35"/>
        <w:ind w:right="7376"/>
        <w:jc w:val="left"/>
        <w:rPr>
          <w:b w:val="0"/>
          <w:bCs w:val="0"/>
        </w:rPr>
      </w:pPr>
      <w:bookmarkStart w:name="（2）融资租赁的会计处理方法" w:id="229"/>
      <w:bookmarkEnd w:id="229"/>
      <w:r>
        <w:rPr>
          <w:b w:val="0"/>
          <w:bCs w:val="0"/>
        </w:rPr>
      </w:r>
      <w:r>
        <w:rPr/>
        <w:t>（</w:t>
      </w:r>
      <w:r>
        <w:rPr>
          <w:rFonts w:ascii="Times New Roman" w:hAnsi="Times New Roman" w:cs="Times New Roman" w:eastAsia="Times New Roman" w:hint="default"/>
        </w:rPr>
        <w:t>2</w:t>
      </w:r>
      <w:r>
        <w:rPr/>
        <w:t>）融资租赁的会计处理方法</w:t>
      </w:r>
      <w:r>
        <w:rPr>
          <w:spacing w:val="-102"/>
        </w:rPr>
        <w:t> </w:t>
      </w:r>
      <w:r>
        <w:rPr>
          <w:spacing w:val="-102"/>
        </w:rPr>
      </w:r>
      <w:bookmarkStart w:name="43、其他重要的会计政策和会计估计" w:id="230"/>
      <w:bookmarkEnd w:id="230"/>
      <w:r>
        <w:rPr>
          <w:spacing w:val="-102"/>
        </w:rPr>
      </w:r>
      <w:r>
        <w:rPr>
          <w:rFonts w:ascii="Times New Roman" w:hAnsi="Times New Roman" w:cs="Times New Roman" w:eastAsia="Times New Roman" w:hint="default"/>
        </w:rPr>
        <w:t>43</w:t>
      </w:r>
      <w:r>
        <w:rPr/>
        <w:t>、其他重要的会计政策和会计估计</w:t>
      </w:r>
      <w:r>
        <w:rPr>
          <w:b w:val="0"/>
          <w:bCs w:val="0"/>
        </w:rPr>
      </w:r>
    </w:p>
    <w:p>
      <w:pPr>
        <w:pStyle w:val="Heading4"/>
        <w:spacing w:line="240" w:lineRule="auto" w:before="64"/>
        <w:ind w:right="0"/>
        <w:jc w:val="left"/>
        <w:rPr>
          <w:b w:val="0"/>
          <w:bCs w:val="0"/>
        </w:rPr>
      </w:pPr>
      <w:bookmarkStart w:name="44、重要会计政策和会计估计变更" w:id="231"/>
      <w:bookmarkEnd w:id="231"/>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32"/>
      <w:bookmarkEnd w:id="23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5"/>
        <w:spacing w:line="271" w:lineRule="exact"/>
        <w:ind w:left="561" w:right="0"/>
        <w:jc w:val="left"/>
      </w:pPr>
      <w:r>
        <w:rPr>
          <w:rFonts w:ascii="Times New Roman" w:hAnsi="Times New Roman" w:cs="Times New Roman" w:eastAsia="Times New Roman" w:hint="default"/>
        </w:rPr>
        <w:t>1.</w:t>
      </w:r>
      <w:r>
        <w:rPr/>
        <w:t>会计政策变更及依据</w:t>
      </w:r>
    </w:p>
    <w:p>
      <w:pPr>
        <w:pStyle w:val="Heading5"/>
        <w:spacing w:line="240" w:lineRule="auto" w:before="24"/>
        <w:ind w:left="561" w:right="0"/>
        <w:jc w:val="left"/>
      </w:pPr>
      <w:r>
        <w:rPr/>
        <w:t>（</w:t>
      </w: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2017</w:t>
      </w:r>
      <w:r>
        <w:rPr/>
        <w:t>年发布了修订后的《企业会计准则第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金融工具确认和计量》、《企业会</w:t>
      </w:r>
    </w:p>
    <w:p>
      <w:pPr>
        <w:pStyle w:val="Heading5"/>
        <w:spacing w:line="240" w:lineRule="auto" w:before="25"/>
        <w:ind w:right="0"/>
        <w:jc w:val="both"/>
      </w:pPr>
      <w:r>
        <w:rPr/>
        <w:t>计准则第 </w:t>
      </w:r>
      <w:r>
        <w:rPr>
          <w:rFonts w:ascii="Times New Roman" w:hAnsi="Times New Roman" w:cs="Times New Roman" w:eastAsia="Times New Roman" w:hint="default"/>
        </w:rPr>
        <w:t>23 </w:t>
      </w:r>
      <w:r>
        <w:rPr>
          <w:spacing w:val="-3"/>
        </w:rPr>
        <w:t>号</w:t>
      </w:r>
      <w:r>
        <w:rPr>
          <w:rFonts w:ascii="Times New Roman" w:hAnsi="Times New Roman" w:cs="Times New Roman" w:eastAsia="Times New Roman" w:hint="default"/>
          <w:spacing w:val="-3"/>
        </w:rPr>
        <w:t>——</w:t>
      </w:r>
      <w:r>
        <w:rPr>
          <w:spacing w:val="-3"/>
        </w:rPr>
        <w:t>金融资产转移》、《企业会计准则第 </w:t>
      </w:r>
      <w:r>
        <w:rPr>
          <w:rFonts w:ascii="Times New Roman" w:hAnsi="Times New Roman" w:cs="Times New Roman" w:eastAsia="Times New Roman" w:hint="default"/>
        </w:rPr>
        <w:t>24 </w:t>
      </w:r>
      <w:r>
        <w:rPr>
          <w:spacing w:val="-3"/>
        </w:rPr>
        <w:t>号</w:t>
      </w:r>
      <w:r>
        <w:rPr>
          <w:rFonts w:ascii="Times New Roman" w:hAnsi="Times New Roman" w:cs="Times New Roman" w:eastAsia="Times New Roman" w:hint="default"/>
          <w:spacing w:val="-3"/>
        </w:rPr>
        <w:t>——</w:t>
      </w:r>
      <w:r>
        <w:rPr>
          <w:spacing w:val="-3"/>
        </w:rPr>
        <w:t>套期会计》、《企业会计准则第 </w:t>
      </w:r>
      <w:r>
        <w:rPr>
          <w:rFonts w:ascii="Times New Roman" w:hAnsi="Times New Roman" w:cs="Times New Roman" w:eastAsia="Times New Roman" w:hint="default"/>
        </w:rPr>
        <w:t>37 </w:t>
      </w:r>
      <w:r>
        <w:rPr>
          <w:rFonts w:ascii="Times New Roman" w:hAnsi="Times New Roman" w:cs="Times New Roman" w:eastAsia="Times New Roman" w:hint="default"/>
          <w:spacing w:val="3"/>
        </w:rPr>
        <w:t> </w:t>
      </w:r>
      <w:r>
        <w:rPr/>
        <w:t>号</w:t>
      </w:r>
    </w:p>
    <w:p>
      <w:pPr>
        <w:pStyle w:val="Heading5"/>
        <w:spacing w:line="261" w:lineRule="auto" w:before="24"/>
        <w:ind w:left="561" w:right="1089" w:hanging="421"/>
        <w:jc w:val="left"/>
      </w:pPr>
      <w:r>
        <w:rPr>
          <w:rFonts w:ascii="Times New Roman" w:hAnsi="Times New Roman" w:cs="Times New Roman" w:eastAsia="Times New Roman" w:hint="default"/>
        </w:rPr>
        <w:t>——</w:t>
      </w:r>
      <w:r>
        <w:rPr/>
        <w:t>金融工具列报》（上述四项准则以下统称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 新金融工具准则将金融资产划分为三个类别：（</w:t>
      </w:r>
      <w:r>
        <w:rPr>
          <w:rFonts w:ascii="Times New Roman" w:hAnsi="Times New Roman" w:cs="Times New Roman" w:eastAsia="Times New Roman" w:hint="default"/>
        </w:rPr>
        <w:t>1</w:t>
      </w:r>
      <w:r>
        <w:rPr/>
        <w:t>）以摊余成本计量的金融资产；（</w:t>
      </w:r>
      <w:r>
        <w:rPr>
          <w:rFonts w:ascii="Times New Roman" w:hAnsi="Times New Roman" w:cs="Times New Roman" w:eastAsia="Times New Roman" w:hint="default"/>
        </w:rPr>
        <w:t>2</w:t>
      </w:r>
      <w:r>
        <w:rPr/>
        <w:t>）以公允价值计</w:t>
      </w:r>
    </w:p>
    <w:p>
      <w:pPr>
        <w:pStyle w:val="Heading5"/>
        <w:spacing w:line="268" w:lineRule="auto"/>
        <w:ind w:right="1087"/>
        <w:jc w:val="both"/>
      </w:pPr>
      <w:r>
        <w:rPr/>
        <w:t>量且其变动计入其他综合收益的金融资产；（</w:t>
      </w:r>
      <w:r>
        <w:rPr>
          <w:rFonts w:ascii="Times New Roman" w:hAnsi="Times New Roman" w:cs="Times New Roman" w:eastAsia="Times New Roman" w:hint="default"/>
        </w:rPr>
        <w:t>3</w:t>
      </w:r>
      <w:r>
        <w:rPr/>
        <w:t>）以公允价值计量且其变动计入当期损益的金融资产。在</w:t>
      </w:r>
      <w:r>
        <w:rPr>
          <w:spacing w:val="-34"/>
        </w:rPr>
        <w:t> </w:t>
      </w:r>
      <w:r>
        <w:rPr>
          <w:spacing w:val="-34"/>
        </w:rPr>
      </w:r>
      <w:r>
        <w:rPr/>
        <w:t>新金融工具准则下，金融资产的分类是基于本公司管理金融资产的业务模式及该资产的合同现金流量特征</w:t>
      </w:r>
      <w:r>
        <w:rPr/>
        <w:t> 而确定。新金融工具准则取消了原金融工具准则中规定的持有至到期投资、贷款和应收款项、可供出售金 融资产三个类别。新金融工具准则以</w:t>
      </w: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模型替代了原金融工具准则中的</w:t>
      </w:r>
      <w:r>
        <w:rPr>
          <w:rFonts w:ascii="Times New Roman" w:hAnsi="Times New Roman" w:cs="Times New Roman" w:eastAsia="Times New Roman" w:hint="default"/>
        </w:rPr>
        <w:t>“</w:t>
      </w:r>
      <w:r>
        <w:rPr/>
        <w:t>已发生损失</w:t>
      </w:r>
      <w:r>
        <w:rPr>
          <w:rFonts w:ascii="Times New Roman" w:hAnsi="Times New Roman" w:cs="Times New Roman" w:eastAsia="Times New Roman" w:hint="default"/>
        </w:rPr>
        <w:t>”</w:t>
      </w:r>
      <w:r>
        <w:rPr/>
        <w:t>模型。</w:t>
      </w:r>
      <w:r>
        <w:rPr>
          <w:spacing w:val="-98"/>
        </w:rPr>
        <w:t> </w:t>
      </w:r>
      <w:r>
        <w:rPr/>
        <w:t>在新金融工具准则下，本公司具体会计政策见附注三、（十）（十一）。</w:t>
      </w:r>
    </w:p>
    <w:p>
      <w:pPr>
        <w:pStyle w:val="Heading5"/>
        <w:spacing w:line="259" w:lineRule="auto"/>
        <w:ind w:right="1110" w:firstLine="420"/>
        <w:jc w:val="both"/>
      </w:pPr>
      <w:r>
        <w:rPr>
          <w:spacing w:val="-7"/>
        </w:rPr>
        <w:t>（</w:t>
      </w:r>
      <w:r>
        <w:rPr>
          <w:rFonts w:ascii="Times New Roman" w:hAnsi="Times New Roman" w:cs="Times New Roman" w:eastAsia="Times New Roman" w:hint="default"/>
          <w:spacing w:val="-7"/>
        </w:rPr>
        <w:t>2</w:t>
      </w:r>
      <w:r>
        <w:rPr>
          <w:spacing w:val="-7"/>
        </w:rPr>
        <w:t>）财政部于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4</w:t>
      </w:r>
      <w:r>
        <w:rPr>
          <w:spacing w:val="-7"/>
        </w:rPr>
        <w:t>月发布了《关于修订印发</w:t>
      </w:r>
      <w:r>
        <w:rPr>
          <w:rFonts w:ascii="Times New Roman" w:hAnsi="Times New Roman" w:cs="Times New Roman" w:eastAsia="Times New Roman" w:hint="default"/>
          <w:spacing w:val="-7"/>
        </w:rPr>
        <w:t>2019</w:t>
      </w:r>
      <w:r>
        <w:rPr>
          <w:rFonts w:ascii="Times New Roman" w:hAnsi="Times New Roman" w:cs="Times New Roman" w:eastAsia="Times New Roman" w:hint="default"/>
        </w:rPr>
        <w:t> </w:t>
      </w:r>
      <w:r>
        <w:rPr>
          <w:spacing w:val="-7"/>
        </w:rPr>
        <w:t>年度一般企业财务报表格式的通知》（财会</w:t>
      </w:r>
      <w:r>
        <w:rPr>
          <w:rFonts w:ascii="Times New Roman" w:hAnsi="Times New Roman" w:cs="Times New Roman" w:eastAsia="Times New Roman" w:hint="default"/>
          <w:spacing w:val="-7"/>
        </w:rPr>
        <w:t>[2019]6</w:t>
      </w:r>
      <w:r>
        <w:rPr>
          <w:rFonts w:ascii="Times New Roman" w:hAnsi="Times New Roman" w:cs="Times New Roman" w:eastAsia="Times New Roman" w:hint="default"/>
        </w:rPr>
        <w:t> </w:t>
      </w:r>
      <w:r>
        <w:rPr/>
        <w:t>号）（以下简称</w:t>
      </w:r>
      <w:r>
        <w:rPr>
          <w:rFonts w:ascii="Times New Roman" w:hAnsi="Times New Roman" w:cs="Times New Roman" w:eastAsia="Times New Roman" w:hint="default"/>
        </w:rPr>
        <w:t>“</w:t>
      </w:r>
      <w:r>
        <w:rPr/>
        <w:t>财务报表格式</w:t>
      </w:r>
      <w:r>
        <w:rPr>
          <w:rFonts w:ascii="Times New Roman" w:hAnsi="Times New Roman" w:cs="Times New Roman" w:eastAsia="Times New Roman" w:hint="default"/>
        </w:rPr>
        <w:t>”</w:t>
      </w:r>
      <w:r>
        <w:rPr/>
        <w:t>），执行企业会计准则的企业应按照企业会计准则和该通知的要求编制财 务报表。</w:t>
      </w:r>
    </w:p>
    <w:p>
      <w:pPr>
        <w:pStyle w:val="Heading5"/>
        <w:spacing w:line="240" w:lineRule="auto" w:before="24"/>
        <w:ind w:left="561" w:right="0"/>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日起执行上述修订后的准则和财务报表格式，对会计政策相关内容进行调整。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重要会计估计变更" w:id="233"/>
      <w:bookmarkEnd w:id="23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2019年起执行新金融工具准则、新收入准则或新租赁准则调整执行当年年初财务" w:id="234"/>
      <w:bookmarkEnd w:id="23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5"/>
          <w:pgSz w:w="11910" w:h="16850"/>
          <w:pgMar w:footer="981" w:header="731" w:top="1040" w:bottom="1180" w:left="1000" w:right="0"/>
        </w:sectPr>
      </w:pPr>
    </w:p>
    <w:p>
      <w:pPr>
        <w:pStyle w:val="BodyText"/>
        <w:spacing w:line="333"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22"/>
              <w:jc w:val="right"/>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307" w:right="0"/>
              <w:jc w:val="left"/>
              <w:rPr>
                <w:rFonts w:ascii="Times New Roman" w:hAnsi="Times New Roman" w:cs="Times New Roman" w:eastAsia="Times New Roman" w:hint="default"/>
                <w:sz w:val="18"/>
                <w:szCs w:val="18"/>
              </w:rPr>
            </w:pPr>
            <w:r>
              <w:rPr>
                <w:rFonts w:ascii="Times New Roman"/>
                <w:sz w:val="18"/>
              </w:rPr>
              <w:t>374,948,807.76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1" w:right="0"/>
              <w:jc w:val="left"/>
              <w:rPr>
                <w:rFonts w:ascii="Times New Roman" w:hAnsi="Times New Roman" w:cs="Times New Roman" w:eastAsia="Times New Roman" w:hint="default"/>
                <w:sz w:val="18"/>
                <w:szCs w:val="18"/>
              </w:rPr>
            </w:pPr>
            <w:r>
              <w:rPr>
                <w:rFonts w:ascii="Times New Roman"/>
                <w:sz w:val="18"/>
              </w:rPr>
              <w:t>374,948,807.76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07"/>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35,554,824.65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35,554,824.65</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237,327,806.51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237,327,806.51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29,077,346.89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29,077,346.89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1,546,246,413.29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1,546,246,413.29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-64,824.65</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64,824.65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64,824.65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130,693,407.38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130,693,407.38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40,892,602.36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5,402,602.36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-35,490,000.00</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2,359,186,384.19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2,359,186,384.19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149,575,151.95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149,575,151.95</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141,830,524.53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141,830,524.53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143,461,867.63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143,461,867.63</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6,113,284.32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6,113,284.32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91,857,137.26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91,857,137.26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269,466,240.97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269,466,240.97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6"/>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41,526,037.86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813,304,612.35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4,707,220.11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4,707,220.11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609,235.29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23,500,000.00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1,536,376,160.32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1,536,376,160.32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3,895,562,544.51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3,895,562,544.51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488,905,600.00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489,447,625.56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542,025.56</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145,233,697.98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145,233,697.98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10,826,839.02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10,826,839.02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14,646,700.22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14,646,700.22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22,025,509.84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22,025,509.84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32,305,682.25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31,652,823.36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-652,858.89</w:t>
            </w:r>
            <w:r>
              <w:rPr>
                <w:rFonts w:ascii="Times New Roman"/>
                <w:sz w:val="18"/>
              </w:rPr>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652,858.89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713,944,029.31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713,944,029.31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70,110,833.33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110,833.33</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22,334,273.92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22,334,273.92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7,313,519.91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99,647,793.83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99,647,793.83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813,591,823.14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813,591,823.14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909,572,725.00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909,572,725.00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1,789,860,387.64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1,789,860,387.64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-11,655,422.01</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-10,315,226.37</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1,340,195.64</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64,026,557.90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64,026,557.90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298,060,727.16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296,720,531.52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-1,340,195.64</w:t>
            </w:r>
            <w:r>
              <w:rPr>
                <w:rFonts w:ascii="Times New Roman"/>
                <w:sz w:val="18"/>
              </w:rPr>
            </w:r>
          </w:p>
        </w:tc>
      </w:tr>
      <w:tr>
        <w:trPr>
          <w:trHeight w:val="72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3,049,864,975.69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3,049,864,975.69</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32,105,745.68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32,105,745.68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3,081,970,721.37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3,081,970,721.37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3,895,562,544.51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3,895,562,544.51</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pStyle w:val="BodyText"/>
        <w:spacing w:line="352" w:lineRule="auto"/>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1582" w:space="7354"/>
            <w:col w:w="197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131,051,644.17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35,554,824.65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35,554,824.65</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66,963,327.61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66,963,327.61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3,606,481.55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1,384,864,233.83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1,384,799,409.18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-64,824.65</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64,824.65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56,535,942.63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36,371,239.36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-35,490,000.00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1,679,392,869.15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91,417,542.02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-158,917,542.02</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1,937,440,914.27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1,937,440,914.27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157,500,000.00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157,500,000.00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1,417,542.02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1,417,542.02</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91,857,137.26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256,474,711.60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10,783,834.76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3,015,606.48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2,414,489,746.39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4,093,882,615.54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488,905,600.00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489,447,625.56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542,025.56</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69,286,577.67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443,041.43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4,654,111.74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5,445,175.06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218,406,737.92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217,753,879.03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-652,858.89</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652,858.89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787,141,243.82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70,110,833.33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110,833.33</w:t>
            </w: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21,806,489.93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7,313,519.91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99,120,009.84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886,261,253.66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909,572,725.00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2,042,065,932.24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1,082,457.98</w:t>
            </w: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64,026,557.90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193,038,604.72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191,956,146.74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-1,082,457.98</w:t>
            </w:r>
            <w:r>
              <w:rPr>
                <w:rFonts w:ascii="Times New Roman"/>
                <w:sz w:val="18"/>
              </w:rPr>
            </w: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3,207,621,361.88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4,093,882,615.54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调整情况说明</w:t>
      </w:r>
    </w:p>
    <w:p>
      <w:pPr>
        <w:pStyle w:val="Heading5"/>
        <w:spacing w:line="259" w:lineRule="auto" w:before="89"/>
        <w:ind w:right="1089" w:firstLine="420"/>
        <w:jc w:val="left"/>
      </w:pPr>
      <w:r>
        <w:rPr/>
        <w:t>本公司根据新金融工具准则的规定，对金融工具的分类在新金融工具准则施行日（即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进行调整，无需对金融工具原账面价值进行调整。</w:t>
      </w:r>
    </w:p>
    <w:p>
      <w:pPr>
        <w:pStyle w:val="Heading5"/>
        <w:spacing w:line="247" w:lineRule="auto" w:before="23"/>
        <w:ind w:left="561" w:right="0"/>
        <w:jc w:val="left"/>
      </w:pPr>
      <w:r>
        <w:rPr/>
        <w:t>（</w:t>
      </w:r>
      <w:r>
        <w:rPr>
          <w:rFonts w:ascii="Times New Roman" w:hAnsi="Times New Roman" w:cs="Times New Roman" w:eastAsia="Times New Roman" w:hint="default"/>
        </w:rPr>
        <w:t>2</w:t>
      </w:r>
      <w:r>
        <w:rPr/>
        <w:t>）执行修订后财务报表格式的影响 根据财务报表格式的要求，除执行上述新金融工具准则产生的列报变化以外，本公司将</w:t>
      </w:r>
      <w:r>
        <w:rPr>
          <w:spacing w:val="-28"/>
        </w:rPr>
        <w:t> </w:t>
      </w:r>
      <w:r>
        <w:rPr>
          <w:rFonts w:ascii="Times New Roman" w:hAnsi="Times New Roman" w:cs="Times New Roman" w:eastAsia="Times New Roman" w:hint="default"/>
        </w:rPr>
        <w:t>“</w:t>
      </w:r>
      <w:r>
        <w:rPr/>
        <w:t>应收票据及</w:t>
      </w:r>
    </w:p>
    <w:p>
      <w:pPr>
        <w:pStyle w:val="Heading5"/>
        <w:spacing w:line="261" w:lineRule="auto" w:before="17"/>
        <w:ind w:right="0"/>
        <w:jc w:val="left"/>
      </w:pPr>
      <w:r>
        <w:rPr/>
        <w:t>应收账款</w:t>
      </w:r>
      <w:r>
        <w:rPr>
          <w:rFonts w:ascii="Times New Roman" w:hAnsi="Times New Roman" w:cs="Times New Roman" w:eastAsia="Times New Roman" w:hint="default"/>
        </w:rPr>
        <w:t>”</w:t>
      </w:r>
      <w:r>
        <w:rPr/>
        <w:t>拆分列示为 </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两个项目，将 </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 </w:t>
      </w:r>
      <w:r>
        <w:rPr/>
        <w:t>拆分列示为</w:t>
      </w:r>
      <w:r>
        <w:rPr>
          <w:rFonts w:ascii="Times New Roman" w:hAnsi="Times New Roman" w:cs="Times New Roman" w:eastAsia="Times New Roman" w:hint="default"/>
        </w:rPr>
        <w:t>“</w:t>
      </w:r>
      <w:r>
        <w:rPr/>
        <w:t>应付票 </w:t>
      </w:r>
      <w:r>
        <w:rPr>
          <w:spacing w:val="-3"/>
        </w:rPr>
        <w:t>据</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两个项目。本公司相应追溯调整了比较期间报表，该会计政策变更对合并及公司净利润和</w:t>
      </w:r>
    </w:p>
    <w:p>
      <w:pPr>
        <w:spacing w:after="0" w:line="261"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40" w:lineRule="auto" w:before="35"/>
        <w:ind w:right="0"/>
        <w:jc w:val="left"/>
      </w:pPr>
      <w:r>
        <w:rPr/>
        <w:t>股东权益无影响。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0"/>
        <w:jc w:val="left"/>
        <w:rPr>
          <w:b w:val="0"/>
          <w:bCs w:val="0"/>
        </w:rPr>
      </w:pPr>
      <w:bookmarkStart w:name="（4）2019年起执行新金融工具准则或新租赁准则追溯调整前期比较数据说明" w:id="235"/>
      <w:bookmarkEnd w:id="235"/>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482" w:lineRule="auto" w:before="125"/>
        <w:ind w:left="141" w:right="8977" w:firstLine="0"/>
        <w:jc w:val="left"/>
        <w:rPr>
          <w:rFonts w:ascii="宋体" w:hAnsi="宋体" w:cs="宋体" w:eastAsia="宋体" w:hint="default"/>
          <w:sz w:val="21"/>
          <w:szCs w:val="21"/>
        </w:rPr>
      </w:pPr>
      <w:bookmarkStart w:name="45、其他" w:id="236"/>
      <w:bookmarkEnd w:id="23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7"/>
      <w:bookmarkEnd w:id="23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8"/>
      <w:bookmarkEnd w:id="238"/>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103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60"/>
              <w:ind w:left="14" w:right="30"/>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w:t>
            </w:r>
            <w:r>
              <w:rPr>
                <w:rFonts w:ascii="Times New Roman" w:hAnsi="Times New Roman" w:cs="Times New Roman" w:eastAsia="Times New Roman" w:hint="default"/>
                <w:spacing w:val="-3"/>
                <w:sz w:val="18"/>
                <w:szCs w:val="18"/>
              </w:rPr>
              <w:t>en </w:t>
            </w:r>
            <w:r>
              <w:rPr>
                <w:rFonts w:ascii="Times New Roman" w:hAnsi="Times New Roman" w:cs="Times New Roman" w:eastAsia="Times New Roman" w:hint="default"/>
                <w:sz w:val="18"/>
                <w:szCs w:val="18"/>
              </w:rPr>
              <w:t>Handelsmij Scheepers 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5"/>
                <w:sz w:val="18"/>
                <w:szCs w:val="18"/>
              </w:rPr>
              <w:t>V.</w:t>
            </w:r>
            <w:r>
              <w:rPr>
                <w:rFonts w:ascii="宋体" w:hAnsi="宋体" w:cs="宋体" w:eastAsia="宋体" w:hint="default"/>
                <w:spacing w:val="-5"/>
                <w:sz w:val="18"/>
                <w:szCs w:val="18"/>
              </w:rPr>
              <w:t>（荷兰公司）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香港美盛文化有限公司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杭州真趣网络科技有限公司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杭州乐途网络科技有限公司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 </w:t>
            </w:r>
            <w:r>
              <w:rPr>
                <w:rFonts w:ascii="Times New Roman"/>
                <w:sz w:val="18"/>
              </w:rPr>
              <w:t>GROUP(HK)</w:t>
            </w:r>
            <w:r>
              <w:rPr>
                <w:rFonts w:ascii="Times New Roman"/>
                <w:spacing w:val="-16"/>
                <w:sz w:val="18"/>
              </w:rPr>
              <w:t> </w:t>
            </w:r>
            <w:r>
              <w:rPr>
                <w:rFonts w:ascii="Times New Roman"/>
                <w:sz w:val="18"/>
              </w:rPr>
              <w:t>LIMITED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珠海市协骏玩具有限公司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中山骏腾塑胶制品有限公司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39"/>
      <w:bookmarkEnd w:id="23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3"/>
          <w:szCs w:val="23"/>
        </w:rPr>
      </w:pPr>
    </w:p>
    <w:p>
      <w:pPr>
        <w:pStyle w:val="Heading5"/>
        <w:spacing w:line="261" w:lineRule="auto"/>
        <w:ind w:right="1106" w:firstLine="420"/>
        <w:jc w:val="left"/>
        <w:rPr>
          <w:rFonts w:ascii="Times New Roman" w:hAnsi="Times New Roman" w:cs="Times New Roman" w:eastAsia="Times New Roman" w:hint="default"/>
        </w:rPr>
      </w:pPr>
      <w:r>
        <w:rPr>
          <w:spacing w:val="-1"/>
        </w:rPr>
        <w:t>根据全国高新技术企业认定管理工作领导小组办公室《关于浙江省</w:t>
      </w:r>
      <w:r>
        <w:rPr>
          <w:rFonts w:ascii="Times New Roman" w:hAnsi="Times New Roman" w:cs="Times New Roman" w:eastAsia="Times New Roman" w:hint="default"/>
          <w:spacing w:val="-1"/>
        </w:rPr>
        <w:t>2017</w:t>
      </w:r>
      <w:r>
        <w:rPr>
          <w:spacing w:val="-1"/>
        </w:rPr>
        <w:t>年第一批高新技术企业备案的</w:t>
      </w:r>
      <w:r>
        <w:rPr/>
        <w:t> </w:t>
      </w:r>
      <w:r>
        <w:rPr>
          <w:spacing w:val="-4"/>
        </w:rPr>
        <w:t>复函》（国科火字〔</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201</w:t>
      </w:r>
      <w:r>
        <w:rPr>
          <w:spacing w:val="-4"/>
        </w:rPr>
        <w:t>号），本公司被认定为高新技术企业，有效期为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-2019</w:t>
      </w:r>
      <w:r>
        <w:rPr>
          <w:spacing w:val="-4"/>
        </w:rPr>
        <w:t>年。本公司</w:t>
      </w:r>
      <w:r>
        <w:rPr>
          <w:rFonts w:ascii="Times New Roman" w:hAnsi="Times New Roman" w:cs="Times New Roman" w:eastAsia="Times New Roman" w:hint="default"/>
          <w:spacing w:val="-4"/>
        </w:rPr>
        <w:t>2019</w:t>
      </w:r>
    </w:p>
    <w:p>
      <w:pPr>
        <w:spacing w:after="0" w:line="261" w:lineRule="auto"/>
        <w:jc w:val="left"/>
        <w:rPr>
          <w:rFonts w:ascii="Times New Roman" w:hAnsi="Times New Roman" w:cs="Times New Roman" w:eastAsia="Times New Roman" w:hint="default"/>
        </w:rPr>
        <w:sectPr>
          <w:pgSz w:w="11910" w:h="16850"/>
          <w:pgMar w:header="731" w:footer="981" w:top="1040" w:bottom="1180" w:left="1000" w:right="0"/>
        </w:sectPr>
      </w:pPr>
    </w:p>
    <w:p>
      <w:pPr>
        <w:spacing w:line="240" w:lineRule="auto" w:before="8"/>
        <w:rPr>
          <w:rFonts w:ascii="Times New Roman" w:hAnsi="Times New Roman" w:cs="Times New Roman" w:eastAsia="Times New Roman" w:hint="default"/>
          <w:sz w:val="28"/>
          <w:szCs w:val="28"/>
        </w:rPr>
      </w:pPr>
    </w:p>
    <w:p>
      <w:pPr>
        <w:pStyle w:val="Heading5"/>
        <w:spacing w:line="259" w:lineRule="auto" w:before="35"/>
        <w:ind w:left="561" w:right="1089" w:hanging="421"/>
        <w:jc w:val="left"/>
      </w:pPr>
      <w:r>
        <w:rPr/>
        <w:t>年企业所得税享受高新技术企业优惠政策，所得税减按</w:t>
      </w:r>
      <w:r>
        <w:rPr>
          <w:rFonts w:ascii="Times New Roman" w:hAnsi="Times New Roman" w:cs="Times New Roman" w:eastAsia="Times New Roman" w:hint="default"/>
        </w:rPr>
        <w:t>15%</w:t>
      </w:r>
      <w:r>
        <w:rPr/>
        <w:t>的税率计缴。 根据《高新技术企业认定管理办法》（国科发火字〔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32</w:t>
      </w:r>
      <w:r>
        <w:rPr/>
        <w:t>号）和《高新技术企业认定管理工作指</w:t>
      </w:r>
    </w:p>
    <w:p>
      <w:pPr>
        <w:pStyle w:val="Heading5"/>
        <w:spacing w:line="247" w:lineRule="auto" w:before="6"/>
        <w:ind w:right="1124"/>
        <w:jc w:val="left"/>
      </w:pPr>
      <w:r>
        <w:rPr/>
        <w:t>引》（国科发火〔</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195</w:t>
      </w:r>
      <w:r>
        <w:rPr/>
        <w:t>号）有关规定，真趣网络被认定为高新技术企业，有效期为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-2021</w:t>
      </w:r>
      <w:r>
        <w:rPr/>
        <w:t>年。 真趣网络</w:t>
      </w:r>
      <w:r>
        <w:rPr>
          <w:rFonts w:ascii="Times New Roman" w:hAnsi="Times New Roman" w:cs="Times New Roman" w:eastAsia="Times New Roman" w:hint="default"/>
        </w:rPr>
        <w:t>2019</w:t>
      </w:r>
      <w:r>
        <w:rPr/>
        <w:t>年企业所得税享受高新技术企业优惠政策，所得税减按</w:t>
      </w:r>
      <w:r>
        <w:rPr>
          <w:rFonts w:ascii="Times New Roman" w:hAnsi="Times New Roman" w:cs="Times New Roman" w:eastAsia="Times New Roman" w:hint="default"/>
        </w:rPr>
        <w:t>15%</w:t>
      </w:r>
      <w:r>
        <w:rPr/>
        <w:t>的税率计缴。</w:t>
      </w:r>
    </w:p>
    <w:p>
      <w:pPr>
        <w:pStyle w:val="Heading5"/>
        <w:spacing w:line="259" w:lineRule="auto" w:before="17"/>
        <w:ind w:right="1094" w:firstLine="420"/>
        <w:jc w:val="both"/>
      </w:pPr>
      <w:r>
        <w:rPr/>
        <w:t>根据全国高新技术企业认定管理工作领导小组办公室《关于广东省</w:t>
      </w:r>
      <w:r>
        <w:rPr>
          <w:rFonts w:ascii="Times New Roman" w:hAnsi="Times New Roman" w:cs="Times New Roman" w:eastAsia="Times New Roman" w:hint="default"/>
        </w:rPr>
        <w:t>2018</w:t>
      </w:r>
      <w:r>
        <w:rPr/>
        <w:t>年第二批高新技术企业备案的 复函》（国科火字〔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195</w:t>
      </w:r>
      <w:r>
        <w:rPr/>
        <w:t>号），珠海市协骏玩具有限公司被认定为高新技术企业，有效期为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日，珠海协骏公司</w:t>
      </w:r>
      <w:r>
        <w:rPr>
          <w:rFonts w:ascii="Times New Roman" w:hAnsi="Times New Roman" w:cs="Times New Roman" w:eastAsia="Times New Roman" w:hint="default"/>
        </w:rPr>
        <w:t>2019</w:t>
      </w:r>
      <w:r>
        <w:rPr/>
        <w:t>年企业所得税享受高新技术企业优惠政策，所得税减按</w:t>
      </w:r>
      <w:r>
        <w:rPr>
          <w:rFonts w:ascii="Times New Roman" w:hAnsi="Times New Roman" w:cs="Times New Roman" w:eastAsia="Times New Roman" w:hint="default"/>
        </w:rPr>
        <w:t>15%</w:t>
      </w:r>
      <w:r>
        <w:rPr/>
        <w:t>的</w:t>
      </w:r>
      <w:r>
        <w:rPr>
          <w:spacing w:val="-71"/>
        </w:rPr>
        <w:t> </w:t>
      </w:r>
      <w:r>
        <w:rPr/>
        <w:t>税率计缴。</w:t>
      </w:r>
    </w:p>
    <w:p>
      <w:pPr>
        <w:pStyle w:val="Heading5"/>
        <w:spacing w:line="259" w:lineRule="auto" w:before="8"/>
        <w:ind w:right="1106" w:firstLine="420"/>
        <w:jc w:val="both"/>
      </w:pPr>
      <w:r>
        <w:rPr>
          <w:spacing w:val="-1"/>
        </w:rPr>
        <w:t>根据全国高新技术企业认定管理工作领导小组办公室《关于广东省</w:t>
      </w:r>
      <w:r>
        <w:rPr>
          <w:rFonts w:ascii="Times New Roman" w:hAnsi="Times New Roman" w:cs="Times New Roman" w:eastAsia="Times New Roman" w:hint="default"/>
          <w:spacing w:val="-1"/>
        </w:rPr>
        <w:t>2017</w:t>
      </w:r>
      <w:r>
        <w:rPr>
          <w:spacing w:val="-1"/>
        </w:rPr>
        <w:t>年第二批高新技术企业备案的</w:t>
      </w:r>
      <w:r>
        <w:rPr/>
        <w:t> 复函》（国科火字〔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195</w:t>
      </w:r>
      <w:r>
        <w:rPr/>
        <w:t>号），中山骏腾塑胶制品有限公司被认定为高新技术企业，有效期为</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日，中山骏腾公司</w:t>
      </w:r>
      <w:r>
        <w:rPr>
          <w:rFonts w:ascii="Times New Roman" w:hAnsi="Times New Roman" w:cs="Times New Roman" w:eastAsia="Times New Roman" w:hint="default"/>
          <w:spacing w:val="-2"/>
        </w:rPr>
        <w:t>2019</w:t>
      </w:r>
      <w:r>
        <w:rPr>
          <w:spacing w:val="-2"/>
        </w:rPr>
        <w:t>年企业所得税享受高新技术企业优惠政策，所得税减按</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5"/>
        </w:rPr>
        <w:t> </w:t>
      </w:r>
      <w:r>
        <w:rPr/>
        <w:t>的税率计缴。</w:t>
      </w:r>
    </w:p>
    <w:p>
      <w:pPr>
        <w:pStyle w:val="Heading5"/>
        <w:spacing w:line="254" w:lineRule="auto" w:before="24"/>
        <w:ind w:right="1125" w:firstLine="420"/>
        <w:jc w:val="both"/>
      </w:pPr>
      <w:r>
        <w:rPr>
          <w:rFonts w:ascii="Times New Roman" w:hAnsi="Times New Roman" w:cs="Times New Roman" w:eastAsia="Times New Roman" w:hint="default"/>
        </w:rPr>
        <w:t>2015</w:t>
      </w:r>
      <w:r>
        <w:rPr/>
        <w:t>年乐途网络被认定为软件企业，自被认定后的获利年度起（含</w:t>
      </w:r>
      <w:r>
        <w:rPr>
          <w:rFonts w:ascii="Times New Roman" w:hAnsi="Times New Roman" w:cs="Times New Roman" w:eastAsia="Times New Roman" w:hint="default"/>
        </w:rPr>
        <w:t>2015</w:t>
      </w:r>
      <w:r>
        <w:rPr/>
        <w:t>年度），企业所得税享受</w:t>
      </w:r>
      <w:r>
        <w:rPr>
          <w:rFonts w:ascii="Times New Roman" w:hAnsi="Times New Roman" w:cs="Times New Roman" w:eastAsia="Times New Roman" w:hint="default"/>
        </w:rPr>
        <w:t>“</w:t>
      </w:r>
      <w:r>
        <w:rPr/>
        <w:t>两 免三减半</w:t>
      </w:r>
      <w:r>
        <w:rPr>
          <w:rFonts w:ascii="Times New Roman" w:hAnsi="Times New Roman" w:cs="Times New Roman" w:eastAsia="Times New Roman" w:hint="default"/>
        </w:rPr>
        <w:t>”</w:t>
      </w:r>
      <w:r>
        <w:rPr/>
        <w:t>的税收优惠政策，本期处于第三个减半征收年度；对销售软件产品增值税实际税负超过</w:t>
      </w:r>
      <w:r>
        <w:rPr>
          <w:rFonts w:ascii="Times New Roman" w:hAnsi="Times New Roman" w:cs="Times New Roman" w:eastAsia="Times New Roman" w:hint="default"/>
        </w:rPr>
        <w:t>3%</w:t>
      </w:r>
      <w:r>
        <w:rPr/>
        <w:t>的部</w:t>
      </w:r>
      <w:r>
        <w:rPr>
          <w:spacing w:val="-97"/>
        </w:rPr>
        <w:t> </w:t>
      </w:r>
      <w:r>
        <w:rPr/>
        <w:t>分，实行即征即退政策。</w:t>
      </w:r>
    </w:p>
    <w:p>
      <w:pPr>
        <w:pStyle w:val="Heading5"/>
        <w:spacing w:line="259" w:lineRule="auto" w:before="27"/>
        <w:ind w:right="1126" w:firstLine="420"/>
        <w:jc w:val="both"/>
      </w:pPr>
      <w:r>
        <w:rPr>
          <w:rFonts w:ascii="Times New Roman" w:hAnsi="Times New Roman" w:cs="Times New Roman" w:eastAsia="Times New Roman" w:hint="default"/>
        </w:rPr>
        <w:t>2016</w:t>
      </w:r>
      <w:r>
        <w:rPr/>
        <w:t>年美盛游戏被认定为动漫企业，自被认定后的获利年度起（含</w:t>
      </w:r>
      <w:r>
        <w:rPr>
          <w:rFonts w:ascii="Times New Roman" w:hAnsi="Times New Roman" w:cs="Times New Roman" w:eastAsia="Times New Roman" w:hint="default"/>
        </w:rPr>
        <w:t>2016</w:t>
      </w:r>
      <w:r>
        <w:rPr/>
        <w:t>年度），企业所得税享受</w:t>
      </w:r>
      <w:r>
        <w:rPr>
          <w:rFonts w:ascii="Times New Roman" w:hAnsi="Times New Roman" w:cs="Times New Roman" w:eastAsia="Times New Roman" w:hint="default"/>
        </w:rPr>
        <w:t>“</w:t>
      </w:r>
      <w:r>
        <w:rPr/>
        <w:t>两 免三减半</w:t>
      </w:r>
      <w:r>
        <w:rPr>
          <w:rFonts w:ascii="Times New Roman" w:hAnsi="Times New Roman" w:cs="Times New Roman" w:eastAsia="Times New Roman" w:hint="default"/>
        </w:rPr>
        <w:t>”</w:t>
      </w:r>
      <w:r>
        <w:rPr/>
        <w:t>的税收优惠政策，本期处于第一个减半征收年度。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5"/>
          <w:szCs w:val="25"/>
        </w:rPr>
      </w:pPr>
    </w:p>
    <w:p>
      <w:pPr>
        <w:spacing w:line="487" w:lineRule="auto" w:before="0"/>
        <w:ind w:left="141" w:right="7857" w:firstLine="0"/>
        <w:jc w:val="left"/>
        <w:rPr>
          <w:rFonts w:ascii="宋体" w:hAnsi="宋体" w:cs="宋体" w:eastAsia="宋体" w:hint="default"/>
          <w:sz w:val="21"/>
          <w:szCs w:val="21"/>
        </w:rPr>
      </w:pPr>
      <w:bookmarkStart w:name="3、其他" w:id="240"/>
      <w:bookmarkEnd w:id="2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41"/>
      <w:bookmarkEnd w:id="241"/>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42"/>
      <w:bookmarkEnd w:id="242"/>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89,623.38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73,962.93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877,372,866.06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372,872,284.39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238,246.64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2,002,560.44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877,700,736.08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374,948,807.76</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123,183,418.16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64,777,261.87</w:t>
            </w:r>
          </w:p>
        </w:tc>
      </w:tr>
    </w:tbl>
    <w:p>
      <w:pPr>
        <w:pStyle w:val="BodyText"/>
        <w:spacing w:line="240" w:lineRule="auto" w:before="45"/>
        <w:ind w:right="0"/>
        <w:jc w:val="left"/>
      </w:pPr>
      <w:r>
        <w:rPr/>
        <w:t>其他说明</w:t>
      </w:r>
    </w:p>
    <w:p>
      <w:pPr>
        <w:pStyle w:val="Heading6"/>
        <w:spacing w:line="240" w:lineRule="auto" w:before="112"/>
        <w:ind w:left="546" w:right="0"/>
        <w:jc w:val="left"/>
      </w:pPr>
      <w:r>
        <w:rPr>
          <w:spacing w:val="3"/>
        </w:rPr>
        <w:t>注：期末，公司其他货币资金  </w:t>
      </w:r>
      <w:r>
        <w:rPr>
          <w:rFonts w:ascii="Times New Roman" w:hAnsi="Times New Roman" w:cs="Times New Roman" w:eastAsia="Times New Roman" w:hint="default"/>
          <w:spacing w:val="2"/>
        </w:rPr>
        <w:t>238,246.64</w:t>
      </w:r>
      <w:r>
        <w:rPr>
          <w:spacing w:val="2"/>
        </w:rPr>
        <w:t>元为存放在支付宝、微信、</w:t>
      </w:r>
      <w:r>
        <w:rPr>
          <w:spacing w:val="10"/>
        </w:rPr>
        <w:t> </w:t>
      </w:r>
      <w:r>
        <w:rPr>
          <w:rFonts w:ascii="Times New Roman" w:hAnsi="Times New Roman" w:cs="Times New Roman" w:eastAsia="Times New Roman" w:hint="default"/>
          <w:spacing w:val="3"/>
        </w:rPr>
        <w:t>Paypal</w:t>
      </w:r>
      <w:r>
        <w:rPr>
          <w:spacing w:val="3"/>
        </w:rPr>
        <w:t>和淘宝账户中可以随时支取的货</w:t>
      </w:r>
    </w:p>
    <w:p>
      <w:pPr>
        <w:pStyle w:val="Heading6"/>
        <w:spacing w:line="240" w:lineRule="auto"/>
        <w:ind w:right="0"/>
        <w:jc w:val="left"/>
      </w:pPr>
      <w:r>
        <w:rPr>
          <w:w w:val="105"/>
        </w:rPr>
        <w:t>币。</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0"/>
        <w:ind w:right="0"/>
        <w:jc w:val="left"/>
        <w:rPr>
          <w:b w:val="0"/>
          <w:bCs w:val="0"/>
        </w:rPr>
      </w:pPr>
      <w:bookmarkStart w:name="2、交易性金融资产" w:id="243"/>
      <w:bookmarkEnd w:id="243"/>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77"/>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2027" w:right="0"/>
              <w:jc w:val="left"/>
              <w:rPr>
                <w:rFonts w:ascii="Times New Roman" w:hAnsi="Times New Roman" w:cs="Times New Roman" w:eastAsia="Times New Roman" w:hint="default"/>
                <w:sz w:val="18"/>
                <w:szCs w:val="18"/>
              </w:rPr>
            </w:pPr>
            <w:r>
              <w:rPr>
                <w:rFonts w:ascii="Times New Roman"/>
                <w:sz w:val="18"/>
              </w:rPr>
              <w:t>161,457,550.00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35,554,824.65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6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161,457,550.00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35,554,824.65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161,457,550.00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35,554,824.65</w:t>
            </w:r>
          </w:p>
        </w:tc>
      </w:tr>
    </w:tbl>
    <w:p>
      <w:pPr>
        <w:pStyle w:val="BodyText"/>
        <w:spacing w:line="240" w:lineRule="auto"/>
        <w:ind w:right="0"/>
        <w:jc w:val="left"/>
      </w:pPr>
      <w:r>
        <w:rPr/>
        <w:t>其他说明：</w:t>
      </w:r>
    </w:p>
    <w:p>
      <w:pPr>
        <w:pStyle w:val="BodyText"/>
        <w:spacing w:line="240" w:lineRule="auto" w:before="125"/>
        <w:ind w:left="501" w:right="0"/>
        <w:jc w:val="left"/>
      </w:pPr>
      <w:r>
        <w:rPr/>
        <w:t>注：期初余额与报表差异原因见</w:t>
      </w:r>
      <w:r>
        <w:rPr>
          <w:rFonts w:ascii="Times New Roman" w:hAnsi="Times New Roman" w:cs="Times New Roman" w:eastAsia="Times New Roman" w:hint="default"/>
        </w:rPr>
        <w:t>“</w:t>
      </w:r>
      <w:r>
        <w:rPr/>
        <w:t>三、（二十六）主要会计政策变更、会计估计变更的说明</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ind w:right="0"/>
        <w:jc w:val="left"/>
        <w:rPr>
          <w:b w:val="0"/>
          <w:bCs w:val="0"/>
        </w:rPr>
      </w:pPr>
      <w:bookmarkStart w:name="3、衍生金融资产" w:id="244"/>
      <w:bookmarkEnd w:id="24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应收票据" w:id="245"/>
      <w:bookmarkEnd w:id="245"/>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应收票据分类列示" w:id="246"/>
      <w:bookmarkEnd w:id="24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1"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ind w:right="0"/>
        <w:jc w:val="left"/>
      </w:pPr>
      <w:r>
        <w:rPr/>
        <w:t>按组合计提坏账准备：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如是按照预期信用损失一般模型计提应收票据坏账准备，请参照其他应收款的披露方式披露坏账准备的相关信息：</w:t>
      </w:r>
    </w:p>
    <w:p>
      <w:pPr>
        <w:spacing w:after="0" w:line="352"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其中本期坏账准备收回或转回金额重要的：</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3）期末公司已质押的应收票据" w:id="248"/>
      <w:bookmarkEnd w:id="248"/>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已背书或贴现且在资产负债表日尚未到期的应收票据" w:id="249"/>
      <w:bookmarkEnd w:id="249"/>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期末公司因出票人未履约而将其转应收账款的票据" w:id="250"/>
      <w:bookmarkEnd w:id="250"/>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本期实际核销的应收票据情况" w:id="251"/>
      <w:bookmarkEnd w:id="251"/>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其中重要的应收票据核销情况：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应收票据核销说明：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5、应收账款" w:id="252"/>
      <w:bookmarkEnd w:id="25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应收账款分类披露" w:id="253"/>
      <w:bookmarkEnd w:id="25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13,921,1</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10.97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3.22%</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13,921,1</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10.97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9,130,868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9,130,868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419,021,</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695.00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96.78%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46,828,0</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80.14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11.18%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372,193,6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14.86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260,180,9</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39.11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96.61%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22,853,13</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8.78%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237,327,80</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6.51</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432,942,</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805.97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60,749,1</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91.11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14.03%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372,193,6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14.86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269,311,8</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07.57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31,984,00</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11.88%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237,327,80</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6.51</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431"/>
              <w:jc w:val="left"/>
              <w:rPr>
                <w:rFonts w:ascii="Times New Roman" w:hAnsi="Times New Roman" w:cs="Times New Roman" w:eastAsia="Times New Roman" w:hint="default"/>
                <w:sz w:val="18"/>
                <w:szCs w:val="18"/>
              </w:rPr>
            </w:pPr>
            <w:r>
              <w:rPr>
                <w:rFonts w:ascii="Times New Roman"/>
                <w:sz w:val="18"/>
              </w:rPr>
              <w:t>REGAL</w:t>
            </w:r>
            <w:r>
              <w:rPr>
                <w:rFonts w:ascii="Times New Roman"/>
                <w:spacing w:val="-5"/>
                <w:sz w:val="18"/>
              </w:rPr>
              <w:t> </w:t>
            </w:r>
            <w:r>
              <w:rPr>
                <w:rFonts w:ascii="Times New Roman"/>
                <w:sz w:val="18"/>
              </w:rPr>
              <w:t>CROWN</w:t>
            </w:r>
            <w:r>
              <w:rPr>
                <w:rFonts w:ascii="Times New Roman"/>
                <w:w w:val="99"/>
                <w:sz w:val="18"/>
              </w:rPr>
              <w:t> </w:t>
            </w:r>
            <w:r>
              <w:rPr>
                <w:rFonts w:ascii="Times New Roman"/>
                <w:sz w:val="18"/>
              </w:rPr>
              <w:t>INTERNATIONAL</w:t>
            </w:r>
            <w:r>
              <w:rPr>
                <w:rFonts w:ascii="Times New Roman"/>
                <w:sz w:val="18"/>
              </w:rPr>
              <w:t> LIMITED</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4,002,664.51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4,002,664.51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浙江博澜文化股份有限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3,260,000.00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3,260,000.00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杭州汉林文化创意股份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38,000.00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安吉学前儿童游戏有限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128,000.00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128,000.00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杭州汉昆网络科技有限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497,382.93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497,382.93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上海聚力传媒技术有限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1,909,298.60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1,909,298.60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杭州柯基网络科技有限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546,748.75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546,748.75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珠海华跃通信技术有限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上海柒趣网络科技有限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杭州游嬉久网络科技有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401,438.18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401,438.18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杭州振华起重运输装卸 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深圳市明鹏光易科技有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787,578.00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787,578.00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杭州大拼盘服饰有限公 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1,551,080.50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1,551,080.50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13,921,110.97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13,921,110.97</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按单项计提坏账准备：</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322,920,603.74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16,146,030.22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11.18%</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46,647,355.06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4,664,735.49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11.18%</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45,152,248.90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22,576,124.55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11.18%</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4,301,487.30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3,441,189.88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11.18%</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419,021,695.00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46,828,080.14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pPr>
      <w:r>
        <w:rPr/>
        <w:t>按组合计提坏账准备：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390"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0" w:lineRule="auto" w:before="45"/>
        <w:ind w:right="1749"/>
        <w:jc w:val="left"/>
      </w:pPr>
      <w:r>
        <w:rPr/>
        <w:t>确定该组合依据的说明： 如是按照预期信用损失一般模型计提应收账款坏账准备，请参照其他应收款的披露方式披露坏账准备的相关信息：</w:t>
      </w:r>
    </w:p>
    <w:p>
      <w:pPr>
        <w:pStyle w:val="BodyText"/>
        <w:spacing w:line="333" w:lineRule="auto" w:before="42"/>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3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322,920,603.74</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46,647,355.06</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45,152,248.90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18,222,598.27</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4,301,487.30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13,921,110.97</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432,942,805.97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5"/>
        <w:spacing w:line="270" w:lineRule="exact"/>
        <w:ind w:left="561" w:right="0"/>
        <w:jc w:val="left"/>
      </w:pPr>
      <w:r>
        <w:rPr/>
        <w:t>本期计提坏账准备金额为</w:t>
      </w:r>
      <w:r>
        <w:rPr>
          <w:rFonts w:ascii="Times New Roman" w:hAnsi="Times New Roman" w:cs="Times New Roman" w:eastAsia="Times New Roman" w:hint="default"/>
        </w:rPr>
        <w:t>27,627,562.20</w:t>
      </w:r>
      <w:r>
        <w:rPr/>
        <w:t>元，核销应收坏账准备</w:t>
      </w:r>
      <w:r>
        <w:rPr>
          <w:rFonts w:ascii="Times New Roman" w:hAnsi="Times New Roman" w:cs="Times New Roman" w:eastAsia="Times New Roman" w:hint="default"/>
        </w:rPr>
        <w:t>135,529.53</w:t>
      </w:r>
      <w:r>
        <w:rPr/>
        <w:t>元，合并范围增加转入应收坏</w:t>
      </w:r>
    </w:p>
    <w:p>
      <w:pPr>
        <w:pStyle w:val="Heading5"/>
        <w:spacing w:line="240" w:lineRule="auto" w:before="24"/>
        <w:ind w:right="0"/>
        <w:jc w:val="left"/>
      </w:pPr>
      <w:r>
        <w:rPr/>
        <w:t>账准备余额</w:t>
      </w:r>
      <w:r>
        <w:rPr>
          <w:rFonts w:ascii="Times New Roman" w:hAnsi="Times New Roman" w:cs="Times New Roman" w:eastAsia="Times New Roman" w:hint="default"/>
        </w:rPr>
        <w:t>3,263,939.17</w:t>
      </w:r>
      <w:r>
        <w:rPr/>
        <w:t>元，合并范围减少转出应收坏账准备</w:t>
      </w:r>
      <w:r>
        <w:rPr>
          <w:rFonts w:ascii="Times New Roman" w:hAnsi="Times New Roman" w:cs="Times New Roman" w:eastAsia="Times New Roman" w:hint="default"/>
        </w:rPr>
        <w:t>1,990,781.79</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4"/>
        <w:spacing w:line="240" w:lineRule="auto"/>
        <w:ind w:right="0"/>
        <w:jc w:val="left"/>
        <w:rPr>
          <w:b w:val="0"/>
          <w:bCs w:val="0"/>
        </w:rPr>
      </w:pPr>
      <w:bookmarkStart w:name="（3）本期实际核销的应收账款情况" w:id="255"/>
      <w:bookmarkEnd w:id="25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按欠款方归集的期末余额前五名的应收账款情况" w:id="256"/>
      <w:bookmarkEnd w:id="25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108,157,412.69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24.98%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5,407,870.63</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30,465,721.77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7.04%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2,970,323.44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16,437,563.16</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821,878.16</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15,075,000.00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7,537,500.00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12,500,000.00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6,250,000.00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182,635,697.62</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42.19%</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因金融资产转移而终止确认的应收账款" w:id="257"/>
      <w:bookmarkEnd w:id="25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258"/>
      <w:bookmarkEnd w:id="25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6、应收款项融资" w:id="259"/>
      <w:bookmarkEnd w:id="259"/>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应收款项融资本期增减变动及公允价值变动情况</w:t>
      </w:r>
    </w:p>
    <w:p>
      <w:pPr>
        <w:pStyle w:val="BodyText"/>
        <w:spacing w:line="331" w:lineRule="auto" w:before="12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333" w:lineRule="auto" w:before="56"/>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其他说明：</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7、预付款项" w:id="260"/>
      <w:bookmarkEnd w:id="260"/>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预付款项按账龄列示" w:id="261"/>
      <w:bookmarkEnd w:id="26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87,423,327.00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99.13%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26,415,868.68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90.85%</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708,950.67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2,480,498.41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8.53%</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61,272.54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180,979.80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88,193,550.21</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29,077,346.89</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340" w:lineRule="auto" w:before="60"/>
        <w:ind w:left="456" w:right="1389" w:hanging="316"/>
        <w:jc w:val="left"/>
        <w:rPr>
          <w:rFonts w:ascii="宋体" w:hAnsi="宋体" w:cs="宋体" w:eastAsia="宋体" w:hint="default"/>
          <w:sz w:val="16"/>
          <w:szCs w:val="16"/>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w:t>
      </w:r>
      <w:r>
        <w:rPr>
          <w:rFonts w:ascii="宋体" w:hAnsi="宋体" w:cs="宋体" w:eastAsia="宋体" w:hint="default"/>
          <w:spacing w:val="-5"/>
          <w:sz w:val="16"/>
          <w:szCs w:val="16"/>
        </w:rPr>
        <w:t>注：</w:t>
      </w:r>
      <w:r>
        <w:rPr>
          <w:rFonts w:ascii="Times New Roman" w:hAnsi="Times New Roman" w:cs="Times New Roman" w:eastAsia="Times New Roman" w:hint="default"/>
          <w:spacing w:val="-5"/>
          <w:sz w:val="16"/>
          <w:szCs w:val="16"/>
        </w:rPr>
        <w:t>1</w:t>
      </w:r>
      <w:r>
        <w:rPr>
          <w:rFonts w:ascii="宋体" w:hAnsi="宋体" w:cs="宋体" w:eastAsia="宋体" w:hint="default"/>
          <w:spacing w:val="-5"/>
          <w:sz w:val="16"/>
          <w:szCs w:val="16"/>
        </w:rPr>
        <w:t>、预付账款增加主要是游戏服务平台业务预付头部平台账户款等形成。</w:t>
      </w:r>
      <w:r>
        <w:rPr>
          <w:rFonts w:ascii="宋体" w:hAnsi="宋体" w:cs="宋体" w:eastAsia="宋体" w:hint="default"/>
          <w:w w:val="103"/>
          <w:sz w:val="16"/>
          <w:szCs w:val="16"/>
        </w:rPr>
        <w:t> </w:t>
      </w: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w:t>
      </w:r>
      <w:r>
        <w:rPr>
          <w:rFonts w:ascii="Times New Roman" w:hAnsi="Times New Roman" w:cs="Times New Roman" w:eastAsia="Times New Roman" w:hint="default"/>
          <w:spacing w:val="-6"/>
          <w:sz w:val="16"/>
          <w:szCs w:val="16"/>
        </w:rPr>
        <w:t>2019</w:t>
      </w:r>
      <w:r>
        <w:rPr>
          <w:rFonts w:ascii="宋体" w:hAnsi="宋体" w:cs="宋体" w:eastAsia="宋体" w:hint="default"/>
          <w:spacing w:val="-6"/>
          <w:sz w:val="16"/>
          <w:szCs w:val="16"/>
        </w:rPr>
        <w:t>年</w:t>
      </w:r>
      <w:r>
        <w:rPr>
          <w:rFonts w:ascii="Times New Roman" w:hAnsi="Times New Roman" w:cs="Times New Roman" w:eastAsia="Times New Roman" w:hint="default"/>
          <w:spacing w:val="-6"/>
          <w:sz w:val="16"/>
          <w:szCs w:val="16"/>
        </w:rPr>
        <w:t>12</w:t>
      </w:r>
      <w:r>
        <w:rPr>
          <w:rFonts w:ascii="宋体" w:hAnsi="宋体" w:cs="宋体" w:eastAsia="宋体" w:hint="default"/>
          <w:spacing w:val="-6"/>
          <w:sz w:val="16"/>
          <w:szCs w:val="16"/>
        </w:rPr>
        <w:t>月与北京微媒互动科技股份有限公司、苏州全图文化传媒有限公司、苏州生生不息文化传媒有限公司、苏州目念瓷文化传</w:t>
      </w:r>
    </w:p>
    <w:p>
      <w:pPr>
        <w:spacing w:line="340" w:lineRule="auto" w:before="19"/>
        <w:ind w:left="141" w:right="0" w:firstLine="0"/>
        <w:jc w:val="left"/>
        <w:rPr>
          <w:rFonts w:ascii="宋体" w:hAnsi="宋体" w:cs="宋体" w:eastAsia="宋体" w:hint="default"/>
          <w:sz w:val="16"/>
          <w:szCs w:val="16"/>
        </w:rPr>
      </w:pPr>
      <w:r>
        <w:rPr>
          <w:rFonts w:ascii="宋体" w:hAnsi="宋体" w:cs="宋体" w:eastAsia="宋体" w:hint="default"/>
          <w:spacing w:val="-5"/>
          <w:sz w:val="16"/>
          <w:szCs w:val="16"/>
        </w:rPr>
        <w:t>播有限公司签订推广业务合同并预付上述公司推广费合计</w:t>
      </w:r>
      <w:r>
        <w:rPr>
          <w:rFonts w:ascii="Times New Roman" w:hAnsi="Times New Roman" w:cs="Times New Roman" w:eastAsia="Times New Roman" w:hint="default"/>
          <w:spacing w:val="-5"/>
          <w:sz w:val="16"/>
          <w:szCs w:val="16"/>
        </w:rPr>
        <w:t>1050</w:t>
      </w:r>
      <w:r>
        <w:rPr>
          <w:rFonts w:ascii="宋体" w:hAnsi="宋体" w:cs="宋体" w:eastAsia="宋体" w:hint="default"/>
          <w:spacing w:val="-5"/>
          <w:sz w:val="16"/>
          <w:szCs w:val="16"/>
        </w:rPr>
        <w:t>万元，因新冠肺炎疫情影响、相关合同约定的推广事宜未能如期进行，后期</w:t>
      </w:r>
      <w:r>
        <w:rPr>
          <w:rFonts w:ascii="宋体" w:hAnsi="宋体" w:cs="宋体" w:eastAsia="宋体" w:hint="default"/>
          <w:spacing w:val="24"/>
          <w:sz w:val="16"/>
          <w:szCs w:val="16"/>
        </w:rPr>
        <w:t> </w:t>
      </w:r>
      <w:r>
        <w:rPr>
          <w:rFonts w:ascii="宋体" w:hAnsi="宋体" w:cs="宋体" w:eastAsia="宋体" w:hint="default"/>
          <w:spacing w:val="24"/>
          <w:sz w:val="16"/>
          <w:szCs w:val="16"/>
        </w:rPr>
      </w:r>
      <w:r>
        <w:rPr>
          <w:rFonts w:ascii="宋体" w:hAnsi="宋体" w:cs="宋体" w:eastAsia="宋体" w:hint="default"/>
          <w:spacing w:val="-5"/>
          <w:w w:val="105"/>
          <w:sz w:val="16"/>
          <w:szCs w:val="16"/>
        </w:rPr>
        <w:t>合同是否履约存在不确定性。经与对方协商取消合同约定的交易事项，于</w:t>
      </w:r>
      <w:r>
        <w:rPr>
          <w:rFonts w:ascii="Times New Roman" w:hAnsi="Times New Roman" w:cs="Times New Roman" w:eastAsia="Times New Roman" w:hint="default"/>
          <w:spacing w:val="-5"/>
          <w:w w:val="105"/>
          <w:sz w:val="16"/>
          <w:szCs w:val="16"/>
        </w:rPr>
        <w:t>2020</w:t>
      </w:r>
      <w:r>
        <w:rPr>
          <w:rFonts w:ascii="宋体" w:hAnsi="宋体" w:cs="宋体" w:eastAsia="宋体" w:hint="default"/>
          <w:spacing w:val="-5"/>
          <w:w w:val="105"/>
          <w:sz w:val="16"/>
          <w:szCs w:val="16"/>
        </w:rPr>
        <w:t>年</w:t>
      </w:r>
      <w:r>
        <w:rPr>
          <w:rFonts w:ascii="Times New Roman" w:hAnsi="Times New Roman" w:cs="Times New Roman" w:eastAsia="Times New Roman" w:hint="default"/>
          <w:spacing w:val="-5"/>
          <w:w w:val="105"/>
          <w:sz w:val="16"/>
          <w:szCs w:val="16"/>
        </w:rPr>
        <w:t>4</w:t>
      </w:r>
      <w:r>
        <w:rPr>
          <w:rFonts w:ascii="宋体" w:hAnsi="宋体" w:cs="宋体" w:eastAsia="宋体" w:hint="default"/>
          <w:spacing w:val="-5"/>
          <w:w w:val="105"/>
          <w:sz w:val="16"/>
          <w:szCs w:val="16"/>
        </w:rPr>
        <w:t>月</w:t>
      </w:r>
      <w:r>
        <w:rPr>
          <w:rFonts w:ascii="Times New Roman" w:hAnsi="Times New Roman" w:cs="Times New Roman" w:eastAsia="Times New Roman" w:hint="default"/>
          <w:spacing w:val="-5"/>
          <w:w w:val="105"/>
          <w:sz w:val="16"/>
          <w:szCs w:val="16"/>
        </w:rPr>
        <w:t>27</w:t>
      </w:r>
      <w:r>
        <w:rPr>
          <w:rFonts w:ascii="宋体" w:hAnsi="宋体" w:cs="宋体" w:eastAsia="宋体" w:hint="default"/>
          <w:spacing w:val="-5"/>
          <w:w w:val="105"/>
          <w:sz w:val="16"/>
          <w:szCs w:val="16"/>
        </w:rPr>
        <w:t>日收回该款项。</w:t>
      </w:r>
      <w:r>
        <w:rPr>
          <w:rFonts w:ascii="宋体" w:hAnsi="宋体" w:cs="宋体" w:eastAsia="宋体" w:hint="default"/>
          <w:spacing w:val="-5"/>
          <w:sz w:val="16"/>
          <w:szCs w:val="16"/>
        </w:rPr>
      </w:r>
    </w:p>
    <w:p>
      <w:pPr>
        <w:spacing w:before="19"/>
        <w:ind w:left="456" w:right="0" w:firstLine="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pacing w:val="3"/>
          <w:sz w:val="16"/>
          <w:szCs w:val="16"/>
        </w:rPr>
        <w:t>2.      </w:t>
      </w:r>
      <w:r>
        <w:rPr>
          <w:rFonts w:ascii="Times New Roman" w:hAnsi="Times New Roman" w:cs="Times New Roman" w:eastAsia="Times New Roman" w:hint="default"/>
          <w:spacing w:val="45"/>
          <w:sz w:val="16"/>
          <w:szCs w:val="16"/>
        </w:rPr>
        <w:t> </w:t>
      </w:r>
      <w:r>
        <w:rPr>
          <w:rFonts w:ascii="宋体" w:hAnsi="宋体" w:cs="宋体" w:eastAsia="宋体" w:hint="default"/>
          <w:spacing w:val="-5"/>
          <w:sz w:val="16"/>
          <w:szCs w:val="16"/>
        </w:rPr>
        <w:t>期末余额前</w:t>
      </w:r>
      <w:r>
        <w:rPr>
          <w:rFonts w:ascii="Times New Roman" w:hAnsi="Times New Roman" w:cs="Times New Roman" w:eastAsia="Times New Roman" w:hint="default"/>
          <w:spacing w:val="-5"/>
          <w:sz w:val="16"/>
          <w:szCs w:val="16"/>
        </w:rPr>
        <w:t>5</w:t>
      </w:r>
      <w:r>
        <w:rPr>
          <w:rFonts w:ascii="宋体" w:hAnsi="宋体" w:cs="宋体" w:eastAsia="宋体" w:hint="default"/>
          <w:spacing w:val="-5"/>
          <w:sz w:val="16"/>
          <w:szCs w:val="16"/>
        </w:rPr>
        <w:t>名的预付款项合计数为</w:t>
      </w:r>
      <w:r>
        <w:rPr>
          <w:rFonts w:ascii="Times New Roman" w:hAnsi="Times New Roman" w:cs="Times New Roman" w:eastAsia="Times New Roman" w:hint="default"/>
          <w:spacing w:val="-5"/>
          <w:sz w:val="16"/>
          <w:szCs w:val="16"/>
        </w:rPr>
        <w:t>49,936,173.78</w:t>
      </w:r>
      <w:r>
        <w:rPr>
          <w:rFonts w:ascii="宋体" w:hAnsi="宋体" w:cs="宋体" w:eastAsia="宋体" w:hint="default"/>
          <w:spacing w:val="-5"/>
          <w:sz w:val="16"/>
          <w:szCs w:val="16"/>
        </w:rPr>
        <w:t>元，占预付款项期末余额合计数的比例为</w:t>
      </w:r>
      <w:r>
        <w:rPr>
          <w:rFonts w:ascii="Times New Roman" w:hAnsi="Times New Roman" w:cs="Times New Roman" w:eastAsia="Times New Roman" w:hint="default"/>
          <w:spacing w:val="-5"/>
          <w:sz w:val="16"/>
          <w:szCs w:val="16"/>
        </w:rPr>
        <w:t>56.62%.</w:t>
      </w:r>
    </w:p>
    <w:p>
      <w:pPr>
        <w:spacing w:after="0"/>
        <w:jc w:val="left"/>
        <w:rPr>
          <w:rFonts w:ascii="Times New Roman" w:hAnsi="Times New Roman" w:cs="Times New Roman" w:eastAsia="Times New Roman" w:hint="default"/>
          <w:sz w:val="16"/>
          <w:szCs w:val="16"/>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61"/>
        <w:ind w:right="0"/>
        <w:jc w:val="left"/>
        <w:rPr>
          <w:b w:val="0"/>
          <w:bCs w:val="0"/>
        </w:rPr>
      </w:pPr>
      <w:bookmarkStart w:name="（2）按预付对象归集的期末余额前五名的预付款情况" w:id="262"/>
      <w:bookmarkEnd w:id="26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515"/>
        <w:gridCol w:w="2703"/>
        <w:gridCol w:w="2516"/>
      </w:tblGrid>
      <w:tr>
        <w:trPr>
          <w:trHeight w:val="368" w:hRule="exact"/>
        </w:trPr>
        <w:tc>
          <w:tcPr>
            <w:tcW w:w="3515" w:type="dxa"/>
            <w:tcBorders>
              <w:top w:val="single" w:sz="6" w:space="0" w:color="000000"/>
              <w:left w:val="single" w:sz="6" w:space="0" w:color="000000"/>
              <w:bottom w:val="single" w:sz="12" w:space="0" w:color="000000"/>
              <w:right w:val="single" w:sz="6" w:space="0" w:color="000000"/>
            </w:tcBorders>
          </w:tcPr>
          <w:p>
            <w:pPr/>
          </w:p>
        </w:tc>
        <w:tc>
          <w:tcPr>
            <w:tcW w:w="2703" w:type="dxa"/>
            <w:tcBorders>
              <w:top w:val="single" w:sz="6" w:space="0" w:color="000000"/>
              <w:left w:val="single" w:sz="6" w:space="0" w:color="000000"/>
              <w:bottom w:val="single" w:sz="12" w:space="0" w:color="000000"/>
              <w:right w:val="single" w:sz="6" w:space="0" w:color="000000"/>
            </w:tcBorders>
          </w:tcPr>
          <w:p>
            <w:pPr/>
          </w:p>
        </w:tc>
        <w:tc>
          <w:tcPr>
            <w:tcW w:w="2516" w:type="dxa"/>
            <w:tcBorders>
              <w:top w:val="single" w:sz="6" w:space="0" w:color="000000"/>
              <w:left w:val="single" w:sz="6" w:space="0" w:color="000000"/>
              <w:bottom w:val="single" w:sz="12" w:space="0" w:color="000000"/>
              <w:right w:val="nil" w:sz="6" w:space="0" w:color="auto"/>
            </w:tcBorders>
          </w:tcPr>
          <w:p>
            <w:pPr/>
          </w:p>
        </w:tc>
      </w:tr>
      <w:tr>
        <w:trPr>
          <w:trHeight w:val="345"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3515" w:type="dxa"/>
            <w:tcBorders>
              <w:top w:val="single" w:sz="12" w:space="0" w:color="000000"/>
              <w:left w:val="single" w:sz="6" w:space="0" w:color="000000"/>
              <w:bottom w:val="single" w:sz="12" w:space="0" w:color="000000"/>
              <w:right w:val="single" w:sz="6" w:space="0" w:color="000000"/>
            </w:tcBorders>
          </w:tcPr>
          <w:p>
            <w:pPr/>
          </w:p>
        </w:tc>
        <w:tc>
          <w:tcPr>
            <w:tcW w:w="2703" w:type="dxa"/>
            <w:tcBorders>
              <w:top w:val="single" w:sz="12" w:space="0" w:color="000000"/>
              <w:left w:val="single" w:sz="6" w:space="0" w:color="000000"/>
              <w:bottom w:val="single" w:sz="12" w:space="0" w:color="000000"/>
              <w:right w:val="single" w:sz="6" w:space="0" w:color="000000"/>
            </w:tcBorders>
          </w:tcPr>
          <w:p>
            <w:pPr/>
          </w:p>
        </w:tc>
        <w:tc>
          <w:tcPr>
            <w:tcW w:w="2516"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3515" w:type="dxa"/>
            <w:tcBorders>
              <w:top w:val="single" w:sz="12" w:space="0" w:color="000000"/>
              <w:left w:val="single" w:sz="6" w:space="0" w:color="000000"/>
              <w:bottom w:val="single" w:sz="12" w:space="0" w:color="000000"/>
              <w:right w:val="nil" w:sz="6" w:space="0" w:color="auto"/>
            </w:tcBorders>
          </w:tcPr>
          <w:p>
            <w:pPr/>
          </w:p>
        </w:tc>
        <w:tc>
          <w:tcPr>
            <w:tcW w:w="5219" w:type="dxa"/>
            <w:gridSpan w:val="2"/>
            <w:tcBorders>
              <w:top w:val="single" w:sz="12" w:space="0" w:color="000000"/>
              <w:left w:val="nil" w:sz="6" w:space="0" w:color="auto"/>
              <w:bottom w:val="nil" w:sz="6" w:space="0" w:color="auto"/>
              <w:right w:val="nil" w:sz="6" w:space="0" w:color="auto"/>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8、其他应收款" w:id="263"/>
      <w:bookmarkEnd w:id="263"/>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64,824.65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74,631,851.75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1,546,181,588.64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74,631,851.75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1,546,246,413.29</w:t>
            </w:r>
          </w:p>
        </w:tc>
      </w:tr>
    </w:tbl>
    <w:p>
      <w:pPr>
        <w:spacing w:line="240" w:lineRule="auto" w:before="11"/>
        <w:rPr>
          <w:rFonts w:ascii="宋体" w:hAnsi="宋体" w:cs="宋体" w:eastAsia="宋体" w:hint="default"/>
          <w:sz w:val="19"/>
          <w:szCs w:val="19"/>
        </w:rPr>
      </w:pPr>
    </w:p>
    <w:p>
      <w:pPr>
        <w:pStyle w:val="Heading4"/>
        <w:spacing w:line="496" w:lineRule="auto" w:before="35"/>
        <w:ind w:right="9129"/>
        <w:jc w:val="left"/>
        <w:rPr>
          <w:b w:val="0"/>
          <w:bCs w:val="0"/>
        </w:rPr>
      </w:pPr>
      <w:bookmarkStart w:name="（1）应收利息" w:id="264"/>
      <w:bookmarkEnd w:id="264"/>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65"/>
      <w:bookmarkEnd w:id="265"/>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银行理财产品利息</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64,824.65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64,824.65</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重要逾期利息" w:id="266"/>
      <w:bookmarkEnd w:id="26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3）坏账准备计提情况" w:id="267"/>
      <w:bookmarkEnd w:id="26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508" w:lineRule="auto"/>
        <w:ind w:right="9129"/>
        <w:jc w:val="left"/>
        <w:rPr>
          <w:b w:val="0"/>
          <w:bCs w:val="0"/>
        </w:rPr>
      </w:pPr>
      <w:bookmarkStart w:name="（2）应收股利" w:id="268"/>
      <w:bookmarkEnd w:id="268"/>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69"/>
      <w:bookmarkEnd w:id="269"/>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5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70"/>
      <w:bookmarkEnd w:id="270"/>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坏账准备计提情况" w:id="271"/>
      <w:bookmarkEnd w:id="27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5"/>
        <w:rPr>
          <w:rFonts w:ascii="宋体" w:hAnsi="宋体" w:cs="宋体" w:eastAsia="宋体" w:hint="default"/>
          <w:sz w:val="25"/>
          <w:szCs w:val="25"/>
        </w:rPr>
      </w:pPr>
    </w:p>
    <w:p>
      <w:pPr>
        <w:pStyle w:val="Heading4"/>
        <w:spacing w:line="496" w:lineRule="auto"/>
        <w:ind w:right="7481"/>
        <w:jc w:val="left"/>
        <w:rPr>
          <w:b w:val="0"/>
          <w:bCs w:val="0"/>
        </w:rPr>
      </w:pPr>
      <w:bookmarkStart w:name="（3）其他应收款" w:id="272"/>
      <w:bookmarkEnd w:id="272"/>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73"/>
      <w:bookmarkEnd w:id="273"/>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41,531,579.70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占用款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1,531,958,817.28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494,841.12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1,882,375.83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6,660,249.99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616,209.56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2,389,351.48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3,811,608.68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6,980.00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6,553,506.35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6,877,590.66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-2,263,428.37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-2,206,241.89</w:t>
            </w:r>
            <w:r>
              <w:rPr>
                <w:rFonts w:ascii="Times New Roman"/>
                <w:sz w:val="18"/>
              </w:rPr>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74,631,851.75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1,546,181,588.64</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坏账准备计提情况" w:id="274"/>
      <w:bookmarkEnd w:id="27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2,206,241.89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2,206,241.89</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2,082,772.95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115,468.94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2,206,241.89</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-33,635.17</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8,300.00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-23,335.17</w:t>
            </w:r>
            <w:r>
              <w:rPr>
                <w:rFonts w:ascii="Times New Roman"/>
                <w:sz w:val="18"/>
              </w:rPr>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96,768.94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96,768.94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177,290.59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177,290.59</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2,226,428.37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10,000.00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2,263,428.37</w:t>
            </w:r>
          </w:p>
        </w:tc>
      </w:tr>
    </w:tbl>
    <w:p>
      <w:pPr>
        <w:pStyle w:val="BodyText"/>
        <w:spacing w:line="240" w:lineRule="auto"/>
        <w:ind w:right="0"/>
        <w:jc w:val="left"/>
      </w:pPr>
      <w:r>
        <w:rPr/>
        <w:t>损失准备本期变动金额重大的账面余额变动情况</w:t>
      </w:r>
    </w:p>
    <w:p>
      <w:pPr>
        <w:spacing w:after="0" w:line="240" w:lineRule="auto"/>
        <w:jc w:val="left"/>
        <w:sectPr>
          <w:pgSz w:w="11910" w:h="16850"/>
          <w:pgMar w:header="731" w:footer="981" w:top="1040" w:bottom="1180" w:left="1000" w:right="0"/>
        </w:sectPr>
      </w:pPr>
    </w:p>
    <w:p>
      <w:pPr>
        <w:pStyle w:val="BodyText"/>
        <w:spacing w:line="319"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54,804,570.19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21,425,808.77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463,541.51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201,359.65</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152,615.96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48,743.69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76,895,280.12</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收回或转回的坏账准备情况" w:id="275"/>
      <w:bookmarkEnd w:id="27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4）本期实际核销的其他应收款情况" w:id="276"/>
      <w:bookmarkEnd w:id="27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1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31" w:hRule="exact"/>
        </w:trPr>
        <w:tc>
          <w:tcPr>
            <w:tcW w:w="4776" w:type="dxa"/>
            <w:tcBorders>
              <w:top w:val="nil" w:sz="6" w:space="0" w:color="auto"/>
              <w:left w:val="nil" w:sz="6" w:space="0" w:color="auto"/>
              <w:bottom w:val="single" w:sz="6" w:space="0" w:color="000000"/>
              <w:right w:val="nil" w:sz="6" w:space="0" w:color="auto"/>
            </w:tcBorders>
          </w:tcPr>
          <w:p>
            <w:pPr/>
          </w:p>
        </w:tc>
        <w:tc>
          <w:tcPr>
            <w:tcW w:w="4806" w:type="dxa"/>
            <w:tcBorders>
              <w:top w:val="nil" w:sz="6" w:space="0" w:color="auto"/>
              <w:left w:val="nil" w:sz="6" w:space="0" w:color="auto"/>
              <w:bottom w:val="single" w:sz="6" w:space="0" w:color="000000"/>
              <w:right w:val="nil" w:sz="6" w:space="0" w:color="auto"/>
            </w:tcBorders>
          </w:tcPr>
          <w:p>
            <w:pP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pict>
          <v:group style="position:absolute;margin-left:55.575001pt;margin-top:-36.413258pt;width:485.85pt;height:.1pt;mso-position-horizontal-relative:page;mso-position-vertical-relative:paragraph;z-index:-1110760" coordorigin="1112,-728" coordsize="9717,2">
            <v:shape style="position:absolute;left:1112;top:-728;width:9717;height:2" coordorigin="1112,-728" coordsize="9717,0" path="m1112,-728l10829,-728e" filled="false" stroked="true" strokeweight=".75pt" strokecolor="#000000">
              <v:path arrowok="t"/>
            </v:shape>
            <w10:wrap type="none"/>
          </v:group>
        </w:pict>
      </w:r>
      <w:r>
        <w:rPr/>
        <w:t>其中重要的其他应收款核销情况：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按欠款方归集的期末余额前五名的其他应收款情况" w:id="277"/>
      <w:bookmarkEnd w:id="27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20"/>
              <w:jc w:val="left"/>
              <w:rPr>
                <w:rFonts w:ascii="宋体" w:hAnsi="宋体" w:cs="宋体" w:eastAsia="宋体" w:hint="default"/>
                <w:sz w:val="18"/>
                <w:szCs w:val="18"/>
              </w:rPr>
            </w:pPr>
            <w:r>
              <w:rPr>
                <w:rFonts w:ascii="宋体" w:hAnsi="宋体" w:cs="宋体" w:eastAsia="宋体" w:hint="default"/>
                <w:sz w:val="18"/>
                <w:szCs w:val="18"/>
              </w:rPr>
              <w:t>美盛控股集团有限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股东资金占用款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42,031,579.70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26.66%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1,230,000.00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美盛控股集团有限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41,531,579.70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54.01%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开封市瑞美服装有 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3,499,819.60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174,990.98</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1,408,891.35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蔡步标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1.33%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51,000.00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潘海艇</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49,000.00</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68,940,290.65</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89.65%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1,504,990.98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78"/>
      <w:bookmarkEnd w:id="27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279"/>
      <w:bookmarkEnd w:id="27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280"/>
      <w:bookmarkEnd w:id="28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pStyle w:val="BodyText"/>
        <w:spacing w:line="290" w:lineRule="auto" w:before="124"/>
        <w:ind w:right="1119"/>
        <w:jc w:val="left"/>
      </w:pPr>
      <w:r>
        <w:rPr/>
        <w:t>注：</w:t>
      </w:r>
      <w:r>
        <w:rPr>
          <w:rFonts w:ascii="Times New Roman" w:hAnsi="Times New Roman" w:cs="Times New Roman" w:eastAsia="Times New Roman" w:hint="default"/>
        </w:rPr>
        <w:t>1</w:t>
      </w:r>
      <w:r>
        <w:rPr/>
        <w:t>、本期其他应收款减少的主要原因为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日前公司收回</w:t>
      </w:r>
      <w:r>
        <w:rPr>
          <w:rFonts w:ascii="Times New Roman" w:hAnsi="Times New Roman" w:cs="Times New Roman" w:eastAsia="Times New Roman" w:hint="default"/>
        </w:rPr>
        <w:t>2018</w:t>
      </w:r>
      <w:r>
        <w:rPr/>
        <w:t>年度控股股东非经营性资金占用款合计</w:t>
      </w:r>
      <w:r>
        <w:rPr>
          <w:rFonts w:ascii="Times New Roman" w:hAnsi="Times New Roman" w:cs="Times New Roman" w:eastAsia="Times New Roman" w:hint="default"/>
        </w:rPr>
        <w:t>151,195.88</w:t>
      </w:r>
      <w:r>
        <w:rPr>
          <w:rFonts w:ascii="Times New Roman" w:hAnsi="Times New Roman" w:cs="Times New Roman" w:eastAsia="Times New Roman" w:hint="default"/>
          <w:spacing w:val="-38"/>
        </w:rPr>
        <w:t> </w:t>
      </w:r>
      <w:r>
        <w:rPr/>
        <w:t>万元；</w:t>
      </w:r>
    </w:p>
    <w:p>
      <w:pPr>
        <w:pStyle w:val="BodyText"/>
        <w:spacing w:line="288" w:lineRule="auto" w:before="57"/>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月，公司子公司杭州美盛爱彼文化发展有限公司之控股子公司杭州业盛实业有限公司向美盛控股集团有限公</w:t>
      </w:r>
      <w:r>
        <w:rPr/>
        <w:t> 司（以下简称美盛控股）拆出资金</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2019</w:t>
      </w:r>
      <w:r>
        <w:rPr/>
        <w:t>年末资金占用余额为</w:t>
      </w:r>
      <w:r>
        <w:rPr>
          <w:rFonts w:ascii="Times New Roman" w:hAnsi="Times New Roman" w:cs="Times New Roman" w:eastAsia="Times New Roman" w:hint="default"/>
        </w:rPr>
        <w:t>50</w:t>
      </w:r>
      <w:r>
        <w:rPr/>
        <w:t>万元。截至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日，公司已收到美盛控股归</w:t>
      </w:r>
      <w:r>
        <w:rPr>
          <w:spacing w:val="-85"/>
        </w:rPr>
        <w:t> </w:t>
      </w:r>
      <w:r>
        <w:rPr/>
        <w:t>还的上述款项；</w:t>
      </w:r>
    </w:p>
    <w:p>
      <w:pPr>
        <w:spacing w:after="0" w:line="288" w:lineRule="auto"/>
        <w:jc w:val="both"/>
        <w:sectPr>
          <w:pgSz w:w="11910" w:h="16850"/>
          <w:pgMar w:header="731" w:footer="981" w:top="1040" w:bottom="1180" w:left="1000" w:right="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95" w:lineRule="auto"/>
        <w:ind w:right="1113"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日，公司</w:t>
      </w:r>
      <w:r>
        <w:rPr>
          <w:rFonts w:ascii="Times New Roman" w:hAnsi="Times New Roman" w:cs="Times New Roman" w:eastAsia="Times New Roman" w:hint="default"/>
          <w:spacing w:val="-2"/>
        </w:rPr>
        <w:t>2018</w:t>
      </w:r>
      <w:r>
        <w:rPr>
          <w:spacing w:val="-2"/>
        </w:rPr>
        <w:t>年度股东大会决议通过《关于收购同道大叔</w:t>
      </w:r>
      <w:r>
        <w:rPr>
          <w:spacing w:val="28"/>
        </w:rPr>
        <w:t> </w:t>
      </w:r>
      <w:r>
        <w:rPr>
          <w:rFonts w:ascii="Times New Roman" w:hAnsi="Times New Roman" w:cs="Times New Roman" w:eastAsia="Times New Roman" w:hint="default"/>
          <w:spacing w:val="-2"/>
        </w:rPr>
        <w:t>72.5%</w:t>
      </w:r>
      <w:r>
        <w:rPr>
          <w:spacing w:val="-2"/>
        </w:rPr>
        <w:t>股权暨关联交易的议案》，深圳市同道</w:t>
      </w:r>
      <w:r>
        <w:rPr/>
        <w:t> 大叔文化传播有限公司（以下简称同道大叔公司）自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日纳入公司合并范围，</w:t>
      </w:r>
      <w:r>
        <w:rPr>
          <w:rFonts w:ascii="Times New Roman" w:hAnsi="Times New Roman" w:cs="Times New Roman" w:eastAsia="Times New Roman" w:hint="default"/>
        </w:rPr>
        <w:t>2018</w:t>
      </w:r>
      <w:r>
        <w:rPr/>
        <w:t>年度，同道大叔向控股股东美</w:t>
      </w:r>
      <w:r>
        <w:rPr>
          <w:spacing w:val="-83"/>
        </w:rPr>
        <w:t> </w:t>
      </w:r>
      <w:r>
        <w:rPr/>
        <w:t>盛控股拆出资金共计</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2019</w:t>
      </w:r>
      <w:r>
        <w:rPr/>
        <w:t>年末资金占用余额为</w:t>
      </w:r>
      <w:r>
        <w:rPr>
          <w:rFonts w:ascii="Times New Roman" w:hAnsi="Times New Roman" w:cs="Times New Roman" w:eastAsia="Times New Roman" w:hint="default"/>
        </w:rPr>
        <w:t>2000</w:t>
      </w:r>
      <w:r>
        <w:rPr/>
        <w:t>万元。截至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日，公司已收到美盛控股归还的上述</w:t>
      </w:r>
      <w:r>
        <w:rPr>
          <w:spacing w:val="-86"/>
        </w:rPr>
        <w:t> </w:t>
      </w:r>
      <w:r>
        <w:rPr/>
        <w:t>款项。</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9、存货" w:id="281"/>
      <w:bookmarkEnd w:id="281"/>
      <w:r>
        <w:rPr>
          <w:b w:val="0"/>
          <w:bCs w:val="0"/>
        </w:rPr>
      </w:r>
      <w:r>
        <w:rPr>
          <w:rFonts w:ascii="Times New Roman" w:hAnsi="Times New Roman" w:cs="Times New Roman" w:eastAsia="Times New Roman" w:hint="default"/>
        </w:rPr>
        <w:t>9</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存货分类" w:id="282"/>
      <w:bookmarkEnd w:id="28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331" w:lineRule="auto"/>
        <w:ind w:right="-19"/>
        <w:jc w:val="left"/>
      </w:pPr>
      <w:r>
        <w:rPr/>
        <w:t>公司需遵守《深圳证券交易所行业信息披露指引第</w:t>
      </w:r>
      <w:r>
        <w:rPr>
          <w:spacing w:val="-40"/>
        </w:rPr>
        <w:t> </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7888" w:space="958"/>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3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45"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9"/>
        <w:ind w:right="0"/>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81"/>
        <w:gridCol w:w="811"/>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0" w:right="45" w:hanging="271"/>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29"/>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29"/>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4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9"/>
        <w:ind w:right="0"/>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46"/>
        <w:gridCol w:w="932"/>
        <w:gridCol w:w="1141"/>
        <w:gridCol w:w="1172"/>
        <w:gridCol w:w="1171"/>
        <w:gridCol w:w="1412"/>
        <w:gridCol w:w="1397"/>
        <w:gridCol w:w="1412"/>
      </w:tblGrid>
      <w:tr>
        <w:trPr>
          <w:trHeight w:val="706" w:hRule="exact"/>
        </w:trPr>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10" w:right="59" w:hanging="451"/>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55" w:right="59" w:hanging="181"/>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60"/>
        <w:ind w:right="0"/>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37"/>
        <w:gridCol w:w="1773"/>
        <w:gridCol w:w="2162"/>
        <w:gridCol w:w="1652"/>
        <w:gridCol w:w="2658"/>
      </w:tblGrid>
      <w:tr>
        <w:trPr>
          <w:trHeight w:val="390"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和合同履约成本减值准备" w:id="283"/>
      <w:bookmarkEnd w:id="283"/>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50"/>
          <w:pgMar w:top="1040" w:bottom="1180" w:left="1000" w:right="0"/>
        </w:sectPr>
      </w:pPr>
    </w:p>
    <w:p>
      <w:pPr>
        <w:pStyle w:val="BodyText"/>
        <w:spacing w:line="352" w:lineRule="auto"/>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3562" w:space="528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901"/>
        <w:gridCol w:w="1186"/>
        <w:gridCol w:w="1066"/>
        <w:gridCol w:w="1337"/>
        <w:gridCol w:w="1457"/>
        <w:gridCol w:w="1202"/>
        <w:gridCol w:w="1066"/>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9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7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按主要项目分类：</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901"/>
        <w:gridCol w:w="1186"/>
        <w:gridCol w:w="1066"/>
        <w:gridCol w:w="1337"/>
        <w:gridCol w:w="1457"/>
        <w:gridCol w:w="1202"/>
        <w:gridCol w:w="1066"/>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7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中利息资本化率的情况" w:id="284"/>
      <w:bookmarkEnd w:id="284"/>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4）存货受限情况" w:id="285"/>
      <w:bookmarkEnd w:id="285"/>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按项目披露受限存货情况：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749"/>
        <w:gridCol w:w="1817"/>
        <w:gridCol w:w="2508"/>
        <w:gridCol w:w="2508"/>
      </w:tblGrid>
      <w:tr>
        <w:trPr>
          <w:trHeight w:val="766"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存货分类" w:id="286"/>
      <w:bookmarkEnd w:id="286"/>
      <w:r>
        <w:rPr>
          <w:b w:val="0"/>
          <w:bCs w:val="0"/>
        </w:rPr>
      </w:r>
      <w:r>
        <w:rPr/>
        <w:t>（</w:t>
      </w:r>
      <w:r>
        <w:rPr>
          <w:rFonts w:ascii="Times New Roman" w:hAnsi="Times New Roman" w:cs="Times New Roman" w:eastAsia="Times New Roman" w:hint="default"/>
        </w:rPr>
        <w:t>5</w:t>
      </w:r>
      <w:r>
        <w:rPr/>
        <w:t>）存货分类</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3004"/>
        <w:jc w:val="left"/>
      </w:pPr>
      <w:r>
        <w:rPr/>
        <w:t>公司需遵守《深圳证券交易所行业信息披露指引第</w:t>
      </w:r>
      <w:r>
        <w:rPr>
          <w:spacing w:val="-40"/>
        </w:rPr>
        <w:t> </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上市公司从事房地产业务》的披露要求 按性质分类：</w:t>
      </w:r>
    </w:p>
    <w:p>
      <w:pPr>
        <w:pStyle w:val="BodyText"/>
        <w:spacing w:line="240" w:lineRule="auto" w:before="67"/>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9"/>
        <w:ind w:right="0"/>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81"/>
        <w:gridCol w:w="811"/>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0" w:right="45" w:hanging="271"/>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4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9"/>
        <w:ind w:right="0"/>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46"/>
        <w:gridCol w:w="932"/>
        <w:gridCol w:w="1141"/>
        <w:gridCol w:w="1172"/>
        <w:gridCol w:w="1171"/>
        <w:gridCol w:w="1412"/>
        <w:gridCol w:w="1397"/>
        <w:gridCol w:w="1412"/>
      </w:tblGrid>
      <w:tr>
        <w:trPr>
          <w:trHeight w:val="706" w:hRule="exact"/>
        </w:trPr>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10" w:right="59" w:hanging="451"/>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59" w:hanging="181"/>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60"/>
        <w:ind w:right="0"/>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37"/>
        <w:gridCol w:w="1773"/>
        <w:gridCol w:w="2162"/>
        <w:gridCol w:w="1652"/>
        <w:gridCol w:w="2658"/>
      </w:tblGrid>
      <w:tr>
        <w:trPr>
          <w:trHeight w:val="391"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6）存货跌价准备" w:id="287"/>
      <w:bookmarkEnd w:id="287"/>
      <w:r>
        <w:rPr>
          <w:b w:val="0"/>
          <w:bCs w:val="0"/>
        </w:rPr>
      </w:r>
      <w:r>
        <w:rPr/>
        <w:t>（</w:t>
      </w:r>
      <w:r>
        <w:rPr>
          <w:rFonts w:ascii="Times New Roman" w:hAnsi="Times New Roman" w:cs="Times New Roman" w:eastAsia="Times New Roman" w:hint="default"/>
        </w:rPr>
        <w:t>6</w:t>
      </w:r>
      <w:r>
        <w:rPr/>
        <w:t>）存货跌价准备</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按下列格式披露存货跌价准备金计提情况：</w:t>
      </w:r>
    </w:p>
    <w:p>
      <w:pPr>
        <w:pStyle w:val="BodyText"/>
        <w:spacing w:line="240" w:lineRule="auto" w:before="124"/>
        <w:ind w:right="0"/>
        <w:jc w:val="left"/>
      </w:pPr>
      <w:r>
        <w:rPr/>
        <w:t>按性质分类：</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901"/>
        <w:gridCol w:w="2253"/>
        <w:gridCol w:w="2793"/>
        <w:gridCol w:w="1202"/>
        <w:gridCol w:w="1066"/>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901"/>
        <w:gridCol w:w="1186"/>
        <w:gridCol w:w="1066"/>
        <w:gridCol w:w="1337"/>
        <w:gridCol w:w="1457"/>
        <w:gridCol w:w="1202"/>
        <w:gridCol w:w="1066"/>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按主要项目分类：</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901"/>
        <w:gridCol w:w="1186"/>
        <w:gridCol w:w="1066"/>
        <w:gridCol w:w="1337"/>
        <w:gridCol w:w="1457"/>
        <w:gridCol w:w="1202"/>
        <w:gridCol w:w="1066"/>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9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7）存货期末余额中利息资本化率的情况" w:id="288"/>
      <w:bookmarkEnd w:id="288"/>
      <w:r>
        <w:rPr>
          <w:b w:val="0"/>
          <w:bCs w:val="0"/>
        </w:rPr>
      </w: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8）存货受限情况" w:id="289"/>
      <w:bookmarkEnd w:id="289"/>
      <w:r>
        <w:rPr>
          <w:b w:val="0"/>
          <w:bCs w:val="0"/>
        </w:rPr>
      </w:r>
      <w:r>
        <w:rPr/>
        <w:t>（</w:t>
      </w:r>
      <w:r>
        <w:rPr>
          <w:rFonts w:ascii="Times New Roman" w:hAnsi="Times New Roman" w:cs="Times New Roman" w:eastAsia="Times New Roman" w:hint="default"/>
        </w:rPr>
        <w:t>8</w:t>
      </w:r>
      <w:r>
        <w:rPr/>
        <w:t>）存货受限情况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按项目披露受限存货情况：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749"/>
        <w:gridCol w:w="1817"/>
        <w:gridCol w:w="2508"/>
        <w:gridCol w:w="2508"/>
      </w:tblGrid>
      <w:tr>
        <w:trPr>
          <w:trHeight w:val="766" w:hRule="exact"/>
        </w:trPr>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9）期末建造合同形成的已完工未结算资产情况" w:id="290"/>
      <w:bookmarkEnd w:id="290"/>
      <w:r>
        <w:rPr>
          <w:b w:val="0"/>
          <w:bCs w:val="0"/>
        </w:rPr>
      </w: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1"/>
        <w:jc w:val="right"/>
      </w:pPr>
      <w:r>
        <w:rPr/>
        <w:t>单位：</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10）存货分类" w:id="291"/>
      <w:bookmarkEnd w:id="291"/>
      <w:r>
        <w:rPr>
          <w:b w:val="0"/>
          <w:bCs w:val="0"/>
        </w:rPr>
      </w:r>
      <w:r>
        <w:rPr/>
        <w:t>（</w:t>
      </w:r>
      <w:r>
        <w:rPr>
          <w:rFonts w:ascii="Times New Roman" w:hAnsi="Times New Roman" w:cs="Times New Roman" w:eastAsia="Times New Roman" w:hint="default"/>
        </w:rPr>
        <w:t>10</w:t>
      </w:r>
      <w:r>
        <w:rPr/>
        <w:t>）存货分类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35,923,351.56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652,753.22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35,270,598.34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10,321,659.69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10,321,659.69</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63,834,648.20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296,497.94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63,538,150.26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36,621,411.15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36,621,411.15</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54,490,208.29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10,352,549.49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44,137,658.80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66,499,612.58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12,906,476.29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53,593,136.29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42,926.83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42,926.83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94,826.44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94,826.44</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34,880,971.66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4,272,704.34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30,608,267.32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12,551,560.85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63,088.96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12,488,471.89</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5"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201,262.41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201,262.41</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46,271,466.85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21,528,983.89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24,742,482.96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35,425,630.18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18,052,990.67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17,372,639.51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1,530,308.51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1,530,308.51</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236,973,881.90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37,103,488.88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199,870,393.02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161,715,963.30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31,022,555.92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130,693,407.38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1）存货跌价准备" w:id="292"/>
      <w:bookmarkEnd w:id="292"/>
      <w:r>
        <w:rPr>
          <w:b w:val="0"/>
          <w:bCs w:val="0"/>
        </w:rPr>
      </w:r>
      <w:r>
        <w:rPr/>
        <w:t>（</w:t>
      </w:r>
      <w:r>
        <w:rPr>
          <w:rFonts w:ascii="Times New Roman" w:hAnsi="Times New Roman" w:cs="Times New Roman" w:eastAsia="Times New Roman" w:hint="default"/>
        </w:rPr>
        <w:t>11</w:t>
      </w:r>
      <w:r>
        <w:rPr/>
        <w:t>）存货跌价准备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203" w:hRule="exact"/>
        </w:trPr>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67"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17"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652,753.22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652,753.22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296,497.94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296,497.94</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12,906,476.29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-2,411,035.04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142,891.76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10,352,549.49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18,052,990.67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3,475,993.22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21,528,983.89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63,088.96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4,209,615.38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4,272,704.34</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31,022,555.92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6,223,824.72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142,891.76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37,103,488.88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2）存货期末余额含有借款费用资本化金额的说明" w:id="293"/>
      <w:bookmarkEnd w:id="293"/>
      <w:r>
        <w:rPr>
          <w:b w:val="0"/>
          <w:bCs w:val="0"/>
        </w:rPr>
      </w: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3）期末建造合同形成的已完工未结算资产情况" w:id="294"/>
      <w:bookmarkEnd w:id="294"/>
      <w:r>
        <w:rPr>
          <w:b w:val="0"/>
          <w:bCs w:val="0"/>
        </w:rPr>
      </w: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0、合同资产" w:id="295"/>
      <w:bookmarkEnd w:id="29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391"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0"/>
        <w:jc w:val="left"/>
      </w:pPr>
      <w:r>
        <w:rPr/>
        <w:t>合同资产的账面价值在本期内发生的重大变动金额和原因：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ind w:right="0"/>
        <w:jc w:val="left"/>
      </w:pPr>
      <w:r>
        <w:rPr/>
        <w:t>如是按照预期信用损失一般模型计提合同资产坏账准备，请参照其他应收款的披露方式披露坏账准备的相关信息：</w:t>
      </w:r>
    </w:p>
    <w:p>
      <w:pPr>
        <w:pStyle w:val="BodyText"/>
        <w:spacing w:line="331" w:lineRule="auto" w:before="125"/>
        <w:ind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本期合同资产计提减值准备情况</w:t>
      </w:r>
    </w:p>
    <w:p>
      <w:pPr>
        <w:pStyle w:val="BodyText"/>
        <w:spacing w:line="240" w:lineRule="auto" w:before="4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1、持有待售资产" w:id="296"/>
      <w:bookmarkEnd w:id="29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12、一年内到期的非流动资产" w:id="297"/>
      <w:bookmarkEnd w:id="29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3、其他流动资产" w:id="298"/>
      <w:bookmarkEnd w:id="29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9,974,374.57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3,716,629.55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5,483,780.24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1,685,972.81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23,458,154.81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5,402,602.36</w:t>
            </w:r>
          </w:p>
        </w:tc>
      </w:tr>
    </w:tbl>
    <w:p>
      <w:pPr>
        <w:pStyle w:val="BodyText"/>
        <w:spacing w:line="240" w:lineRule="auto" w:before="45"/>
        <w:ind w:right="0"/>
        <w:jc w:val="left"/>
      </w:pPr>
      <w:r>
        <w:rPr/>
        <w:t>其他说明：</w:t>
      </w:r>
    </w:p>
    <w:p>
      <w:pPr>
        <w:spacing w:line="340" w:lineRule="auto" w:before="133"/>
        <w:ind w:left="141" w:right="1095" w:firstLine="315"/>
        <w:jc w:val="both"/>
        <w:rPr>
          <w:rFonts w:ascii="宋体" w:hAnsi="宋体" w:cs="宋体" w:eastAsia="宋体" w:hint="default"/>
          <w:sz w:val="16"/>
          <w:szCs w:val="16"/>
        </w:rPr>
      </w:pPr>
      <w:r>
        <w:rPr>
          <w:rFonts w:ascii="宋体" w:hAnsi="宋体" w:cs="宋体" w:eastAsia="宋体" w:hint="default"/>
          <w:spacing w:val="-4"/>
          <w:sz w:val="16"/>
          <w:szCs w:val="16"/>
        </w:rPr>
        <w:t>注：</w:t>
      </w:r>
      <w:r>
        <w:rPr>
          <w:rFonts w:ascii="Times New Roman" w:hAnsi="Times New Roman" w:cs="Times New Roman" w:eastAsia="Times New Roman" w:hint="default"/>
          <w:spacing w:val="-4"/>
          <w:sz w:val="16"/>
          <w:szCs w:val="16"/>
        </w:rPr>
        <w:t>1</w:t>
      </w:r>
      <w:r>
        <w:rPr>
          <w:rFonts w:ascii="宋体" w:hAnsi="宋体" w:cs="宋体" w:eastAsia="宋体" w:hint="default"/>
          <w:spacing w:val="-4"/>
          <w:sz w:val="16"/>
          <w:szCs w:val="16"/>
        </w:rPr>
        <w:t>、</w:t>
      </w:r>
      <w:r>
        <w:rPr>
          <w:rFonts w:ascii="Times New Roman" w:hAnsi="Times New Roman" w:cs="Times New Roman" w:eastAsia="Times New Roman" w:hint="default"/>
          <w:spacing w:val="-4"/>
          <w:sz w:val="16"/>
          <w:szCs w:val="16"/>
        </w:rPr>
        <w:t>2019</w:t>
      </w:r>
      <w:r>
        <w:rPr>
          <w:rFonts w:ascii="宋体" w:hAnsi="宋体" w:cs="宋体" w:eastAsia="宋体" w:hint="default"/>
          <w:spacing w:val="-4"/>
          <w:sz w:val="16"/>
          <w:szCs w:val="16"/>
        </w:rPr>
        <w:t>年</w:t>
      </w:r>
      <w:r>
        <w:rPr>
          <w:rFonts w:ascii="Times New Roman" w:hAnsi="Times New Roman" w:cs="Times New Roman" w:eastAsia="Times New Roman" w:hint="default"/>
          <w:spacing w:val="-4"/>
          <w:sz w:val="16"/>
          <w:szCs w:val="16"/>
        </w:rPr>
        <w:t>12</w:t>
      </w:r>
      <w:r>
        <w:rPr>
          <w:rFonts w:ascii="宋体" w:hAnsi="宋体" w:cs="宋体" w:eastAsia="宋体" w:hint="default"/>
          <w:spacing w:val="-4"/>
          <w:sz w:val="16"/>
          <w:szCs w:val="16"/>
        </w:rPr>
        <w:t>月，公司与新昌县红旗装潢彩印厂合资成立新昌县聚盛纸制品有限公司，协议约定公司初始注册资本</w:t>
      </w:r>
      <w:r>
        <w:rPr>
          <w:rFonts w:ascii="Times New Roman" w:hAnsi="Times New Roman" w:cs="Times New Roman" w:eastAsia="Times New Roman" w:hint="default"/>
          <w:spacing w:val="-4"/>
          <w:sz w:val="16"/>
          <w:szCs w:val="16"/>
        </w:rPr>
        <w:t>800</w:t>
      </w:r>
      <w:r>
        <w:rPr>
          <w:rFonts w:ascii="宋体" w:hAnsi="宋体" w:cs="宋体" w:eastAsia="宋体" w:hint="default"/>
          <w:spacing w:val="-4"/>
          <w:sz w:val="16"/>
          <w:szCs w:val="16"/>
        </w:rPr>
        <w:t>万元，后各</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5"/>
          <w:sz w:val="16"/>
          <w:szCs w:val="16"/>
        </w:rPr>
        <w:t>股东又向新昌县聚盛纸质品有限公司增资，尚未办理工商变更，美盛文化出资</w:t>
      </w:r>
      <w:r>
        <w:rPr>
          <w:rFonts w:ascii="Times New Roman" w:hAnsi="Times New Roman" w:cs="Times New Roman" w:eastAsia="Times New Roman" w:hint="default"/>
          <w:spacing w:val="-5"/>
          <w:sz w:val="16"/>
          <w:szCs w:val="16"/>
        </w:rPr>
        <w:t>1,250</w:t>
      </w:r>
      <w:r>
        <w:rPr>
          <w:rFonts w:ascii="宋体" w:hAnsi="宋体" w:cs="宋体" w:eastAsia="宋体" w:hint="default"/>
          <w:spacing w:val="-5"/>
          <w:sz w:val="16"/>
          <w:szCs w:val="16"/>
        </w:rPr>
        <w:t>万，因工厂订单未达预期，公司决定减少投资、扣除新</w:t>
      </w:r>
      <w:r>
        <w:rPr>
          <w:rFonts w:ascii="宋体" w:hAnsi="宋体" w:cs="宋体" w:eastAsia="宋体" w:hint="default"/>
          <w:spacing w:val="34"/>
          <w:sz w:val="16"/>
          <w:szCs w:val="16"/>
        </w:rPr>
        <w:t> </w:t>
      </w:r>
      <w:r>
        <w:rPr>
          <w:rFonts w:ascii="宋体" w:hAnsi="宋体" w:cs="宋体" w:eastAsia="宋体" w:hint="default"/>
          <w:spacing w:val="34"/>
          <w:sz w:val="16"/>
          <w:szCs w:val="16"/>
        </w:rPr>
      </w:r>
      <w:r>
        <w:rPr>
          <w:rFonts w:ascii="宋体" w:hAnsi="宋体" w:cs="宋体" w:eastAsia="宋体" w:hint="default"/>
          <w:spacing w:val="-5"/>
          <w:w w:val="105"/>
          <w:sz w:val="16"/>
          <w:szCs w:val="16"/>
        </w:rPr>
        <w:t>昌县聚盛纸制品有限公司实际使用部分，剩余</w:t>
      </w:r>
      <w:r>
        <w:rPr>
          <w:rFonts w:ascii="Times New Roman" w:hAnsi="Times New Roman" w:cs="Times New Roman" w:eastAsia="Times New Roman" w:hint="default"/>
          <w:spacing w:val="-5"/>
          <w:w w:val="105"/>
          <w:sz w:val="16"/>
          <w:szCs w:val="16"/>
        </w:rPr>
        <w:t>800</w:t>
      </w:r>
      <w:r>
        <w:rPr>
          <w:rFonts w:ascii="宋体" w:hAnsi="宋体" w:cs="宋体" w:eastAsia="宋体" w:hint="default"/>
          <w:spacing w:val="-5"/>
          <w:w w:val="105"/>
          <w:sz w:val="16"/>
          <w:szCs w:val="16"/>
        </w:rPr>
        <w:t>万投资款于</w:t>
      </w:r>
      <w:r>
        <w:rPr>
          <w:rFonts w:ascii="Times New Roman" w:hAnsi="Times New Roman" w:cs="Times New Roman" w:eastAsia="Times New Roman" w:hint="default"/>
          <w:spacing w:val="-5"/>
          <w:w w:val="105"/>
          <w:sz w:val="16"/>
          <w:szCs w:val="16"/>
        </w:rPr>
        <w:t>2020</w:t>
      </w:r>
      <w:r>
        <w:rPr>
          <w:rFonts w:ascii="宋体" w:hAnsi="宋体" w:cs="宋体" w:eastAsia="宋体" w:hint="default"/>
          <w:spacing w:val="-5"/>
          <w:w w:val="105"/>
          <w:sz w:val="16"/>
          <w:szCs w:val="16"/>
        </w:rPr>
        <w:t>年</w:t>
      </w:r>
      <w:r>
        <w:rPr>
          <w:rFonts w:ascii="Times New Roman" w:hAnsi="Times New Roman" w:cs="Times New Roman" w:eastAsia="Times New Roman" w:hint="default"/>
          <w:spacing w:val="-5"/>
          <w:w w:val="105"/>
          <w:sz w:val="16"/>
          <w:szCs w:val="16"/>
        </w:rPr>
        <w:t>4</w:t>
      </w:r>
      <w:r>
        <w:rPr>
          <w:rFonts w:ascii="宋体" w:hAnsi="宋体" w:cs="宋体" w:eastAsia="宋体" w:hint="default"/>
          <w:spacing w:val="-5"/>
          <w:w w:val="105"/>
          <w:sz w:val="16"/>
          <w:szCs w:val="16"/>
        </w:rPr>
        <w:t>月</w:t>
      </w:r>
      <w:r>
        <w:rPr>
          <w:rFonts w:ascii="Times New Roman" w:hAnsi="Times New Roman" w:cs="Times New Roman" w:eastAsia="Times New Roman" w:hint="default"/>
          <w:spacing w:val="-5"/>
          <w:w w:val="105"/>
          <w:sz w:val="16"/>
          <w:szCs w:val="16"/>
        </w:rPr>
        <w:t>27</w:t>
      </w:r>
      <w:r>
        <w:rPr>
          <w:rFonts w:ascii="宋体" w:hAnsi="宋体" w:cs="宋体" w:eastAsia="宋体" w:hint="default"/>
          <w:spacing w:val="-5"/>
          <w:w w:val="105"/>
          <w:sz w:val="16"/>
          <w:szCs w:val="16"/>
        </w:rPr>
        <w:t>日收回。</w:t>
      </w:r>
      <w:r>
        <w:rPr>
          <w:rFonts w:ascii="宋体" w:hAnsi="宋体" w:cs="宋体" w:eastAsia="宋体" w:hint="default"/>
          <w:spacing w:val="-5"/>
          <w:sz w:val="16"/>
          <w:szCs w:val="16"/>
        </w:rPr>
      </w:r>
    </w:p>
    <w:p>
      <w:pPr>
        <w:spacing w:before="19"/>
        <w:ind w:left="456" w:right="0" w:firstLine="0"/>
        <w:jc w:val="left"/>
        <w:rPr>
          <w:rFonts w:ascii="宋体" w:hAnsi="宋体" w:cs="宋体" w:eastAsia="宋体" w:hint="default"/>
          <w:sz w:val="16"/>
          <w:szCs w:val="16"/>
        </w:rPr>
      </w:pPr>
      <w:r>
        <w:rPr>
          <w:rFonts w:ascii="Times New Roman" w:hAnsi="Times New Roman" w:cs="Times New Roman" w:eastAsia="Times New Roman" w:hint="default"/>
          <w:spacing w:val="-5"/>
          <w:w w:val="105"/>
          <w:sz w:val="16"/>
          <w:szCs w:val="16"/>
        </w:rPr>
        <w:t>2</w:t>
      </w:r>
      <w:r>
        <w:rPr>
          <w:rFonts w:ascii="宋体" w:hAnsi="宋体" w:cs="宋体" w:eastAsia="宋体" w:hint="default"/>
          <w:spacing w:val="-5"/>
          <w:w w:val="105"/>
          <w:sz w:val="16"/>
          <w:szCs w:val="16"/>
        </w:rPr>
        <w:t>、期初余额与报表差异原因见</w:t>
      </w:r>
      <w:r>
        <w:rPr>
          <w:rFonts w:ascii="Times New Roman" w:hAnsi="Times New Roman" w:cs="Times New Roman" w:eastAsia="Times New Roman" w:hint="default"/>
          <w:spacing w:val="-5"/>
          <w:w w:val="105"/>
          <w:sz w:val="16"/>
          <w:szCs w:val="16"/>
        </w:rPr>
        <w:t>“</w:t>
      </w:r>
      <w:r>
        <w:rPr>
          <w:rFonts w:ascii="宋体" w:hAnsi="宋体" w:cs="宋体" w:eastAsia="宋体" w:hint="default"/>
          <w:spacing w:val="-5"/>
          <w:w w:val="105"/>
          <w:sz w:val="16"/>
          <w:szCs w:val="16"/>
        </w:rPr>
        <w:t>三、（二十六）主要会计政策变更、会计估计变更的说明</w:t>
      </w:r>
      <w:r>
        <w:rPr>
          <w:rFonts w:ascii="Times New Roman" w:hAnsi="Times New Roman" w:cs="Times New Roman" w:eastAsia="Times New Roman" w:hint="default"/>
          <w:spacing w:val="-5"/>
          <w:w w:val="105"/>
          <w:sz w:val="16"/>
          <w:szCs w:val="16"/>
        </w:rPr>
        <w:t>”</w:t>
      </w:r>
      <w:r>
        <w:rPr>
          <w:rFonts w:ascii="宋体" w:hAnsi="宋体" w:cs="宋体" w:eastAsia="宋体" w:hint="default"/>
          <w:spacing w:val="-5"/>
          <w:w w:val="105"/>
          <w:sz w:val="16"/>
          <w:szCs w:val="16"/>
        </w:rPr>
        <w:t>。</w:t>
      </w:r>
      <w:r>
        <w:rPr>
          <w:rFonts w:ascii="宋体" w:hAnsi="宋体" w:cs="宋体" w:eastAsia="宋体" w:hint="default"/>
          <w:spacing w:val="-5"/>
          <w:sz w:val="16"/>
          <w:szCs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pStyle w:val="Heading4"/>
        <w:spacing w:line="240" w:lineRule="auto" w:before="143"/>
        <w:ind w:right="0"/>
        <w:jc w:val="left"/>
        <w:rPr>
          <w:b w:val="0"/>
          <w:bCs w:val="0"/>
        </w:rPr>
      </w:pPr>
      <w:bookmarkStart w:name="14、债权投资" w:id="299"/>
      <w:bookmarkEnd w:id="29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0"/>
        <w:jc w:val="left"/>
      </w:pPr>
      <w:r>
        <w:rPr/>
        <w:t>重要的债权投资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减值准备计提情况</w:t>
      </w:r>
    </w:p>
    <w:p>
      <w:pPr>
        <w:pStyle w:val="BodyText"/>
        <w:spacing w:line="240" w:lineRule="auto" w:before="110"/>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316"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15、其他债权投资" w:id="300"/>
      <w:bookmarkEnd w:id="30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5"/>
        <w:ind w:right="0"/>
        <w:jc w:val="left"/>
      </w:pPr>
      <w:r>
        <w:rPr/>
        <w:t>重要的其他债权投资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0"/>
        <w:jc w:val="left"/>
      </w:pPr>
      <w:r>
        <w:rPr/>
        <w:t>减值准备计提情况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ind w:right="0"/>
        <w:jc w:val="left"/>
      </w:pPr>
      <w:r>
        <w:rPr/>
        <w:t>损失准备本期变动金额重大的账面余额变动情况</w:t>
      </w:r>
    </w:p>
    <w:p>
      <w:pPr>
        <w:pStyle w:val="BodyText"/>
        <w:spacing w:line="316" w:lineRule="auto" w:before="14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16、长期应收款" w:id="301"/>
      <w:bookmarkEnd w:id="30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302"/>
      <w:bookmarkEnd w:id="30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坏账准备减值情况</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损失准备本期变动金额重大的账面余额变动情况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2）因金融资产转移而终止确认的长期应收款" w:id="303"/>
      <w:bookmarkEnd w:id="30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3）转移长期应收款且继续涉入形成的资产、负债金额" w:id="304"/>
      <w:bookmarkEnd w:id="30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7、长期股权投资" w:id="305"/>
      <w:bookmarkEnd w:id="30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北京微媒 互动科技 股份有限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3.09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-377,178.</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68,549,21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4.69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3"/>
              <w:jc w:val="both"/>
              <w:rPr>
                <w:rFonts w:ascii="宋体" w:hAnsi="宋体" w:cs="宋体" w:eastAsia="宋体" w:hint="default"/>
                <w:sz w:val="18"/>
                <w:szCs w:val="18"/>
              </w:rPr>
            </w:pPr>
            <w:r>
              <w:rPr>
                <w:rFonts w:ascii="宋体" w:hAnsi="宋体" w:cs="宋体" w:eastAsia="宋体" w:hint="default"/>
                <w:sz w:val="18"/>
                <w:szCs w:val="18"/>
              </w:rPr>
              <w:t>苏州梅酒 网络科技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196,825.3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196,825.3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3"/>
              <w:jc w:val="both"/>
              <w:rPr>
                <w:rFonts w:ascii="宋体" w:hAnsi="宋体" w:cs="宋体" w:eastAsia="宋体" w:hint="default"/>
                <w:sz w:val="18"/>
                <w:szCs w:val="18"/>
              </w:rPr>
            </w:pPr>
            <w:r>
              <w:rPr>
                <w:rFonts w:ascii="宋体" w:hAnsi="宋体" w:cs="宋体" w:eastAsia="宋体" w:hint="default"/>
                <w:sz w:val="18"/>
                <w:szCs w:val="18"/>
              </w:rPr>
              <w:t>瑾馨（上 海）教育 科技有限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13,629,71</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9.37</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-1,004,43</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9.73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12,625,27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9.64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87"/>
              <w:ind w:left="15" w:right="194"/>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pacing w:val="-3"/>
                <w:sz w:val="18"/>
              </w:rPr>
              <w:t>Pacific</w:t>
            </w:r>
            <w:r>
              <w:rPr>
                <w:rFonts w:ascii="Times New Roman"/>
                <w:spacing w:val="-41"/>
                <w:sz w:val="18"/>
              </w:rPr>
              <w:t> </w:t>
            </w:r>
            <w:r>
              <w:rPr>
                <w:rFonts w:ascii="Times New Roman"/>
                <w:spacing w:val="-41"/>
                <w:sz w:val="18"/>
              </w:rPr>
            </w:r>
            <w:r>
              <w:rPr>
                <w:rFonts w:ascii="Times New Roman"/>
                <w:sz w:val="18"/>
              </w:rPr>
              <w:t>Trading</w:t>
            </w:r>
            <w:r>
              <w:rPr>
                <w:rFonts w:ascii="Times New Roman"/>
                <w:sz w:val="18"/>
              </w:rPr>
              <w:t> </w:t>
            </w:r>
            <w:r>
              <w:rPr>
                <w:rFonts w:ascii="Times New Roman"/>
                <w:spacing w:val="-3"/>
                <w:sz w:val="18"/>
              </w:rPr>
              <w:t>Limited</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2,601,679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-1,202,50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7.46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1,399,171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Jakks</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MeiSheng</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2,452,275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70,957.25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2,523,233</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57"/>
              <w:ind w:left="15" w:right="89"/>
              <w:jc w:val="left"/>
              <w:rPr>
                <w:rFonts w:ascii="Times New Roman" w:hAnsi="Times New Roman" w:cs="Times New Roman" w:eastAsia="Times New Roman" w:hint="default"/>
                <w:sz w:val="18"/>
                <w:szCs w:val="18"/>
              </w:rPr>
            </w:pPr>
            <w:r>
              <w:rPr>
                <w:rFonts w:ascii="Times New Roman"/>
                <w:sz w:val="18"/>
              </w:rPr>
              <w:t>Animatio n</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.86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.11</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pacing w:val="3"/>
                <w:sz w:val="18"/>
              </w:rPr>
              <w:t>JAKKS</w:t>
            </w:r>
          </w:p>
          <w:p>
            <w:pPr>
              <w:pStyle w:val="TableParagraph"/>
              <w:spacing w:line="364" w:lineRule="auto" w:before="93"/>
              <w:ind w:left="15" w:right="239"/>
              <w:jc w:val="left"/>
              <w:rPr>
                <w:rFonts w:ascii="Times New Roman" w:hAnsi="Times New Roman" w:cs="Times New Roman" w:eastAsia="Times New Roman" w:hint="default"/>
                <w:sz w:val="18"/>
                <w:szCs w:val="18"/>
              </w:rPr>
            </w:pPr>
            <w:r>
              <w:rPr>
                <w:rFonts w:ascii="Times New Roman"/>
                <w:spacing w:val="-3"/>
                <w:sz w:val="18"/>
              </w:rPr>
              <w:t>Pacific,</w:t>
            </w:r>
            <w:r>
              <w:rPr>
                <w:rFonts w:ascii="Times New Roman"/>
                <w:spacing w:val="-43"/>
                <w:sz w:val="18"/>
              </w:rPr>
              <w:t> </w:t>
            </w:r>
            <w:r>
              <w:rPr>
                <w:rFonts w:ascii="Times New Roman"/>
                <w:spacing w:val="-43"/>
                <w:sz w:val="18"/>
              </w:rPr>
            </w:r>
            <w:r>
              <w:rPr>
                <w:rFonts w:ascii="Times New Roman"/>
                <w:sz w:val="18"/>
              </w:rPr>
              <w:t>Inc.</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52,861,19</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5.89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-64,352,8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62.83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1,471,615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10,079,27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2.86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-59,221.3</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4.53</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3"/>
              <w:jc w:val="both"/>
              <w:rPr>
                <w:rFonts w:ascii="宋体" w:hAnsi="宋体" w:cs="宋体" w:eastAsia="宋体" w:hint="default"/>
                <w:sz w:val="18"/>
                <w:szCs w:val="18"/>
              </w:rPr>
            </w:pPr>
            <w:r>
              <w:rPr>
                <w:rFonts w:ascii="宋体" w:hAnsi="宋体" w:cs="宋体" w:eastAsia="宋体" w:hint="default"/>
                <w:sz w:val="18"/>
                <w:szCs w:val="18"/>
              </w:rPr>
              <w:t>杭州幻趣 网络科技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1,162,435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-1,162,43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5.83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霍尔果斯 哲理餐饮 管理有限 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141,830,5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24.53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196,825.3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-55,374,3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64.23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-1,162,43</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86,976,89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4.53</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141,830,5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24.53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196,825.3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-55,374,3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64.23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-1,162,43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86,976,89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9.17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4.53</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18、其他权益工具投资" w:id="306"/>
      <w:bookmarkEnd w:id="306"/>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pict>
          <v:group style="position:absolute;margin-left:216.279999pt;margin-top:60.021725pt;width:158.450pt;height:21pt;mso-position-horizontal-relative:page;mso-position-vertical-relative:paragraph;z-index:-1110712" coordorigin="4326,1200" coordsize="3169,420">
            <v:group style="position:absolute;left:4341;top:1215;width:2;height:390" coordorigin="4341,1215" coordsize="2,390">
              <v:shape style="position:absolute;left:4341;top:1215;width:2;height:390" coordorigin="4341,1215" coordsize="0,390" path="m4341,1215l4341,1605e" filled="false" stroked="true" strokeweight="1.5pt" strokecolor="#ffffff">
                <v:path arrowok="t"/>
              </v:shape>
            </v:group>
            <v:group style="position:absolute;left:4356;top:1215;width:3139;height:390" coordorigin="4356,1215" coordsize="3139,390">
              <v:shape style="position:absolute;left:4356;top:1215;width:3139;height:390" coordorigin="4356,1215" coordsize="3139,390" path="m4356,1605l7495,1605,7495,1215,4356,1215,4356,1605xe" filled="true" fillcolor="#ffffff"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1102"/>
        <w:gridCol w:w="2097"/>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浙江新昌浦发村镇银行股份有限公司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北京创新工厂创业投资中心（有限合伙</w:t>
            </w:r>
          </w:p>
        </w:tc>
        <w:tc>
          <w:tcPr>
            <w:tcW w:w="11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0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1038" w:right="0"/>
              <w:jc w:val="left"/>
              <w:rPr>
                <w:rFonts w:ascii="Times New Roman" w:hAnsi="Times New Roman" w:cs="Times New Roman" w:eastAsia="Times New Roman" w:hint="default"/>
                <w:sz w:val="18"/>
                <w:szCs w:val="18"/>
              </w:rPr>
            </w:pPr>
            <w:r>
              <w:rPr>
                <w:rFonts w:ascii="Times New Roman"/>
                <w:sz w:val="18"/>
              </w:rPr>
              <w:t>50,000,000.00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50,000,000.00</w:t>
            </w:r>
          </w:p>
        </w:tc>
      </w:tr>
      <w:tr>
        <w:trPr>
          <w:trHeight w:val="72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浙江成长文化产业股权投资基金合伙企 业（有限合伙）</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27,936,017.41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30,000,000.00</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宁波梅山保税港区古月韵文化发展有限 公司</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新昌县聚盛纸制品有限公司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杭州若鸿文化创意有限公司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杭州十二章纹文化传播有限公司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杭州踏雪动漫设计有限公司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Kascend Holding</w:t>
            </w:r>
            <w:r>
              <w:rPr>
                <w:rFonts w:ascii="Times New Roman"/>
                <w:spacing w:val="-15"/>
                <w:sz w:val="18"/>
              </w:rPr>
              <w:t> </w:t>
            </w:r>
            <w:r>
              <w:rPr>
                <w:rFonts w:ascii="Times New Roman"/>
                <w:sz w:val="18"/>
              </w:rPr>
              <w:t>Inc</w:t>
            </w:r>
          </w:p>
        </w:tc>
        <w:tc>
          <w:tcPr>
            <w:tcW w:w="3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41,179,200.00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41,179,200.00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深圳市考拉游戏科技有限公司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1,802,320.00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苏州乐力互动网络科技有限公司</w:t>
            </w:r>
          </w:p>
        </w:tc>
        <w:tc>
          <w:tcPr>
            <w:tcW w:w="3199" w:type="dxa"/>
            <w:gridSpan w:val="2"/>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20,347.63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2034" w:right="0"/>
              <w:jc w:val="left"/>
              <w:rPr>
                <w:rFonts w:ascii="Times New Roman" w:hAnsi="Times New Roman" w:cs="Times New Roman" w:eastAsia="Times New Roman" w:hint="default"/>
                <w:sz w:val="18"/>
                <w:szCs w:val="18"/>
              </w:rPr>
            </w:pPr>
            <w:r>
              <w:rPr>
                <w:rFonts w:ascii="Times New Roman"/>
                <w:sz w:val="18"/>
              </w:rPr>
              <w:t>143,215,217.41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143,461,867.63</w:t>
            </w:r>
          </w:p>
        </w:tc>
      </w:tr>
    </w:tbl>
    <w:p>
      <w:pPr>
        <w:pStyle w:val="BodyText"/>
        <w:spacing w:line="240" w:lineRule="auto" w:before="45"/>
        <w:ind w:right="0"/>
        <w:jc w:val="left"/>
      </w:pPr>
      <w:r>
        <w:rPr/>
        <w:t>分项披露本期非交易性权益工具投资</w:t>
      </w:r>
    </w:p>
    <w:p>
      <w:pPr>
        <w:pStyle w:val="BodyText"/>
        <w:spacing w:line="240" w:lineRule="auto" w:before="109"/>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浙江成长文化产 业股权投资基金 合伙企业（有限 合伙）</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1,254,248.93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本期处置</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杭州十二章纹文 化传播有限公司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本期处置</w:t>
            </w:r>
          </w:p>
        </w:tc>
      </w:tr>
    </w:tbl>
    <w:p>
      <w:pPr>
        <w:pStyle w:val="BodyText"/>
        <w:spacing w:line="240" w:lineRule="auto"/>
        <w:ind w:right="0"/>
        <w:jc w:val="left"/>
      </w:pPr>
      <w:r>
        <w:rPr/>
        <w:t>其他说明：</w:t>
      </w:r>
    </w:p>
    <w:p>
      <w:pPr>
        <w:pStyle w:val="BodyText"/>
        <w:spacing w:line="297" w:lineRule="auto" w:before="125"/>
        <w:ind w:right="1112" w:firstLine="360"/>
        <w:jc w:val="both"/>
      </w:pPr>
      <w:r>
        <w:rPr/>
        <w:t>注</w:t>
      </w:r>
      <w:r>
        <w:rPr>
          <w:rFonts w:ascii="Times New Roman" w:hAnsi="Times New Roman" w:cs="Times New Roman" w:eastAsia="Times New Roman" w:hint="default"/>
        </w:rPr>
        <w:t>1</w:t>
      </w:r>
      <w:r>
        <w:rPr/>
        <w:t>、公司出于战略目的而计划长期持有上述非交易性权益工具投资，指定为以公允价值计量且其变动计入其他综合收 </w:t>
      </w:r>
      <w:r>
        <w:rPr>
          <w:spacing w:val="-2"/>
        </w:rPr>
        <w:t>益。本期处置浙江成长文化产业股权投资基金合伙企业（有限合伙）、杭州十二章纹文化传播有限公司、杭州踏雪动漫设计</w:t>
      </w:r>
      <w:r>
        <w:rPr>
          <w:spacing w:val="-49"/>
        </w:rPr>
        <w:t> </w:t>
      </w:r>
      <w:r>
        <w:rPr>
          <w:spacing w:val="-49"/>
        </w:rPr>
      </w:r>
      <w:r>
        <w:rPr/>
        <w:t>有限公司股权，之前计入其他综合收益的累计利得或损失自其他综合收益中转出计入留存收益。</w:t>
      </w:r>
    </w:p>
    <w:p>
      <w:pPr>
        <w:pStyle w:val="BodyText"/>
        <w:spacing w:line="240" w:lineRule="auto" w:before="51"/>
        <w:ind w:left="501" w:right="0"/>
        <w:jc w:val="left"/>
      </w:pPr>
      <w:r>
        <w:rPr>
          <w:rFonts w:ascii="Times New Roman" w:hAnsi="Times New Roman" w:cs="Times New Roman" w:eastAsia="Times New Roman" w:hint="default"/>
        </w:rPr>
        <w:t>2</w:t>
      </w:r>
      <w:r>
        <w:rPr/>
        <w:t>、期初余额与报表差异原因见</w:t>
      </w:r>
      <w:r>
        <w:rPr>
          <w:rFonts w:ascii="Times New Roman" w:hAnsi="Times New Roman" w:cs="Times New Roman" w:eastAsia="Times New Roman" w:hint="default"/>
        </w:rPr>
        <w:t>“</w:t>
      </w:r>
      <w:r>
        <w:rPr/>
        <w:t>三、（二十六）主要会计政策变更、会计估计变更的说明</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9、其他非流动金融资产" w:id="307"/>
      <w:bookmarkEnd w:id="30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5,771,342.37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6,113,284.32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5,771,342.37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6,113,284.32</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0、投资性房地产" w:id="308"/>
      <w:bookmarkEnd w:id="30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采用成本计量模式的投资性房地产" w:id="309"/>
      <w:bookmarkEnd w:id="30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107,649,211.10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107,649,211.10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107,649,211.10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107,649,211.10</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15,792,073.84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15,792,073.84</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3,229,476.36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3,229,476.36</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3,229,476.36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3,229,476.36</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19,021,550.20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19,021,550.20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6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88,627,660.90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88,627,660.90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91,857,137.26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91,857,137.26</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310"/>
      <w:bookmarkEnd w:id="31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3）未办妥产权证书的投资性房地产情况" w:id="311"/>
      <w:bookmarkEnd w:id="31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21、固定资产" w:id="312"/>
      <w:bookmarkEnd w:id="31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294,279,057.84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269,466,240.97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294,279,057.84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269,466,240.97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313"/>
      <w:bookmarkEnd w:id="31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1570"/>
        <w:gridCol w:w="1614"/>
        <w:gridCol w:w="1592"/>
        <w:gridCol w:w="1592"/>
        <w:gridCol w:w="1592"/>
        <w:gridCol w:w="1607"/>
      </w:tblGrid>
      <w:tr>
        <w:trPr>
          <w:trHeight w:val="158" w:hRule="exact"/>
        </w:trPr>
        <w:tc>
          <w:tcPr>
            <w:tcW w:w="1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14" w:type="dxa"/>
            <w:tcBorders>
              <w:top w:val="single" w:sz="6" w:space="0" w:color="000000"/>
              <w:left w:val="single" w:sz="6" w:space="0" w:color="000000"/>
              <w:bottom w:val="nil" w:sz="6" w:space="0" w:color="auto"/>
              <w:right w:val="single" w:sz="6" w:space="0" w:color="000000"/>
            </w:tcBorders>
            <w:shd w:val="clear" w:color="auto" w:fill="D2D2D2"/>
          </w:tcPr>
          <w:p>
            <w:pPr/>
          </w:p>
        </w:tc>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705" w:right="0" w:hanging="676"/>
              <w:jc w:val="left"/>
              <w:rPr>
                <w:rFonts w:ascii="宋体" w:hAnsi="宋体" w:cs="宋体" w:eastAsia="宋体" w:hint="default"/>
                <w:sz w:val="18"/>
                <w:szCs w:val="18"/>
              </w:rPr>
            </w:pPr>
            <w:r>
              <w:rPr>
                <w:rFonts w:ascii="宋体" w:hAnsi="宋体" w:cs="宋体" w:eastAsia="宋体" w:hint="default"/>
                <w:spacing w:val="-9"/>
                <w:sz w:val="18"/>
                <w:szCs w:val="18"/>
              </w:rPr>
              <w:t>办公、电子设备及其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w:t>
            </w:r>
          </w:p>
        </w:tc>
        <w:tc>
          <w:tcPr>
            <w:tcW w:w="160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57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2" w:type="dxa"/>
            <w:vMerge/>
            <w:tcBorders>
              <w:left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14"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288,805,233.15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16,108,068.22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22,071,830.30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29,592,282.77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356,577,414.44</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6,862,794.30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34,520,660.52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383,970.33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5,779,424.63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47,546,849.78</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2,869,790.07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1,903,603.46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4,773,393.53</w:t>
            </w: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36"/>
              <w:ind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4,801,430.71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4,826,430.71</w:t>
            </w: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1,172,614.59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31,450,651.15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383,970.33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2,760,817.59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35,768,053.66</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20,670.65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20,670.65</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）其他增加</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888,749.00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200,219.30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1,069,332.93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2,158,301.23</w:t>
            </w:r>
          </w:p>
        </w:tc>
      </w:tr>
      <w:tr>
        <w:trPr>
          <w:trHeight w:val="39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1,534,435.20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664,902.96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489,308.39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2,949,082.77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5,637,729.32</w:t>
            </w: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154,090.90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664,902.96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278,679.49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1,596,492.16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2,694,165.51</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）企业合并转出</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448,923.35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448,923.35</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1,232,005.07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210,628.90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715,667.26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2,158,301.23</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）转入无形资产 及长期待摊</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148,339.23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188,000.00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336,339.23</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294,133,592.25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49,963,825.78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21,966,492.24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32,422,624.63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398,486,534.90</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40,831,629.22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10,297,006.26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13,026,003.47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22,896,438.62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87,051,077.57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9,574,842.30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4,456,473.15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2,094,991.27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4,209,931.19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20,336,237.91</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8,774,968.20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4,407,751.45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2,094,991.27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4,176,512.84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19,454,223.76</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）汇率变动影响</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799,874.10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48,721.70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12,673.07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861,268.87</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5,489.46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325,911.51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274,579.12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2,633,954.23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3,239,934.32</w:t>
            </w: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5,489.46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325,911.51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261,906.05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1,408,554.05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2,001,861.07</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）企业合并转出</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376,804.38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376,804.38</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12,673.07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848,595.80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861,268.87</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50,400,982.06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14,427,567.90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14,846,415.62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24,472,415.58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104,147,381.16</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60,095.90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60,095.90</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60,095.90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60,095.90</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243,732,610.19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35,536,257.88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7,120,076.62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7,890,113.15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294,279,057.84</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247,973,603.93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5,811,061.96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9,045,826.83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6,635,748.25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269,466,240.97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314"/>
      <w:bookmarkEnd w:id="31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315"/>
      <w:bookmarkEnd w:id="31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4）通过经营租赁租出的固定资产" w:id="316"/>
      <w:bookmarkEnd w:id="31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317"/>
      <w:bookmarkEnd w:id="31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动漫基地房产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192,250,668.01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6）固定资产清理" w:id="318"/>
      <w:bookmarkEnd w:id="31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2、在建工程" w:id="319"/>
      <w:bookmarkEnd w:id="319"/>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533,980.58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533,980.58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320"/>
      <w:bookmarkEnd w:id="32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废气治理安装工 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533,980.58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533,980.58</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533,980.58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533,980.58</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321"/>
      <w:bookmarkEnd w:id="32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13"/>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00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2"/>
              <w:ind w:left="75" w:right="105"/>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7"/>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2"/>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7"/>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52"/>
              <w:ind w:left="90" w:right="14" w:hanging="60"/>
              <w:jc w:val="left"/>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 资本化</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7"/>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21" w:lineRule="auto"/>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60"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322"/>
      <w:bookmarkEnd w:id="32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工程物资" w:id="323"/>
      <w:bookmarkEnd w:id="32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5"/>
      </w:tblGrid>
      <w:tr>
        <w:trPr>
          <w:trHeight w:val="406"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3、生产性生物资产" w:id="324"/>
      <w:bookmarkEnd w:id="32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采用成本计量模式的生产性生物资产" w:id="325"/>
      <w:bookmarkEnd w:id="32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采用公允价值计量模式的生产性生物资产" w:id="326"/>
      <w:bookmarkEnd w:id="32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4、油气资产" w:id="327"/>
      <w:bookmarkEnd w:id="32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25、使用权资产" w:id="328"/>
      <w:bookmarkEnd w:id="328"/>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6、无形资产" w:id="329"/>
      <w:bookmarkEnd w:id="329"/>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无形资产情况" w:id="330"/>
      <w:bookmarkEnd w:id="33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706"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75" w:right="15" w:hanging="361"/>
              <w:jc w:val="left"/>
              <w:rPr>
                <w:rFonts w:ascii="宋体" w:hAnsi="宋体" w:cs="宋体" w:eastAsia="宋体" w:hint="default"/>
                <w:sz w:val="18"/>
                <w:szCs w:val="18"/>
              </w:rPr>
            </w:pPr>
            <w:r>
              <w:rPr>
                <w:rFonts w:ascii="宋体" w:hAnsi="宋体" w:cs="宋体" w:eastAsia="宋体" w:hint="default"/>
                <w:sz w:val="18"/>
                <w:szCs w:val="18"/>
              </w:rPr>
              <w:t>著作权及域 名</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影视授权</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group style="position:absolute;margin-left:56.325001pt;margin-top:71.705002pt;width:479.85pt;height:695.85pt;mso-position-horizontal-relative:page;mso-position-vertical-relative:page;z-index:-1110688" coordorigin="1127,1434" coordsize="9597,13917">
            <v:group style="position:absolute;left:1149;top:1457;width:2;height:706" coordorigin="1149,1457" coordsize="2,706">
              <v:shape style="position:absolute;left:1149;top:1457;width:2;height:706" coordorigin="1149,1457" coordsize="0,706" path="m1149,1457l1149,2162e" filled="false" stroked="true" strokeweight=".75pt" strokecolor="#d2d2d2">
                <v:path arrowok="t"/>
              </v:shape>
            </v:group>
            <v:group style="position:absolute;left:2080;top:1457;width:2;height:706" coordorigin="2080,1457" coordsize="2,706">
              <v:shape style="position:absolute;left:2080;top:1457;width:2;height:706" coordorigin="2080,1457" coordsize="0,706" path="m2080,1457l2080,2162e" filled="false" stroked="true" strokeweight=".75pt" strokecolor="#d2d2d2">
                <v:path arrowok="t"/>
              </v:shape>
            </v:group>
            <v:group style="position:absolute;left:1157;top:1457;width:916;height:345" coordorigin="1157,1457" coordsize="916,345">
              <v:shape style="position:absolute;left:1157;top:1457;width:916;height:345" coordorigin="1157,1457" coordsize="916,345" path="m1157,1802l2073,1802,2073,1457,1157,1457,1157,1802xe" filled="true" fillcolor="#d2d2d2" stroked="false">
                <v:path arrowok="t"/>
                <v:fill type="solid"/>
              </v:shape>
            </v:group>
            <v:group style="position:absolute;left:1157;top:1802;width:916;height:361" coordorigin="1157,1802" coordsize="916,361">
              <v:shape style="position:absolute;left:1157;top:1802;width:916;height:361" coordorigin="1157,1802" coordsize="916,361" path="m1157,2162l2073,2162,2073,1802,1157,1802,1157,2162xe" filled="true" fillcolor="#d2d2d2" stroked="false">
                <v:path arrowok="t"/>
                <v:fill type="solid"/>
              </v:shape>
            </v:group>
            <v:group style="position:absolute;left:1142;top:1449;width:946;height:2" coordorigin="1142,1449" coordsize="946,2">
              <v:shape style="position:absolute;left:1142;top:1449;width:946;height:2" coordorigin="1142,1449" coordsize="946,0" path="m1142,1449l2088,1449e" filled="false" stroked="true" strokeweight=".75pt" strokecolor="#000000">
                <v:path arrowok="t"/>
              </v:shape>
            </v:group>
            <v:group style="position:absolute;left:2102;top:1449;width:947;height:2" coordorigin="2102,1449" coordsize="947,2">
              <v:shape style="position:absolute;left:2102;top:1449;width:947;height:2" coordorigin="2102,1449" coordsize="947,0" path="m2102,1449l3049,1449e" filled="false" stroked="true" strokeweight=".75pt" strokecolor="#000000">
                <v:path arrowok="t"/>
              </v:shape>
            </v:group>
            <v:group style="position:absolute;left:3064;top:1449;width:931;height:2" coordorigin="3064,1449" coordsize="931,2">
              <v:shape style="position:absolute;left:3064;top:1449;width:931;height:2" coordorigin="3064,1449" coordsize="931,0" path="m3064,1449l3995,1449e" filled="false" stroked="true" strokeweight=".75pt" strokecolor="#000000">
                <v:path arrowok="t"/>
              </v:shape>
            </v:group>
            <v:group style="position:absolute;left:4010;top:1449;width:946;height:2" coordorigin="4010,1449" coordsize="946,2">
              <v:shape style="position:absolute;left:4010;top:1449;width:946;height:2" coordorigin="4010,1449" coordsize="946,0" path="m4010,1449l4956,1449e" filled="false" stroked="true" strokeweight=".75pt" strokecolor="#000000">
                <v:path arrowok="t"/>
              </v:shape>
            </v:group>
            <v:group style="position:absolute;left:4971;top:1449;width:947;height:2" coordorigin="4971,1449" coordsize="947,2">
              <v:shape style="position:absolute;left:4971;top:1449;width:947;height:2" coordorigin="4971,1449" coordsize="947,0" path="m4971,1449l5918,1449e" filled="false" stroked="true" strokeweight=".75pt" strokecolor="#000000">
                <v:path arrowok="t"/>
              </v:shape>
            </v:group>
            <v:group style="position:absolute;left:5933;top:1449;width:946;height:2" coordorigin="5933,1449" coordsize="946,2">
              <v:shape style="position:absolute;left:5933;top:1449;width:946;height:2" coordorigin="5933,1449" coordsize="946,0" path="m5933,1449l6879,1449e" filled="false" stroked="true" strokeweight=".75pt" strokecolor="#000000">
                <v:path arrowok="t"/>
              </v:shape>
            </v:group>
            <v:group style="position:absolute;left:6894;top:1449;width:947;height:2" coordorigin="6894,1449" coordsize="947,2">
              <v:shape style="position:absolute;left:6894;top:1449;width:947;height:2" coordorigin="6894,1449" coordsize="947,0" path="m6894,1449l7840,1449e" filled="false" stroked="true" strokeweight=".75pt" strokecolor="#000000">
                <v:path arrowok="t"/>
              </v:shape>
            </v:group>
            <v:group style="position:absolute;left:7855;top:1449;width:931;height:2" coordorigin="7855,1449" coordsize="931,2">
              <v:shape style="position:absolute;left:7855;top:1449;width:931;height:2" coordorigin="7855,1449" coordsize="931,0" path="m7855,1449l8786,1449e" filled="false" stroked="true" strokeweight=".75pt" strokecolor="#000000">
                <v:path arrowok="t"/>
              </v:shape>
            </v:group>
            <v:group style="position:absolute;left:8801;top:1449;width:946;height:2" coordorigin="8801,1449" coordsize="946,2">
              <v:shape style="position:absolute;left:8801;top:1449;width:946;height:2" coordorigin="8801,1449" coordsize="946,0" path="m8801,1449l9747,1449e" filled="false" stroked="true" strokeweight=".75pt" strokecolor="#000000">
                <v:path arrowok="t"/>
              </v:shape>
            </v:group>
            <v:group style="position:absolute;left:9762;top:1449;width:947;height:2" coordorigin="9762,1449" coordsize="947,2">
              <v:shape style="position:absolute;left:9762;top:1449;width:947;height:2" coordorigin="9762,1449" coordsize="947,0" path="m9762,1449l10708,1449e" filled="false" stroked="true" strokeweight=".75pt" strokecolor="#000000">
                <v:path arrowok="t"/>
              </v:shape>
            </v:group>
            <v:group style="position:absolute;left:1149;top:2162;width:2;height:706" coordorigin="1149,2162" coordsize="2,706">
              <v:shape style="position:absolute;left:1149;top:2162;width:2;height:706" coordorigin="1149,2162" coordsize="0,706" path="m1149,2162l1149,2867e" filled="false" stroked="true" strokeweight=".75pt" strokecolor="#d2d2d2">
                <v:path arrowok="t"/>
              </v:shape>
            </v:group>
            <v:group style="position:absolute;left:2080;top:2162;width:2;height:706" coordorigin="2080,2162" coordsize="2,706">
              <v:shape style="position:absolute;left:2080;top:2162;width:2;height:706" coordorigin="2080,2162" coordsize="0,706" path="m2080,2162l2080,2867e" filled="false" stroked="true" strokeweight=".75pt" strokecolor="#d2d2d2">
                <v:path arrowok="t"/>
              </v:shape>
            </v:group>
            <v:group style="position:absolute;left:1157;top:2162;width:916;height:360" coordorigin="1157,2162" coordsize="916,360">
              <v:shape style="position:absolute;left:1157;top:2162;width:916;height:360" coordorigin="1157,2162" coordsize="916,360" path="m1157,2522l2073,2522,2073,2162,1157,2162,1157,2522xe" filled="true" fillcolor="#d2d2d2" stroked="false">
                <v:path arrowok="t"/>
                <v:fill type="solid"/>
              </v:shape>
            </v:group>
            <v:group style="position:absolute;left:1157;top:2522;width:916;height:346" coordorigin="1157,2522" coordsize="916,346">
              <v:shape style="position:absolute;left:1157;top:2522;width:916;height:346" coordorigin="1157,2522" coordsize="916,346" path="m1157,2867l2073,2867,2073,2522,1157,2522,1157,2867xe" filled="true" fillcolor="#d2d2d2" stroked="false">
                <v:path arrowok="t"/>
                <v:fill type="solid"/>
              </v:shape>
            </v:group>
            <v:group style="position:absolute;left:1142;top:2170;width:946;height:2" coordorigin="1142,2170" coordsize="946,2">
              <v:shape style="position:absolute;left:1142;top:2170;width:946;height:2" coordorigin="1142,2170" coordsize="946,0" path="m1142,2170l2088,2170e" filled="false" stroked="true" strokeweight=".75pt" strokecolor="#000000">
                <v:path arrowok="t"/>
              </v:shape>
            </v:group>
            <v:group style="position:absolute;left:2102;top:2170;width:947;height:2" coordorigin="2102,2170" coordsize="947,2">
              <v:shape style="position:absolute;left:2102;top:2170;width:947;height:2" coordorigin="2102,2170" coordsize="947,0" path="m2102,2170l3049,2170e" filled="false" stroked="true" strokeweight=".75pt" strokecolor="#000000">
                <v:path arrowok="t"/>
              </v:shape>
            </v:group>
            <v:group style="position:absolute;left:3064;top:2170;width:931;height:2" coordorigin="3064,2170" coordsize="931,2">
              <v:shape style="position:absolute;left:3064;top:2170;width:931;height:2" coordorigin="3064,2170" coordsize="931,0" path="m3064,2170l3995,2170e" filled="false" stroked="true" strokeweight=".75pt" strokecolor="#000000">
                <v:path arrowok="t"/>
              </v:shape>
            </v:group>
            <v:group style="position:absolute;left:4010;top:2170;width:946;height:2" coordorigin="4010,2170" coordsize="946,2">
              <v:shape style="position:absolute;left:4010;top:2170;width:946;height:2" coordorigin="4010,2170" coordsize="946,0" path="m4010,2170l4956,2170e" filled="false" stroked="true" strokeweight=".75pt" strokecolor="#000000">
                <v:path arrowok="t"/>
              </v:shape>
            </v:group>
            <v:group style="position:absolute;left:4971;top:2170;width:947;height:2" coordorigin="4971,2170" coordsize="947,2">
              <v:shape style="position:absolute;left:4971;top:2170;width:947;height:2" coordorigin="4971,2170" coordsize="947,0" path="m4971,2170l5918,2170e" filled="false" stroked="true" strokeweight=".75pt" strokecolor="#000000">
                <v:path arrowok="t"/>
              </v:shape>
            </v:group>
            <v:group style="position:absolute;left:5933;top:2170;width:946;height:2" coordorigin="5933,2170" coordsize="946,2">
              <v:shape style="position:absolute;left:5933;top:2170;width:946;height:2" coordorigin="5933,2170" coordsize="946,0" path="m5933,2170l6879,2170e" filled="false" stroked="true" strokeweight=".75pt" strokecolor="#000000">
                <v:path arrowok="t"/>
              </v:shape>
            </v:group>
            <v:group style="position:absolute;left:6894;top:2170;width:947;height:2" coordorigin="6894,2170" coordsize="947,2">
              <v:shape style="position:absolute;left:6894;top:2170;width:947;height:2" coordorigin="6894,2170" coordsize="947,0" path="m6894,2170l7840,2170e" filled="false" stroked="true" strokeweight=".75pt" strokecolor="#000000">
                <v:path arrowok="t"/>
              </v:shape>
            </v:group>
            <v:group style="position:absolute;left:7855;top:2170;width:931;height:2" coordorigin="7855,2170" coordsize="931,2">
              <v:shape style="position:absolute;left:7855;top:2170;width:931;height:2" coordorigin="7855,2170" coordsize="931,0" path="m7855,2170l8786,2170e" filled="false" stroked="true" strokeweight=".75pt" strokecolor="#000000">
                <v:path arrowok="t"/>
              </v:shape>
            </v:group>
            <v:group style="position:absolute;left:8801;top:2170;width:946;height:2" coordorigin="8801,2170" coordsize="946,2">
              <v:shape style="position:absolute;left:8801;top:2170;width:946;height:2" coordorigin="8801,2170" coordsize="946,0" path="m8801,2170l9747,2170e" filled="false" stroked="true" strokeweight=".75pt" strokecolor="#000000">
                <v:path arrowok="t"/>
              </v:shape>
            </v:group>
            <v:group style="position:absolute;left:9762;top:2170;width:947;height:2" coordorigin="9762,2170" coordsize="947,2">
              <v:shape style="position:absolute;left:9762;top:2170;width:947;height:2" coordorigin="9762,2170" coordsize="947,0" path="m9762,2170l10708,2170e" filled="false" stroked="true" strokeweight=".75pt" strokecolor="#000000">
                <v:path arrowok="t"/>
              </v:shape>
            </v:group>
            <v:group style="position:absolute;left:1149;top:2883;width:2;height:706" coordorigin="1149,2883" coordsize="2,706">
              <v:shape style="position:absolute;left:1149;top:2883;width:2;height:706" coordorigin="1149,2883" coordsize="0,706" path="m1149,2883l1149,3588e" filled="false" stroked="true" strokeweight=".75pt" strokecolor="#d2d2d2">
                <v:path arrowok="t"/>
              </v:shape>
            </v:group>
            <v:group style="position:absolute;left:2080;top:2883;width:2;height:706" coordorigin="2080,2883" coordsize="2,706">
              <v:shape style="position:absolute;left:2080;top:2883;width:2;height:706" coordorigin="2080,2883" coordsize="0,706" path="m2080,2883l2080,3588e" filled="false" stroked="true" strokeweight=".75pt" strokecolor="#d2d2d2">
                <v:path arrowok="t"/>
              </v:shape>
            </v:group>
            <v:group style="position:absolute;left:1157;top:2883;width:916;height:346" coordorigin="1157,2883" coordsize="916,346">
              <v:shape style="position:absolute;left:1157;top:2883;width:916;height:346" coordorigin="1157,2883" coordsize="916,346" path="m1157,3228l2073,3228,2073,2883,1157,2883,1157,3228xe" filled="true" fillcolor="#d2d2d2" stroked="false">
                <v:path arrowok="t"/>
                <v:fill type="solid"/>
              </v:shape>
            </v:group>
            <v:group style="position:absolute;left:1157;top:3228;width:916;height:360" coordorigin="1157,3228" coordsize="916,360">
              <v:shape style="position:absolute;left:1157;top:3228;width:916;height:360" coordorigin="1157,3228" coordsize="916,360" path="m1157,3588l2073,3588,2073,3228,1157,3228,1157,3588xe" filled="true" fillcolor="#d2d2d2" stroked="false">
                <v:path arrowok="t"/>
                <v:fill type="solid"/>
              </v:shape>
            </v:group>
            <v:group style="position:absolute;left:1142;top:2875;width:946;height:2" coordorigin="1142,2875" coordsize="946,2">
              <v:shape style="position:absolute;left:1142;top:2875;width:946;height:2" coordorigin="1142,2875" coordsize="946,0" path="m1142,2875l2088,2875e" filled="false" stroked="true" strokeweight=".75pt" strokecolor="#000000">
                <v:path arrowok="t"/>
              </v:shape>
            </v:group>
            <v:group style="position:absolute;left:2102;top:2875;width:947;height:2" coordorigin="2102,2875" coordsize="947,2">
              <v:shape style="position:absolute;left:2102;top:2875;width:947;height:2" coordorigin="2102,2875" coordsize="947,0" path="m2102,2875l3049,2875e" filled="false" stroked="true" strokeweight=".75pt" strokecolor="#000000">
                <v:path arrowok="t"/>
              </v:shape>
            </v:group>
            <v:group style="position:absolute;left:3064;top:2875;width:931;height:2" coordorigin="3064,2875" coordsize="931,2">
              <v:shape style="position:absolute;left:3064;top:2875;width:931;height:2" coordorigin="3064,2875" coordsize="931,0" path="m3064,2875l3995,2875e" filled="false" stroked="true" strokeweight=".75pt" strokecolor="#000000">
                <v:path arrowok="t"/>
              </v:shape>
            </v:group>
            <v:group style="position:absolute;left:4010;top:2875;width:946;height:2" coordorigin="4010,2875" coordsize="946,2">
              <v:shape style="position:absolute;left:4010;top:2875;width:946;height:2" coordorigin="4010,2875" coordsize="946,0" path="m4010,2875l4956,2875e" filled="false" stroked="true" strokeweight=".75pt" strokecolor="#000000">
                <v:path arrowok="t"/>
              </v:shape>
            </v:group>
            <v:group style="position:absolute;left:4971;top:2875;width:947;height:2" coordorigin="4971,2875" coordsize="947,2">
              <v:shape style="position:absolute;left:4971;top:2875;width:947;height:2" coordorigin="4971,2875" coordsize="947,0" path="m4971,2875l5918,2875e" filled="false" stroked="true" strokeweight=".75pt" strokecolor="#000000">
                <v:path arrowok="t"/>
              </v:shape>
            </v:group>
            <v:group style="position:absolute;left:5933;top:2875;width:946;height:2" coordorigin="5933,2875" coordsize="946,2">
              <v:shape style="position:absolute;left:5933;top:2875;width:946;height:2" coordorigin="5933,2875" coordsize="946,0" path="m5933,2875l6879,2875e" filled="false" stroked="true" strokeweight=".75pt" strokecolor="#000000">
                <v:path arrowok="t"/>
              </v:shape>
            </v:group>
            <v:group style="position:absolute;left:6894;top:2875;width:947;height:2" coordorigin="6894,2875" coordsize="947,2">
              <v:shape style="position:absolute;left:6894;top:2875;width:947;height:2" coordorigin="6894,2875" coordsize="947,0" path="m6894,2875l7840,2875e" filled="false" stroked="true" strokeweight=".75pt" strokecolor="#000000">
                <v:path arrowok="t"/>
              </v:shape>
            </v:group>
            <v:group style="position:absolute;left:7855;top:2875;width:931;height:2" coordorigin="7855,2875" coordsize="931,2">
              <v:shape style="position:absolute;left:7855;top:2875;width:931;height:2" coordorigin="7855,2875" coordsize="931,0" path="m7855,2875l8786,2875e" filled="false" stroked="true" strokeweight=".75pt" strokecolor="#000000">
                <v:path arrowok="t"/>
              </v:shape>
            </v:group>
            <v:group style="position:absolute;left:8801;top:2875;width:946;height:2" coordorigin="8801,2875" coordsize="946,2">
              <v:shape style="position:absolute;left:8801;top:2875;width:946;height:2" coordorigin="8801,2875" coordsize="946,0" path="m8801,2875l9747,2875e" filled="false" stroked="true" strokeweight=".75pt" strokecolor="#000000">
                <v:path arrowok="t"/>
              </v:shape>
            </v:group>
            <v:group style="position:absolute;left:9762;top:2875;width:947;height:2" coordorigin="9762,2875" coordsize="947,2">
              <v:shape style="position:absolute;left:9762;top:2875;width:947;height:2" coordorigin="9762,2875" coordsize="947,0" path="m9762,2875l10708,2875e" filled="false" stroked="true" strokeweight=".75pt" strokecolor="#000000">
                <v:path arrowok="t"/>
              </v:shape>
            </v:group>
            <v:group style="position:absolute;left:1149;top:3588;width:2;height:706" coordorigin="1149,3588" coordsize="2,706">
              <v:shape style="position:absolute;left:1149;top:3588;width:2;height:706" coordorigin="1149,3588" coordsize="0,706" path="m1149,3588l1149,4294e" filled="false" stroked="true" strokeweight=".75pt" strokecolor="#d2d2d2">
                <v:path arrowok="t"/>
              </v:shape>
            </v:group>
            <v:group style="position:absolute;left:2080;top:3588;width:2;height:706" coordorigin="2080,3588" coordsize="2,706">
              <v:shape style="position:absolute;left:2080;top:3588;width:2;height:706" coordorigin="2080,3588" coordsize="0,706" path="m2080,3588l2080,4294e" filled="false" stroked="true" strokeweight=".75pt" strokecolor="#d2d2d2">
                <v:path arrowok="t"/>
              </v:shape>
            </v:group>
            <v:group style="position:absolute;left:1157;top:3588;width:916;height:361" coordorigin="1157,3588" coordsize="916,361">
              <v:shape style="position:absolute;left:1157;top:3588;width:916;height:361" coordorigin="1157,3588" coordsize="916,361" path="m1157,3949l2073,3949,2073,3588,1157,3588,1157,3949xe" filled="true" fillcolor="#d2d2d2" stroked="false">
                <v:path arrowok="t"/>
                <v:fill type="solid"/>
              </v:shape>
            </v:group>
            <v:group style="position:absolute;left:1157;top:3949;width:916;height:346" coordorigin="1157,3949" coordsize="916,346">
              <v:shape style="position:absolute;left:1157;top:3949;width:916;height:346" coordorigin="1157,3949" coordsize="916,346" path="m1157,4294l2073,4294,2073,3949,1157,3949,1157,4294xe" filled="true" fillcolor="#d2d2d2" stroked="false">
                <v:path arrowok="t"/>
                <v:fill type="solid"/>
              </v:shape>
            </v:group>
            <v:group style="position:absolute;left:2102;top:3588;width:947;height:166" coordorigin="2102,3588" coordsize="947,166">
              <v:shape style="position:absolute;left:2102;top:3588;width:947;height:166" coordorigin="2102,3588" coordsize="947,166" path="m2102,3754l3049,3754,3049,3588,2102,3588,2102,3754xe" filled="true" fillcolor="#ffffff" stroked="false">
                <v:path arrowok="t"/>
                <v:fill type="solid"/>
              </v:shape>
            </v:group>
            <v:group style="position:absolute;left:2110;top:3753;width:2;height:390" coordorigin="2110,3753" coordsize="2,390">
              <v:shape style="position:absolute;left:2110;top:3753;width:2;height:390" coordorigin="2110,3753" coordsize="0,390" path="m2110,3753l2110,4143e" filled="false" stroked="true" strokeweight=".75pt" strokecolor="#ffffff">
                <v:path arrowok="t"/>
              </v:shape>
            </v:group>
            <v:group style="position:absolute;left:2117;top:3753;width:902;height:390" coordorigin="2117,3753" coordsize="902,390">
              <v:shape style="position:absolute;left:2117;top:3753;width:902;height:390" coordorigin="2117,3753" coordsize="902,390" path="m2117,4143l3019,4143,3019,3753,2117,3753,2117,4143xe" filled="true" fillcolor="#ffffff" stroked="false">
                <v:path arrowok="t"/>
                <v:fill type="solid"/>
              </v:shape>
            </v:group>
            <v:group style="position:absolute;left:1142;top:3596;width:946;height:2" coordorigin="1142,3596" coordsize="946,2">
              <v:shape style="position:absolute;left:1142;top:3596;width:946;height:2" coordorigin="1142,3596" coordsize="946,0" path="m1142,3596l2088,3596e" filled="false" stroked="true" strokeweight=".75pt" strokecolor="#000000">
                <v:path arrowok="t"/>
              </v:shape>
            </v:group>
            <v:group style="position:absolute;left:2102;top:3596;width:947;height:2" coordorigin="2102,3596" coordsize="947,2">
              <v:shape style="position:absolute;left:2102;top:3596;width:947;height:2" coordorigin="2102,3596" coordsize="947,0" path="m2102,3596l3049,3596e" filled="false" stroked="true" strokeweight=".75pt" strokecolor="#000000">
                <v:path arrowok="t"/>
              </v:shape>
            </v:group>
            <v:group style="position:absolute;left:3064;top:3596;width:931;height:2" coordorigin="3064,3596" coordsize="931,2">
              <v:shape style="position:absolute;left:3064;top:3596;width:931;height:2" coordorigin="3064,3596" coordsize="931,0" path="m3064,3596l3995,3596e" filled="false" stroked="true" strokeweight=".75pt" strokecolor="#000000">
                <v:path arrowok="t"/>
              </v:shape>
            </v:group>
            <v:group style="position:absolute;left:4010;top:3596;width:946;height:2" coordorigin="4010,3596" coordsize="946,2">
              <v:shape style="position:absolute;left:4010;top:3596;width:946;height:2" coordorigin="4010,3596" coordsize="946,0" path="m4010,3596l4956,3596e" filled="false" stroked="true" strokeweight=".75pt" strokecolor="#000000">
                <v:path arrowok="t"/>
              </v:shape>
            </v:group>
            <v:group style="position:absolute;left:4971;top:3596;width:947;height:2" coordorigin="4971,3596" coordsize="947,2">
              <v:shape style="position:absolute;left:4971;top:3596;width:947;height:2" coordorigin="4971,3596" coordsize="947,0" path="m4971,3596l5918,3596e" filled="false" stroked="true" strokeweight=".75pt" strokecolor="#000000">
                <v:path arrowok="t"/>
              </v:shape>
            </v:group>
            <v:group style="position:absolute;left:5933;top:3596;width:946;height:2" coordorigin="5933,3596" coordsize="946,2">
              <v:shape style="position:absolute;left:5933;top:3596;width:946;height:2" coordorigin="5933,3596" coordsize="946,0" path="m5933,3596l6879,3596e" filled="false" stroked="true" strokeweight=".75pt" strokecolor="#000000">
                <v:path arrowok="t"/>
              </v:shape>
            </v:group>
            <v:group style="position:absolute;left:6894;top:3596;width:947;height:2" coordorigin="6894,3596" coordsize="947,2">
              <v:shape style="position:absolute;left:6894;top:3596;width:947;height:2" coordorigin="6894,3596" coordsize="947,0" path="m6894,3596l7840,3596e" filled="false" stroked="true" strokeweight=".75pt" strokecolor="#000000">
                <v:path arrowok="t"/>
              </v:shape>
            </v:group>
            <v:group style="position:absolute;left:7855;top:3596;width:931;height:2" coordorigin="7855,3596" coordsize="931,2">
              <v:shape style="position:absolute;left:7855;top:3596;width:931;height:2" coordorigin="7855,3596" coordsize="931,0" path="m7855,3596l8786,3596e" filled="false" stroked="true" strokeweight=".75pt" strokecolor="#000000">
                <v:path arrowok="t"/>
              </v:shape>
            </v:group>
            <v:group style="position:absolute;left:8801;top:3596;width:946;height:2" coordorigin="8801,3596" coordsize="946,2">
              <v:shape style="position:absolute;left:8801;top:3596;width:946;height:2" coordorigin="8801,3596" coordsize="946,0" path="m8801,3596l9747,3596e" filled="false" stroked="true" strokeweight=".75pt" strokecolor="#000000">
                <v:path arrowok="t"/>
              </v:shape>
            </v:group>
            <v:group style="position:absolute;left:9762;top:3596;width:947;height:2" coordorigin="9762,3596" coordsize="947,2">
              <v:shape style="position:absolute;left:9762;top:3596;width:947;height:2" coordorigin="9762,3596" coordsize="947,0" path="m9762,3596l10708,3596e" filled="false" stroked="true" strokeweight=".75pt" strokecolor="#000000">
                <v:path arrowok="t"/>
              </v:shape>
            </v:group>
            <v:group style="position:absolute;left:1149;top:4309;width:2;height:706" coordorigin="1149,4309" coordsize="2,706">
              <v:shape style="position:absolute;left:1149;top:4309;width:2;height:706" coordorigin="1149,4309" coordsize="0,706" path="m1149,4309l1149,5015e" filled="false" stroked="true" strokeweight=".75pt" strokecolor="#d2d2d2">
                <v:path arrowok="t"/>
              </v:shape>
            </v:group>
            <v:group style="position:absolute;left:2080;top:4309;width:2;height:706" coordorigin="2080,4309" coordsize="2,706">
              <v:shape style="position:absolute;left:2080;top:4309;width:2;height:706" coordorigin="2080,4309" coordsize="0,706" path="m2080,4309l2080,5015e" filled="false" stroked="true" strokeweight=".75pt" strokecolor="#d2d2d2">
                <v:path arrowok="t"/>
              </v:shape>
            </v:group>
            <v:group style="position:absolute;left:1157;top:4309;width:916;height:360" coordorigin="1157,4309" coordsize="916,360">
              <v:shape style="position:absolute;left:1157;top:4309;width:916;height:360" coordorigin="1157,4309" coordsize="916,360" path="m1157,4669l2073,4669,2073,4309,1157,4309,1157,4669xe" filled="true" fillcolor="#d2d2d2" stroked="false">
                <v:path arrowok="t"/>
                <v:fill type="solid"/>
              </v:shape>
            </v:group>
            <v:group style="position:absolute;left:1157;top:4669;width:916;height:346" coordorigin="1157,4669" coordsize="916,346">
              <v:shape style="position:absolute;left:1157;top:4669;width:916;height:346" coordorigin="1157,4669" coordsize="916,346" path="m1157,5015l2073,5015,2073,4669,1157,4669,1157,5015xe" filled="true" fillcolor="#d2d2d2" stroked="false">
                <v:path arrowok="t"/>
                <v:fill type="solid"/>
              </v:shape>
            </v:group>
            <v:group style="position:absolute;left:2102;top:4309;width:947;height:150" coordorigin="2102,4309" coordsize="947,150">
              <v:shape style="position:absolute;left:2102;top:4309;width:947;height:150" coordorigin="2102,4309" coordsize="947,150" path="m2102,4459l3049,4459,3049,4309,2102,4309,2102,4459xe" filled="true" fillcolor="#ffffff" stroked="false">
                <v:path arrowok="t"/>
                <v:fill type="solid"/>
              </v:shape>
            </v:group>
            <v:group style="position:absolute;left:2110;top:4459;width:2;height:406" coordorigin="2110,4459" coordsize="2,406">
              <v:shape style="position:absolute;left:2110;top:4459;width:2;height:406" coordorigin="2110,4459" coordsize="0,406" path="m2110,4459l2110,4865e" filled="false" stroked="true" strokeweight=".75pt" strokecolor="#ffffff">
                <v:path arrowok="t"/>
              </v:shape>
            </v:group>
            <v:group style="position:absolute;left:2117;top:4459;width:902;height:406" coordorigin="2117,4459" coordsize="902,406">
              <v:shape style="position:absolute;left:2117;top:4459;width:902;height:406" coordorigin="2117,4459" coordsize="902,406" path="m2117,4865l3019,4865,3019,4459,2117,4459,2117,4865xe" filled="true" fillcolor="#ffffff" stroked="false">
                <v:path arrowok="t"/>
                <v:fill type="solid"/>
              </v:shape>
            </v:group>
            <v:group style="position:absolute;left:1142;top:4301;width:946;height:2" coordorigin="1142,4301" coordsize="946,2">
              <v:shape style="position:absolute;left:1142;top:4301;width:946;height:2" coordorigin="1142,4301" coordsize="946,0" path="m1142,4301l2088,4301e" filled="false" stroked="true" strokeweight=".75pt" strokecolor="#000000">
                <v:path arrowok="t"/>
              </v:shape>
            </v:group>
            <v:group style="position:absolute;left:2102;top:4301;width:947;height:2" coordorigin="2102,4301" coordsize="947,2">
              <v:shape style="position:absolute;left:2102;top:4301;width:947;height:2" coordorigin="2102,4301" coordsize="947,0" path="m2102,4301l3049,4301e" filled="false" stroked="true" strokeweight=".75pt" strokecolor="#000000">
                <v:path arrowok="t"/>
              </v:shape>
            </v:group>
            <v:group style="position:absolute;left:3064;top:4301;width:931;height:2" coordorigin="3064,4301" coordsize="931,2">
              <v:shape style="position:absolute;left:3064;top:4301;width:931;height:2" coordorigin="3064,4301" coordsize="931,0" path="m3064,4301l3995,4301e" filled="false" stroked="true" strokeweight=".75pt" strokecolor="#000000">
                <v:path arrowok="t"/>
              </v:shape>
            </v:group>
            <v:group style="position:absolute;left:4010;top:4301;width:946;height:2" coordorigin="4010,4301" coordsize="946,2">
              <v:shape style="position:absolute;left:4010;top:4301;width:946;height:2" coordorigin="4010,4301" coordsize="946,0" path="m4010,4301l4956,4301e" filled="false" stroked="true" strokeweight=".75pt" strokecolor="#000000">
                <v:path arrowok="t"/>
              </v:shape>
            </v:group>
            <v:group style="position:absolute;left:4971;top:4301;width:947;height:2" coordorigin="4971,4301" coordsize="947,2">
              <v:shape style="position:absolute;left:4971;top:4301;width:947;height:2" coordorigin="4971,4301" coordsize="947,0" path="m4971,4301l5918,4301e" filled="false" stroked="true" strokeweight=".75pt" strokecolor="#000000">
                <v:path arrowok="t"/>
              </v:shape>
            </v:group>
            <v:group style="position:absolute;left:5933;top:4301;width:946;height:2" coordorigin="5933,4301" coordsize="946,2">
              <v:shape style="position:absolute;left:5933;top:4301;width:946;height:2" coordorigin="5933,4301" coordsize="946,0" path="m5933,4301l6879,4301e" filled="false" stroked="true" strokeweight=".75pt" strokecolor="#000000">
                <v:path arrowok="t"/>
              </v:shape>
            </v:group>
            <v:group style="position:absolute;left:6894;top:4301;width:947;height:2" coordorigin="6894,4301" coordsize="947,2">
              <v:shape style="position:absolute;left:6894;top:4301;width:947;height:2" coordorigin="6894,4301" coordsize="947,0" path="m6894,4301l7840,4301e" filled="false" stroked="true" strokeweight=".75pt" strokecolor="#000000">
                <v:path arrowok="t"/>
              </v:shape>
            </v:group>
            <v:group style="position:absolute;left:7855;top:4301;width:931;height:2" coordorigin="7855,4301" coordsize="931,2">
              <v:shape style="position:absolute;left:7855;top:4301;width:931;height:2" coordorigin="7855,4301" coordsize="931,0" path="m7855,4301l8786,4301e" filled="false" stroked="true" strokeweight=".75pt" strokecolor="#000000">
                <v:path arrowok="t"/>
              </v:shape>
            </v:group>
            <v:group style="position:absolute;left:8801;top:4301;width:946;height:2" coordorigin="8801,4301" coordsize="946,2">
              <v:shape style="position:absolute;left:8801;top:4301;width:946;height:2" coordorigin="8801,4301" coordsize="946,0" path="m8801,4301l9747,4301e" filled="false" stroked="true" strokeweight=".75pt" strokecolor="#000000">
                <v:path arrowok="t"/>
              </v:shape>
            </v:group>
            <v:group style="position:absolute;left:9762;top:4301;width:947;height:2" coordorigin="9762,4301" coordsize="947,2">
              <v:shape style="position:absolute;left:9762;top:4301;width:947;height:2" coordorigin="9762,4301" coordsize="947,0" path="m9762,4301l10708,4301e" filled="false" stroked="true" strokeweight=".75pt" strokecolor="#000000">
                <v:path arrowok="t"/>
              </v:shape>
            </v:group>
            <v:group style="position:absolute;left:1149;top:5029;width:2;height:1006" coordorigin="1149,5029" coordsize="2,1006">
              <v:shape style="position:absolute;left:1149;top:5029;width:2;height:1006" coordorigin="1149,5029" coordsize="0,1006" path="m1149,5029l1149,6035e" filled="false" stroked="true" strokeweight=".75pt" strokecolor="#d2d2d2">
                <v:path arrowok="t"/>
              </v:shape>
            </v:group>
            <v:group style="position:absolute;left:2080;top:5029;width:2;height:1006" coordorigin="2080,5029" coordsize="2,1006">
              <v:shape style="position:absolute;left:2080;top:5029;width:2;height:1006" coordorigin="2080,5029" coordsize="0,1006" path="m2080,5029l2080,6035e" filled="false" stroked="true" strokeweight=".75pt" strokecolor="#d2d2d2">
                <v:path arrowok="t"/>
              </v:shape>
            </v:group>
            <v:group style="position:absolute;left:1157;top:5029;width:916;height:345" coordorigin="1157,5029" coordsize="916,345">
              <v:shape style="position:absolute;left:1157;top:5029;width:916;height:345" coordorigin="1157,5029" coordsize="916,345" path="m1157,5374l2073,5374,2073,5029,1157,5029,1157,5374xe" filled="true" fillcolor="#d2d2d2" stroked="false">
                <v:path arrowok="t"/>
                <v:fill type="solid"/>
              </v:shape>
            </v:group>
            <v:group style="position:absolute;left:1157;top:5375;width:916;height:316" coordorigin="1157,5375" coordsize="916,316">
              <v:shape style="position:absolute;left:1157;top:5375;width:916;height:316" coordorigin="1157,5375" coordsize="916,316" path="m1157,5690l2073,5690,2073,5375,1157,5375,1157,5690xe" filled="true" fillcolor="#d2d2d2" stroked="false">
                <v:path arrowok="t"/>
                <v:fill type="solid"/>
              </v:shape>
            </v:group>
            <v:group style="position:absolute;left:1157;top:5690;width:916;height:346" coordorigin="1157,5690" coordsize="916,346">
              <v:shape style="position:absolute;left:1157;top:5690;width:916;height:346" coordorigin="1157,5690" coordsize="916,346" path="m1157,6036l2073,6036,2073,5690,1157,5690,1157,6036xe" filled="true" fillcolor="#d2d2d2" stroked="false">
                <v:path arrowok="t"/>
                <v:fill type="solid"/>
              </v:shape>
            </v:group>
            <v:group style="position:absolute;left:2102;top:5029;width:947;height:300" coordorigin="2102,5029" coordsize="947,300">
              <v:shape style="position:absolute;left:2102;top:5029;width:947;height:300" coordorigin="2102,5029" coordsize="947,300" path="m2102,5329l3049,5329,3049,5029,2102,5029,2102,5329xe" filled="true" fillcolor="#ffffff" stroked="false">
                <v:path arrowok="t"/>
                <v:fill type="solid"/>
              </v:shape>
            </v:group>
            <v:group style="position:absolute;left:1142;top:5022;width:946;height:2" coordorigin="1142,5022" coordsize="946,2">
              <v:shape style="position:absolute;left:1142;top:5022;width:946;height:2" coordorigin="1142,5022" coordsize="946,0" path="m1142,5022l2088,5022e" filled="false" stroked="true" strokeweight=".75pt" strokecolor="#000000">
                <v:path arrowok="t"/>
              </v:shape>
            </v:group>
            <v:group style="position:absolute;left:2102;top:5022;width:947;height:2" coordorigin="2102,5022" coordsize="947,2">
              <v:shape style="position:absolute;left:2102;top:5022;width:947;height:2" coordorigin="2102,5022" coordsize="947,0" path="m2102,5022l3049,5022e" filled="false" stroked="true" strokeweight=".75pt" strokecolor="#000000">
                <v:path arrowok="t"/>
              </v:shape>
            </v:group>
            <v:group style="position:absolute;left:3064;top:5022;width:931;height:2" coordorigin="3064,5022" coordsize="931,2">
              <v:shape style="position:absolute;left:3064;top:5022;width:931;height:2" coordorigin="3064,5022" coordsize="931,0" path="m3064,5022l3995,5022e" filled="false" stroked="true" strokeweight=".75pt" strokecolor="#000000">
                <v:path arrowok="t"/>
              </v:shape>
            </v:group>
            <v:group style="position:absolute;left:4010;top:5022;width:946;height:2" coordorigin="4010,5022" coordsize="946,2">
              <v:shape style="position:absolute;left:4010;top:5022;width:946;height:2" coordorigin="4010,5022" coordsize="946,0" path="m4010,5022l4956,5022e" filled="false" stroked="true" strokeweight=".75pt" strokecolor="#000000">
                <v:path arrowok="t"/>
              </v:shape>
            </v:group>
            <v:group style="position:absolute;left:4971;top:5022;width:947;height:2" coordorigin="4971,5022" coordsize="947,2">
              <v:shape style="position:absolute;left:4971;top:5022;width:947;height:2" coordorigin="4971,5022" coordsize="947,0" path="m4971,5022l5918,5022e" filled="false" stroked="true" strokeweight=".75pt" strokecolor="#000000">
                <v:path arrowok="t"/>
              </v:shape>
            </v:group>
            <v:group style="position:absolute;left:5933;top:5022;width:946;height:2" coordorigin="5933,5022" coordsize="946,2">
              <v:shape style="position:absolute;left:5933;top:5022;width:946;height:2" coordorigin="5933,5022" coordsize="946,0" path="m5933,5022l6879,5022e" filled="false" stroked="true" strokeweight=".75pt" strokecolor="#000000">
                <v:path arrowok="t"/>
              </v:shape>
            </v:group>
            <v:group style="position:absolute;left:6894;top:5022;width:947;height:2" coordorigin="6894,5022" coordsize="947,2">
              <v:shape style="position:absolute;left:6894;top:5022;width:947;height:2" coordorigin="6894,5022" coordsize="947,0" path="m6894,5022l7840,5022e" filled="false" stroked="true" strokeweight=".75pt" strokecolor="#000000">
                <v:path arrowok="t"/>
              </v:shape>
            </v:group>
            <v:group style="position:absolute;left:7855;top:5022;width:931;height:2" coordorigin="7855,5022" coordsize="931,2">
              <v:shape style="position:absolute;left:7855;top:5022;width:931;height:2" coordorigin="7855,5022" coordsize="931,0" path="m7855,5022l8786,5022e" filled="false" stroked="true" strokeweight=".75pt" strokecolor="#000000">
                <v:path arrowok="t"/>
              </v:shape>
            </v:group>
            <v:group style="position:absolute;left:8801;top:5022;width:946;height:2" coordorigin="8801,5022" coordsize="946,2">
              <v:shape style="position:absolute;left:8801;top:5022;width:946;height:2" coordorigin="8801,5022" coordsize="946,0" path="m8801,5022l9747,5022e" filled="false" stroked="true" strokeweight=".75pt" strokecolor="#000000">
                <v:path arrowok="t"/>
              </v:shape>
            </v:group>
            <v:group style="position:absolute;left:9762;top:5022;width:947;height:2" coordorigin="9762,5022" coordsize="947,2">
              <v:shape style="position:absolute;left:9762;top:5022;width:947;height:2" coordorigin="9762,5022" coordsize="947,0" path="m9762,5022l10708,5022e" filled="false" stroked="true" strokeweight=".75pt" strokecolor="#000000">
                <v:path arrowok="t"/>
              </v:shape>
            </v:group>
            <v:group style="position:absolute;left:2095;top:1442;width:2;height:4594" coordorigin="2095,1442" coordsize="2,4594">
              <v:shape style="position:absolute;left:2095;top:1442;width:2;height:4594" coordorigin="2095,1442" coordsize="0,4594" path="m2095,1442l2095,6035e" filled="false" stroked="true" strokeweight=".75pt" strokecolor="#000000">
                <v:path arrowok="t"/>
              </v:shape>
            </v:group>
            <v:group style="position:absolute;left:1149;top:6051;width:2;height:706" coordorigin="1149,6051" coordsize="2,706">
              <v:shape style="position:absolute;left:1149;top:6051;width:2;height:706" coordorigin="1149,6051" coordsize="0,706" path="m1149,6051l1149,6756e" filled="false" stroked="true" strokeweight=".75pt" strokecolor="#d2d2d2">
                <v:path arrowok="t"/>
              </v:shape>
            </v:group>
            <v:group style="position:absolute;left:2080;top:6051;width:2;height:706" coordorigin="2080,6051" coordsize="2,706">
              <v:shape style="position:absolute;left:2080;top:6051;width:2;height:706" coordorigin="2080,6051" coordsize="0,706" path="m2080,6051l2080,6756e" filled="false" stroked="true" strokeweight=".75pt" strokecolor="#d2d2d2">
                <v:path arrowok="t"/>
              </v:shape>
            </v:group>
            <v:group style="position:absolute;left:1157;top:6051;width:916;height:360" coordorigin="1157,6051" coordsize="916,360">
              <v:shape style="position:absolute;left:1157;top:6051;width:916;height:360" coordorigin="1157,6051" coordsize="916,360" path="m1157,6411l2073,6411,2073,6051,1157,6051,1157,6411xe" filled="true" fillcolor="#d2d2d2" stroked="false">
                <v:path arrowok="t"/>
                <v:fill type="solid"/>
              </v:shape>
            </v:group>
            <v:group style="position:absolute;left:1157;top:6411;width:916;height:346" coordorigin="1157,6411" coordsize="916,346">
              <v:shape style="position:absolute;left:1157;top:6411;width:916;height:346" coordorigin="1157,6411" coordsize="916,346" path="m1157,6756l2073,6756,2073,6411,1157,6411,1157,6756xe" filled="true" fillcolor="#d2d2d2" stroked="false">
                <v:path arrowok="t"/>
                <v:fill type="solid"/>
              </v:shape>
            </v:group>
            <v:group style="position:absolute;left:1142;top:6043;width:946;height:2" coordorigin="1142,6043" coordsize="946,2">
              <v:shape style="position:absolute;left:1142;top:6043;width:946;height:2" coordorigin="1142,6043" coordsize="946,0" path="m1142,6043l2088,6043e" filled="false" stroked="true" strokeweight=".75pt" strokecolor="#000000">
                <v:path arrowok="t"/>
              </v:shape>
            </v:group>
            <v:group style="position:absolute;left:2102;top:6043;width:947;height:2" coordorigin="2102,6043" coordsize="947,2">
              <v:shape style="position:absolute;left:2102;top:6043;width:947;height:2" coordorigin="2102,6043" coordsize="947,0" path="m2102,6043l3049,6043e" filled="false" stroked="true" strokeweight=".75pt" strokecolor="#000000">
                <v:path arrowok="t"/>
              </v:shape>
            </v:group>
            <v:group style="position:absolute;left:3064;top:6043;width:931;height:2" coordorigin="3064,6043" coordsize="931,2">
              <v:shape style="position:absolute;left:3064;top:6043;width:931;height:2" coordorigin="3064,6043" coordsize="931,0" path="m3064,6043l3995,6043e" filled="false" stroked="true" strokeweight=".75pt" strokecolor="#000000">
                <v:path arrowok="t"/>
              </v:shape>
            </v:group>
            <v:group style="position:absolute;left:4010;top:6043;width:946;height:2" coordorigin="4010,6043" coordsize="946,2">
              <v:shape style="position:absolute;left:4010;top:6043;width:946;height:2" coordorigin="4010,6043" coordsize="946,0" path="m4010,6043l4956,6043e" filled="false" stroked="true" strokeweight=".75pt" strokecolor="#000000">
                <v:path arrowok="t"/>
              </v:shape>
            </v:group>
            <v:group style="position:absolute;left:4971;top:6043;width:947;height:2" coordorigin="4971,6043" coordsize="947,2">
              <v:shape style="position:absolute;left:4971;top:6043;width:947;height:2" coordorigin="4971,6043" coordsize="947,0" path="m4971,6043l5918,6043e" filled="false" stroked="true" strokeweight=".75pt" strokecolor="#000000">
                <v:path arrowok="t"/>
              </v:shape>
            </v:group>
            <v:group style="position:absolute;left:5933;top:6043;width:946;height:2" coordorigin="5933,6043" coordsize="946,2">
              <v:shape style="position:absolute;left:5933;top:6043;width:946;height:2" coordorigin="5933,6043" coordsize="946,0" path="m5933,6043l6879,6043e" filled="false" stroked="true" strokeweight=".75pt" strokecolor="#000000">
                <v:path arrowok="t"/>
              </v:shape>
            </v:group>
            <v:group style="position:absolute;left:6894;top:6043;width:947;height:2" coordorigin="6894,6043" coordsize="947,2">
              <v:shape style="position:absolute;left:6894;top:6043;width:947;height:2" coordorigin="6894,6043" coordsize="947,0" path="m6894,6043l7840,6043e" filled="false" stroked="true" strokeweight=".75pt" strokecolor="#000000">
                <v:path arrowok="t"/>
              </v:shape>
            </v:group>
            <v:group style="position:absolute;left:7855;top:6043;width:931;height:2" coordorigin="7855,6043" coordsize="931,2">
              <v:shape style="position:absolute;left:7855;top:6043;width:931;height:2" coordorigin="7855,6043" coordsize="931,0" path="m7855,6043l8786,6043e" filled="false" stroked="true" strokeweight=".75pt" strokecolor="#000000">
                <v:path arrowok="t"/>
              </v:shape>
            </v:group>
            <v:group style="position:absolute;left:8801;top:6043;width:946;height:2" coordorigin="8801,6043" coordsize="946,2">
              <v:shape style="position:absolute;left:8801;top:6043;width:946;height:2" coordorigin="8801,6043" coordsize="946,0" path="m8801,6043l9747,6043e" filled="false" stroked="true" strokeweight=".75pt" strokecolor="#000000">
                <v:path arrowok="t"/>
              </v:shape>
            </v:group>
            <v:group style="position:absolute;left:9762;top:6043;width:947;height:2" coordorigin="9762,6043" coordsize="947,2">
              <v:shape style="position:absolute;left:9762;top:6043;width:947;height:2" coordorigin="9762,6043" coordsize="947,0" path="m9762,6043l10708,6043e" filled="false" stroked="true" strokeweight=".75pt" strokecolor="#000000">
                <v:path arrowok="t"/>
              </v:shape>
            </v:group>
            <v:group style="position:absolute;left:2095;top:6036;width:2;height:736" coordorigin="2095,6036" coordsize="2,736">
              <v:shape style="position:absolute;left:2095;top:6036;width:2;height:736" coordorigin="2095,6036" coordsize="0,736" path="m2095,6036l2095,6771e" filled="false" stroked="true" strokeweight=".75pt" strokecolor="#000000">
                <v:path arrowok="t"/>
              </v:shape>
            </v:group>
            <v:group style="position:absolute;left:1149;top:6771;width:2;height:706" coordorigin="1149,6771" coordsize="2,706">
              <v:shape style="position:absolute;left:1149;top:6771;width:2;height:706" coordorigin="1149,6771" coordsize="0,706" path="m1149,6771l1149,7477e" filled="false" stroked="true" strokeweight=".75pt" strokecolor="#d2d2d2">
                <v:path arrowok="t"/>
              </v:shape>
            </v:group>
            <v:group style="position:absolute;left:2080;top:6771;width:2;height:706" coordorigin="2080,6771" coordsize="2,706">
              <v:shape style="position:absolute;left:2080;top:6771;width:2;height:706" coordorigin="2080,6771" coordsize="0,706" path="m2080,6771l2080,7477e" filled="false" stroked="true" strokeweight=".75pt" strokecolor="#d2d2d2">
                <v:path arrowok="t"/>
              </v:shape>
            </v:group>
            <v:group style="position:absolute;left:1157;top:6771;width:916;height:346" coordorigin="1157,6771" coordsize="916,346">
              <v:shape style="position:absolute;left:1157;top:6771;width:916;height:346" coordorigin="1157,6771" coordsize="916,346" path="m1157,7117l2073,7117,2073,6771,1157,6771,1157,7117xe" filled="true" fillcolor="#d2d2d2" stroked="false">
                <v:path arrowok="t"/>
                <v:fill type="solid"/>
              </v:shape>
            </v:group>
            <v:group style="position:absolute;left:1157;top:7117;width:916;height:360" coordorigin="1157,7117" coordsize="916,360">
              <v:shape style="position:absolute;left:1157;top:7117;width:916;height:360" coordorigin="1157,7117" coordsize="916,360" path="m1157,7477l2073,7477,2073,7117,1157,7117,1157,7477xe" filled="true" fillcolor="#d2d2d2" stroked="false">
                <v:path arrowok="t"/>
                <v:fill type="solid"/>
              </v:shape>
            </v:group>
            <v:group style="position:absolute;left:1142;top:6764;width:946;height:2" coordorigin="1142,6764" coordsize="946,2">
              <v:shape style="position:absolute;left:1142;top:6764;width:946;height:2" coordorigin="1142,6764" coordsize="946,0" path="m1142,6764l2088,6764e" filled="false" stroked="true" strokeweight=".75pt" strokecolor="#000000">
                <v:path arrowok="t"/>
              </v:shape>
            </v:group>
            <v:group style="position:absolute;left:2102;top:6764;width:947;height:2" coordorigin="2102,6764" coordsize="947,2">
              <v:shape style="position:absolute;left:2102;top:6764;width:947;height:2" coordorigin="2102,6764" coordsize="947,0" path="m2102,6764l3049,6764e" filled="false" stroked="true" strokeweight=".75pt" strokecolor="#000000">
                <v:path arrowok="t"/>
              </v:shape>
            </v:group>
            <v:group style="position:absolute;left:3064;top:6764;width:931;height:2" coordorigin="3064,6764" coordsize="931,2">
              <v:shape style="position:absolute;left:3064;top:6764;width:931;height:2" coordorigin="3064,6764" coordsize="931,0" path="m3064,6764l3995,6764e" filled="false" stroked="true" strokeweight=".75pt" strokecolor="#000000">
                <v:path arrowok="t"/>
              </v:shape>
            </v:group>
            <v:group style="position:absolute;left:4010;top:6764;width:946;height:2" coordorigin="4010,6764" coordsize="946,2">
              <v:shape style="position:absolute;left:4010;top:6764;width:946;height:2" coordorigin="4010,6764" coordsize="946,0" path="m4010,6764l4956,6764e" filled="false" stroked="true" strokeweight=".75pt" strokecolor="#000000">
                <v:path arrowok="t"/>
              </v:shape>
            </v:group>
            <v:group style="position:absolute;left:4971;top:6764;width:947;height:2" coordorigin="4971,6764" coordsize="947,2">
              <v:shape style="position:absolute;left:4971;top:6764;width:947;height:2" coordorigin="4971,6764" coordsize="947,0" path="m4971,6764l5918,6764e" filled="false" stroked="true" strokeweight=".75pt" strokecolor="#000000">
                <v:path arrowok="t"/>
              </v:shape>
            </v:group>
            <v:group style="position:absolute;left:5933;top:6764;width:946;height:2" coordorigin="5933,6764" coordsize="946,2">
              <v:shape style="position:absolute;left:5933;top:6764;width:946;height:2" coordorigin="5933,6764" coordsize="946,0" path="m5933,6764l6879,6764e" filled="false" stroked="true" strokeweight=".75pt" strokecolor="#000000">
                <v:path arrowok="t"/>
              </v:shape>
            </v:group>
            <v:group style="position:absolute;left:6894;top:6764;width:947;height:2" coordorigin="6894,6764" coordsize="947,2">
              <v:shape style="position:absolute;left:6894;top:6764;width:947;height:2" coordorigin="6894,6764" coordsize="947,0" path="m6894,6764l7840,6764e" filled="false" stroked="true" strokeweight=".75pt" strokecolor="#000000">
                <v:path arrowok="t"/>
              </v:shape>
            </v:group>
            <v:group style="position:absolute;left:7855;top:6764;width:931;height:2" coordorigin="7855,6764" coordsize="931,2">
              <v:shape style="position:absolute;left:7855;top:6764;width:931;height:2" coordorigin="7855,6764" coordsize="931,0" path="m7855,6764l8786,6764e" filled="false" stroked="true" strokeweight=".75pt" strokecolor="#000000">
                <v:path arrowok="t"/>
              </v:shape>
            </v:group>
            <v:group style="position:absolute;left:8801;top:6764;width:946;height:2" coordorigin="8801,6764" coordsize="946,2">
              <v:shape style="position:absolute;left:8801;top:6764;width:946;height:2" coordorigin="8801,6764" coordsize="946,0" path="m8801,6764l9747,6764e" filled="false" stroked="true" strokeweight=".75pt" strokecolor="#000000">
                <v:path arrowok="t"/>
              </v:shape>
            </v:group>
            <v:group style="position:absolute;left:9762;top:6764;width:947;height:2" coordorigin="9762,6764" coordsize="947,2">
              <v:shape style="position:absolute;left:9762;top:6764;width:947;height:2" coordorigin="9762,6764" coordsize="947,0" path="m9762,6764l10708,6764e" filled="false" stroked="true" strokeweight=".75pt" strokecolor="#000000">
                <v:path arrowok="t"/>
              </v:shape>
            </v:group>
            <v:group style="position:absolute;left:1149;top:7476;width:2;height:706" coordorigin="1149,7476" coordsize="2,706">
              <v:shape style="position:absolute;left:1149;top:7476;width:2;height:706" coordorigin="1149,7476" coordsize="0,706" path="m1149,7476l1149,8182e" filled="false" stroked="true" strokeweight=".75pt" strokecolor="#d2d2d2">
                <v:path arrowok="t"/>
              </v:shape>
            </v:group>
            <v:group style="position:absolute;left:2080;top:7476;width:2;height:706" coordorigin="2080,7476" coordsize="2,706">
              <v:shape style="position:absolute;left:2080;top:7476;width:2;height:706" coordorigin="2080,7476" coordsize="0,706" path="m2080,7476l2080,8182e" filled="false" stroked="true" strokeweight=".75pt" strokecolor="#d2d2d2">
                <v:path arrowok="t"/>
              </v:shape>
            </v:group>
            <v:group style="position:absolute;left:1157;top:7476;width:916;height:361" coordorigin="1157,7476" coordsize="916,361">
              <v:shape style="position:absolute;left:1157;top:7476;width:916;height:361" coordorigin="1157,7476" coordsize="916,361" path="m1157,7837l2073,7837,2073,7476,1157,7476,1157,7837xe" filled="true" fillcolor="#d2d2d2" stroked="false">
                <v:path arrowok="t"/>
                <v:fill type="solid"/>
              </v:shape>
            </v:group>
            <v:group style="position:absolute;left:1157;top:7837;width:916;height:345" coordorigin="1157,7837" coordsize="916,345">
              <v:shape style="position:absolute;left:1157;top:7837;width:916;height:345" coordorigin="1157,7837" coordsize="916,345" path="m1157,8182l2073,8182,2073,7837,1157,7837,1157,8182xe" filled="true" fillcolor="#d2d2d2" stroked="false">
                <v:path arrowok="t"/>
                <v:fill type="solid"/>
              </v:shape>
            </v:group>
            <v:group style="position:absolute;left:2102;top:7477;width:947;height:165" coordorigin="2102,7477" coordsize="947,165">
              <v:shape style="position:absolute;left:2102;top:7477;width:947;height:165" coordorigin="2102,7477" coordsize="947,165" path="m2102,7642l3049,7642,3049,7477,2102,7477,2102,7642xe" filled="true" fillcolor="#ffffff" stroked="false">
                <v:path arrowok="t"/>
                <v:fill type="solid"/>
              </v:shape>
            </v:group>
            <v:group style="position:absolute;left:2110;top:7641;width:2;height:391" coordorigin="2110,7641" coordsize="2,391">
              <v:shape style="position:absolute;left:2110;top:7641;width:2;height:391" coordorigin="2110,7641" coordsize="0,391" path="m2110,7641l2110,8032e" filled="false" stroked="true" strokeweight=".75pt" strokecolor="#ffffff">
                <v:path arrowok="t"/>
              </v:shape>
            </v:group>
            <v:group style="position:absolute;left:2117;top:7641;width:902;height:391" coordorigin="2117,7641" coordsize="902,391">
              <v:shape style="position:absolute;left:2117;top:7641;width:902;height:391" coordorigin="2117,7641" coordsize="902,391" path="m2117,8032l3019,8032,3019,7641,2117,7641,2117,8032xe" filled="true" fillcolor="#ffffff" stroked="false">
                <v:path arrowok="t"/>
                <v:fill type="solid"/>
              </v:shape>
            </v:group>
            <v:group style="position:absolute;left:1142;top:7484;width:946;height:2" coordorigin="1142,7484" coordsize="946,2">
              <v:shape style="position:absolute;left:1142;top:7484;width:946;height:2" coordorigin="1142,7484" coordsize="946,0" path="m1142,7484l2088,7484e" filled="false" stroked="true" strokeweight=".75pt" strokecolor="#000000">
                <v:path arrowok="t"/>
              </v:shape>
            </v:group>
            <v:group style="position:absolute;left:2102;top:7484;width:947;height:2" coordorigin="2102,7484" coordsize="947,2">
              <v:shape style="position:absolute;left:2102;top:7484;width:947;height:2" coordorigin="2102,7484" coordsize="947,0" path="m2102,7484l3049,7484e" filled="false" stroked="true" strokeweight=".75pt" strokecolor="#000000">
                <v:path arrowok="t"/>
              </v:shape>
            </v:group>
            <v:group style="position:absolute;left:3064;top:7484;width:931;height:2" coordorigin="3064,7484" coordsize="931,2">
              <v:shape style="position:absolute;left:3064;top:7484;width:931;height:2" coordorigin="3064,7484" coordsize="931,0" path="m3064,7484l3995,7484e" filled="false" stroked="true" strokeweight=".75pt" strokecolor="#000000">
                <v:path arrowok="t"/>
              </v:shape>
            </v:group>
            <v:group style="position:absolute;left:4010;top:7484;width:946;height:2" coordorigin="4010,7484" coordsize="946,2">
              <v:shape style="position:absolute;left:4010;top:7484;width:946;height:2" coordorigin="4010,7484" coordsize="946,0" path="m4010,7484l4956,7484e" filled="false" stroked="true" strokeweight=".75pt" strokecolor="#000000">
                <v:path arrowok="t"/>
              </v:shape>
            </v:group>
            <v:group style="position:absolute;left:4971;top:7484;width:947;height:2" coordorigin="4971,7484" coordsize="947,2">
              <v:shape style="position:absolute;left:4971;top:7484;width:947;height:2" coordorigin="4971,7484" coordsize="947,0" path="m4971,7484l5918,7484e" filled="false" stroked="true" strokeweight=".75pt" strokecolor="#000000">
                <v:path arrowok="t"/>
              </v:shape>
            </v:group>
            <v:group style="position:absolute;left:5933;top:7484;width:946;height:2" coordorigin="5933,7484" coordsize="946,2">
              <v:shape style="position:absolute;left:5933;top:7484;width:946;height:2" coordorigin="5933,7484" coordsize="946,0" path="m5933,7484l6879,7484e" filled="false" stroked="true" strokeweight=".75pt" strokecolor="#000000">
                <v:path arrowok="t"/>
              </v:shape>
            </v:group>
            <v:group style="position:absolute;left:6894;top:7484;width:947;height:2" coordorigin="6894,7484" coordsize="947,2">
              <v:shape style="position:absolute;left:6894;top:7484;width:947;height:2" coordorigin="6894,7484" coordsize="947,0" path="m6894,7484l7840,7484e" filled="false" stroked="true" strokeweight=".75pt" strokecolor="#000000">
                <v:path arrowok="t"/>
              </v:shape>
            </v:group>
            <v:group style="position:absolute;left:7855;top:7484;width:931;height:2" coordorigin="7855,7484" coordsize="931,2">
              <v:shape style="position:absolute;left:7855;top:7484;width:931;height:2" coordorigin="7855,7484" coordsize="931,0" path="m7855,7484l8786,7484e" filled="false" stroked="true" strokeweight=".75pt" strokecolor="#000000">
                <v:path arrowok="t"/>
              </v:shape>
            </v:group>
            <v:group style="position:absolute;left:8801;top:7484;width:946;height:2" coordorigin="8801,7484" coordsize="946,2">
              <v:shape style="position:absolute;left:8801;top:7484;width:946;height:2" coordorigin="8801,7484" coordsize="946,0" path="m8801,7484l9747,7484e" filled="false" stroked="true" strokeweight=".75pt" strokecolor="#000000">
                <v:path arrowok="t"/>
              </v:shape>
            </v:group>
            <v:group style="position:absolute;left:9762;top:7484;width:947;height:2" coordorigin="9762,7484" coordsize="947,2">
              <v:shape style="position:absolute;left:9762;top:7484;width:947;height:2" coordorigin="9762,7484" coordsize="947,0" path="m9762,7484l10708,7484e" filled="false" stroked="true" strokeweight=".75pt" strokecolor="#000000">
                <v:path arrowok="t"/>
              </v:shape>
            </v:group>
            <v:group style="position:absolute;left:1149;top:8197;width:2;height:706" coordorigin="1149,8197" coordsize="2,706">
              <v:shape style="position:absolute;left:1149;top:8197;width:2;height:706" coordorigin="1149,8197" coordsize="0,706" path="m1149,8197l1149,8903e" filled="false" stroked="true" strokeweight=".75pt" strokecolor="#d2d2d2">
                <v:path arrowok="t"/>
              </v:shape>
            </v:group>
            <v:group style="position:absolute;left:2080;top:8197;width:2;height:706" coordorigin="2080,8197" coordsize="2,706">
              <v:shape style="position:absolute;left:2080;top:8197;width:2;height:706" coordorigin="2080,8197" coordsize="0,706" path="m2080,8197l2080,8903e" filled="false" stroked="true" strokeweight=".75pt" strokecolor="#d2d2d2">
                <v:path arrowok="t"/>
              </v:shape>
            </v:group>
            <v:group style="position:absolute;left:1157;top:8197;width:916;height:346" coordorigin="1157,8197" coordsize="916,346">
              <v:shape style="position:absolute;left:1157;top:8197;width:916;height:346" coordorigin="1157,8197" coordsize="916,346" path="m1157,8542l2073,8542,2073,8197,1157,8197,1157,8542xe" filled="true" fillcolor="#d2d2d2" stroked="false">
                <v:path arrowok="t"/>
                <v:fill type="solid"/>
              </v:shape>
            </v:group>
            <v:group style="position:absolute;left:1157;top:8543;width:916;height:361" coordorigin="1157,8543" coordsize="916,361">
              <v:shape style="position:absolute;left:1157;top:8543;width:916;height:361" coordorigin="1157,8543" coordsize="916,361" path="m1157,8903l2073,8903,2073,8543,1157,8543,1157,8903xe" filled="true" fillcolor="#d2d2d2" stroked="false">
                <v:path arrowok="t"/>
                <v:fill type="solid"/>
              </v:shape>
            </v:group>
            <v:group style="position:absolute;left:1142;top:8189;width:946;height:2" coordorigin="1142,8189" coordsize="946,2">
              <v:shape style="position:absolute;left:1142;top:8189;width:946;height:2" coordorigin="1142,8189" coordsize="946,0" path="m1142,8189l2088,8189e" filled="false" stroked="true" strokeweight=".75pt" strokecolor="#000000">
                <v:path arrowok="t"/>
              </v:shape>
            </v:group>
            <v:group style="position:absolute;left:2102;top:8189;width:947;height:2" coordorigin="2102,8189" coordsize="947,2">
              <v:shape style="position:absolute;left:2102;top:8189;width:947;height:2" coordorigin="2102,8189" coordsize="947,0" path="m2102,8189l3049,8189e" filled="false" stroked="true" strokeweight=".75pt" strokecolor="#000000">
                <v:path arrowok="t"/>
              </v:shape>
            </v:group>
            <v:group style="position:absolute;left:3064;top:8189;width:931;height:2" coordorigin="3064,8189" coordsize="931,2">
              <v:shape style="position:absolute;left:3064;top:8189;width:931;height:2" coordorigin="3064,8189" coordsize="931,0" path="m3064,8189l3995,8189e" filled="false" stroked="true" strokeweight=".75pt" strokecolor="#000000">
                <v:path arrowok="t"/>
              </v:shape>
            </v:group>
            <v:group style="position:absolute;left:4010;top:8189;width:946;height:2" coordorigin="4010,8189" coordsize="946,2">
              <v:shape style="position:absolute;left:4010;top:8189;width:946;height:2" coordorigin="4010,8189" coordsize="946,0" path="m4010,8189l4956,8189e" filled="false" stroked="true" strokeweight=".75pt" strokecolor="#000000">
                <v:path arrowok="t"/>
              </v:shape>
            </v:group>
            <v:group style="position:absolute;left:4971;top:8189;width:947;height:2" coordorigin="4971,8189" coordsize="947,2">
              <v:shape style="position:absolute;left:4971;top:8189;width:947;height:2" coordorigin="4971,8189" coordsize="947,0" path="m4971,8189l5918,8189e" filled="false" stroked="true" strokeweight=".75pt" strokecolor="#000000">
                <v:path arrowok="t"/>
              </v:shape>
            </v:group>
            <v:group style="position:absolute;left:5933;top:8189;width:946;height:2" coordorigin="5933,8189" coordsize="946,2">
              <v:shape style="position:absolute;left:5933;top:8189;width:946;height:2" coordorigin="5933,8189" coordsize="946,0" path="m5933,8189l6879,8189e" filled="false" stroked="true" strokeweight=".75pt" strokecolor="#000000">
                <v:path arrowok="t"/>
              </v:shape>
            </v:group>
            <v:group style="position:absolute;left:6894;top:8189;width:947;height:2" coordorigin="6894,8189" coordsize="947,2">
              <v:shape style="position:absolute;left:6894;top:8189;width:947;height:2" coordorigin="6894,8189" coordsize="947,0" path="m6894,8189l7840,8189e" filled="false" stroked="true" strokeweight=".75pt" strokecolor="#000000">
                <v:path arrowok="t"/>
              </v:shape>
            </v:group>
            <v:group style="position:absolute;left:7855;top:8189;width:931;height:2" coordorigin="7855,8189" coordsize="931,2">
              <v:shape style="position:absolute;left:7855;top:8189;width:931;height:2" coordorigin="7855,8189" coordsize="931,0" path="m7855,8189l8786,8189e" filled="false" stroked="true" strokeweight=".75pt" strokecolor="#000000">
                <v:path arrowok="t"/>
              </v:shape>
            </v:group>
            <v:group style="position:absolute;left:8801;top:8189;width:946;height:2" coordorigin="8801,8189" coordsize="946,2">
              <v:shape style="position:absolute;left:8801;top:8189;width:946;height:2" coordorigin="8801,8189" coordsize="946,0" path="m8801,8189l9747,8189e" filled="false" stroked="true" strokeweight=".75pt" strokecolor="#000000">
                <v:path arrowok="t"/>
              </v:shape>
            </v:group>
            <v:group style="position:absolute;left:9762;top:8189;width:947;height:2" coordorigin="9762,8189" coordsize="947,2">
              <v:shape style="position:absolute;left:9762;top:8189;width:947;height:2" coordorigin="9762,8189" coordsize="947,0" path="m9762,8189l10708,8189e" filled="false" stroked="true" strokeweight=".75pt" strokecolor="#000000">
                <v:path arrowok="t"/>
              </v:shape>
            </v:group>
            <v:group style="position:absolute;left:1134;top:1442;width:2;height:7477" coordorigin="1134,1442" coordsize="2,7477">
              <v:shape style="position:absolute;left:1134;top:1442;width:2;height:7477" coordorigin="1134,1442" coordsize="0,7477" path="m1134,1442l1134,8918e" filled="false" stroked="true" strokeweight=".75pt" strokecolor="#000000">
                <v:path arrowok="t"/>
              </v:shape>
            </v:group>
            <v:group style="position:absolute;left:2095;top:6771;width:2;height:2147" coordorigin="2095,6771" coordsize="2,2147">
              <v:shape style="position:absolute;left:2095;top:6771;width:2;height:2147" coordorigin="2095,6771" coordsize="0,2147" path="m2095,6771l2095,8918e" filled="false" stroked="true" strokeweight=".75pt" strokecolor="#000000">
                <v:path arrowok="t"/>
              </v:shape>
            </v:group>
            <v:group style="position:absolute;left:1149;top:8903;width:2;height:706" coordorigin="1149,8903" coordsize="2,706">
              <v:shape style="position:absolute;left:1149;top:8903;width:2;height:706" coordorigin="1149,8903" coordsize="0,706" path="m1149,8903l1149,9609e" filled="false" stroked="true" strokeweight=".75pt" strokecolor="#d2d2d2">
                <v:path arrowok="t"/>
              </v:shape>
            </v:group>
            <v:group style="position:absolute;left:2080;top:8903;width:2;height:706" coordorigin="2080,8903" coordsize="2,706">
              <v:shape style="position:absolute;left:2080;top:8903;width:2;height:706" coordorigin="2080,8903" coordsize="0,706" path="m2080,8903l2080,9609e" filled="false" stroked="true" strokeweight=".75pt" strokecolor="#d2d2d2">
                <v:path arrowok="t"/>
              </v:shape>
            </v:group>
            <v:group style="position:absolute;left:1157;top:8903;width:916;height:360" coordorigin="1157,8903" coordsize="916,360">
              <v:shape style="position:absolute;left:1157;top:8903;width:916;height:360" coordorigin="1157,8903" coordsize="916,360" path="m1157,9263l2073,9263,2073,8903,1157,8903,1157,9263xe" filled="true" fillcolor="#d2d2d2" stroked="false">
                <v:path arrowok="t"/>
                <v:fill type="solid"/>
              </v:shape>
            </v:group>
            <v:group style="position:absolute;left:1157;top:9263;width:916;height:346" coordorigin="1157,9263" coordsize="916,346">
              <v:shape style="position:absolute;left:1157;top:9263;width:916;height:346" coordorigin="1157,9263" coordsize="916,346" path="m1157,9609l2073,9609,2073,9263,1157,9263,1157,9609xe" filled="true" fillcolor="#d2d2d2" stroked="false">
                <v:path arrowok="t"/>
                <v:fill type="solid"/>
              </v:shape>
            </v:group>
            <v:group style="position:absolute;left:1142;top:8911;width:946;height:2" coordorigin="1142,8911" coordsize="946,2">
              <v:shape style="position:absolute;left:1142;top:8911;width:946;height:2" coordorigin="1142,8911" coordsize="946,0" path="m1142,8911l2088,8911e" filled="false" stroked="true" strokeweight=".75pt" strokecolor="#000000">
                <v:path arrowok="t"/>
              </v:shape>
            </v:group>
            <v:group style="position:absolute;left:2102;top:8911;width:947;height:2" coordorigin="2102,8911" coordsize="947,2">
              <v:shape style="position:absolute;left:2102;top:8911;width:947;height:2" coordorigin="2102,8911" coordsize="947,0" path="m2102,8911l3049,8911e" filled="false" stroked="true" strokeweight=".75pt" strokecolor="#000000">
                <v:path arrowok="t"/>
              </v:shape>
            </v:group>
            <v:group style="position:absolute;left:3064;top:8911;width:931;height:2" coordorigin="3064,8911" coordsize="931,2">
              <v:shape style="position:absolute;left:3064;top:8911;width:931;height:2" coordorigin="3064,8911" coordsize="931,0" path="m3064,8911l3995,8911e" filled="false" stroked="true" strokeweight=".75pt" strokecolor="#000000">
                <v:path arrowok="t"/>
              </v:shape>
            </v:group>
            <v:group style="position:absolute;left:4010;top:8911;width:946;height:2" coordorigin="4010,8911" coordsize="946,2">
              <v:shape style="position:absolute;left:4010;top:8911;width:946;height:2" coordorigin="4010,8911" coordsize="946,0" path="m4010,8911l4956,8911e" filled="false" stroked="true" strokeweight=".75pt" strokecolor="#000000">
                <v:path arrowok="t"/>
              </v:shape>
            </v:group>
            <v:group style="position:absolute;left:4971;top:8911;width:947;height:2" coordorigin="4971,8911" coordsize="947,2">
              <v:shape style="position:absolute;left:4971;top:8911;width:947;height:2" coordorigin="4971,8911" coordsize="947,0" path="m4971,8911l5918,8911e" filled="false" stroked="true" strokeweight=".75pt" strokecolor="#000000">
                <v:path arrowok="t"/>
              </v:shape>
            </v:group>
            <v:group style="position:absolute;left:5933;top:8911;width:946;height:2" coordorigin="5933,8911" coordsize="946,2">
              <v:shape style="position:absolute;left:5933;top:8911;width:946;height:2" coordorigin="5933,8911" coordsize="946,0" path="m5933,8911l6879,8911e" filled="false" stroked="true" strokeweight=".75pt" strokecolor="#000000">
                <v:path arrowok="t"/>
              </v:shape>
            </v:group>
            <v:group style="position:absolute;left:6894;top:8911;width:947;height:2" coordorigin="6894,8911" coordsize="947,2">
              <v:shape style="position:absolute;left:6894;top:8911;width:947;height:2" coordorigin="6894,8911" coordsize="947,0" path="m6894,8911l7840,8911e" filled="false" stroked="true" strokeweight=".75pt" strokecolor="#000000">
                <v:path arrowok="t"/>
              </v:shape>
            </v:group>
            <v:group style="position:absolute;left:7855;top:8911;width:931;height:2" coordorigin="7855,8911" coordsize="931,2">
              <v:shape style="position:absolute;left:7855;top:8911;width:931;height:2" coordorigin="7855,8911" coordsize="931,0" path="m7855,8911l8786,8911e" filled="false" stroked="true" strokeweight=".75pt" strokecolor="#000000">
                <v:path arrowok="t"/>
              </v:shape>
            </v:group>
            <v:group style="position:absolute;left:8801;top:8911;width:946;height:2" coordorigin="8801,8911" coordsize="946,2">
              <v:shape style="position:absolute;left:8801;top:8911;width:946;height:2" coordorigin="8801,8911" coordsize="946,0" path="m8801,8911l9747,8911e" filled="false" stroked="true" strokeweight=".75pt" strokecolor="#000000">
                <v:path arrowok="t"/>
              </v:shape>
            </v:group>
            <v:group style="position:absolute;left:9762;top:8911;width:947;height:2" coordorigin="9762,8911" coordsize="947,2">
              <v:shape style="position:absolute;left:9762;top:8911;width:947;height:2" coordorigin="9762,8911" coordsize="947,0" path="m9762,8911l10708,8911e" filled="false" stroked="true" strokeweight=".75pt" strokecolor="#000000">
                <v:path arrowok="t"/>
              </v:shape>
            </v:group>
            <v:group style="position:absolute;left:1149;top:9624;width:2;height:706" coordorigin="1149,9624" coordsize="2,706">
              <v:shape style="position:absolute;left:1149;top:9624;width:2;height:706" coordorigin="1149,9624" coordsize="0,706" path="m1149,9624l1149,10329e" filled="false" stroked="true" strokeweight=".75pt" strokecolor="#d2d2d2">
                <v:path arrowok="t"/>
              </v:shape>
            </v:group>
            <v:group style="position:absolute;left:2080;top:9624;width:2;height:706" coordorigin="2080,9624" coordsize="2,706">
              <v:shape style="position:absolute;left:2080;top:9624;width:2;height:706" coordorigin="2080,9624" coordsize="0,706" path="m2080,9624l2080,10329e" filled="false" stroked="true" strokeweight=".75pt" strokecolor="#d2d2d2">
                <v:path arrowok="t"/>
              </v:shape>
            </v:group>
            <v:group style="position:absolute;left:1157;top:9624;width:916;height:361" coordorigin="1157,9624" coordsize="916,361">
              <v:shape style="position:absolute;left:1157;top:9624;width:916;height:361" coordorigin="1157,9624" coordsize="916,361" path="m1157,9984l2073,9984,2073,9624,1157,9624,1157,9984xe" filled="true" fillcolor="#d2d2d2" stroked="false">
                <v:path arrowok="t"/>
                <v:fill type="solid"/>
              </v:shape>
            </v:group>
            <v:group style="position:absolute;left:1157;top:9984;width:916;height:345" coordorigin="1157,9984" coordsize="916,345">
              <v:shape style="position:absolute;left:1157;top:9984;width:916;height:345" coordorigin="1157,9984" coordsize="916,345" path="m1157,10329l2073,10329,2073,9984,1157,9984,1157,10329xe" filled="true" fillcolor="#d2d2d2" stroked="false">
                <v:path arrowok="t"/>
                <v:fill type="solid"/>
              </v:shape>
            </v:group>
            <v:group style="position:absolute;left:1134;top:8918;width:2;height:1426" coordorigin="1134,8918" coordsize="2,1426">
              <v:shape style="position:absolute;left:1134;top:8918;width:2;height:1426" coordorigin="1134,8918" coordsize="0,1426" path="m1134,8918l1134,10344e" filled="false" stroked="true" strokeweight=".75pt" strokecolor="#000000">
                <v:path arrowok="t"/>
              </v:shape>
            </v:group>
            <v:group style="position:absolute;left:2095;top:8918;width:2;height:1426" coordorigin="2095,8918" coordsize="2,1426">
              <v:shape style="position:absolute;left:2095;top:8918;width:2;height:1426" coordorigin="2095,8918" coordsize="0,1426" path="m2095,8918l2095,10344e" filled="false" stroked="true" strokeweight=".75pt" strokecolor="#000000">
                <v:path arrowok="t"/>
              </v:shape>
            </v:group>
            <v:group style="position:absolute;left:1149;top:10344;width:2;height:706" coordorigin="1149,10344" coordsize="2,706">
              <v:shape style="position:absolute;left:1149;top:10344;width:2;height:706" coordorigin="1149,10344" coordsize="0,706" path="m1149,10344l1149,11050e" filled="false" stroked="true" strokeweight=".75pt" strokecolor="#d2d2d2">
                <v:path arrowok="t"/>
              </v:shape>
            </v:group>
            <v:group style="position:absolute;left:2080;top:10344;width:2;height:706" coordorigin="2080,10344" coordsize="2,706">
              <v:shape style="position:absolute;left:2080;top:10344;width:2;height:706" coordorigin="2080,10344" coordsize="0,706" path="m2080,10344l2080,11050e" filled="false" stroked="true" strokeweight=".75pt" strokecolor="#d2d2d2">
                <v:path arrowok="t"/>
              </v:shape>
            </v:group>
            <v:group style="position:absolute;left:1157;top:10344;width:916;height:346" coordorigin="1157,10344" coordsize="916,346">
              <v:shape style="position:absolute;left:1157;top:10344;width:916;height:346" coordorigin="1157,10344" coordsize="916,346" path="m1157,10690l2073,10690,2073,10344,1157,10344,1157,10690xe" filled="true" fillcolor="#d2d2d2" stroked="false">
                <v:path arrowok="t"/>
                <v:fill type="solid"/>
              </v:shape>
            </v:group>
            <v:group style="position:absolute;left:1157;top:10690;width:916;height:360" coordorigin="1157,10690" coordsize="916,360">
              <v:shape style="position:absolute;left:1157;top:10690;width:916;height:360" coordorigin="1157,10690" coordsize="916,360" path="m1157,11050l2073,11050,2073,10690,1157,10690,1157,11050xe" filled="true" fillcolor="#d2d2d2" stroked="false">
                <v:path arrowok="t"/>
                <v:fill type="solid"/>
              </v:shape>
            </v:group>
            <v:group style="position:absolute;left:1149;top:11050;width:2;height:706" coordorigin="1149,11050" coordsize="2,706">
              <v:shape style="position:absolute;left:1149;top:11050;width:2;height:706" coordorigin="1149,11050" coordsize="0,706" path="m1149,11050l1149,11756e" filled="false" stroked="true" strokeweight=".75pt" strokecolor="#d2d2d2">
                <v:path arrowok="t"/>
              </v:shape>
            </v:group>
            <v:group style="position:absolute;left:2080;top:11050;width:2;height:706" coordorigin="2080,11050" coordsize="2,706">
              <v:shape style="position:absolute;left:2080;top:11050;width:2;height:706" coordorigin="2080,11050" coordsize="0,706" path="m2080,11050l2080,11756e" filled="false" stroked="true" strokeweight=".75pt" strokecolor="#d2d2d2">
                <v:path arrowok="t"/>
              </v:shape>
            </v:group>
            <v:group style="position:absolute;left:1157;top:11049;width:916;height:361" coordorigin="1157,11049" coordsize="916,361">
              <v:shape style="position:absolute;left:1157;top:11049;width:916;height:361" coordorigin="1157,11049" coordsize="916,361" path="m1157,11410l2073,11410,2073,11049,1157,11049,1157,11410xe" filled="true" fillcolor="#d2d2d2" stroked="false">
                <v:path arrowok="t"/>
                <v:fill type="solid"/>
              </v:shape>
            </v:group>
            <v:group style="position:absolute;left:1157;top:11410;width:916;height:346" coordorigin="1157,11410" coordsize="916,346">
              <v:shape style="position:absolute;left:1157;top:11410;width:916;height:346" coordorigin="1157,11410" coordsize="916,346" path="m1157,11756l2073,11756,2073,11410,1157,11410,1157,11756xe" filled="true" fillcolor="#d2d2d2" stroked="false">
                <v:path arrowok="t"/>
                <v:fill type="solid"/>
              </v:shape>
            </v:group>
            <v:group style="position:absolute;left:1149;top:11771;width:2;height:706" coordorigin="1149,11771" coordsize="2,706">
              <v:shape style="position:absolute;left:1149;top:11771;width:2;height:706" coordorigin="1149,11771" coordsize="0,706" path="m1149,11771l1149,12476e" filled="false" stroked="true" strokeweight=".75pt" strokecolor="#d2d2d2">
                <v:path arrowok="t"/>
              </v:shape>
            </v:group>
            <v:group style="position:absolute;left:2080;top:11771;width:2;height:706" coordorigin="2080,11771" coordsize="2,706">
              <v:shape style="position:absolute;left:2080;top:11771;width:2;height:706" coordorigin="2080,11771" coordsize="0,706" path="m2080,11771l2080,12476e" filled="false" stroked="true" strokeweight=".75pt" strokecolor="#d2d2d2">
                <v:path arrowok="t"/>
              </v:shape>
            </v:group>
            <v:group style="position:absolute;left:1157;top:11771;width:916;height:345" coordorigin="1157,11771" coordsize="916,345">
              <v:shape style="position:absolute;left:1157;top:11771;width:916;height:345" coordorigin="1157,11771" coordsize="916,345" path="m1157,12116l2073,12116,2073,11771,1157,11771,1157,12116xe" filled="true" fillcolor="#d2d2d2" stroked="false">
                <v:path arrowok="t"/>
                <v:fill type="solid"/>
              </v:shape>
            </v:group>
            <v:group style="position:absolute;left:1157;top:12116;width:916;height:361" coordorigin="1157,12116" coordsize="916,361">
              <v:shape style="position:absolute;left:1157;top:12116;width:916;height:361" coordorigin="1157,12116" coordsize="916,361" path="m1157,12476l2073,12476,2073,12116,1157,12116,1157,12476xe" filled="true" fillcolor="#d2d2d2" stroked="false">
                <v:path arrowok="t"/>
                <v:fill type="solid"/>
              </v:shape>
            </v:group>
            <v:group style="position:absolute;left:2102;top:11771;width:947;height:150" coordorigin="2102,11771" coordsize="947,150">
              <v:shape style="position:absolute;left:2102;top:11771;width:947;height:150" coordorigin="2102,11771" coordsize="947,150" path="m2102,11921l3049,11921,3049,11771,2102,11771,2102,11921xe" filled="true" fillcolor="#ffffff" stroked="false">
                <v:path arrowok="t"/>
                <v:fill type="solid"/>
              </v:shape>
            </v:group>
            <v:group style="position:absolute;left:2110;top:11921;width:2;height:391" coordorigin="2110,11921" coordsize="2,391">
              <v:shape style="position:absolute;left:2110;top:11921;width:2;height:391" coordorigin="2110,11921" coordsize="0,391" path="m2110,11921l2110,12311e" filled="false" stroked="true" strokeweight=".75pt" strokecolor="#ffffff">
                <v:path arrowok="t"/>
              </v:shape>
            </v:group>
            <v:group style="position:absolute;left:2117;top:11921;width:902;height:391" coordorigin="2117,11921" coordsize="902,391">
              <v:shape style="position:absolute;left:2117;top:11921;width:902;height:391" coordorigin="2117,11921" coordsize="902,391" path="m2117,12311l3019,12311,3019,11921,2117,11921,2117,12311xe" filled="true" fillcolor="#ffffff" stroked="false">
                <v:path arrowok="t"/>
                <v:fill type="solid"/>
              </v:shape>
            </v:group>
            <v:group style="position:absolute;left:1134;top:10344;width:2;height:2147" coordorigin="1134,10344" coordsize="2,2147">
              <v:shape style="position:absolute;left:1134;top:10344;width:2;height:2147" coordorigin="1134,10344" coordsize="0,2147" path="m1134,10344l1134,12491e" filled="false" stroked="true" strokeweight=".75pt" strokecolor="#000000">
                <v:path arrowok="t"/>
              </v:shape>
            </v:group>
            <v:group style="position:absolute;left:2095;top:10344;width:2;height:2147" coordorigin="2095,10344" coordsize="2,2147">
              <v:shape style="position:absolute;left:2095;top:10344;width:2;height:2147" coordorigin="2095,10344" coordsize="0,2147" path="m2095,10344l2095,12491e" filled="false" stroked="true" strokeweight=".75pt" strokecolor="#000000">
                <v:path arrowok="t"/>
              </v:shape>
            </v:group>
            <v:group style="position:absolute;left:1149;top:12476;width:2;height:706" coordorigin="1149,12476" coordsize="2,706">
              <v:shape style="position:absolute;left:1149;top:12476;width:2;height:706" coordorigin="1149,12476" coordsize="0,706" path="m1149,12476l1149,13182e" filled="false" stroked="true" strokeweight=".75pt" strokecolor="#d2d2d2">
                <v:path arrowok="t"/>
              </v:shape>
            </v:group>
            <v:group style="position:absolute;left:2080;top:12476;width:2;height:706" coordorigin="2080,12476" coordsize="2,706">
              <v:shape style="position:absolute;left:2080;top:12476;width:2;height:706" coordorigin="2080,12476" coordsize="0,706" path="m2080,12476l2080,13182e" filled="false" stroked="true" strokeweight=".75pt" strokecolor="#d2d2d2">
                <v:path arrowok="t"/>
              </v:shape>
            </v:group>
            <v:group style="position:absolute;left:1157;top:12476;width:916;height:361" coordorigin="1157,12476" coordsize="916,361">
              <v:shape style="position:absolute;left:1157;top:12476;width:916;height:361" coordorigin="1157,12476" coordsize="916,361" path="m1157,12837l2073,12837,2073,12476,1157,12476,1157,12837xe" filled="true" fillcolor="#d2d2d2" stroked="false">
                <v:path arrowok="t"/>
                <v:fill type="solid"/>
              </v:shape>
            </v:group>
            <v:group style="position:absolute;left:1157;top:12837;width:916;height:345" coordorigin="1157,12837" coordsize="916,345">
              <v:shape style="position:absolute;left:1157;top:12837;width:916;height:345" coordorigin="1157,12837" coordsize="916,345" path="m1157,13182l2073,13182,2073,12837,1157,12837,1157,13182xe" filled="true" fillcolor="#d2d2d2" stroked="false">
                <v:path arrowok="t"/>
                <v:fill type="solid"/>
              </v:shape>
            </v:group>
            <v:group style="position:absolute;left:1149;top:13196;width:2;height:706" coordorigin="1149,13196" coordsize="2,706">
              <v:shape style="position:absolute;left:1149;top:13196;width:2;height:706" coordorigin="1149,13196" coordsize="0,706" path="m1149,13196l1149,13902e" filled="false" stroked="true" strokeweight=".75pt" strokecolor="#d2d2d2">
                <v:path arrowok="t"/>
              </v:shape>
            </v:group>
            <v:group style="position:absolute;left:2080;top:13196;width:2;height:706" coordorigin="2080,13196" coordsize="2,706">
              <v:shape style="position:absolute;left:2080;top:13196;width:2;height:706" coordorigin="2080,13196" coordsize="0,706" path="m2080,13196l2080,13902e" filled="false" stroked="true" strokeweight=".75pt" strokecolor="#d2d2d2">
                <v:path arrowok="t"/>
              </v:shape>
            </v:group>
            <v:group style="position:absolute;left:1157;top:13196;width:916;height:361" coordorigin="1157,13196" coordsize="916,361">
              <v:shape style="position:absolute;left:1157;top:13196;width:916;height:361" coordorigin="1157,13196" coordsize="916,361" path="m1157,13557l2073,13557,2073,13196,1157,13196,1157,13557xe" filled="true" fillcolor="#d2d2d2" stroked="false">
                <v:path arrowok="t"/>
                <v:fill type="solid"/>
              </v:shape>
            </v:group>
            <v:group style="position:absolute;left:1157;top:13557;width:916;height:345" coordorigin="1157,13557" coordsize="916,345">
              <v:shape style="position:absolute;left:1157;top:13557;width:916;height:345" coordorigin="1157,13557" coordsize="916,345" path="m1157,13902l2073,13902,2073,13557,1157,13557,1157,13902xe" filled="true" fillcolor="#d2d2d2" stroked="false">
                <v:path arrowok="t"/>
                <v:fill type="solid"/>
              </v:shape>
            </v:group>
            <v:group style="position:absolute;left:1149;top:13917;width:2;height:706" coordorigin="1149,13917" coordsize="2,706">
              <v:shape style="position:absolute;left:1149;top:13917;width:2;height:706" coordorigin="1149,13917" coordsize="0,706" path="m1149,13917l1149,14623e" filled="false" stroked="true" strokeweight=".75pt" strokecolor="#d2d2d2">
                <v:path arrowok="t"/>
              </v:shape>
            </v:group>
            <v:group style="position:absolute;left:2080;top:13917;width:2;height:706" coordorigin="2080,13917" coordsize="2,706">
              <v:shape style="position:absolute;left:2080;top:13917;width:2;height:706" coordorigin="2080,13917" coordsize="0,706" path="m2080,13917l2080,14623e" filled="false" stroked="true" strokeweight=".75pt" strokecolor="#d2d2d2">
                <v:path arrowok="t"/>
              </v:shape>
            </v:group>
            <v:group style="position:absolute;left:1157;top:13917;width:916;height:346" coordorigin="1157,13917" coordsize="916,346">
              <v:shape style="position:absolute;left:1157;top:13917;width:916;height:346" coordorigin="1157,13917" coordsize="916,346" path="m1157,14262l2073,14262,2073,13917,1157,13917,1157,14262xe" filled="true" fillcolor="#d2d2d2" stroked="false">
                <v:path arrowok="t"/>
                <v:fill type="solid"/>
              </v:shape>
            </v:group>
            <v:group style="position:absolute;left:1157;top:14262;width:916;height:361" coordorigin="1157,14262" coordsize="916,361">
              <v:shape style="position:absolute;left:1157;top:14262;width:916;height:361" coordorigin="1157,14262" coordsize="916,361" path="m1157,14623l2073,14623,2073,14262,1157,14262,1157,14623xe" filled="true" fillcolor="#d2d2d2" stroked="false">
                <v:path arrowok="t"/>
                <v:fill type="solid"/>
              </v:shape>
            </v:group>
            <v:group style="position:absolute;left:1149;top:14623;width:2;height:706" coordorigin="1149,14623" coordsize="2,706">
              <v:shape style="position:absolute;left:1149;top:14623;width:2;height:706" coordorigin="1149,14623" coordsize="0,706" path="m1149,14623l1149,15329e" filled="false" stroked="true" strokeweight=".75pt" strokecolor="#d2d2d2">
                <v:path arrowok="t"/>
              </v:shape>
            </v:group>
            <v:group style="position:absolute;left:2080;top:14623;width:2;height:706" coordorigin="2080,14623" coordsize="2,706">
              <v:shape style="position:absolute;left:2080;top:14623;width:2;height:706" coordorigin="2080,14623" coordsize="0,706" path="m2080,14623l2080,15329e" filled="false" stroked="true" strokeweight=".75pt" strokecolor="#d2d2d2">
                <v:path arrowok="t"/>
              </v:shape>
            </v:group>
            <v:group style="position:absolute;left:1157;top:14623;width:916;height:360" coordorigin="1157,14623" coordsize="916,360">
              <v:shape style="position:absolute;left:1157;top:14623;width:916;height:360" coordorigin="1157,14623" coordsize="916,360" path="m1157,14983l2073,14983,2073,14623,1157,14623,1157,14983xe" filled="true" fillcolor="#d2d2d2" stroked="false">
                <v:path arrowok="t"/>
                <v:fill type="solid"/>
              </v:shape>
            </v:group>
            <v:group style="position:absolute;left:1157;top:14983;width:916;height:346" coordorigin="1157,14983" coordsize="916,346">
              <v:shape style="position:absolute;left:1157;top:14983;width:916;height:346" coordorigin="1157,14983" coordsize="916,346" path="m1157,15329l2073,15329,2073,14983,1157,14983,1157,15329xe" filled="true" fillcolor="#d2d2d2" stroked="false">
                <v:path arrowok="t"/>
                <v:fill type="solid"/>
              </v:shape>
            </v:group>
            <v:group style="position:absolute;left:2102;top:14623;width:947;height:165" coordorigin="2102,14623" coordsize="947,165">
              <v:shape style="position:absolute;left:2102;top:14623;width:947;height:165" coordorigin="2102,14623" coordsize="947,165" path="m2102,14788l3049,14788,3049,14623,2102,14623,2102,14788xe" filled="true" fillcolor="#ffffff" stroked="false">
                <v:path arrowok="t"/>
                <v:fill type="solid"/>
              </v:shape>
            </v:group>
            <v:group style="position:absolute;left:2110;top:14788;width:2;height:391" coordorigin="2110,14788" coordsize="2,391">
              <v:shape style="position:absolute;left:2110;top:14788;width:2;height:391" coordorigin="2110,14788" coordsize="0,391" path="m2110,14788l2110,15179e" filled="false" stroked="true" strokeweight=".75pt" strokecolor="#ffffff">
                <v:path arrowok="t"/>
              </v:shape>
            </v:group>
            <v:group style="position:absolute;left:2117;top:14788;width:902;height:391" coordorigin="2117,14788" coordsize="902,391">
              <v:shape style="position:absolute;left:2117;top:14788;width:902;height:391" coordorigin="2117,14788" coordsize="902,391" path="m2117,15179l3019,15179,3019,14788,2117,14788,2117,15179xe" filled="true" fillcolor="#ffffff" stroked="false">
                <v:path arrowok="t"/>
                <v:fill type="solid"/>
              </v:shape>
            </v:group>
            <v:group style="position:absolute;left:1134;top:12491;width:2;height:2853" coordorigin="1134,12491" coordsize="2,2853">
              <v:shape style="position:absolute;left:1134;top:12491;width:2;height:2853" coordorigin="1134,12491" coordsize="0,2853" path="m1134,12491l1134,15343e" filled="false" stroked="true" strokeweight=".75pt" strokecolor="#000000">
                <v:path arrowok="t"/>
              </v:shape>
            </v:group>
            <v:group style="position:absolute;left:1142;top:15336;width:946;height:2" coordorigin="1142,15336" coordsize="946,2">
              <v:shape style="position:absolute;left:1142;top:15336;width:946;height:2" coordorigin="1142,15336" coordsize="946,0" path="m1142,15336l2088,15336e" filled="false" stroked="true" strokeweight=".75pt" strokecolor="#000000">
                <v:path arrowok="t"/>
              </v:shape>
            </v:group>
            <v:group style="position:absolute;left:2095;top:12491;width:2;height:2853" coordorigin="2095,12491" coordsize="2,2853">
              <v:shape style="position:absolute;left:2095;top:12491;width:2;height:2853" coordorigin="2095,12491" coordsize="0,2853" path="m2095,12491l2095,15343e" filled="false" stroked="true" strokeweight=".75pt" strokecolor="#000000">
                <v:path arrowok="t"/>
              </v:shape>
            </v:group>
            <v:group style="position:absolute;left:2102;top:15336;width:947;height:2" coordorigin="2102,15336" coordsize="947,2">
              <v:shape style="position:absolute;left:2102;top:15336;width:947;height:2" coordorigin="2102,15336" coordsize="947,0" path="m2102,15336l3049,15336e" filled="false" stroked="true" strokeweight=".75pt" strokecolor="#000000">
                <v:path arrowok="t"/>
              </v:shape>
            </v:group>
            <v:group style="position:absolute;left:3057;top:1442;width:2;height:13902" coordorigin="3057,1442" coordsize="2,13902">
              <v:shape style="position:absolute;left:3057;top:1442;width:2;height:13902" coordorigin="3057,1442" coordsize="0,13902" path="m3057,1442l3057,15344e" filled="false" stroked="true" strokeweight=".75pt" strokecolor="#000000">
                <v:path arrowok="t"/>
              </v:shape>
            </v:group>
            <v:group style="position:absolute;left:3064;top:15336;width:931;height:2" coordorigin="3064,15336" coordsize="931,2">
              <v:shape style="position:absolute;left:3064;top:15336;width:931;height:2" coordorigin="3064,15336" coordsize="931,0" path="m3064,15336l3995,15336e" filled="false" stroked="true" strokeweight=".75pt" strokecolor="#000000">
                <v:path arrowok="t"/>
              </v:shape>
            </v:group>
            <v:group style="position:absolute;left:4003;top:1442;width:2;height:13902" coordorigin="4003,1442" coordsize="2,13902">
              <v:shape style="position:absolute;left:4003;top:1442;width:2;height:13902" coordorigin="4003,1442" coordsize="0,13902" path="m4003,1442l4003,15344e" filled="false" stroked="true" strokeweight=".75pt" strokecolor="#000000">
                <v:path arrowok="t"/>
              </v:shape>
            </v:group>
            <v:group style="position:absolute;left:4010;top:15336;width:946;height:2" coordorigin="4010,15336" coordsize="946,2">
              <v:shape style="position:absolute;left:4010;top:15336;width:946;height:2" coordorigin="4010,15336" coordsize="946,0" path="m4010,15336l4956,15336e" filled="false" stroked="true" strokeweight=".75pt" strokecolor="#000000">
                <v:path arrowok="t"/>
              </v:shape>
            </v:group>
            <v:group style="position:absolute;left:4964;top:1442;width:2;height:13902" coordorigin="4964,1442" coordsize="2,13902">
              <v:shape style="position:absolute;left:4964;top:1442;width:2;height:13902" coordorigin="4964,1442" coordsize="0,13902" path="m4964,1442l4964,15344e" filled="false" stroked="true" strokeweight=".75pt" strokecolor="#000000">
                <v:path arrowok="t"/>
              </v:shape>
            </v:group>
            <v:group style="position:absolute;left:4971;top:15336;width:947;height:2" coordorigin="4971,15336" coordsize="947,2">
              <v:shape style="position:absolute;left:4971;top:15336;width:947;height:2" coordorigin="4971,15336" coordsize="947,0" path="m4971,15336l5918,15336e" filled="false" stroked="true" strokeweight=".75pt" strokecolor="#000000">
                <v:path arrowok="t"/>
              </v:shape>
            </v:group>
            <v:group style="position:absolute;left:5925;top:1442;width:2;height:13902" coordorigin="5925,1442" coordsize="2,13902">
              <v:shape style="position:absolute;left:5925;top:1442;width:2;height:13902" coordorigin="5925,1442" coordsize="0,13902" path="m5925,1442l5925,15344e" filled="false" stroked="true" strokeweight=".75pt" strokecolor="#000000">
                <v:path arrowok="t"/>
              </v:shape>
            </v:group>
            <v:group style="position:absolute;left:5933;top:15336;width:946;height:2" coordorigin="5933,15336" coordsize="946,2">
              <v:shape style="position:absolute;left:5933;top:15336;width:946;height:2" coordorigin="5933,15336" coordsize="946,0" path="m5933,15336l6879,15336e" filled="false" stroked="true" strokeweight=".75pt" strokecolor="#000000">
                <v:path arrowok="t"/>
              </v:shape>
            </v:group>
            <v:group style="position:absolute;left:6886;top:1442;width:2;height:13902" coordorigin="6886,1442" coordsize="2,13902">
              <v:shape style="position:absolute;left:6886;top:1442;width:2;height:13902" coordorigin="6886,1442" coordsize="0,13902" path="m6886,1442l6886,15344e" filled="false" stroked="true" strokeweight=".75pt" strokecolor="#000000">
                <v:path arrowok="t"/>
              </v:shape>
            </v:group>
            <v:group style="position:absolute;left:6894;top:15336;width:947;height:2" coordorigin="6894,15336" coordsize="947,2">
              <v:shape style="position:absolute;left:6894;top:15336;width:947;height:2" coordorigin="6894,15336" coordsize="947,0" path="m6894,15336l7840,15336e" filled="false" stroked="true" strokeweight=".75pt" strokecolor="#000000">
                <v:path arrowok="t"/>
              </v:shape>
            </v:group>
            <v:group style="position:absolute;left:7847;top:1442;width:2;height:13902" coordorigin="7847,1442" coordsize="2,13902">
              <v:shape style="position:absolute;left:7847;top:1442;width:2;height:13902" coordorigin="7847,1442" coordsize="0,13902" path="m7847,1442l7847,15344e" filled="false" stroked="true" strokeweight=".75pt" strokecolor="#000000">
                <v:path arrowok="t"/>
              </v:shape>
            </v:group>
            <v:group style="position:absolute;left:7855;top:15336;width:931;height:2" coordorigin="7855,15336" coordsize="931,2">
              <v:shape style="position:absolute;left:7855;top:15336;width:931;height:2" coordorigin="7855,15336" coordsize="931,0" path="m7855,15336l8786,15336e" filled="false" stroked="true" strokeweight=".75pt" strokecolor="#000000">
                <v:path arrowok="t"/>
              </v:shape>
            </v:group>
            <v:group style="position:absolute;left:8794;top:1442;width:2;height:13902" coordorigin="8794,1442" coordsize="2,13902">
              <v:shape style="position:absolute;left:8794;top:1442;width:2;height:13902" coordorigin="8794,1442" coordsize="0,13902" path="m8794,1442l8794,15344e" filled="false" stroked="true" strokeweight=".75pt" strokecolor="#000000">
                <v:path arrowok="t"/>
              </v:shape>
            </v:group>
            <v:group style="position:absolute;left:8801;top:15336;width:946;height:2" coordorigin="8801,15336" coordsize="946,2">
              <v:shape style="position:absolute;left:8801;top:15336;width:946;height:2" coordorigin="8801,15336" coordsize="946,0" path="m8801,15336l9747,15336e" filled="false" stroked="true" strokeweight=".75pt" strokecolor="#000000">
                <v:path arrowok="t"/>
              </v:shape>
            </v:group>
            <v:group style="position:absolute;left:9754;top:1442;width:2;height:13902" coordorigin="9754,1442" coordsize="2,13902">
              <v:shape style="position:absolute;left:9754;top:1442;width:2;height:13902" coordorigin="9754,1442" coordsize="0,13902" path="m9754,1442l9754,15344e" filled="false" stroked="true" strokeweight=".75pt" strokecolor="#000000">
                <v:path arrowok="t"/>
              </v:shape>
            </v:group>
            <v:group style="position:absolute;left:9762;top:15336;width:947;height:2" coordorigin="9762,15336" coordsize="947,2">
              <v:shape style="position:absolute;left:9762;top:15336;width:947;height:2" coordorigin="9762,15336" coordsize="947,0" path="m9762,15336l10708,15336e" filled="false" stroked="true" strokeweight=".75pt" strokecolor="#000000">
                <v:path arrowok="t"/>
              </v:shape>
            </v:group>
            <v:group style="position:absolute;left:10716;top:1442;width:2;height:13902" coordorigin="10716,1442" coordsize="2,13902">
              <v:shape style="position:absolute;left:10716;top:1442;width:2;height:13902" coordorigin="10716,1442" coordsize="0,13902" path="m10716,1442l10716,15344e" filled="false" stroked="true" strokeweight=".75pt" strokecolor="#000000">
                <v:path arrowok="t"/>
              </v:shape>
            </v:group>
            <w10:wrap type="none"/>
          </v:group>
        </w:pict>
      </w:r>
      <w:r>
        <w:rPr/>
        <w:pict>
          <v:shape style="position:absolute;margin-left:56.700001pt;margin-top:72.455002pt;width:479.1pt;height:694.3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7814" w:hRule="exact"/>
                    </w:trPr>
                    <w:tc>
                      <w:tcPr>
                        <w:tcW w:w="1922"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307" w:lineRule="auto" w:before="52"/>
                          <w:ind w:left="22" w:right="999"/>
                          <w:jc w:val="left"/>
                          <w:rPr>
                            <w:rFonts w:ascii="宋体" w:hAnsi="宋体" w:cs="宋体" w:eastAsia="宋体" w:hint="default"/>
                            <w:sz w:val="18"/>
                            <w:szCs w:val="18"/>
                          </w:rPr>
                        </w:pPr>
                        <w:r>
                          <w:rPr>
                            <w:rFonts w:ascii="宋体" w:hAnsi="宋体" w:cs="宋体" w:eastAsia="宋体" w:hint="default"/>
                            <w:sz w:val="18"/>
                            <w:szCs w:val="18"/>
                          </w:rPr>
                          <w:t>一、账面原 值</w:t>
                        </w:r>
                      </w:p>
                      <w:p>
                        <w:pPr>
                          <w:pStyle w:val="TableParagraph"/>
                          <w:spacing w:line="240" w:lineRule="auto" w:before="134"/>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23,326,496.</w:t>
                        </w:r>
                      </w:p>
                      <w:p>
                        <w:pPr>
                          <w:pStyle w:val="TableParagraph"/>
                          <w:tabs>
                            <w:tab w:pos="1884" w:val="right" w:leader="none"/>
                          </w:tabs>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余额</w:t>
                        </w:r>
                        <w:r>
                          <w:rPr>
                            <w:rFonts w:ascii="Times New Roman" w:hAnsi="Times New Roman" w:cs="Times New Roman" w:eastAsia="Times New Roman" w:hint="default"/>
                            <w:sz w:val="18"/>
                            <w:szCs w:val="18"/>
                          </w:rPr>
                          <w:tab/>
                          <w:t>70</w:t>
                        </w:r>
                      </w:p>
                      <w:p>
                        <w:pPr>
                          <w:pStyle w:val="TableParagraph"/>
                          <w:spacing w:line="273" w:lineRule="auto" w:before="156"/>
                          <w:ind w:left="22" w:right="104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p>
                        <w:pPr>
                          <w:pStyle w:val="TableParagraph"/>
                          <w:spacing w:line="240" w:lineRule="auto" w:before="15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购置</w:t>
                        </w:r>
                      </w:p>
                      <w:p>
                        <w:pPr>
                          <w:pStyle w:val="TableParagraph"/>
                          <w:spacing w:line="240" w:lineRule="auto" w:before="2"/>
                          <w:ind w:right="0"/>
                          <w:jc w:val="left"/>
                          <w:rPr>
                            <w:rFonts w:ascii="宋体" w:hAnsi="宋体" w:cs="宋体" w:eastAsia="宋体" w:hint="default"/>
                            <w:sz w:val="14"/>
                            <w:szCs w:val="14"/>
                          </w:rPr>
                        </w:pPr>
                      </w:p>
                      <w:p>
                        <w:pPr>
                          <w:pStyle w:val="TableParagraph"/>
                          <w:spacing w:line="290" w:lineRule="auto"/>
                          <w:ind w:left="22" w:right="90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p>
                        <w:pPr>
                          <w:pStyle w:val="TableParagraph"/>
                          <w:spacing w:line="297" w:lineRule="auto" w:before="146"/>
                          <w:ind w:left="22" w:right="90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p>
                        <w:pPr>
                          <w:pStyle w:val="TableParagraph"/>
                          <w:spacing w:line="290" w:lineRule="auto" w:before="142"/>
                          <w:ind w:left="22" w:right="997"/>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）汇率变</w:t>
                        </w:r>
                        <w:r>
                          <w:rPr>
                            <w:rFonts w:ascii="宋体" w:hAnsi="宋体" w:cs="宋体" w:eastAsia="宋体" w:hint="default"/>
                            <w:sz w:val="18"/>
                            <w:szCs w:val="18"/>
                          </w:rPr>
                          <w:t> 动</w:t>
                        </w:r>
                      </w:p>
                      <w:p>
                        <w:pPr>
                          <w:pStyle w:val="TableParagraph"/>
                          <w:spacing w:line="276" w:lineRule="auto" w:before="146"/>
                          <w:ind w:left="22" w:right="104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p>
                        <w:pPr>
                          <w:pStyle w:val="TableParagraph"/>
                          <w:spacing w:line="240" w:lineRule="auto" w:before="158"/>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w:t>
                        </w:r>
                      </w:p>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2" w:right="997"/>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）企业合</w:t>
                        </w:r>
                        <w:r>
                          <w:rPr>
                            <w:rFonts w:ascii="宋体" w:hAnsi="宋体" w:cs="宋体" w:eastAsia="宋体" w:hint="default"/>
                            <w:sz w:val="18"/>
                            <w:szCs w:val="18"/>
                          </w:rPr>
                          <w:t> 并转出</w:t>
                        </w:r>
                      </w:p>
                      <w:p>
                        <w:pPr>
                          <w:pStyle w:val="TableParagraph"/>
                          <w:spacing w:line="240" w:lineRule="auto" w:before="160"/>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23,326,496.</w:t>
                        </w:r>
                      </w:p>
                    </w:tc>
                    <w:tc>
                      <w:tcPr>
                        <w:tcW w:w="946"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5,048,147.9</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331,173.49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337,916.87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4" w:right="0"/>
                          <w:jc w:val="center"/>
                          <w:rPr>
                            <w:rFonts w:ascii="Times New Roman" w:hAnsi="Times New Roman" w:cs="Times New Roman" w:eastAsia="Times New Roman" w:hint="default"/>
                            <w:sz w:val="18"/>
                            <w:szCs w:val="18"/>
                          </w:rPr>
                        </w:pPr>
                        <w:r>
                          <w:rPr>
                            <w:rFonts w:ascii="Times New Roman"/>
                            <w:sz w:val="18"/>
                          </w:rPr>
                          <w:t>-6,743.38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333,405.56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61,696.82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271,708.74</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5,045,915.8</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412,909.81</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34,087,151.</w:t>
                        </w:r>
                      </w:p>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4" w:right="0"/>
                          <w:jc w:val="center"/>
                          <w:rPr>
                            <w:rFonts w:ascii="Times New Roman" w:hAnsi="Times New Roman" w:cs="Times New Roman" w:eastAsia="Times New Roman" w:hint="default"/>
                            <w:sz w:val="18"/>
                            <w:szCs w:val="18"/>
                          </w:rPr>
                        </w:pPr>
                        <w:r>
                          <w:rPr>
                            <w:rFonts w:ascii="Times New Roman"/>
                            <w:sz w:val="18"/>
                          </w:rPr>
                          <w:t>37,735.85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34,049,415.</w:t>
                        </w:r>
                      </w:p>
                      <w:p>
                        <w:pPr>
                          <w:pStyle w:val="TableParagraph"/>
                          <w:spacing w:line="240" w:lineRule="auto" w:before="108"/>
                          <w:ind w:right="35"/>
                          <w:jc w:val="righ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9" w:right="0"/>
                          <w:jc w:val="center"/>
                          <w:rPr>
                            <w:rFonts w:ascii="Times New Roman" w:hAnsi="Times New Roman" w:cs="Times New Roman" w:eastAsia="Times New Roman" w:hint="default"/>
                            <w:sz w:val="18"/>
                            <w:szCs w:val="18"/>
                          </w:rPr>
                        </w:pPr>
                        <w:r>
                          <w:rPr>
                            <w:rFonts w:ascii="Times New Roman"/>
                            <w:sz w:val="18"/>
                          </w:rPr>
                          <w:t>34,500,060.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26,124,918.</w:t>
                        </w:r>
                      </w:p>
                      <w:p>
                        <w:pPr>
                          <w:pStyle w:val="TableParagraph"/>
                          <w:spacing w:line="240" w:lineRule="auto" w:before="108"/>
                          <w:ind w:right="35"/>
                          <w:jc w:val="righ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37"/>
                          <w:jc w:val="right"/>
                          <w:rPr>
                            <w:rFonts w:ascii="Times New Roman" w:hAnsi="Times New Roman" w:cs="Times New Roman" w:eastAsia="Times New Roman" w:hint="default"/>
                            <w:sz w:val="18"/>
                            <w:szCs w:val="18"/>
                          </w:rPr>
                        </w:pPr>
                        <w:r>
                          <w:rPr>
                            <w:rFonts w:ascii="Times New Roman"/>
                            <w:sz w:val="18"/>
                          </w:rPr>
                          <w:t>26,124,918.</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16,037,735.</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14,150,943.</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14,150,943.</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9" w:right="0"/>
                          <w:jc w:val="center"/>
                          <w:rPr>
                            <w:rFonts w:ascii="Times New Roman" w:hAnsi="Times New Roman" w:cs="Times New Roman" w:eastAsia="Times New Roman" w:hint="default"/>
                            <w:sz w:val="18"/>
                            <w:szCs w:val="18"/>
                          </w:rPr>
                        </w:pPr>
                        <w:r>
                          <w:rPr>
                            <w:rFonts w:ascii="Times New Roman"/>
                            <w:sz w:val="18"/>
                          </w:rPr>
                          <w:t>50,604,377.</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14,188,678.</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center"/>
                          <w:rPr>
                            <w:rFonts w:ascii="Times New Roman" w:hAnsi="Times New Roman" w:cs="Times New Roman" w:eastAsia="Times New Roman" w:hint="default"/>
                            <w:sz w:val="18"/>
                            <w:szCs w:val="18"/>
                          </w:rPr>
                        </w:pPr>
                        <w:r>
                          <w:rPr>
                            <w:rFonts w:ascii="Times New Roman"/>
                            <w:sz w:val="18"/>
                          </w:rPr>
                          <w:t>34,535,649.</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4" w:right="0"/>
                          <w:jc w:val="center"/>
                          <w:rPr>
                            <w:rFonts w:ascii="Times New Roman" w:hAnsi="Times New Roman" w:cs="Times New Roman" w:eastAsia="Times New Roman" w:hint="default"/>
                            <w:sz w:val="18"/>
                            <w:szCs w:val="18"/>
                          </w:rPr>
                        </w:pPr>
                        <w:r>
                          <w:rPr>
                            <w:rFonts w:ascii="Times New Roman"/>
                            <w:sz w:val="18"/>
                          </w:rPr>
                          <w:t>-6,743.38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333,405.56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61,696.82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271,708.74</w:t>
                        </w: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132,183,443</w:t>
                        </w:r>
                      </w:p>
                    </w:tc>
                  </w:tr>
                  <w:tr>
                    <w:trPr>
                      <w:trHeight w:val="353" w:hRule="exact"/>
                    </w:trPr>
                    <w:tc>
                      <w:tcPr>
                        <w:tcW w:w="961" w:type="dxa"/>
                        <w:tcBorders>
                          <w:top w:val="nil" w:sz="6" w:space="0" w:color="auto"/>
                          <w:left w:val="nil" w:sz="6" w:space="0" w:color="auto"/>
                          <w:bottom w:val="single" w:sz="6" w:space="0" w:color="000000"/>
                          <w:right w:val="nil" w:sz="6" w:space="0" w:color="auto"/>
                        </w:tcBorders>
                        <w:shd w:val="clear" w:color="auto" w:fill="D2D2D2"/>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2"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8"/>
                            <w:szCs w:val="18"/>
                          </w:rPr>
                        </w:pPr>
                        <w:r>
                          <w:rPr>
                            <w:rFonts w:ascii="Times New Roman"/>
                            <w:sz w:val="18"/>
                          </w:rPr>
                          <w:t>70</w:t>
                        </w:r>
                      </w:p>
                    </w:tc>
                    <w:tc>
                      <w:tcPr>
                        <w:tcW w:w="946"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c>
                      <w:tcPr>
                        <w:tcW w:w="962"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z w:val="18"/>
                          </w:rPr>
                          <w:t>6</w:t>
                        </w:r>
                      </w:p>
                    </w:tc>
                    <w:tc>
                      <w:tcPr>
                        <w:tcW w:w="961"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8"/>
                            <w:szCs w:val="18"/>
                          </w:rPr>
                        </w:pPr>
                        <w:r>
                          <w:rPr>
                            <w:rFonts w:ascii="Times New Roman"/>
                            <w:sz w:val="18"/>
                          </w:rPr>
                          <w:t>95</w:t>
                        </w:r>
                      </w:p>
                    </w:tc>
                    <w:tc>
                      <w:tcPr>
                        <w:tcW w:w="961"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8"/>
                            <w:szCs w:val="18"/>
                          </w:rPr>
                        </w:pPr>
                        <w:r>
                          <w:rPr>
                            <w:rFonts w:ascii="Times New Roman"/>
                            <w:sz w:val="18"/>
                          </w:rPr>
                          <w:t>03</w:t>
                        </w:r>
                      </w:p>
                    </w:tc>
                    <w:tc>
                      <w:tcPr>
                        <w:tcW w:w="946"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nil" w:sz="6" w:space="0" w:color="auto"/>
                          <w:left w:val="nil" w:sz="6" w:space="0" w:color="auto"/>
                          <w:bottom w:val="single" w:sz="6" w:space="0" w:color="000000"/>
                          <w:right w:val="nil" w:sz="6" w:space="0" w:color="auto"/>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z w:val="18"/>
                          </w:rPr>
                          <w:t>.96</w:t>
                        </w:r>
                      </w:p>
                    </w:tc>
                  </w:tr>
                  <w:tr>
                    <w:trPr>
                      <w:trHeight w:val="355" w:hRule="exact"/>
                    </w:trPr>
                    <w:tc>
                      <w:tcPr>
                        <w:tcW w:w="961" w:type="dxa"/>
                        <w:tcBorders>
                          <w:top w:val="single" w:sz="6" w:space="0" w:color="000000"/>
                          <w:left w:val="nil" w:sz="6" w:space="0" w:color="auto"/>
                          <w:bottom w:val="nil" w:sz="6" w:space="0" w:color="auto"/>
                          <w:right w:val="nil" w:sz="6" w:space="0" w:color="auto"/>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二、累计摊</w:t>
                        </w:r>
                      </w:p>
                    </w:tc>
                    <w:tc>
                      <w:tcPr>
                        <w:tcW w:w="962" w:type="dxa"/>
                        <w:tcBorders>
                          <w:top w:val="single" w:sz="6" w:space="0" w:color="000000"/>
                          <w:left w:val="nil" w:sz="6" w:space="0" w:color="auto"/>
                          <w:bottom w:val="nil" w:sz="6" w:space="0" w:color="auto"/>
                          <w:right w:val="nil" w:sz="6" w:space="0" w:color="auto"/>
                        </w:tcBorders>
                      </w:tcPr>
                      <w:p>
                        <w:pPr/>
                      </w:p>
                    </w:tc>
                    <w:tc>
                      <w:tcPr>
                        <w:tcW w:w="946" w:type="dxa"/>
                        <w:tcBorders>
                          <w:top w:val="single" w:sz="6" w:space="0" w:color="000000"/>
                          <w:left w:val="nil" w:sz="6" w:space="0" w:color="auto"/>
                          <w:bottom w:val="nil" w:sz="6" w:space="0" w:color="auto"/>
                          <w:right w:val="nil" w:sz="6" w:space="0" w:color="auto"/>
                        </w:tcBorders>
                      </w:tcPr>
                      <w:p>
                        <w:pPr/>
                      </w:p>
                    </w:tc>
                    <w:tc>
                      <w:tcPr>
                        <w:tcW w:w="961" w:type="dxa"/>
                        <w:tcBorders>
                          <w:top w:val="single" w:sz="6" w:space="0" w:color="000000"/>
                          <w:left w:val="nil" w:sz="6" w:space="0" w:color="auto"/>
                          <w:bottom w:val="nil" w:sz="6" w:space="0" w:color="auto"/>
                          <w:right w:val="nil" w:sz="6" w:space="0" w:color="auto"/>
                        </w:tcBorders>
                      </w:tcPr>
                      <w:p>
                        <w:pPr/>
                      </w:p>
                    </w:tc>
                    <w:tc>
                      <w:tcPr>
                        <w:tcW w:w="962" w:type="dxa"/>
                        <w:tcBorders>
                          <w:top w:val="single" w:sz="6" w:space="0" w:color="000000"/>
                          <w:left w:val="nil" w:sz="6" w:space="0" w:color="auto"/>
                          <w:bottom w:val="nil" w:sz="6" w:space="0" w:color="auto"/>
                          <w:right w:val="nil" w:sz="6" w:space="0" w:color="auto"/>
                        </w:tcBorders>
                      </w:tcPr>
                      <w:p>
                        <w:pPr/>
                      </w:p>
                    </w:tc>
                    <w:tc>
                      <w:tcPr>
                        <w:tcW w:w="961" w:type="dxa"/>
                        <w:tcBorders>
                          <w:top w:val="single" w:sz="6" w:space="0" w:color="000000"/>
                          <w:left w:val="nil" w:sz="6" w:space="0" w:color="auto"/>
                          <w:bottom w:val="nil" w:sz="6" w:space="0" w:color="auto"/>
                          <w:right w:val="nil" w:sz="6" w:space="0" w:color="auto"/>
                        </w:tcBorders>
                      </w:tcPr>
                      <w:p>
                        <w:pPr/>
                      </w:p>
                    </w:tc>
                    <w:tc>
                      <w:tcPr>
                        <w:tcW w:w="961" w:type="dxa"/>
                        <w:tcBorders>
                          <w:top w:val="single" w:sz="6" w:space="0" w:color="000000"/>
                          <w:left w:val="nil" w:sz="6" w:space="0" w:color="auto"/>
                          <w:bottom w:val="nil" w:sz="6" w:space="0" w:color="auto"/>
                          <w:right w:val="nil" w:sz="6" w:space="0" w:color="auto"/>
                        </w:tcBorders>
                      </w:tcPr>
                      <w:p>
                        <w:pPr/>
                      </w:p>
                    </w:tc>
                    <w:tc>
                      <w:tcPr>
                        <w:tcW w:w="946" w:type="dxa"/>
                        <w:tcBorders>
                          <w:top w:val="single" w:sz="6" w:space="0" w:color="000000"/>
                          <w:left w:val="nil" w:sz="6" w:space="0" w:color="auto"/>
                          <w:bottom w:val="nil" w:sz="6" w:space="0" w:color="auto"/>
                          <w:right w:val="nil" w:sz="6" w:space="0" w:color="auto"/>
                        </w:tcBorders>
                      </w:tcPr>
                      <w:p>
                        <w:pPr/>
                      </w:p>
                    </w:tc>
                    <w:tc>
                      <w:tcPr>
                        <w:tcW w:w="961" w:type="dxa"/>
                        <w:tcBorders>
                          <w:top w:val="single" w:sz="6" w:space="0" w:color="000000"/>
                          <w:left w:val="nil" w:sz="6" w:space="0" w:color="auto"/>
                          <w:bottom w:val="nil" w:sz="6" w:space="0" w:color="auto"/>
                          <w:right w:val="nil" w:sz="6" w:space="0" w:color="auto"/>
                        </w:tcBorders>
                      </w:tcPr>
                      <w:p>
                        <w:pPr/>
                      </w:p>
                    </w:tc>
                    <w:tc>
                      <w:tcPr>
                        <w:tcW w:w="961" w:type="dxa"/>
                        <w:tcBorders>
                          <w:top w:val="single" w:sz="6" w:space="0" w:color="000000"/>
                          <w:left w:val="nil" w:sz="6" w:space="0" w:color="auto"/>
                          <w:bottom w:val="nil" w:sz="6" w:space="0" w:color="auto"/>
                          <w:right w:val="nil" w:sz="6" w:space="0" w:color="auto"/>
                        </w:tcBorders>
                      </w:tcPr>
                      <w:p>
                        <w:pPr/>
                      </w:p>
                    </w:tc>
                  </w:tr>
                  <w:tr>
                    <w:trPr>
                      <w:trHeight w:val="365" w:hRule="exact"/>
                    </w:trPr>
                    <w:tc>
                      <w:tcPr>
                        <w:tcW w:w="961" w:type="dxa"/>
                        <w:tcBorders>
                          <w:top w:val="nil" w:sz="6" w:space="0" w:color="auto"/>
                          <w:left w:val="nil" w:sz="6" w:space="0" w:color="auto"/>
                          <w:bottom w:val="single" w:sz="6" w:space="0" w:color="000000"/>
                          <w:right w:val="nil" w:sz="6" w:space="0" w:color="auto"/>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销</w:t>
                        </w:r>
                      </w:p>
                    </w:tc>
                    <w:tc>
                      <w:tcPr>
                        <w:tcW w:w="962" w:type="dxa"/>
                        <w:tcBorders>
                          <w:top w:val="nil" w:sz="6" w:space="0" w:color="auto"/>
                          <w:left w:val="nil" w:sz="6" w:space="0" w:color="auto"/>
                          <w:bottom w:val="single" w:sz="6" w:space="0" w:color="000000"/>
                          <w:right w:val="nil" w:sz="6" w:space="0" w:color="auto"/>
                        </w:tcBorders>
                      </w:tcPr>
                      <w:p>
                        <w:pPr/>
                      </w:p>
                    </w:tc>
                    <w:tc>
                      <w:tcPr>
                        <w:tcW w:w="946"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c>
                      <w:tcPr>
                        <w:tcW w:w="962"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c>
                      <w:tcPr>
                        <w:tcW w:w="946"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c>
                      <w:tcPr>
                        <w:tcW w:w="961" w:type="dxa"/>
                        <w:tcBorders>
                          <w:top w:val="nil" w:sz="6" w:space="0" w:color="auto"/>
                          <w:left w:val="nil" w:sz="6" w:space="0" w:color="auto"/>
                          <w:bottom w:val="single" w:sz="6" w:space="0" w:color="000000"/>
                          <w:right w:val="nil" w:sz="6" w:space="0" w:color="auto"/>
                        </w:tcBorders>
                      </w:tcPr>
                      <w:p>
                        <w:pPr/>
                      </w:p>
                    </w:tc>
                  </w:tr>
                  <w:tr>
                    <w:trPr>
                      <w:trHeight w:val="721" w:hRule="exact"/>
                    </w:trPr>
                    <w:tc>
                      <w:tcPr>
                        <w:tcW w:w="96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40" w:lineRule="auto" w:before="6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7"/>
                          <w:jc w:val="right"/>
                          <w:rPr>
                            <w:rFonts w:ascii="Times New Roman" w:hAnsi="Times New Roman" w:cs="Times New Roman" w:eastAsia="Times New Roman" w:hint="default"/>
                            <w:sz w:val="18"/>
                            <w:szCs w:val="18"/>
                          </w:rPr>
                        </w:pPr>
                        <w:r>
                          <w:rPr>
                            <w:rFonts w:ascii="Times New Roman"/>
                            <w:sz w:val="18"/>
                          </w:rPr>
                          <w:t>5,041,556.4</w:t>
                        </w:r>
                      </w:p>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5</w:t>
                        </w:r>
                      </w:p>
                    </w:tc>
                    <w:tc>
                      <w:tcPr>
                        <w:tcW w:w="946" w:type="dxa"/>
                        <w:tcBorders>
                          <w:top w:val="single" w:sz="6" w:space="0" w:color="000000"/>
                          <w:left w:val="nil" w:sz="6" w:space="0" w:color="auto"/>
                          <w:bottom w:val="single" w:sz="6" w:space="0" w:color="000000"/>
                          <w:right w:val="nil" w:sz="6" w:space="0" w:color="auto"/>
                        </w:tcBorders>
                      </w:tcPr>
                      <w:p>
                        <w:pPr/>
                      </w:p>
                    </w:tc>
                    <w:tc>
                      <w:tcPr>
                        <w:tcW w:w="961" w:type="dxa"/>
                        <w:tcBorders>
                          <w:top w:val="single" w:sz="6" w:space="0" w:color="000000"/>
                          <w:left w:val="nil" w:sz="6" w:space="0" w:color="auto"/>
                          <w:bottom w:val="single" w:sz="6" w:space="0" w:color="000000"/>
                          <w:right w:val="nil" w:sz="6" w:space="0" w:color="auto"/>
                        </w:tcBorders>
                      </w:tcPr>
                      <w:p>
                        <w:pPr/>
                      </w:p>
                    </w:tc>
                    <w:tc>
                      <w:tcPr>
                        <w:tcW w:w="9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3,790,732.8</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341,199.19</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37"/>
                          <w:jc w:val="right"/>
                          <w:rPr>
                            <w:rFonts w:ascii="Times New Roman" w:hAnsi="Times New Roman" w:cs="Times New Roman" w:eastAsia="Times New Roman" w:hint="default"/>
                            <w:sz w:val="18"/>
                            <w:szCs w:val="18"/>
                          </w:rPr>
                        </w:pPr>
                        <w:r>
                          <w:rPr>
                            <w:rFonts w:ascii="Times New Roman"/>
                            <w:sz w:val="18"/>
                          </w:rPr>
                          <w:t>14,208,223.</w:t>
                        </w:r>
                      </w:p>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15</w:t>
                        </w:r>
                      </w:p>
                    </w:tc>
                    <w:tc>
                      <w:tcPr>
                        <w:tcW w:w="946"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4,725,000.0</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nil" w:sz="6" w:space="0" w:color="auto"/>
                          <w:bottom w:val="single" w:sz="6" w:space="0" w:color="000000"/>
                          <w:right w:val="nil" w:sz="6" w:space="0" w:color="auto"/>
                        </w:tcBorders>
                      </w:tcPr>
                      <w:p>
                        <w:pP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28,106,711.</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w:t>
                        </w:r>
                      </w:p>
                    </w:tc>
                  </w:tr>
                  <w:tr>
                    <w:trPr>
                      <w:trHeight w:val="706" w:hRule="exact"/>
                    </w:trPr>
                    <w:tc>
                      <w:tcPr>
                        <w:tcW w:w="961" w:type="dxa"/>
                        <w:tcBorders>
                          <w:top w:val="single" w:sz="6" w:space="0" w:color="000000"/>
                          <w:left w:val="nil" w:sz="6" w:space="0" w:color="auto"/>
                          <w:bottom w:val="single" w:sz="6" w:space="0" w:color="000000"/>
                          <w:right w:val="nil" w:sz="6" w:space="0" w:color="auto"/>
                        </w:tcBorders>
                        <w:shd w:val="clear" w:color="auto" w:fill="D2D2D2"/>
                      </w:tcPr>
                      <w:p>
                        <w:pPr>
                          <w:pStyle w:val="TableParagraph"/>
                          <w:spacing w:line="288" w:lineRule="auto" w:before="45"/>
                          <w:ind w:left="22" w:right="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2"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449,868.08</w:t>
                        </w:r>
                      </w:p>
                    </w:tc>
                    <w:tc>
                      <w:tcPr>
                        <w:tcW w:w="946" w:type="dxa"/>
                        <w:tcBorders>
                          <w:top w:val="single" w:sz="6" w:space="0" w:color="000000"/>
                          <w:left w:val="nil" w:sz="6" w:space="0" w:color="auto"/>
                          <w:bottom w:val="single" w:sz="6" w:space="0" w:color="000000"/>
                          <w:right w:val="nil" w:sz="6" w:space="0" w:color="auto"/>
                        </w:tcBorders>
                      </w:tcPr>
                      <w:p>
                        <w:pPr/>
                      </w:p>
                    </w:tc>
                    <w:tc>
                      <w:tcPr>
                        <w:tcW w:w="961" w:type="dxa"/>
                        <w:tcBorders>
                          <w:top w:val="single" w:sz="6" w:space="0" w:color="000000"/>
                          <w:left w:val="nil" w:sz="6" w:space="0" w:color="auto"/>
                          <w:bottom w:val="single" w:sz="6" w:space="0" w:color="000000"/>
                          <w:right w:val="nil" w:sz="6" w:space="0" w:color="auto"/>
                        </w:tcBorders>
                      </w:tcPr>
                      <w:p>
                        <w:pPr/>
                      </w:p>
                    </w:tc>
                    <w:tc>
                      <w:tcPr>
                        <w:tcW w:w="962"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519,586.61</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35"/>
                          <w:jc w:val="right"/>
                          <w:rPr>
                            <w:rFonts w:ascii="Times New Roman" w:hAnsi="Times New Roman" w:cs="Times New Roman" w:eastAsia="Times New Roman" w:hint="default"/>
                            <w:sz w:val="18"/>
                            <w:szCs w:val="18"/>
                          </w:rPr>
                        </w:pPr>
                        <w:r>
                          <w:rPr>
                            <w:rFonts w:ascii="Times New Roman"/>
                            <w:sz w:val="18"/>
                          </w:rPr>
                          <w:t>2,602,654.5</w:t>
                        </w:r>
                      </w:p>
                      <w:p>
                        <w:pPr>
                          <w:pStyle w:val="TableParagraph"/>
                          <w:spacing w:line="240" w:lineRule="auto" w:before="108"/>
                          <w:ind w:right="35"/>
                          <w:jc w:val="right"/>
                          <w:rPr>
                            <w:rFonts w:ascii="Times New Roman" w:hAnsi="Times New Roman" w:cs="Times New Roman" w:eastAsia="Times New Roman" w:hint="default"/>
                            <w:sz w:val="18"/>
                            <w:szCs w:val="18"/>
                          </w:rPr>
                        </w:pPr>
                        <w:r>
                          <w:rPr>
                            <w:rFonts w:ascii="Times New Roman"/>
                            <w:sz w:val="18"/>
                          </w:rPr>
                          <w:t>4</w:t>
                        </w:r>
                      </w:p>
                    </w:tc>
                    <w:tc>
                      <w:tcPr>
                        <w:tcW w:w="961" w:type="dxa"/>
                        <w:tcBorders>
                          <w:top w:val="single" w:sz="6" w:space="0" w:color="000000"/>
                          <w:left w:val="nil" w:sz="6" w:space="0" w:color="auto"/>
                          <w:bottom w:val="single" w:sz="6" w:space="0" w:color="000000"/>
                          <w:right w:val="nil" w:sz="6" w:space="0" w:color="auto"/>
                        </w:tcBorders>
                      </w:tcPr>
                      <w:p>
                        <w:pPr/>
                      </w:p>
                    </w:tc>
                    <w:tc>
                      <w:tcPr>
                        <w:tcW w:w="946"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314,465.40</w:t>
                        </w:r>
                      </w:p>
                    </w:tc>
                    <w:tc>
                      <w:tcPr>
                        <w:tcW w:w="961"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6,734,891.6</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4791" w:type="dxa"/>
                        <w:gridSpan w:val="5"/>
                        <w:tcBorders>
                          <w:top w:val="nil" w:sz="6" w:space="0" w:color="auto"/>
                          <w:left w:val="nil" w:sz="6" w:space="0" w:color="auto"/>
                          <w:bottom w:val="single" w:sz="6" w:space="0" w:color="000000"/>
                          <w:right w:val="nil" w:sz="6" w:space="0" w:color="auto"/>
                        </w:tcBorders>
                      </w:tcPr>
                      <w:p>
                        <w:pPr>
                          <w:pStyle w:val="TableParagraph"/>
                          <w:spacing w:line="221" w:lineRule="exact" w:before="67"/>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tabs>
                            <w:tab w:pos="3957" w:val="left" w:leader="none"/>
                          </w:tabs>
                          <w:spacing w:line="122" w:lineRule="exact"/>
                          <w:ind w:left="1074" w:right="0"/>
                          <w:jc w:val="left"/>
                          <w:rPr>
                            <w:rFonts w:ascii="Times New Roman" w:hAnsi="Times New Roman" w:cs="Times New Roman" w:eastAsia="Times New Roman" w:hint="default"/>
                            <w:sz w:val="18"/>
                            <w:szCs w:val="18"/>
                          </w:rPr>
                        </w:pPr>
                        <w:r>
                          <w:rPr>
                            <w:rFonts w:ascii="Times New Roman"/>
                            <w:sz w:val="18"/>
                          </w:rPr>
                          <w:t>449,868.08</w:t>
                          <w:tab/>
                          <w:t>524,939.76</w:t>
                        </w:r>
                      </w:p>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61" w:type="dxa"/>
                        <w:tcBorders>
                          <w:top w:val="nil" w:sz="6" w:space="0" w:color="auto"/>
                          <w:left w:val="nil" w:sz="6" w:space="0" w:color="auto"/>
                          <w:bottom w:val="single" w:sz="6" w:space="0" w:color="000000"/>
                          <w:right w:val="nil" w:sz="6" w:space="0" w:color="auto"/>
                        </w:tcBorders>
                      </w:tcPr>
                      <w:p>
                        <w:pPr>
                          <w:pStyle w:val="TableParagraph"/>
                          <w:spacing w:line="240" w:lineRule="auto" w:before="109"/>
                          <w:ind w:right="36"/>
                          <w:jc w:val="right"/>
                          <w:rPr>
                            <w:rFonts w:ascii="Times New Roman" w:hAnsi="Times New Roman" w:cs="Times New Roman" w:eastAsia="Times New Roman" w:hint="default"/>
                            <w:sz w:val="18"/>
                            <w:szCs w:val="18"/>
                          </w:rPr>
                        </w:pPr>
                        <w:r>
                          <w:rPr>
                            <w:rFonts w:ascii="Times New Roman"/>
                            <w:sz w:val="18"/>
                          </w:rPr>
                          <w:t>2,602,654.5</w:t>
                        </w:r>
                      </w:p>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4</w:t>
                        </w:r>
                      </w:p>
                    </w:tc>
                    <w:tc>
                      <w:tcPr>
                        <w:tcW w:w="1907" w:type="dxa"/>
                        <w:gridSpan w:val="2"/>
                        <w:tcBorders>
                          <w:top w:val="nil" w:sz="6" w:space="0" w:color="auto"/>
                          <w:left w:val="nil" w:sz="6" w:space="0" w:color="auto"/>
                          <w:bottom w:val="single" w:sz="6" w:space="0" w:color="000000"/>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8"/>
                            <w:szCs w:val="18"/>
                          </w:rPr>
                        </w:pPr>
                        <w:r>
                          <w:rPr>
                            <w:rFonts w:ascii="Times New Roman"/>
                            <w:sz w:val="18"/>
                          </w:rPr>
                          <w:t>2,700,000.0</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922" w:type="dxa"/>
                        <w:gridSpan w:val="2"/>
                        <w:tcBorders>
                          <w:top w:val="nil" w:sz="6" w:space="0" w:color="auto"/>
                          <w:left w:val="nil" w:sz="6" w:space="0" w:color="auto"/>
                          <w:bottom w:val="single" w:sz="6" w:space="0" w:color="000000"/>
                          <w:right w:val="nil" w:sz="6" w:space="0" w:color="auto"/>
                        </w:tcBorders>
                      </w:tcPr>
                      <w:p>
                        <w:pPr>
                          <w:pStyle w:val="TableParagraph"/>
                          <w:spacing w:line="178" w:lineRule="exact" w:before="109"/>
                          <w:ind w:left="1044" w:right="0"/>
                          <w:jc w:val="left"/>
                          <w:rPr>
                            <w:rFonts w:ascii="Times New Roman" w:hAnsi="Times New Roman" w:cs="Times New Roman" w:eastAsia="Times New Roman" w:hint="default"/>
                            <w:sz w:val="18"/>
                            <w:szCs w:val="18"/>
                          </w:rPr>
                        </w:pPr>
                        <w:r>
                          <w:rPr>
                            <w:rFonts w:ascii="Times New Roman"/>
                            <w:sz w:val="18"/>
                          </w:rPr>
                          <w:t>6,591,927.7</w:t>
                        </w:r>
                      </w:p>
                      <w:p>
                        <w:pPr>
                          <w:pStyle w:val="TableParagraph"/>
                          <w:spacing w:line="178" w:lineRule="exact"/>
                          <w:ind w:left="127" w:right="0"/>
                          <w:jc w:val="left"/>
                          <w:rPr>
                            <w:rFonts w:ascii="Times New Roman" w:hAnsi="Times New Roman" w:cs="Times New Roman" w:eastAsia="Times New Roman" w:hint="default"/>
                            <w:sz w:val="18"/>
                            <w:szCs w:val="18"/>
                          </w:rPr>
                        </w:pPr>
                        <w:r>
                          <w:rPr>
                            <w:rFonts w:ascii="Times New Roman"/>
                            <w:sz w:val="18"/>
                          </w:rPr>
                          <w:t>314,465.40</w:t>
                        </w:r>
                      </w:p>
                    </w:tc>
                  </w:tr>
                  <w:tr>
                    <w:trPr>
                      <w:trHeight w:val="706" w:hRule="exact"/>
                    </w:trPr>
                    <w:tc>
                      <w:tcPr>
                        <w:tcW w:w="4791" w:type="dxa"/>
                        <w:gridSpan w:val="5"/>
                        <w:tcBorders>
                          <w:top w:val="single" w:sz="6" w:space="0" w:color="000000"/>
                          <w:left w:val="nil" w:sz="6" w:space="0" w:color="auto"/>
                          <w:bottom w:val="single" w:sz="6" w:space="0" w:color="000000"/>
                          <w:right w:val="nil" w:sz="6" w:space="0" w:color="auto"/>
                        </w:tcBorders>
                      </w:tcPr>
                      <w:p>
                        <w:pPr>
                          <w:pStyle w:val="TableParagraph"/>
                          <w:spacing w:line="290" w:lineRule="auto" w:before="44"/>
                          <w:ind w:left="22" w:right="3866"/>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）企业合</w:t>
                        </w:r>
                        <w:r>
                          <w:rPr>
                            <w:rFonts w:ascii="宋体" w:hAnsi="宋体" w:cs="宋体" w:eastAsia="宋体" w:hint="default"/>
                            <w:sz w:val="18"/>
                            <w:szCs w:val="18"/>
                          </w:rPr>
                          <w:t> 并增加</w:t>
                        </w:r>
                      </w:p>
                    </w:tc>
                    <w:tc>
                      <w:tcPr>
                        <w:tcW w:w="961" w:type="dxa"/>
                        <w:tcBorders>
                          <w:top w:val="single" w:sz="6" w:space="0" w:color="000000"/>
                          <w:left w:val="nil" w:sz="6" w:space="0" w:color="auto"/>
                          <w:bottom w:val="single" w:sz="6" w:space="0" w:color="000000"/>
                          <w:right w:val="nil" w:sz="6" w:space="0" w:color="auto"/>
                        </w:tcBorders>
                      </w:tcPr>
                      <w:p>
                        <w:pPr/>
                      </w:p>
                    </w:tc>
                    <w:tc>
                      <w:tcPr>
                        <w:tcW w:w="1907" w:type="dxa"/>
                        <w:gridSpan w:val="2"/>
                        <w:tcBorders>
                          <w:top w:val="single" w:sz="6" w:space="0" w:color="000000"/>
                          <w:left w:val="nil" w:sz="6" w:space="0" w:color="auto"/>
                          <w:bottom w:val="single" w:sz="6" w:space="0" w:color="000000"/>
                          <w:right w:val="nil" w:sz="6" w:space="0" w:color="auto"/>
                        </w:tcBorders>
                      </w:tcPr>
                      <w:p>
                        <w:pPr/>
                      </w:p>
                    </w:tc>
                    <w:tc>
                      <w:tcPr>
                        <w:tcW w:w="1922"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9" w:right="0"/>
                          <w:jc w:val="left"/>
                          <w:rPr>
                            <w:rFonts w:ascii="Times New Roman" w:hAnsi="Times New Roman" w:cs="Times New Roman" w:eastAsia="Times New Roman" w:hint="default"/>
                            <w:sz w:val="18"/>
                            <w:szCs w:val="18"/>
                          </w:rPr>
                        </w:pPr>
                        <w:r>
                          <w:rPr>
                            <w:rFonts w:ascii="Times New Roman"/>
                            <w:sz w:val="18"/>
                          </w:rPr>
                          <w:t>148,316.97</w:t>
                        </w:r>
                      </w:p>
                    </w:tc>
                  </w:tr>
                  <w:tr>
                    <w:trPr>
                      <w:trHeight w:val="720" w:hRule="exact"/>
                    </w:trPr>
                    <w:tc>
                      <w:tcPr>
                        <w:tcW w:w="4791" w:type="dxa"/>
                        <w:gridSpan w:val="5"/>
                        <w:tcBorders>
                          <w:top w:val="single" w:sz="6" w:space="0" w:color="000000"/>
                          <w:left w:val="nil" w:sz="6" w:space="0" w:color="auto"/>
                          <w:bottom w:val="single" w:sz="6" w:space="0" w:color="000000"/>
                          <w:right w:val="nil" w:sz="6" w:space="0" w:color="auto"/>
                        </w:tcBorders>
                      </w:tcPr>
                      <w:p>
                        <w:pPr>
                          <w:pStyle w:val="TableParagraph"/>
                          <w:spacing w:line="221" w:lineRule="exact" w:before="6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汇率变</w:t>
                        </w:r>
                      </w:p>
                      <w:p>
                        <w:pPr>
                          <w:pStyle w:val="TableParagraph"/>
                          <w:spacing w:line="178" w:lineRule="exact"/>
                          <w:ind w:right="21"/>
                          <w:jc w:val="right"/>
                          <w:rPr>
                            <w:rFonts w:ascii="Times New Roman" w:hAnsi="Times New Roman" w:cs="Times New Roman" w:eastAsia="Times New Roman" w:hint="default"/>
                            <w:sz w:val="18"/>
                            <w:szCs w:val="18"/>
                          </w:rPr>
                        </w:pPr>
                        <w:r>
                          <w:rPr>
                            <w:rFonts w:ascii="Times New Roman"/>
                            <w:w w:val="95"/>
                            <w:sz w:val="18"/>
                          </w:rPr>
                          <w:t>-5,353.15</w:t>
                        </w:r>
                        <w:r>
                          <w:rPr>
                            <w:rFonts w:ascii="Times New Roman"/>
                            <w:sz w:val="18"/>
                          </w:rPr>
                        </w:r>
                      </w:p>
                    </w:tc>
                    <w:tc>
                      <w:tcPr>
                        <w:tcW w:w="961" w:type="dxa"/>
                        <w:tcBorders>
                          <w:top w:val="single" w:sz="6" w:space="0" w:color="000000"/>
                          <w:left w:val="nil" w:sz="6" w:space="0" w:color="auto"/>
                          <w:bottom w:val="single" w:sz="6" w:space="0" w:color="000000"/>
                          <w:right w:val="nil" w:sz="6" w:space="0" w:color="auto"/>
                        </w:tcBorders>
                      </w:tcPr>
                      <w:p>
                        <w:pPr/>
                      </w:p>
                    </w:tc>
                    <w:tc>
                      <w:tcPr>
                        <w:tcW w:w="1907" w:type="dxa"/>
                        <w:gridSpan w:val="2"/>
                        <w:tcBorders>
                          <w:top w:val="single" w:sz="6" w:space="0" w:color="000000"/>
                          <w:left w:val="nil" w:sz="6" w:space="0" w:color="auto"/>
                          <w:bottom w:val="single" w:sz="6" w:space="0" w:color="000000"/>
                          <w:right w:val="nil" w:sz="6" w:space="0" w:color="auto"/>
                        </w:tcBorders>
                      </w:tcPr>
                      <w:p>
                        <w:pPr/>
                      </w:p>
                    </w:tc>
                    <w:tc>
                      <w:tcPr>
                        <w:tcW w:w="1922"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9" w:right="0"/>
                          <w:jc w:val="left"/>
                          <w:rPr>
                            <w:rFonts w:ascii="Times New Roman" w:hAnsi="Times New Roman" w:cs="Times New Roman" w:eastAsia="Times New Roman" w:hint="default"/>
                            <w:sz w:val="18"/>
                            <w:szCs w:val="18"/>
                          </w:rPr>
                        </w:pPr>
                        <w:r>
                          <w:rPr>
                            <w:rFonts w:ascii="Times New Roman"/>
                            <w:sz w:val="18"/>
                          </w:rPr>
                          <w:t>-5,353.15</w:t>
                        </w:r>
                      </w:p>
                    </w:tc>
                  </w:tr>
                  <w:tr>
                    <w:trPr>
                      <w:trHeight w:val="721" w:hRule="exact"/>
                    </w:trPr>
                    <w:tc>
                      <w:tcPr>
                        <w:tcW w:w="4791" w:type="dxa"/>
                        <w:gridSpan w:val="5"/>
                        <w:tcBorders>
                          <w:top w:val="single" w:sz="6" w:space="0" w:color="000000"/>
                          <w:left w:val="nil" w:sz="6" w:space="0" w:color="auto"/>
                          <w:bottom w:val="single" w:sz="6" w:space="0" w:color="000000"/>
                          <w:right w:val="nil" w:sz="6" w:space="0" w:color="auto"/>
                        </w:tcBorders>
                      </w:tcPr>
                      <w:p>
                        <w:pPr>
                          <w:pStyle w:val="TableParagraph"/>
                          <w:spacing w:line="221" w:lineRule="exact" w:before="6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w:t>
                        </w:r>
                      </w:p>
                      <w:p>
                        <w:pPr>
                          <w:pStyle w:val="TableParagraph"/>
                          <w:spacing w:line="179" w:lineRule="exact"/>
                          <w:ind w:right="21"/>
                          <w:jc w:val="right"/>
                          <w:rPr>
                            <w:rFonts w:ascii="Times New Roman" w:hAnsi="Times New Roman" w:cs="Times New Roman" w:eastAsia="Times New Roman" w:hint="default"/>
                            <w:sz w:val="18"/>
                            <w:szCs w:val="18"/>
                          </w:rPr>
                        </w:pPr>
                        <w:r>
                          <w:rPr>
                            <w:rFonts w:ascii="Times New Roman"/>
                            <w:sz w:val="18"/>
                          </w:rPr>
                          <w:t>253,488.64</w:t>
                        </w:r>
                      </w:p>
                    </w:tc>
                    <w:tc>
                      <w:tcPr>
                        <w:tcW w:w="961" w:type="dxa"/>
                        <w:tcBorders>
                          <w:top w:val="single" w:sz="6" w:space="0" w:color="000000"/>
                          <w:left w:val="nil" w:sz="6" w:space="0" w:color="auto"/>
                          <w:bottom w:val="single" w:sz="6" w:space="0" w:color="000000"/>
                          <w:right w:val="nil" w:sz="6" w:space="0" w:color="auto"/>
                        </w:tcBorders>
                      </w:tcPr>
                      <w:p>
                        <w:pPr/>
                      </w:p>
                    </w:tc>
                    <w:tc>
                      <w:tcPr>
                        <w:tcW w:w="1907" w:type="dxa"/>
                        <w:gridSpan w:val="2"/>
                        <w:tcBorders>
                          <w:top w:val="single" w:sz="6" w:space="0" w:color="000000"/>
                          <w:left w:val="nil" w:sz="6" w:space="0" w:color="auto"/>
                          <w:bottom w:val="single" w:sz="6" w:space="0" w:color="000000"/>
                          <w:right w:val="nil" w:sz="6" w:space="0" w:color="auto"/>
                        </w:tcBorders>
                      </w:tcPr>
                      <w:p>
                        <w:pPr/>
                      </w:p>
                    </w:tc>
                    <w:tc>
                      <w:tcPr>
                        <w:tcW w:w="1922"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9" w:right="0"/>
                          <w:jc w:val="left"/>
                          <w:rPr>
                            <w:rFonts w:ascii="Times New Roman" w:hAnsi="Times New Roman" w:cs="Times New Roman" w:eastAsia="Times New Roman" w:hint="default"/>
                            <w:sz w:val="18"/>
                            <w:szCs w:val="18"/>
                          </w:rPr>
                        </w:pPr>
                        <w:r>
                          <w:rPr>
                            <w:rFonts w:ascii="Times New Roman"/>
                            <w:sz w:val="18"/>
                          </w:rPr>
                          <w:t>253,488.64</w:t>
                        </w:r>
                      </w:p>
                    </w:tc>
                  </w:tr>
                  <w:tr>
                    <w:trPr>
                      <w:trHeight w:val="705" w:hRule="exact"/>
                    </w:trPr>
                    <w:tc>
                      <w:tcPr>
                        <w:tcW w:w="4791" w:type="dxa"/>
                        <w:gridSpan w:val="5"/>
                        <w:tcBorders>
                          <w:top w:val="single" w:sz="6" w:space="0" w:color="000000"/>
                          <w:left w:val="nil" w:sz="6" w:space="0" w:color="auto"/>
                          <w:bottom w:val="nil" w:sz="6" w:space="0" w:color="auto"/>
                          <w:right w:val="nil" w:sz="6" w:space="0" w:color="auto"/>
                        </w:tcBorders>
                      </w:tcPr>
                      <w:p>
                        <w:pPr>
                          <w:pStyle w:val="TableParagraph"/>
                          <w:spacing w:line="228" w:lineRule="exact" w:before="44"/>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186" w:lineRule="exact"/>
                          <w:ind w:right="20"/>
                          <w:jc w:val="right"/>
                          <w:rPr>
                            <w:rFonts w:ascii="Times New Roman" w:hAnsi="Times New Roman" w:cs="Times New Roman" w:eastAsia="Times New Roman" w:hint="default"/>
                            <w:sz w:val="18"/>
                            <w:szCs w:val="18"/>
                          </w:rPr>
                        </w:pPr>
                        <w:r>
                          <w:rPr>
                            <w:rFonts w:ascii="Times New Roman"/>
                            <w:sz w:val="18"/>
                          </w:rPr>
                          <w:t>42,159.48</w:t>
                        </w:r>
                      </w:p>
                    </w:tc>
                    <w:tc>
                      <w:tcPr>
                        <w:tcW w:w="961" w:type="dxa"/>
                        <w:tcBorders>
                          <w:top w:val="single" w:sz="6" w:space="0" w:color="000000"/>
                          <w:left w:val="nil" w:sz="6" w:space="0" w:color="auto"/>
                          <w:bottom w:val="nil" w:sz="6" w:space="0" w:color="auto"/>
                          <w:right w:val="nil" w:sz="6" w:space="0" w:color="auto"/>
                        </w:tcBorders>
                      </w:tcPr>
                      <w:p>
                        <w:pPr/>
                      </w:p>
                    </w:tc>
                    <w:tc>
                      <w:tcPr>
                        <w:tcW w:w="1907" w:type="dxa"/>
                        <w:gridSpan w:val="2"/>
                        <w:tcBorders>
                          <w:top w:val="single" w:sz="6" w:space="0" w:color="000000"/>
                          <w:left w:val="nil" w:sz="6" w:space="0" w:color="auto"/>
                          <w:bottom w:val="nil" w:sz="6" w:space="0" w:color="auto"/>
                          <w:right w:val="nil" w:sz="6" w:space="0" w:color="auto"/>
                        </w:tcBorders>
                      </w:tcPr>
                      <w:p>
                        <w:pPr/>
                      </w:p>
                    </w:tc>
                    <w:tc>
                      <w:tcPr>
                        <w:tcW w:w="192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79" w:right="0"/>
                          <w:jc w:val="left"/>
                          <w:rPr>
                            <w:rFonts w:ascii="Times New Roman" w:hAnsi="Times New Roman" w:cs="Times New Roman" w:eastAsia="Times New Roman" w:hint="default"/>
                            <w:sz w:val="18"/>
                            <w:szCs w:val="18"/>
                          </w:rPr>
                        </w:pPr>
                        <w:r>
                          <w:rPr>
                            <w:rFonts w:ascii="Times New Roman"/>
                            <w:sz w:val="18"/>
                          </w:rPr>
                          <w:t>42,159.48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76"/>
        <w:ind w:left="0" w:right="1216"/>
        <w:jc w:val="right"/>
        <w:rPr>
          <w:rFonts w:ascii="Times New Roman" w:hAnsi="Times New Roman" w:cs="Times New Roman" w:eastAsia="Times New Roman" w:hint="default"/>
        </w:rPr>
      </w:pPr>
      <w:r>
        <w:rPr>
          <w:rFonts w:ascii="Times New Roman"/>
        </w:rPr>
        <w:t>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left="156" w:right="0"/>
        <w:jc w:val="left"/>
      </w:pPr>
      <w:r>
        <w:rPr/>
        <w:t>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156" w:right="0"/>
        <w:jc w:val="left"/>
      </w:pPr>
      <w:r>
        <w:rPr/>
        <w:t>减少金额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0"/>
        <w:ind w:left="156" w:right="0"/>
        <w:jc w:val="left"/>
      </w:pPr>
      <w:r>
        <w:rPr/>
        <w:t>处置</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105.120003pt;margin-top:251.470001pt;width:47.35pt;height:27.45pt;mso-position-horizontal-relative:page;mso-position-vertical-relative:page;z-index:-1110640" coordorigin="2102,5029" coordsize="947,549">
            <v:group style="position:absolute;left:2102;top:5029;width:947;height:150" coordorigin="2102,5029" coordsize="947,150">
              <v:shape style="position:absolute;left:2102;top:5029;width:947;height:150" coordorigin="2102,5029" coordsize="947,150" path="m2102,5179l3049,5179,3049,5029,2102,5029,2102,5179xe" filled="true" fillcolor="#ffffff" stroked="false">
                <v:path arrowok="t"/>
                <v:fill type="solid"/>
              </v:shape>
            </v:group>
            <v:group style="position:absolute;left:2110;top:5180;width:2;height:391" coordorigin="2110,5180" coordsize="2,391">
              <v:shape style="position:absolute;left:2110;top:5180;width:2;height:391" coordorigin="2110,5180" coordsize="0,391" path="m2110,5180l2110,5570e" filled="false" stroked="true" strokeweight=".75pt" strokecolor="#ffffff">
                <v:path arrowok="t"/>
              </v:shape>
            </v:group>
            <v:group style="position:absolute;left:2117;top:5180;width:902;height:391" coordorigin="2117,5180" coordsize="902,391">
              <v:shape style="position:absolute;left:2117;top:5180;width:902;height:391" coordorigin="2117,5180" coordsize="902,391" path="m2117,5570l3019,5570,3019,5180,2117,5180,2117,5570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720"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8"/>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）合并转</w:t>
            </w:r>
            <w:r>
              <w:rPr>
                <w:rFonts w:ascii="宋体" w:hAnsi="宋体" w:cs="宋体" w:eastAsia="宋体" w:hint="default"/>
                <w:sz w:val="18"/>
                <w:szCs w:val="18"/>
              </w:rPr>
              <w:t> 出</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211,329.16</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211,329.16</w:t>
            </w:r>
          </w:p>
        </w:tc>
      </w:tr>
      <w:tr>
        <w:trPr>
          <w:trHeight w:val="705"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5,491,424.5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4,056,830.8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2,943,853.7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14,208,223.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7,425,000.0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314,465.40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34,588,114.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63</w:t>
            </w:r>
          </w:p>
        </w:tc>
      </w:tr>
      <w:tr>
        <w:trPr>
          <w:trHeight w:val="7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363,028.06</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11,916,694.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88</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12,279,722.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94</w:t>
            </w:r>
          </w:p>
        </w:tc>
      </w:tr>
      <w:tr>
        <w:trPr>
          <w:trHeight w:val="720"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30"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363,028.06</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11,916,694.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88</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12,279,722.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94</w:t>
            </w:r>
          </w:p>
        </w:tc>
      </w:tr>
      <w:tr>
        <w:trPr>
          <w:trHeight w:val="7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62"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17,835,072.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17</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626,056.95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34,146,207.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22</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19,575,000.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13,836,477.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85,315,606.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39</w:t>
            </w:r>
          </w:p>
        </w:tc>
      </w:tr>
      <w:tr>
        <w:trPr>
          <w:trHeight w:val="706"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18,284,940.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25</w:t>
            </w:r>
          </w:p>
        </w:tc>
        <w:tc>
          <w:tcPr>
            <w:tcW w:w="94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894,386.99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71,710.62</w:t>
            </w: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22,275,000.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41,526,037.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86</w:t>
            </w:r>
          </w:p>
        </w:tc>
      </w:tr>
    </w:tbl>
    <w:p>
      <w:pPr>
        <w:pStyle w:val="BodyText"/>
        <w:spacing w:line="240" w:lineRule="auto"/>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55"/>
        <w:ind w:right="0"/>
        <w:jc w:val="left"/>
        <w:rPr>
          <w:b w:val="0"/>
          <w:bCs w:val="0"/>
        </w:rPr>
      </w:pPr>
      <w:bookmarkStart w:name="（2）未办妥产权证书的土地使用权情况" w:id="331"/>
      <w:bookmarkEnd w:id="33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嵊州市三江工业功能区土地</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6,538,121.07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91"/>
              <w:jc w:val="left"/>
              <w:rPr>
                <w:rFonts w:ascii="宋体" w:hAnsi="宋体" w:cs="宋体" w:eastAsia="宋体" w:hint="default"/>
                <w:sz w:val="18"/>
                <w:szCs w:val="18"/>
              </w:rPr>
            </w:pPr>
            <w:r>
              <w:rPr>
                <w:rFonts w:ascii="宋体" w:hAnsi="宋体" w:cs="宋体" w:eastAsia="宋体" w:hint="default"/>
                <w:sz w:val="18"/>
                <w:szCs w:val="18"/>
              </w:rPr>
              <w:t>原证书作废，待动漫基地和研发车间建 成后办理新证</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7、开发支出" w:id="332"/>
      <w:bookmarkEnd w:id="33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059"/>
        <w:gridCol w:w="1066"/>
        <w:gridCol w:w="1067"/>
        <w:gridCol w:w="1051"/>
        <w:gridCol w:w="1066"/>
        <w:gridCol w:w="1067"/>
        <w:gridCol w:w="1066"/>
        <w:gridCol w:w="1067"/>
        <w:gridCol w:w="1066"/>
      </w:tblGrid>
      <w:tr>
        <w:trPr>
          <w:trHeight w:val="405" w:hRule="exact"/>
        </w:trPr>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8" w:hRule="exact"/>
        </w:trPr>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45" w:right="73"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59"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59"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59"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05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0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28、商誉" w:id="333"/>
      <w:bookmarkEnd w:id="333"/>
      <w:r>
        <w:rPr>
          <w:b w:val="0"/>
          <w:bCs w:val="0"/>
        </w:rPr>
      </w:r>
      <w:r>
        <w:rPr>
          <w:rFonts w:ascii="Times New Roman" w:hAnsi="Times New Roman" w:cs="Times New Roman" w:eastAsia="Times New Roman" w:hint="default"/>
        </w:rPr>
        <w:t>28</w:t>
      </w:r>
      <w:r>
        <w:rPr/>
        <w:t>、商誉</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商誉账面原值" w:id="334"/>
      <w:bookmarkEnd w:id="33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6"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953,585,391.20</w:t>
            </w: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953,585,391.20</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55,568,037.71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55,568,037.71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9,551,471.73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9,551,471.73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9,876,030.45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9,876,030.45</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26,251,152.21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26,251,152.21</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35,726,610.21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35,726,610.21</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6"/>
                <w:sz w:val="18"/>
              </w:rPr>
              <w:t> </w:t>
            </w:r>
            <w:r>
              <w:rPr>
                <w:rFonts w:ascii="Times New Roman"/>
                <w:spacing w:val="3"/>
                <w:sz w:val="18"/>
              </w:rPr>
              <w:t>TIME</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430,632,291.00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430,632,291.00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1,090,558,693.51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430,632,291.00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1,521,190,984.51</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335"/>
      <w:bookmarkEnd w:id="33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169,607,231.00</w:t>
            </w:r>
          </w:p>
        </w:tc>
        <w:tc>
          <w:tcPr>
            <w:tcW w:w="1367"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27"/>
              <w:ind w:right="14"/>
              <w:jc w:val="right"/>
              <w:rPr>
                <w:rFonts w:ascii="Times New Roman" w:hAnsi="Times New Roman" w:cs="Times New Roman" w:eastAsia="Times New Roman" w:hint="default"/>
                <w:sz w:val="18"/>
                <w:szCs w:val="18"/>
              </w:rPr>
            </w:pPr>
            <w:r>
              <w:rPr>
                <w:rFonts w:ascii="Times New Roman"/>
                <w:sz w:val="18"/>
              </w:rPr>
              <w:t>61,141,860.57</w:t>
            </w: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230,749,091.57</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26,241,585.56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26,241,585.56</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9,551,471.73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9,551,471.73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9,876,030.45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9,876,030.45</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26,251,152.21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26,251,152.21</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35,726,610.21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35,726,610.21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277,254,081.16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61,141,860.57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338,395,941.73</w:t>
            </w:r>
          </w:p>
        </w:tc>
      </w:tr>
    </w:tbl>
    <w:p>
      <w:pPr>
        <w:pStyle w:val="BodyText"/>
        <w:spacing w:line="240" w:lineRule="auto" w:before="45"/>
        <w:ind w:right="0"/>
        <w:jc w:val="left"/>
      </w:pPr>
      <w:r>
        <w:rPr/>
        <w:t>商誉所在资产组或资产组组合的相关信息</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1" w:lineRule="auto" w:before="35"/>
        <w:ind w:right="1083" w:firstLine="270"/>
        <w:jc w:val="both"/>
      </w:pPr>
      <w:r>
        <w:rPr>
          <w:spacing w:val="-2"/>
        </w:rPr>
        <w:t>商誉减值计算方法：公司期末对与商誉相关的各资产组进行了减值测试，在对商誉进行减值测试时，如</w:t>
      </w:r>
      <w:r>
        <w:rPr/>
        <w:t> 与商誉相关的资产组或资产组组合存在减值迹象的，应先对不包含商誉的资产组或资产组组合进行减值测 试，确认相应的减值损失；再对包含商誉的资产组或资产组组合进行减值测试。若包含商誉的资产组或资 产组组合存在减值，应先抵减分摊至资产组或资产组组合中商誉的账面价值；再按比例抵减其他各项资产 的账面价值。</w:t>
      </w:r>
    </w:p>
    <w:p>
      <w:pPr>
        <w:pStyle w:val="BodyText"/>
        <w:spacing w:line="304" w:lineRule="auto" w:before="78"/>
        <w:ind w:right="0"/>
        <w:jc w:val="left"/>
      </w:pPr>
      <w:r>
        <w:rPr>
          <w:spacing w:val="-2"/>
        </w:rPr>
        <w:t>说明商誉减值测试过程、关键参数（如预计未来现金流量现值时的预测期增长率、稳定期增长率、利润率、折现率、预测期</w:t>
      </w:r>
      <w:r>
        <w:rPr>
          <w:spacing w:val="-71"/>
        </w:rPr>
        <w:t> </w:t>
      </w:r>
      <w:r>
        <w:rPr>
          <w:spacing w:val="-71"/>
        </w:rPr>
      </w:r>
      <w:r>
        <w:rPr/>
        <w:t>等）及商誉减值损失的确认方法：</w:t>
      </w:r>
    </w:p>
    <w:p>
      <w:pPr>
        <w:pStyle w:val="Heading5"/>
        <w:spacing w:line="240" w:lineRule="auto" w:before="56"/>
        <w:ind w:left="561" w:right="0"/>
        <w:jc w:val="left"/>
      </w:pPr>
      <w:r>
        <w:rPr/>
        <w:pict>
          <v:shape style="position:absolute;margin-left:56.325001pt;margin-top:19.563688pt;width:540.7pt;height:177.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56"/>
                    <w:gridCol w:w="1720"/>
                  </w:tblGrid>
                  <w:tr>
                    <w:trPr>
                      <w:trHeight w:val="353" w:hRule="exact"/>
                    </w:trPr>
                    <w:tc>
                      <w:tcPr>
                        <w:tcW w:w="9056"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1"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right="-15"/>
                          <w:jc w:val="right"/>
                          <w:rPr>
                            <w:rFonts w:ascii="宋体" w:hAnsi="宋体" w:cs="宋体" w:eastAsia="宋体" w:hint="default"/>
                            <w:sz w:val="18"/>
                            <w:szCs w:val="18"/>
                          </w:rPr>
                        </w:pPr>
                        <w:r>
                          <w:rPr>
                            <w:rFonts w:ascii="宋体" w:hAnsi="宋体" w:cs="宋体" w:eastAsia="宋体" w:hint="default"/>
                            <w:sz w:val="18"/>
                            <w:szCs w:val="18"/>
                          </w:rPr>
                          <w:t>真趣</w:t>
                        </w:r>
                      </w:p>
                    </w:tc>
                  </w:tr>
                  <w:tr>
                    <w:trPr>
                      <w:trHeight w:val="345"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商誉减值准备余额嘇</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商誉的账面价值嘊＝嘆</w:t>
                        </w:r>
                        <w:r>
                          <w:rPr>
                            <w:rFonts w:ascii="Times New Roman" w:hAnsi="Times New Roman" w:cs="Times New Roman" w:eastAsia="Times New Roman" w:hint="default"/>
                            <w:sz w:val="18"/>
                            <w:szCs w:val="18"/>
                          </w:rPr>
                          <w:t>-</w:t>
                        </w:r>
                        <w:r>
                          <w:rPr>
                            <w:rFonts w:ascii="宋体" w:hAnsi="宋体" w:cs="宋体" w:eastAsia="宋体" w:hint="default"/>
                            <w:sz w:val="18"/>
                            <w:szCs w:val="18"/>
                          </w:rPr>
                          <w:t>嘇</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未确认归属于少数股东权益的商誉价值嘋</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调整后整体商誉的账面价值嘍</w:t>
                        </w:r>
                        <w:r>
                          <w:rPr>
                            <w:rFonts w:ascii="Times New Roman" w:hAnsi="Times New Roman" w:cs="Times New Roman" w:eastAsia="Times New Roman" w:hint="default"/>
                            <w:sz w:val="18"/>
                            <w:szCs w:val="18"/>
                          </w:rPr>
                          <w:t>=</w:t>
                        </w:r>
                        <w:r>
                          <w:rPr>
                            <w:rFonts w:ascii="宋体" w:hAnsi="宋体" w:cs="宋体" w:eastAsia="宋体" w:hint="default"/>
                            <w:sz w:val="18"/>
                            <w:szCs w:val="18"/>
                          </w:rPr>
                          <w:t>嘋</w:t>
                        </w:r>
                        <w:r>
                          <w:rPr>
                            <w:rFonts w:ascii="Times New Roman" w:hAnsi="Times New Roman" w:cs="Times New Roman" w:eastAsia="Times New Roman" w:hint="default"/>
                            <w:sz w:val="18"/>
                            <w:szCs w:val="18"/>
                          </w:rPr>
                          <w:t>+</w:t>
                        </w:r>
                        <w:r>
                          <w:rPr>
                            <w:rFonts w:ascii="宋体" w:hAnsi="宋体" w:cs="宋体" w:eastAsia="宋体" w:hint="default"/>
                            <w:sz w:val="18"/>
                            <w:szCs w:val="18"/>
                          </w:rPr>
                          <w:t>嘊</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资产组的账面价值嘐</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包含整体商誉的资产组的账面价值嘑</w:t>
                        </w:r>
                        <w:r>
                          <w:rPr>
                            <w:rFonts w:ascii="Times New Roman" w:hAnsi="Times New Roman" w:cs="Times New Roman" w:eastAsia="Times New Roman" w:hint="default"/>
                            <w:sz w:val="18"/>
                            <w:szCs w:val="18"/>
                          </w:rPr>
                          <w:t>=</w:t>
                        </w:r>
                        <w:r>
                          <w:rPr>
                            <w:rFonts w:ascii="宋体" w:hAnsi="宋体" w:cs="宋体" w:eastAsia="宋体" w:hint="default"/>
                            <w:sz w:val="18"/>
                            <w:szCs w:val="18"/>
                          </w:rPr>
                          <w:t>嘍</w:t>
                        </w:r>
                        <w:r>
                          <w:rPr>
                            <w:rFonts w:ascii="Times New Roman" w:hAnsi="Times New Roman" w:cs="Times New Roman" w:eastAsia="Times New Roman" w:hint="default"/>
                            <w:sz w:val="18"/>
                            <w:szCs w:val="18"/>
                          </w:rPr>
                          <w:t>+</w:t>
                        </w:r>
                        <w:r>
                          <w:rPr>
                            <w:rFonts w:ascii="宋体" w:hAnsi="宋体" w:cs="宋体" w:eastAsia="宋体" w:hint="default"/>
                            <w:sz w:val="18"/>
                            <w:szCs w:val="18"/>
                          </w:rPr>
                          <w:t>嘐</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61"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资产组预计未来现金流量的现值（可回收金额）⑧</w:t>
                        </w:r>
                      </w:p>
                    </w:tc>
                    <w:tc>
                      <w:tcPr>
                        <w:tcW w:w="1720"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9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1720"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商誉减值测试过程如下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5"/>
        <w:spacing w:line="240" w:lineRule="auto" w:before="35"/>
        <w:ind w:left="561" w:right="0"/>
        <w:jc w:val="left"/>
      </w:pPr>
      <w:r>
        <w:rPr>
          <w:rFonts w:ascii="Times New Roman" w:hAnsi="Times New Roman" w:cs="Times New Roman" w:eastAsia="Times New Roman" w:hint="default"/>
        </w:rPr>
        <w:t>4</w:t>
      </w:r>
      <w:r>
        <w:rPr/>
        <w:t>．商誉减值测试重要假设、依据及参数</w:t>
      </w:r>
    </w:p>
    <w:p>
      <w:pPr>
        <w:pStyle w:val="Heading5"/>
        <w:spacing w:line="240" w:lineRule="auto" w:before="24"/>
        <w:ind w:left="561" w:right="0"/>
        <w:jc w:val="left"/>
      </w:pPr>
      <w:r>
        <w:rPr/>
        <w:t>（</w:t>
      </w:r>
      <w:r>
        <w:rPr>
          <w:rFonts w:ascii="Times New Roman" w:hAnsi="Times New Roman" w:cs="Times New Roman" w:eastAsia="Times New Roman" w:hint="default"/>
        </w:rPr>
        <w:t>1</w:t>
      </w:r>
      <w:r>
        <w:rPr/>
        <w:t>）重要假设及依据</w:t>
      </w:r>
    </w:p>
    <w:p>
      <w:pPr>
        <w:pStyle w:val="Heading5"/>
        <w:spacing w:line="261" w:lineRule="auto" w:before="24"/>
        <w:ind w:right="0" w:firstLine="420"/>
        <w:jc w:val="left"/>
      </w:pPr>
      <w:r>
        <w:rPr>
          <w:spacing w:val="-4"/>
        </w:rPr>
        <w:t>①假设被评估单位持续性经营，被评估资产按管理层对资产组预计的用途和使用的方式、规模、频度、</w:t>
      </w:r>
      <w:r>
        <w:rPr/>
        <w:t> 环境等情况继续使用，或者在有所改变的基础上使用，相应确定评估方法、参数和依据；</w:t>
      </w:r>
    </w:p>
    <w:p>
      <w:pPr>
        <w:pStyle w:val="Heading5"/>
        <w:spacing w:line="276" w:lineRule="auto" w:before="22"/>
        <w:ind w:right="1089" w:firstLine="420"/>
        <w:jc w:val="left"/>
      </w:pPr>
      <w:r>
        <w:rPr/>
        <w:t>②假设被评估单位所处的社会经济环境不产生较大的变化，国家及公司所在的地区有关法律、法规、 政策与现时无重大变化；</w:t>
      </w:r>
    </w:p>
    <w:p>
      <w:pPr>
        <w:pStyle w:val="Heading5"/>
        <w:spacing w:line="276" w:lineRule="auto" w:before="9"/>
        <w:ind w:right="0" w:firstLine="420"/>
        <w:jc w:val="left"/>
      </w:pPr>
      <w:r>
        <w:rPr/>
        <w:t>③假设被评估单位经营范围、经营方式、管理模式等在保持一贯性的基础上不断改进、不断完善，能 随着经济的发展，进行适时调整和创新；</w:t>
      </w:r>
    </w:p>
    <w:p>
      <w:pPr>
        <w:pStyle w:val="Heading5"/>
        <w:spacing w:line="276" w:lineRule="auto"/>
        <w:ind w:right="1089" w:firstLine="420"/>
        <w:jc w:val="left"/>
      </w:pPr>
      <w:r>
        <w:rPr/>
        <w:t>④假设被评估单位所提供的各种服务能适应市场需求，制定的目标和措施能按预定的时间和进度如期 实现，并取得预期效益；</w:t>
      </w:r>
    </w:p>
    <w:p>
      <w:pPr>
        <w:pStyle w:val="Heading5"/>
        <w:spacing w:line="240" w:lineRule="auto" w:before="8"/>
        <w:ind w:left="561" w:right="0"/>
        <w:jc w:val="left"/>
      </w:pPr>
      <w:r>
        <w:rPr/>
        <w:t>⑤假设利率、汇率、赋税基准及税率，在国家规定的正常范围内无重大变化等。</w:t>
      </w:r>
    </w:p>
    <w:p>
      <w:pPr>
        <w:pStyle w:val="Heading5"/>
        <w:spacing w:line="240" w:lineRule="auto" w:before="40"/>
        <w:ind w:left="561" w:right="0"/>
        <w:jc w:val="left"/>
      </w:pPr>
      <w:r>
        <w:rPr/>
        <w:t>（</w:t>
      </w:r>
      <w:r>
        <w:rPr>
          <w:rFonts w:ascii="Times New Roman" w:hAnsi="Times New Roman" w:cs="Times New Roman" w:eastAsia="Times New Roman" w:hint="default"/>
        </w:rPr>
        <w:t>2</w:t>
      </w:r>
      <w:r>
        <w:rPr/>
        <w:t>）关键参数</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268"/>
        <w:gridCol w:w="1847"/>
        <w:gridCol w:w="856"/>
        <w:gridCol w:w="841"/>
        <w:gridCol w:w="2012"/>
        <w:gridCol w:w="864"/>
      </w:tblGrid>
      <w:tr>
        <w:trPr>
          <w:trHeight w:val="423" w:hRule="exact"/>
        </w:trPr>
        <w:tc>
          <w:tcPr>
            <w:tcW w:w="226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资产组</w:t>
            </w:r>
          </w:p>
        </w:tc>
        <w:tc>
          <w:tcPr>
            <w:tcW w:w="1847" w:type="dxa"/>
            <w:tcBorders>
              <w:top w:val="single" w:sz="6" w:space="0" w:color="000000"/>
              <w:left w:val="single" w:sz="6" w:space="0" w:color="000000"/>
              <w:bottom w:val="nil" w:sz="6" w:space="0" w:color="auto"/>
              <w:right w:val="single" w:sz="6" w:space="0" w:color="000000"/>
            </w:tcBorders>
          </w:tcPr>
          <w:p>
            <w:pPr/>
          </w:p>
        </w:tc>
        <w:tc>
          <w:tcPr>
            <w:tcW w:w="856" w:type="dxa"/>
            <w:tcBorders>
              <w:top w:val="single" w:sz="6" w:space="0" w:color="000000"/>
              <w:left w:val="single" w:sz="6" w:space="0" w:color="000000"/>
              <w:bottom w:val="nil" w:sz="6" w:space="0" w:color="auto"/>
              <w:right w:val="single" w:sz="6" w:space="0" w:color="000000"/>
            </w:tcBorders>
          </w:tcPr>
          <w:p>
            <w:pPr/>
          </w:p>
        </w:tc>
        <w:tc>
          <w:tcPr>
            <w:tcW w:w="841"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35" w:right="-30"/>
              <w:jc w:val="left"/>
              <w:rPr>
                <w:rFonts w:ascii="宋体" w:hAnsi="宋体" w:cs="宋体" w:eastAsia="宋体" w:hint="default"/>
                <w:sz w:val="18"/>
                <w:szCs w:val="18"/>
              </w:rPr>
            </w:pPr>
            <w:r>
              <w:rPr>
                <w:rFonts w:ascii="宋体" w:hAnsi="宋体" w:cs="宋体" w:eastAsia="宋体" w:hint="default"/>
                <w:sz w:val="18"/>
                <w:szCs w:val="18"/>
              </w:rPr>
              <w:t>关键参数</w:t>
            </w:r>
          </w:p>
        </w:tc>
        <w:tc>
          <w:tcPr>
            <w:tcW w:w="2877" w:type="dxa"/>
            <w:gridSpan w:val="2"/>
            <w:tcBorders>
              <w:top w:val="single" w:sz="6" w:space="0" w:color="000000"/>
              <w:left w:val="single" w:sz="6" w:space="0" w:color="000000"/>
              <w:bottom w:val="nil" w:sz="6" w:space="0" w:color="auto"/>
              <w:right w:val="nil" w:sz="6" w:space="0" w:color="auto"/>
            </w:tcBorders>
          </w:tcPr>
          <w:p>
            <w:pPr/>
          </w:p>
        </w:tc>
      </w:tr>
      <w:tr>
        <w:trPr>
          <w:trHeight w:val="248" w:hRule="exact"/>
        </w:trPr>
        <w:tc>
          <w:tcPr>
            <w:tcW w:w="2268" w:type="dxa"/>
            <w:tcBorders>
              <w:top w:val="nil" w:sz="6" w:space="0" w:color="auto"/>
              <w:left w:val="single" w:sz="6" w:space="0" w:color="000000"/>
              <w:bottom w:val="nil" w:sz="6" w:space="0" w:color="auto"/>
              <w:right w:val="single" w:sz="6" w:space="0" w:color="000000"/>
            </w:tcBorders>
          </w:tcPr>
          <w:p>
            <w:pPr/>
          </w:p>
        </w:tc>
        <w:tc>
          <w:tcPr>
            <w:tcW w:w="1847" w:type="dxa"/>
            <w:tcBorders>
              <w:top w:val="nil" w:sz="6" w:space="0" w:color="auto"/>
              <w:left w:val="single" w:sz="6" w:space="0" w:color="000000"/>
              <w:bottom w:val="nil" w:sz="6" w:space="0" w:color="auto"/>
              <w:right w:val="single" w:sz="6" w:space="0" w:color="000000"/>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sz w:val="18"/>
                <w:szCs w:val="18"/>
              </w:rPr>
              <w:t>预测期</w:t>
            </w:r>
          </w:p>
        </w:tc>
        <w:tc>
          <w:tcPr>
            <w:tcW w:w="856" w:type="dxa"/>
            <w:tcBorders>
              <w:top w:val="nil" w:sz="6" w:space="0" w:color="auto"/>
              <w:left w:val="single" w:sz="6" w:space="0" w:color="000000"/>
              <w:bottom w:val="nil" w:sz="6" w:space="0" w:color="auto"/>
              <w:right w:val="single" w:sz="6" w:space="0" w:color="000000"/>
            </w:tcBorders>
          </w:tcPr>
          <w:p>
            <w:pPr>
              <w:pStyle w:val="TableParagraph"/>
              <w:spacing w:line="180" w:lineRule="exact"/>
              <w:ind w:right="30"/>
              <w:jc w:val="center"/>
              <w:rPr>
                <w:rFonts w:ascii="宋体" w:hAnsi="宋体" w:cs="宋体" w:eastAsia="宋体" w:hint="default"/>
                <w:sz w:val="18"/>
                <w:szCs w:val="18"/>
              </w:rPr>
            </w:pPr>
            <w:r>
              <w:rPr>
                <w:rFonts w:ascii="宋体" w:hAnsi="宋体" w:cs="宋体" w:eastAsia="宋体" w:hint="default"/>
                <w:sz w:val="18"/>
                <w:szCs w:val="18"/>
              </w:rPr>
              <w:t>预测期增</w:t>
            </w:r>
          </w:p>
        </w:tc>
        <w:tc>
          <w:tcPr>
            <w:tcW w:w="841"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45" w:right="0"/>
              <w:jc w:val="left"/>
              <w:rPr>
                <w:rFonts w:ascii="宋体" w:hAnsi="宋体" w:cs="宋体" w:eastAsia="宋体" w:hint="default"/>
                <w:sz w:val="18"/>
                <w:szCs w:val="18"/>
              </w:rPr>
            </w:pPr>
            <w:r>
              <w:rPr>
                <w:rFonts w:ascii="宋体" w:hAnsi="宋体" w:cs="宋体" w:eastAsia="宋体" w:hint="default"/>
                <w:sz w:val="18"/>
                <w:szCs w:val="18"/>
              </w:rPr>
              <w:t>稳定期增</w:t>
            </w:r>
          </w:p>
        </w:tc>
        <w:tc>
          <w:tcPr>
            <w:tcW w:w="2012" w:type="dxa"/>
            <w:tcBorders>
              <w:top w:val="nil" w:sz="6" w:space="0" w:color="auto"/>
              <w:left w:val="single" w:sz="6" w:space="0" w:color="000000"/>
              <w:bottom w:val="nil" w:sz="6" w:space="0" w:color="auto"/>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864" w:type="dxa"/>
            <w:tcBorders>
              <w:top w:val="nil" w:sz="6" w:space="0" w:color="auto"/>
              <w:left w:val="nil" w:sz="6" w:space="0" w:color="auto"/>
              <w:bottom w:val="nil" w:sz="6" w:space="0" w:color="auto"/>
              <w:right w:val="nil" w:sz="6" w:space="0" w:color="auto"/>
            </w:tcBorders>
          </w:tcPr>
          <w:p>
            <w:pPr>
              <w:pStyle w:val="TableParagraph"/>
              <w:spacing w:line="180" w:lineRule="exact"/>
              <w:ind w:left="83" w:right="0"/>
              <w:jc w:val="left"/>
              <w:rPr>
                <w:rFonts w:ascii="宋体" w:hAnsi="宋体" w:cs="宋体" w:eastAsia="宋体" w:hint="default"/>
                <w:sz w:val="18"/>
                <w:szCs w:val="18"/>
              </w:rPr>
            </w:pPr>
            <w:r>
              <w:rPr>
                <w:rFonts w:ascii="宋体" w:hAnsi="宋体" w:cs="宋体" w:eastAsia="宋体" w:hint="default"/>
                <w:sz w:val="18"/>
                <w:szCs w:val="18"/>
              </w:rPr>
              <w:t>折现率</w:t>
            </w:r>
          </w:p>
        </w:tc>
      </w:tr>
      <w:tr>
        <w:trPr>
          <w:trHeight w:val="342" w:hRule="exact"/>
        </w:trPr>
        <w:tc>
          <w:tcPr>
            <w:tcW w:w="2268" w:type="dxa"/>
            <w:tcBorders>
              <w:top w:val="nil" w:sz="6" w:space="0" w:color="auto"/>
              <w:left w:val="single" w:sz="6" w:space="0" w:color="000000"/>
              <w:bottom w:val="single" w:sz="12" w:space="0" w:color="000000"/>
              <w:right w:val="single" w:sz="6" w:space="0" w:color="000000"/>
            </w:tcBorders>
          </w:tcPr>
          <w:p>
            <w:pPr/>
          </w:p>
        </w:tc>
        <w:tc>
          <w:tcPr>
            <w:tcW w:w="1847" w:type="dxa"/>
            <w:tcBorders>
              <w:top w:val="nil" w:sz="6" w:space="0" w:color="auto"/>
              <w:left w:val="single" w:sz="6" w:space="0" w:color="000000"/>
              <w:bottom w:val="single" w:sz="12" w:space="0" w:color="000000"/>
              <w:right w:val="single" w:sz="6" w:space="0" w:color="000000"/>
            </w:tcBorders>
          </w:tcPr>
          <w:p>
            <w:pPr/>
          </w:p>
        </w:tc>
        <w:tc>
          <w:tcPr>
            <w:tcW w:w="85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
              <w:ind w:right="28"/>
              <w:jc w:val="center"/>
              <w:rPr>
                <w:rFonts w:ascii="宋体" w:hAnsi="宋体" w:cs="宋体" w:eastAsia="宋体" w:hint="default"/>
                <w:sz w:val="18"/>
                <w:szCs w:val="18"/>
              </w:rPr>
            </w:pPr>
            <w:r>
              <w:rPr>
                <w:rFonts w:ascii="宋体" w:hAnsi="宋体" w:cs="宋体" w:eastAsia="宋体" w:hint="default"/>
                <w:sz w:val="18"/>
                <w:szCs w:val="18"/>
              </w:rPr>
              <w:t>长率</w:t>
            </w:r>
          </w:p>
        </w:tc>
        <w:tc>
          <w:tcPr>
            <w:tcW w:w="84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
              <w:ind w:left="225" w:right="0"/>
              <w:jc w:val="left"/>
              <w:rPr>
                <w:rFonts w:ascii="宋体" w:hAnsi="宋体" w:cs="宋体" w:eastAsia="宋体" w:hint="default"/>
                <w:sz w:val="18"/>
                <w:szCs w:val="18"/>
              </w:rPr>
            </w:pPr>
            <w:r>
              <w:rPr>
                <w:rFonts w:ascii="宋体" w:hAnsi="宋体" w:cs="宋体" w:eastAsia="宋体" w:hint="default"/>
                <w:sz w:val="18"/>
                <w:szCs w:val="18"/>
              </w:rPr>
              <w:t>长率</w:t>
            </w:r>
          </w:p>
        </w:tc>
        <w:tc>
          <w:tcPr>
            <w:tcW w:w="2012" w:type="dxa"/>
            <w:tcBorders>
              <w:top w:val="nil" w:sz="6" w:space="0" w:color="auto"/>
              <w:left w:val="single" w:sz="6" w:space="0" w:color="000000"/>
              <w:bottom w:val="single" w:sz="12" w:space="0" w:color="000000"/>
              <w:right w:val="nil" w:sz="6" w:space="0" w:color="auto"/>
            </w:tcBorders>
          </w:tcPr>
          <w:p>
            <w:pPr/>
          </w:p>
        </w:tc>
        <w:tc>
          <w:tcPr>
            <w:tcW w:w="864" w:type="dxa"/>
            <w:tcBorders>
              <w:top w:val="nil" w:sz="6" w:space="0" w:color="auto"/>
              <w:left w:val="nil" w:sz="6" w:space="0" w:color="auto"/>
              <w:bottom w:val="single" w:sz="12" w:space="0" w:color="000000"/>
              <w:right w:val="nil" w:sz="6" w:space="0" w:color="auto"/>
            </w:tcBorders>
          </w:tcPr>
          <w:p>
            <w:pPr/>
          </w:p>
        </w:tc>
      </w:tr>
      <w:tr>
        <w:trPr>
          <w:trHeight w:val="331" w:hRule="exact"/>
        </w:trPr>
        <w:tc>
          <w:tcPr>
            <w:tcW w:w="2268" w:type="dxa"/>
            <w:tcBorders>
              <w:top w:val="single" w:sz="12" w:space="0" w:color="000000"/>
              <w:left w:val="single" w:sz="6"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84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-2024</w:t>
            </w:r>
            <w:r>
              <w:rPr>
                <w:rFonts w:ascii="宋体" w:hAnsi="宋体" w:cs="宋体" w:eastAsia="宋体" w:hint="default"/>
                <w:spacing w:val="-3"/>
                <w:sz w:val="18"/>
                <w:szCs w:val="18"/>
              </w:rPr>
              <w:t>年（后续为</w:t>
            </w:r>
          </w:p>
        </w:tc>
        <w:tc>
          <w:tcPr>
            <w:tcW w:w="85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4"/>
              <w:ind w:right="2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841" w:type="dxa"/>
            <w:tcBorders>
              <w:top w:val="single" w:sz="12" w:space="0" w:color="000000"/>
              <w:left w:val="single" w:sz="6" w:space="0" w:color="000000"/>
              <w:bottom w:val="nil" w:sz="6" w:space="0" w:color="auto"/>
              <w:right w:val="single" w:sz="6" w:space="0" w:color="000000"/>
            </w:tcBorders>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2012" w:type="dxa"/>
            <w:tcBorders>
              <w:top w:val="single" w:sz="12" w:space="0" w:color="000000"/>
              <w:left w:val="single" w:sz="6" w:space="0" w:color="000000"/>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根据预测</w:t>
            </w:r>
            <w:r>
              <w:rPr>
                <w:rFonts w:ascii="宋体" w:hAnsi="宋体" w:cs="宋体" w:eastAsia="宋体" w:hint="default"/>
                <w:spacing w:val="1"/>
                <w:sz w:val="18"/>
                <w:szCs w:val="18"/>
              </w:rPr>
              <w:t>的</w:t>
            </w:r>
            <w:r>
              <w:rPr>
                <w:rFonts w:ascii="宋体" w:hAnsi="宋体" w:cs="宋体" w:eastAsia="宋体" w:hint="default"/>
                <w:sz w:val="18"/>
                <w:szCs w:val="18"/>
              </w:rPr>
              <w:t>收入</w:t>
            </w:r>
            <w:r>
              <w:rPr>
                <w:rFonts w:ascii="宋体" w:hAnsi="宋体" w:cs="宋体" w:eastAsia="宋体" w:hint="default"/>
                <w:spacing w:val="-76"/>
                <w:sz w:val="18"/>
                <w:szCs w:val="18"/>
              </w:rPr>
              <w:t>、</w:t>
            </w:r>
            <w:r>
              <w:rPr>
                <w:rFonts w:ascii="宋体" w:hAnsi="宋体" w:cs="宋体" w:eastAsia="宋体" w:hint="default"/>
                <w:sz w:val="18"/>
                <w:szCs w:val="18"/>
              </w:rPr>
              <w:t>成本、</w:t>
            </w:r>
          </w:p>
        </w:tc>
        <w:tc>
          <w:tcPr>
            <w:tcW w:w="864"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15.53%</w:t>
            </w:r>
          </w:p>
        </w:tc>
      </w:tr>
      <w:tr>
        <w:trPr>
          <w:trHeight w:val="330" w:hRule="exact"/>
        </w:trPr>
        <w:tc>
          <w:tcPr>
            <w:tcW w:w="2268" w:type="dxa"/>
            <w:tcBorders>
              <w:top w:val="nil" w:sz="6" w:space="0" w:color="auto"/>
              <w:left w:val="single" w:sz="6" w:space="0" w:color="000000"/>
              <w:bottom w:val="single" w:sz="12" w:space="0" w:color="000000"/>
              <w:right w:val="single" w:sz="6" w:space="0" w:color="000000"/>
            </w:tcBorders>
          </w:tcPr>
          <w:p>
            <w:pPr/>
          </w:p>
        </w:tc>
        <w:tc>
          <w:tcPr>
            <w:tcW w:w="1847" w:type="dxa"/>
            <w:tcBorders>
              <w:top w:val="nil" w:sz="6" w:space="0" w:color="auto"/>
              <w:left w:val="single" w:sz="6" w:space="0" w:color="000000"/>
              <w:bottom w:val="single" w:sz="12" w:space="0" w:color="000000"/>
              <w:right w:val="single" w:sz="6" w:space="0" w:color="000000"/>
            </w:tcBorders>
          </w:tcPr>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稳定期）</w:t>
            </w:r>
          </w:p>
        </w:tc>
        <w:tc>
          <w:tcPr>
            <w:tcW w:w="856" w:type="dxa"/>
            <w:tcBorders>
              <w:top w:val="nil" w:sz="6" w:space="0" w:color="auto"/>
              <w:left w:val="single" w:sz="6" w:space="0" w:color="000000"/>
              <w:bottom w:val="single" w:sz="12" w:space="0" w:color="000000"/>
              <w:right w:val="single" w:sz="6" w:space="0" w:color="000000"/>
            </w:tcBorders>
          </w:tcPr>
          <w:p>
            <w:pPr/>
          </w:p>
        </w:tc>
        <w:tc>
          <w:tcPr>
            <w:tcW w:w="841" w:type="dxa"/>
            <w:tcBorders>
              <w:top w:val="nil" w:sz="6" w:space="0" w:color="auto"/>
              <w:left w:val="single" w:sz="6" w:space="0" w:color="000000"/>
              <w:bottom w:val="single" w:sz="12" w:space="0" w:color="000000"/>
              <w:right w:val="single" w:sz="6" w:space="0" w:color="000000"/>
            </w:tcBorders>
          </w:tcPr>
          <w:p>
            <w:pPr/>
          </w:p>
        </w:tc>
        <w:tc>
          <w:tcPr>
            <w:tcW w:w="2012" w:type="dxa"/>
            <w:tcBorders>
              <w:top w:val="nil" w:sz="6" w:space="0" w:color="auto"/>
              <w:left w:val="single" w:sz="6" w:space="0" w:color="000000"/>
              <w:bottom w:val="single" w:sz="12" w:space="0" w:color="000000"/>
              <w:right w:val="nil" w:sz="6" w:space="0" w:color="auto"/>
            </w:tcBorders>
          </w:tcPr>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费用等计算</w:t>
            </w:r>
          </w:p>
        </w:tc>
        <w:tc>
          <w:tcPr>
            <w:tcW w:w="864" w:type="dxa"/>
            <w:tcBorders>
              <w:top w:val="nil" w:sz="6" w:space="0" w:color="auto"/>
              <w:left w:val="nil" w:sz="6" w:space="0" w:color="auto"/>
              <w:bottom w:val="single" w:sz="12" w:space="0" w:color="000000"/>
              <w:right w:val="nil" w:sz="6" w:space="0" w:color="auto"/>
            </w:tcBorders>
          </w:tcPr>
          <w:p>
            <w:pPr/>
          </w:p>
        </w:tc>
      </w:tr>
      <w:tr>
        <w:trPr>
          <w:trHeight w:val="330" w:hRule="exact"/>
        </w:trPr>
        <w:tc>
          <w:tcPr>
            <w:tcW w:w="2268" w:type="dxa"/>
            <w:tcBorders>
              <w:top w:val="single" w:sz="12" w:space="0" w:color="000000"/>
              <w:left w:val="single" w:sz="6"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84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-2024</w:t>
            </w:r>
            <w:r>
              <w:rPr>
                <w:rFonts w:ascii="宋体" w:hAnsi="宋体" w:cs="宋体" w:eastAsia="宋体" w:hint="default"/>
                <w:spacing w:val="-3"/>
                <w:sz w:val="18"/>
                <w:szCs w:val="18"/>
              </w:rPr>
              <w:t>年（后续为</w:t>
            </w:r>
          </w:p>
        </w:tc>
        <w:tc>
          <w:tcPr>
            <w:tcW w:w="85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w:t>
            </w:r>
          </w:p>
        </w:tc>
        <w:tc>
          <w:tcPr>
            <w:tcW w:w="841" w:type="dxa"/>
            <w:tcBorders>
              <w:top w:val="single" w:sz="12" w:space="0" w:color="000000"/>
              <w:left w:val="single" w:sz="6" w:space="0" w:color="000000"/>
              <w:bottom w:val="nil" w:sz="6" w:space="0" w:color="auto"/>
              <w:right w:val="single" w:sz="6" w:space="0" w:color="000000"/>
            </w:tcBorders>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2012" w:type="dxa"/>
            <w:tcBorders>
              <w:top w:val="single" w:sz="12" w:space="0" w:color="000000"/>
              <w:left w:val="single" w:sz="6" w:space="0" w:color="000000"/>
              <w:bottom w:val="nil" w:sz="6" w:space="0" w:color="auto"/>
              <w:right w:val="nil" w:sz="6" w:space="0" w:color="auto"/>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根据预测的收入</w:t>
            </w:r>
            <w:r>
              <w:rPr>
                <w:rFonts w:ascii="宋体" w:hAnsi="宋体" w:cs="宋体" w:eastAsia="宋体" w:hint="default"/>
                <w:spacing w:val="-76"/>
                <w:sz w:val="18"/>
                <w:szCs w:val="18"/>
              </w:rPr>
              <w:t>、</w:t>
            </w:r>
            <w:r>
              <w:rPr>
                <w:rFonts w:ascii="宋体" w:hAnsi="宋体" w:cs="宋体" w:eastAsia="宋体" w:hint="default"/>
                <w:sz w:val="18"/>
                <w:szCs w:val="18"/>
              </w:rPr>
              <w:t>成本、</w:t>
            </w:r>
          </w:p>
        </w:tc>
        <w:tc>
          <w:tcPr>
            <w:tcW w:w="864"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left="128" w:right="0"/>
              <w:jc w:val="left"/>
              <w:rPr>
                <w:rFonts w:ascii="Times New Roman" w:hAnsi="Times New Roman" w:cs="Times New Roman" w:eastAsia="Times New Roman" w:hint="default"/>
                <w:sz w:val="18"/>
                <w:szCs w:val="18"/>
              </w:rPr>
            </w:pPr>
            <w:r>
              <w:rPr>
                <w:rFonts w:ascii="Times New Roman"/>
                <w:sz w:val="18"/>
              </w:rPr>
              <w:t>7.63%</w:t>
            </w:r>
          </w:p>
        </w:tc>
      </w:tr>
      <w:tr>
        <w:trPr>
          <w:trHeight w:val="345" w:hRule="exact"/>
        </w:trPr>
        <w:tc>
          <w:tcPr>
            <w:tcW w:w="2268" w:type="dxa"/>
            <w:tcBorders>
              <w:top w:val="nil" w:sz="6" w:space="0" w:color="auto"/>
              <w:left w:val="single" w:sz="6" w:space="0" w:color="000000"/>
              <w:bottom w:val="single" w:sz="12" w:space="0" w:color="000000"/>
              <w:right w:val="single" w:sz="6" w:space="0" w:color="000000"/>
            </w:tcBorders>
          </w:tcPr>
          <w:p>
            <w:pPr/>
          </w:p>
        </w:tc>
        <w:tc>
          <w:tcPr>
            <w:tcW w:w="1847" w:type="dxa"/>
            <w:tcBorders>
              <w:top w:val="nil" w:sz="6" w:space="0" w:color="auto"/>
              <w:left w:val="single" w:sz="6" w:space="0" w:color="000000"/>
              <w:bottom w:val="single" w:sz="12"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hAnsi="宋体" w:cs="宋体" w:eastAsia="宋体" w:hint="default"/>
                <w:sz w:val="18"/>
                <w:szCs w:val="18"/>
              </w:rPr>
              <w:t>稳定期）</w:t>
            </w:r>
          </w:p>
        </w:tc>
        <w:tc>
          <w:tcPr>
            <w:tcW w:w="856" w:type="dxa"/>
            <w:tcBorders>
              <w:top w:val="nil" w:sz="6" w:space="0" w:color="auto"/>
              <w:left w:val="single" w:sz="6" w:space="0" w:color="000000"/>
              <w:bottom w:val="single" w:sz="12" w:space="0" w:color="000000"/>
              <w:right w:val="single" w:sz="6" w:space="0" w:color="000000"/>
            </w:tcBorders>
          </w:tcPr>
          <w:p>
            <w:pPr/>
          </w:p>
        </w:tc>
        <w:tc>
          <w:tcPr>
            <w:tcW w:w="841" w:type="dxa"/>
            <w:tcBorders>
              <w:top w:val="nil" w:sz="6" w:space="0" w:color="auto"/>
              <w:left w:val="single" w:sz="6" w:space="0" w:color="000000"/>
              <w:bottom w:val="single" w:sz="12" w:space="0" w:color="000000"/>
              <w:right w:val="single" w:sz="6" w:space="0" w:color="000000"/>
            </w:tcBorders>
          </w:tcPr>
          <w:p>
            <w:pPr/>
          </w:p>
        </w:tc>
        <w:tc>
          <w:tcPr>
            <w:tcW w:w="2012" w:type="dxa"/>
            <w:tcBorders>
              <w:top w:val="nil" w:sz="6" w:space="0" w:color="auto"/>
              <w:left w:val="single" w:sz="6" w:space="0" w:color="000000"/>
              <w:bottom w:val="single" w:sz="12" w:space="0" w:color="000000"/>
              <w:right w:val="nil" w:sz="6" w:space="0" w:color="auto"/>
            </w:tcBorders>
          </w:tcPr>
          <w:p>
            <w:pPr>
              <w:pStyle w:val="TableParagraph"/>
              <w:spacing w:line="235" w:lineRule="exact"/>
              <w:ind w:left="466" w:right="0"/>
              <w:jc w:val="left"/>
              <w:rPr>
                <w:rFonts w:ascii="宋体" w:hAnsi="宋体" w:cs="宋体" w:eastAsia="宋体" w:hint="default"/>
                <w:sz w:val="18"/>
                <w:szCs w:val="18"/>
              </w:rPr>
            </w:pPr>
            <w:r>
              <w:rPr>
                <w:rFonts w:ascii="宋体" w:hAnsi="宋体" w:cs="宋体" w:eastAsia="宋体" w:hint="default"/>
                <w:sz w:val="18"/>
                <w:szCs w:val="18"/>
              </w:rPr>
              <w:t>费用等计算</w:t>
            </w:r>
          </w:p>
        </w:tc>
        <w:tc>
          <w:tcPr>
            <w:tcW w:w="864" w:type="dxa"/>
            <w:tcBorders>
              <w:top w:val="nil" w:sz="6" w:space="0" w:color="auto"/>
              <w:left w:val="nil" w:sz="6" w:space="0" w:color="auto"/>
              <w:bottom w:val="single" w:sz="12" w:space="0" w:color="000000"/>
              <w:right w:val="nil" w:sz="6" w:space="0" w:color="auto"/>
            </w:tcBorders>
          </w:tcPr>
          <w:p>
            <w:pPr/>
          </w:p>
        </w:tc>
      </w:tr>
      <w:tr>
        <w:trPr>
          <w:trHeight w:val="661"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w:t>
            </w:r>
            <w:r>
              <w:rPr>
                <w:rFonts w:ascii="Times New Roman"/>
                <w:spacing w:val="-13"/>
                <w:sz w:val="18"/>
              </w:rPr>
              <w:t> </w:t>
            </w:r>
            <w:r>
              <w:rPr>
                <w:rFonts w:ascii="Times New Roman"/>
                <w:sz w:val="18"/>
              </w:rPr>
              <w:t>GROUP</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76" w:lineRule="auto" w:before="14"/>
              <w:ind w:left="540" w:right="14" w:hanging="5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-2024</w:t>
            </w:r>
            <w:r>
              <w:rPr>
                <w:rFonts w:ascii="宋体" w:hAnsi="宋体" w:cs="宋体" w:eastAsia="宋体" w:hint="default"/>
                <w:spacing w:val="-3"/>
                <w:sz w:val="18"/>
                <w:szCs w:val="18"/>
              </w:rPr>
              <w:t>年（后续为</w:t>
            </w:r>
            <w:r>
              <w:rPr>
                <w:rFonts w:ascii="宋体" w:hAnsi="宋体" w:cs="宋体" w:eastAsia="宋体" w:hint="default"/>
                <w:sz w:val="18"/>
                <w:szCs w:val="18"/>
              </w:rPr>
              <w:t> 稳定期）</w:t>
            </w:r>
          </w:p>
        </w:tc>
        <w:tc>
          <w:tcPr>
            <w:tcW w:w="8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3]</w:t>
            </w:r>
          </w:p>
        </w:tc>
        <w:tc>
          <w:tcPr>
            <w:tcW w:w="8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2012" w:type="dxa"/>
            <w:tcBorders>
              <w:top w:val="single" w:sz="12" w:space="0" w:color="000000"/>
              <w:left w:val="single" w:sz="6" w:space="0" w:color="000000"/>
              <w:bottom w:val="single" w:sz="12" w:space="0" w:color="000000"/>
              <w:right w:val="nil" w:sz="6" w:space="0" w:color="auto"/>
            </w:tcBorders>
          </w:tcPr>
          <w:p>
            <w:pPr>
              <w:pStyle w:val="TableParagraph"/>
              <w:spacing w:line="307" w:lineRule="auto"/>
              <w:ind w:left="466" w:right="82" w:hanging="452"/>
              <w:jc w:val="left"/>
              <w:rPr>
                <w:rFonts w:ascii="宋体" w:hAnsi="宋体" w:cs="宋体" w:eastAsia="宋体" w:hint="default"/>
                <w:sz w:val="18"/>
                <w:szCs w:val="18"/>
              </w:rPr>
            </w:pPr>
            <w:r>
              <w:rPr>
                <w:rFonts w:ascii="宋体" w:hAnsi="宋体" w:cs="宋体" w:eastAsia="宋体" w:hint="default"/>
                <w:spacing w:val="-7"/>
                <w:sz w:val="18"/>
                <w:szCs w:val="18"/>
              </w:rPr>
              <w:t>根据预测的收入、成本、</w:t>
            </w:r>
            <w:r>
              <w:rPr>
                <w:rFonts w:ascii="宋体" w:hAnsi="宋体" w:cs="宋体" w:eastAsia="宋体" w:hint="default"/>
                <w:sz w:val="18"/>
                <w:szCs w:val="18"/>
              </w:rPr>
              <w:t> 费用等计算</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7"/>
              <w:ind w:left="83" w:right="0"/>
              <w:jc w:val="left"/>
              <w:rPr>
                <w:rFonts w:ascii="Times New Roman" w:hAnsi="Times New Roman" w:cs="Times New Roman" w:eastAsia="Times New Roman" w:hint="default"/>
                <w:sz w:val="18"/>
                <w:szCs w:val="18"/>
              </w:rPr>
            </w:pPr>
            <w:r>
              <w:rPr>
                <w:rFonts w:ascii="Times New Roman"/>
                <w:sz w:val="18"/>
              </w:rPr>
              <w:t>13.85%</w:t>
            </w:r>
          </w:p>
        </w:tc>
      </w:tr>
    </w:tbl>
    <w:p>
      <w:pPr>
        <w:pStyle w:val="BodyText"/>
        <w:spacing w:line="240" w:lineRule="auto" w:before="0"/>
        <w:ind w:left="488" w:right="2417"/>
        <w:jc w:val="center"/>
      </w:pPr>
      <w:r>
        <w:rPr/>
        <w:pict>
          <v:group style="position:absolute;margin-left:169.729996pt;margin-top:-135.108276pt;width:322.150pt;height:133.25pt;mso-position-horizontal-relative:page;mso-position-vertical-relative:paragraph;z-index:-1110616" coordorigin="3395,-2702" coordsize="6443,2665">
            <v:group style="position:absolute;left:3410;top:-2687;width:1832;height:2" coordorigin="3410,-2687" coordsize="1832,2">
              <v:shape style="position:absolute;left:3410;top:-2687;width:1832;height:2" coordorigin="3410,-2687" coordsize="1832,0" path="m3410,-2687l5242,-2687e" filled="false" stroked="true" strokeweight="1.5pt" strokecolor="#000000">
                <v:path arrowok="t"/>
              </v:shape>
            </v:group>
            <v:group style="position:absolute;left:5242;top:-2687;width:30;height:2" coordorigin="5242,-2687" coordsize="30,2">
              <v:shape style="position:absolute;left:5242;top:-2687;width:30;height:2" coordorigin="5242,-2687" coordsize="30,0" path="m5242,-2687l5272,-2687e" filled="false" stroked="true" strokeweight="1.5pt" strokecolor="#000000">
                <v:path arrowok="t"/>
              </v:shape>
            </v:group>
            <v:group style="position:absolute;left:5272;top:-2687;width:826;height:2" coordorigin="5272,-2687" coordsize="826,2">
              <v:shape style="position:absolute;left:5272;top:-2687;width:826;height:2" coordorigin="5272,-2687" coordsize="826,0" path="m5272,-2687l6098,-2687e" filled="false" stroked="true" strokeweight="1.5pt" strokecolor="#000000">
                <v:path arrowok="t"/>
              </v:shape>
            </v:group>
            <v:group style="position:absolute;left:6098;top:-2687;width:30;height:2" coordorigin="6098,-2687" coordsize="30,2">
              <v:shape style="position:absolute;left:6098;top:-2687;width:30;height:2" coordorigin="6098,-2687" coordsize="30,0" path="m6098,-2687l6128,-2687e" filled="false" stroked="true" strokeweight="1.5pt" strokecolor="#000000">
                <v:path arrowok="t"/>
              </v:shape>
            </v:group>
            <v:group style="position:absolute;left:6128;top:-2687;width:811;height:2" coordorigin="6128,-2687" coordsize="811,2">
              <v:shape style="position:absolute;left:6128;top:-2687;width:811;height:2" coordorigin="6128,-2687" coordsize="811,0" path="m6128,-2687l6939,-2687e" filled="false" stroked="true" strokeweight="1.5pt" strokecolor="#000000">
                <v:path arrowok="t"/>
              </v:shape>
            </v:group>
            <v:group style="position:absolute;left:6939;top:-2687;width:30;height:2" coordorigin="6939,-2687" coordsize="30,2">
              <v:shape style="position:absolute;left:6939;top:-2687;width:30;height:2" coordorigin="6939,-2687" coordsize="30,0" path="m6939,-2687l6969,-2687e" filled="false" stroked="true" strokeweight="1.5pt" strokecolor="#000000">
                <v:path arrowok="t"/>
              </v:shape>
            </v:group>
            <v:group style="position:absolute;left:6969;top:-2687;width:1818;height:2" coordorigin="6969,-2687" coordsize="1818,2">
              <v:shape style="position:absolute;left:6969;top:-2687;width:1818;height:2" coordorigin="6969,-2687" coordsize="1818,0" path="m6969,-2687l8786,-2687e" filled="false" stroked="true" strokeweight="1.5pt" strokecolor="#000000">
                <v:path arrowok="t"/>
              </v:shape>
            </v:group>
            <v:group style="position:absolute;left:8786;top:-2687;width:30;height:2" coordorigin="8786,-2687" coordsize="30,2">
              <v:shape style="position:absolute;left:8786;top:-2687;width:30;height:2" coordorigin="8786,-2687" coordsize="30,0" path="m8786,-2687l8816,-2687e" filled="false" stroked="true" strokeweight="1.5pt" strokecolor="#000000">
                <v:path arrowok="t"/>
              </v:shape>
            </v:group>
            <v:group style="position:absolute;left:8816;top:-2687;width:1007;height:2" coordorigin="8816,-2687" coordsize="1007,2">
              <v:shape style="position:absolute;left:8816;top:-2687;width:1007;height:2" coordorigin="8816,-2687" coordsize="1007,0" path="m8816,-2687l9823,-2687e" filled="false" stroked="true" strokeweight="1.5pt" strokecolor="#000000">
                <v:path arrowok="t"/>
              </v:shape>
            </v:group>
            <v:group style="position:absolute;left:8794;top:-2672;width:2;height:631" coordorigin="8794,-2672" coordsize="2,631">
              <v:shape style="position:absolute;left:8794;top:-2672;width:2;height:631" coordorigin="8794,-2672" coordsize="0,631" path="m8794,-2672l8794,-2042e" filled="false" stroked="true" strokeweight=".75pt" strokecolor="#000000">
                <v:path arrowok="t"/>
              </v:shape>
            </v:group>
            <v:group style="position:absolute;left:8794;top:-2012;width:2;height:631" coordorigin="8794,-2012" coordsize="2,631">
              <v:shape style="position:absolute;left:8794;top:-2012;width:2;height:631" coordorigin="8794,-2012" coordsize="0,631" path="m8794,-2012l8794,-1381e" filled="false" stroked="true" strokeweight=".75pt" strokecolor="#000000">
                <v:path arrowok="t"/>
              </v:shape>
            </v:group>
            <v:group style="position:absolute;left:8794;top:-1351;width:2;height:646" coordorigin="8794,-1351" coordsize="2,646">
              <v:shape style="position:absolute;left:8794;top:-1351;width:2;height:646" coordorigin="8794,-1351" coordsize="0,646" path="m8794,-1351l8794,-706e" filled="false" stroked="true" strokeweight=".75pt" strokecolor="#000000">
                <v:path arrowok="t"/>
              </v:shape>
            </v:group>
            <v:group style="position:absolute;left:8794;top:-676;width:2;height:631" coordorigin="8794,-676" coordsize="2,631">
              <v:shape style="position:absolute;left:8794;top:-676;width:2;height:631" coordorigin="8794,-676" coordsize="0,631" path="m8794,-676l8794,-45e" filled="false" stroked="true" strokeweight=".75pt" strokecolor="#000000">
                <v:path arrowok="t"/>
              </v:shape>
            </v:group>
            <w10:wrap type="none"/>
          </v:group>
        </w:pict>
      </w:r>
      <w:r>
        <w:rPr/>
        <w:t>注：（</w:t>
      </w:r>
      <w:r>
        <w:rPr>
          <w:rFonts w:ascii="Times New Roman" w:hAnsi="Times New Roman" w:cs="Times New Roman" w:eastAsia="Times New Roman" w:hint="default"/>
        </w:rPr>
        <w:t>1</w:t>
      </w:r>
      <w:r>
        <w:rPr/>
        <w:t>）真趣网络</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年预计的销售收入增长率为</w:t>
      </w:r>
      <w:r>
        <w:rPr>
          <w:rFonts w:ascii="Times New Roman" w:hAnsi="Times New Roman" w:cs="Times New Roman" w:eastAsia="Times New Roman" w:hint="default"/>
        </w:rPr>
        <w:t>16.74%</w:t>
      </w:r>
      <w:r>
        <w:rPr/>
        <w:t>、</w:t>
      </w:r>
      <w:r>
        <w:rPr>
          <w:rFonts w:ascii="Times New Roman" w:hAnsi="Times New Roman" w:cs="Times New Roman" w:eastAsia="Times New Roman" w:hint="default"/>
        </w:rPr>
        <w:t>7.02%</w:t>
      </w:r>
      <w:r>
        <w:rPr/>
        <w:t>、</w:t>
      </w:r>
      <w:r>
        <w:rPr>
          <w:rFonts w:ascii="Times New Roman" w:hAnsi="Times New Roman" w:cs="Times New Roman" w:eastAsia="Times New Roman" w:hint="default"/>
        </w:rPr>
        <w:t>8.57%</w:t>
      </w:r>
      <w:r>
        <w:rPr/>
        <w:t>、</w:t>
      </w:r>
      <w:r>
        <w:rPr>
          <w:rFonts w:ascii="Times New Roman" w:hAnsi="Times New Roman" w:cs="Times New Roman" w:eastAsia="Times New Roman" w:hint="default"/>
        </w:rPr>
        <w:t>7.81%</w:t>
      </w:r>
      <w:r>
        <w:rPr/>
        <w:t>、</w:t>
      </w:r>
      <w:r>
        <w:rPr>
          <w:rFonts w:ascii="Times New Roman" w:hAnsi="Times New Roman" w:cs="Times New Roman" w:eastAsia="Times New Roman" w:hint="default"/>
        </w:rPr>
        <w:t>7.77%</w:t>
      </w:r>
      <w:r>
        <w:rPr/>
        <w:t>；</w:t>
      </w:r>
    </w:p>
    <w:p>
      <w:pPr>
        <w:pStyle w:val="BodyText"/>
        <w:spacing w:line="240" w:lineRule="auto" w:before="66"/>
        <w:ind w:left="862" w:right="0"/>
        <w:jc w:val="left"/>
      </w:pPr>
      <w:r>
        <w:rPr/>
        <w:t>（</w:t>
      </w:r>
      <w:r>
        <w:rPr>
          <w:rFonts w:ascii="Times New Roman" w:hAnsi="Times New Roman" w:cs="Times New Roman" w:eastAsia="Times New Roman" w:hint="default"/>
        </w:rPr>
        <w:t>2</w:t>
      </w:r>
      <w:r>
        <w:rPr/>
        <w:t>）荷兰公司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年预计的销售收入增长率为</w:t>
      </w:r>
      <w:r>
        <w:rPr>
          <w:rFonts w:ascii="Times New Roman" w:hAnsi="Times New Roman" w:cs="Times New Roman" w:eastAsia="Times New Roman" w:hint="default"/>
        </w:rPr>
        <w:t>-22.31%</w:t>
      </w:r>
      <w:r>
        <w:rPr/>
        <w:t>、</w:t>
      </w:r>
      <w:r>
        <w:rPr>
          <w:rFonts w:ascii="Times New Roman" w:hAnsi="Times New Roman" w:cs="Times New Roman" w:eastAsia="Times New Roman" w:hint="default"/>
        </w:rPr>
        <w:t>22.00%</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w:t>
      </w:r>
    </w:p>
    <w:p>
      <w:pPr>
        <w:pStyle w:val="BodyText"/>
        <w:spacing w:line="240" w:lineRule="auto" w:before="51"/>
        <w:ind w:left="86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NEW </w:t>
      </w:r>
      <w:r>
        <w:rPr>
          <w:rFonts w:ascii="Times New Roman" w:hAnsi="Times New Roman" w:cs="Times New Roman" w:eastAsia="Times New Roman" w:hint="default"/>
          <w:spacing w:val="3"/>
        </w:rPr>
        <w:t>TIME </w:t>
      </w:r>
      <w:r>
        <w:rPr>
          <w:rFonts w:ascii="Times New Roman" w:hAnsi="Times New Roman" w:cs="Times New Roman" w:eastAsia="Times New Roman" w:hint="default"/>
        </w:rPr>
        <w:t>GROUP</w:t>
      </w:r>
      <w:r>
        <w:rPr>
          <w:rFonts w:ascii="Times New Roman" w:hAnsi="Times New Roman" w:cs="Times New Roman" w:eastAsia="Times New Roman" w:hint="default"/>
          <w:spacing w:val="-7"/>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-2024</w:t>
      </w:r>
      <w:r>
        <w:rPr/>
        <w:t>年预计的销售收入增长率为</w:t>
      </w:r>
      <w:r>
        <w:rPr>
          <w:rFonts w:ascii="Times New Roman" w:hAnsi="Times New Roman" w:cs="Times New Roman" w:eastAsia="Times New Roman" w:hint="default"/>
        </w:rPr>
        <w:t>-20.25.%</w:t>
      </w:r>
      <w:r>
        <w:rPr/>
        <w:t>、</w:t>
      </w:r>
      <w:r>
        <w:rPr>
          <w:rFonts w:ascii="Times New Roman" w:hAnsi="Times New Roman" w:cs="Times New Roman" w:eastAsia="Times New Roman" w:hint="default"/>
        </w:rPr>
        <w:t>17.56%</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0"/>
        <w:ind w:right="0"/>
        <w:jc w:val="left"/>
      </w:pPr>
      <w:r>
        <w:rPr/>
        <w:t>商誉减值测试的影响</w:t>
      </w:r>
    </w:p>
    <w:p>
      <w:pPr>
        <w:pStyle w:val="Heading5"/>
        <w:spacing w:line="261" w:lineRule="auto" w:before="89"/>
        <w:ind w:right="1099" w:firstLine="420"/>
        <w:jc w:val="both"/>
      </w:pPr>
      <w:r>
        <w:rPr>
          <w:spacing w:val="-1"/>
        </w:rPr>
        <w:t>真趣网络公司</w:t>
      </w:r>
      <w:r>
        <w:rPr>
          <w:rFonts w:ascii="Times New Roman" w:hAnsi="Times New Roman" w:cs="Times New Roman" w:eastAsia="Times New Roman" w:hint="default"/>
          <w:spacing w:val="-1"/>
        </w:rPr>
        <w:t>2019</w:t>
      </w:r>
      <w:r>
        <w:rPr>
          <w:spacing w:val="-1"/>
        </w:rPr>
        <w:t>年度经审计的扣除非经常性损益（依法取得的财政补贴除外）后归属于母公司股东</w:t>
      </w:r>
      <w:r>
        <w:rPr/>
        <w:t> 的净利润</w:t>
      </w:r>
      <w:r>
        <w:rPr>
          <w:rFonts w:ascii="Times New Roman" w:hAnsi="Times New Roman" w:cs="Times New Roman" w:eastAsia="Times New Roman" w:hint="default"/>
        </w:rPr>
        <w:t>9,546.84</w:t>
      </w:r>
      <w:r>
        <w:rPr/>
        <w:t>万元，承诺金额为</w:t>
      </w:r>
      <w:r>
        <w:rPr>
          <w:rFonts w:ascii="Times New Roman" w:hAnsi="Times New Roman" w:cs="Times New Roman" w:eastAsia="Times New Roman" w:hint="default"/>
        </w:rPr>
        <w:t>13,700.00</w:t>
      </w:r>
      <w:r>
        <w:rPr/>
        <w:t>万元，未完成本年度业绩承诺。真趣网络公司未完成本年度</w:t>
      </w:r>
      <w:r>
        <w:rPr>
          <w:spacing w:val="-34"/>
        </w:rPr>
        <w:t> </w:t>
      </w:r>
      <w:r>
        <w:rPr>
          <w:spacing w:val="-34"/>
        </w:rPr>
      </w:r>
      <w:r>
        <w:rPr/>
        <w:t>业绩承诺的原因系收入增长未达预期，对本期商誉减值测试公司更为谨慎地预计了真趣网络公司未来五年</w:t>
      </w:r>
      <w:r>
        <w:rPr/>
        <w:t> 的盈利能力。</w:t>
      </w:r>
    </w:p>
    <w:p>
      <w:pPr>
        <w:pStyle w:val="Heading5"/>
        <w:spacing w:line="240" w:lineRule="auto" w:before="21"/>
        <w:ind w:left="0" w:right="1095"/>
        <w:jc w:val="right"/>
        <w:rPr>
          <w:rFonts w:ascii="Times New Roman" w:hAnsi="Times New Roman" w:cs="Times New Roman" w:eastAsia="Times New Roman" w:hint="default"/>
        </w:rPr>
      </w:pPr>
      <w:r>
        <w:rPr>
          <w:rFonts w:ascii="Times New Roman" w:hAnsi="Times New Roman" w:cs="Times New Roman" w:eastAsia="Times New Roman" w:hint="default"/>
          <w:spacing w:val="-4"/>
        </w:rPr>
        <w:t>NEW </w:t>
      </w:r>
      <w:r>
        <w:rPr>
          <w:rFonts w:ascii="Times New Roman" w:hAnsi="Times New Roman" w:cs="Times New Roman" w:eastAsia="Times New Roman" w:hint="default"/>
        </w:rPr>
        <w:t>TIME </w:t>
      </w:r>
      <w:r>
        <w:rPr>
          <w:rFonts w:ascii="Times New Roman" w:hAnsi="Times New Roman" w:cs="Times New Roman" w:eastAsia="Times New Roman" w:hint="default"/>
          <w:spacing w:val="-3"/>
        </w:rPr>
        <w:t>GROUP </w:t>
      </w:r>
      <w:r>
        <w:rPr>
          <w:rFonts w:ascii="Times New Roman" w:hAnsi="Times New Roman" w:cs="Times New Roman" w:eastAsia="Times New Roman" w:hint="default"/>
          <w:spacing w:val="1"/>
        </w:rPr>
        <w:t> </w:t>
      </w:r>
      <w:r>
        <w:rPr>
          <w:rFonts w:ascii="Times New Roman" w:hAnsi="Times New Roman" w:cs="Times New Roman" w:eastAsia="Times New Roman" w:hint="default"/>
        </w:rPr>
        <w:t>2019</w:t>
      </w:r>
      <w:r>
        <w:rPr/>
        <w:t>年度经审计后归属于母公司股东的净利润</w:t>
      </w:r>
      <w:r>
        <w:rPr>
          <w:rFonts w:ascii="Times New Roman" w:hAnsi="Times New Roman" w:cs="Times New Roman" w:eastAsia="Times New Roman" w:hint="default"/>
        </w:rPr>
        <w:t>7,103.66</w:t>
      </w:r>
      <w:r>
        <w:rPr/>
        <w:t>万元，承诺金额为</w:t>
      </w:r>
      <w:r>
        <w:rPr>
          <w:rFonts w:ascii="Times New Roman" w:hAnsi="Times New Roman" w:cs="Times New Roman" w:eastAsia="Times New Roman" w:hint="default"/>
        </w:rPr>
        <w:t>5,500.00</w:t>
      </w:r>
    </w:p>
    <w:p>
      <w:pPr>
        <w:pStyle w:val="Heading5"/>
        <w:spacing w:line="240" w:lineRule="auto" w:before="24"/>
        <w:ind w:right="0"/>
        <w:jc w:val="left"/>
      </w:pPr>
      <w:r>
        <w:rPr/>
        <w:t>万元，完成本年度业绩承诺。</w:t>
      </w:r>
    </w:p>
    <w:p>
      <w:pPr>
        <w:pStyle w:val="BodyText"/>
        <w:spacing w:line="240" w:lineRule="auto" w:before="106"/>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9、长期待摊费用" w:id="336"/>
      <w:bookmarkEnd w:id="33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4,393,908.93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5,228,207.18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2,881,252.32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591,588.92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6,149,274.87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版权费用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313,311.18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94,339.62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188,730.02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218,920.78</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4,707,220.11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5,322,546.80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3,069,982.34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591,588.92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6,368,195.65</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30、递延所得税资产/递延所得税负债" w:id="337"/>
      <w:bookmarkEnd w:id="33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未经抵销的递延所得税资产" w:id="338"/>
      <w:bookmarkEnd w:id="33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02"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28,961,301.92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4,512,985.78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3,202,511.70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609,235.29</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20,968,298.69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3,145,244.80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49,929,600.61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7,658,230.58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3,202,511.70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609,235.29</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39"/>
      <w:bookmarkEnd w:id="33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业绩承诺补偿</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4,894,382.56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1,223,595.64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17,254,079.63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4,313,519.91</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3,000,000.00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12,000,000.00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16,894,382.56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4,223,595.64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29,254,079.63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7,313,519.91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3）以抵销后净额列示的递延所得税资产或负债" w:id="340"/>
      <w:bookmarkEnd w:id="34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5"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7,658,230.58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4,223,595.64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41"/>
      <w:bookmarkEnd w:id="34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149,144,432.44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123,687,232.64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112,959,514.77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30,980,531.56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28,477,264.01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31,022,555.92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2,475,317.84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60,095.90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60,095.90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12,279,722.94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12,279,722.94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其他减值准备</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6,506,052.17</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302,921,030.06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207,011,508.97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42"/>
      <w:bookmarkEnd w:id="34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1,370,083.15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4,865,062.68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4,865,062.68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12,438,464.26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12,438,464.26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6,605,077.78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6,605,077.78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98,408,544.77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98,408,544.77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31,521,268.65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153,838,418.14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123,687,232.64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1、其他非流动资产" w:id="343"/>
      <w:bookmarkEnd w:id="34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23,500,000.00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2、短期借款" w:id="344"/>
      <w:bookmarkEnd w:id="34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短期借款分类" w:id="345"/>
      <w:bookmarkEnd w:id="34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255,425,333.33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399,317,125.56</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49,798,774.42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90,130,500.00</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抵押及保证借款</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7,510,467.19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312,734,574.94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489,447,625.56</w:t>
            </w:r>
          </w:p>
        </w:tc>
      </w:tr>
    </w:tbl>
    <w:p>
      <w:pPr>
        <w:pStyle w:val="BodyText"/>
        <w:spacing w:line="240" w:lineRule="auto"/>
        <w:ind w:right="0"/>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已逾期未偿还的短期借款情况" w:id="346"/>
      <w:bookmarkEnd w:id="34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本期末已逾期未偿还的短期借款总额为元，其中重要的已逾期未偿还的短期借款情况如下：</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33、交易性金融负债" w:id="347"/>
      <w:bookmarkEnd w:id="347"/>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34、衍生金融负债" w:id="348"/>
      <w:bookmarkEnd w:id="348"/>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35、应付票据" w:id="349"/>
      <w:bookmarkEnd w:id="349"/>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36、应付账款" w:id="350"/>
      <w:bookmarkEnd w:id="350"/>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应付账款列示" w:id="351"/>
      <w:bookmarkEnd w:id="35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119,303,275.51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127,564,208.78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15,656,131.40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17,669,489.20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134,959,406.91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145,233,697.98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352"/>
      <w:bookmarkEnd w:id="352"/>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7、预收款项" w:id="353"/>
      <w:bookmarkEnd w:id="353"/>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预收款项列示" w:id="354"/>
      <w:bookmarkEnd w:id="35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8,661,766.03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8,641,557.02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6,978,161.15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2,185,282.00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15,639,927.18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10,826,839.02</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55"/>
      <w:bookmarkEnd w:id="355"/>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3）期末建造合同形成的已结算未完工项目情况" w:id="356"/>
      <w:bookmarkEnd w:id="35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38、合同负债" w:id="357"/>
      <w:bookmarkEnd w:id="357"/>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1"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9、应付职工薪酬" w:id="358"/>
      <w:bookmarkEnd w:id="358"/>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59"/>
      <w:bookmarkEnd w:id="35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14,393,139.00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248,971,015.35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229,282,690.20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34,081,464.15</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253,561.22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8,096,910.95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8,107,996.86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242,475.31</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751,200.00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751,200.00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14,646,700.22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257,819,126.30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238,141,887.06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34,323,939.46</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60"/>
      <w:bookmarkEnd w:id="36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14,206,305.29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229,790,197.02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210,763,842.73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33,232,659.58</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9,177,339.89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8,879,799.89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297,540.00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166,869.43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5,406,433.77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5,049,541.16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523,762.04</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8"/>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146,601.75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4,825,028.07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4,499,124.11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472,505.71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4,827.99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138,746.94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129,163.16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14,411.77</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15,439.69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442,658.76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421,253.89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36,844.56</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17,618.40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4,266,652.60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4,283,440.00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831.00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2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2,345.88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330,392.07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306,066.42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26,671.53</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14,393,139.00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248,971,015.35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229,282,690.20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34,081,464.15</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61"/>
      <w:bookmarkEnd w:id="36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244,853.15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7,834,808.74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7,846,656.59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233,005.30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8,708.07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262,102.21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261,340.27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9,470.01</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253,561.22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8,096,910.95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8,107,996.86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242,475.31</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0、应交税费" w:id="362"/>
      <w:bookmarkEnd w:id="362"/>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7,370,001.13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4,845,822.30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18,531,708.32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15,365,610.25</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475,845.82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243,105.85</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636,328.76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486,924.63</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30,926.97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480,489.56</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154,442.40</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326,610.73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244,787.93</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216,239.38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163,182.99</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55,137.81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41,143.93</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27,642,798.92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22,025,509.84</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1、其他应付款" w:id="363"/>
      <w:bookmarkEnd w:id="36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11,238,940.24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31,652,823.36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11,238,940.24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31,652,823.36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1）应付利息" w:id="364"/>
      <w:bookmarkEnd w:id="36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110,833.33</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435,800.52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542,025.56</w:t>
            </w:r>
          </w:p>
        </w:tc>
      </w:tr>
    </w:tbl>
    <w:p>
      <w:pPr>
        <w:pStyle w:val="BodyText"/>
        <w:spacing w:line="240" w:lineRule="auto" w:before="45"/>
        <w:ind w:right="0"/>
        <w:jc w:val="left"/>
      </w:pPr>
      <w:r>
        <w:rPr/>
        <w:t>重要的已逾期未支付的利息情况：</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2）应付股利" w:id="365"/>
      <w:bookmarkEnd w:id="36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7"/>
        <w:rPr>
          <w:rFonts w:ascii="宋体" w:hAnsi="宋体" w:cs="宋体" w:eastAsia="宋体" w:hint="default"/>
          <w:sz w:val="26"/>
          <w:szCs w:val="26"/>
        </w:rPr>
      </w:pPr>
    </w:p>
    <w:p>
      <w:pPr>
        <w:pStyle w:val="Heading4"/>
        <w:spacing w:line="496" w:lineRule="auto"/>
        <w:ind w:right="7903"/>
        <w:jc w:val="left"/>
        <w:rPr>
          <w:b w:val="0"/>
          <w:bCs w:val="0"/>
        </w:rPr>
      </w:pPr>
      <w:bookmarkStart w:name="（3）其他应付款" w:id="366"/>
      <w:bookmarkEnd w:id="366"/>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67"/>
      <w:bookmarkEnd w:id="367"/>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17,500,000.00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6,818,366.52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9,169,163.10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1,431,567.91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629,872.96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288,266.61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254,019.04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2,131,907.01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3,152,655.16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568,832.19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947,113.10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11,238,940.24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31,652,823.36</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368"/>
      <w:bookmarkEnd w:id="368"/>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42、持有待售负债" w:id="369"/>
      <w:bookmarkEnd w:id="369"/>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3、一年内到期的非流动负债" w:id="370"/>
      <w:bookmarkEnd w:id="37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4、其他流动负债" w:id="371"/>
      <w:bookmarkEnd w:id="37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短期应付债券的增减变动：</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5、长期借款" w:id="372"/>
      <w:bookmarkEnd w:id="37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73"/>
      <w:bookmarkEnd w:id="37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70,110,833.33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70,110,833.33</w:t>
            </w:r>
          </w:p>
        </w:tc>
      </w:tr>
    </w:tbl>
    <w:p>
      <w:pPr>
        <w:pStyle w:val="BodyText"/>
        <w:spacing w:line="352" w:lineRule="auto"/>
        <w:ind w:right="8589"/>
        <w:jc w:val="left"/>
      </w:pPr>
      <w:r>
        <w:rPr/>
        <w:t>长期借款分类的说明： 其他说明，包括利率区间：</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46、应付债券" w:id="374"/>
      <w:bookmarkEnd w:id="37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应付债券" w:id="375"/>
      <w:bookmarkEnd w:id="37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76"/>
      <w:bookmarkEnd w:id="37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89"/>
        <w:gridCol w:w="804"/>
        <w:gridCol w:w="811"/>
        <w:gridCol w:w="796"/>
        <w:gridCol w:w="796"/>
        <w:gridCol w:w="796"/>
        <w:gridCol w:w="796"/>
        <w:gridCol w:w="811"/>
        <w:gridCol w:w="796"/>
        <w:gridCol w:w="796"/>
        <w:gridCol w:w="796"/>
        <w:gridCol w:w="796"/>
      </w:tblGrid>
      <w:tr>
        <w:trPr>
          <w:trHeight w:val="158" w:hRule="exact"/>
        </w:trPr>
        <w:tc>
          <w:tcPr>
            <w:tcW w:w="789" w:type="dxa"/>
            <w:tcBorders>
              <w:top w:val="single" w:sz="6" w:space="0" w:color="000000"/>
              <w:left w:val="single" w:sz="6" w:space="0" w:color="000000"/>
              <w:bottom w:val="nil" w:sz="6" w:space="0" w:color="auto"/>
              <w:right w:val="single" w:sz="6" w:space="0" w:color="000000"/>
            </w:tcBorders>
            <w:shd w:val="clear" w:color="auto" w:fill="D2D2D2"/>
          </w:tcPr>
          <w:p>
            <w:pPr/>
          </w:p>
        </w:tc>
        <w:tc>
          <w:tcPr>
            <w:tcW w:w="804"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789" w:type="dxa"/>
            <w:vMerge/>
            <w:tcBorders>
              <w:left w:val="single" w:sz="6" w:space="0" w:color="000000"/>
              <w:bottom w:val="single" w:sz="6" w:space="0" w:color="000000"/>
              <w:right w:val="single" w:sz="6" w:space="0" w:color="000000"/>
            </w:tcBorders>
            <w:shd w:val="clear" w:color="auto" w:fill="D2D2D2"/>
          </w:tcPr>
          <w:p>
            <w:pPr/>
          </w:p>
        </w:tc>
        <w:tc>
          <w:tcPr>
            <w:tcW w:w="804"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04"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可转换公司债券的转股条件、转股时间说明" w:id="377"/>
      <w:bookmarkEnd w:id="37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78"/>
      <w:bookmarkEnd w:id="37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期末发行在外的优先股、永续债等其他金融工具基本情况</w:t>
      </w:r>
    </w:p>
    <w:p>
      <w:pPr>
        <w:pStyle w:val="BodyText"/>
        <w:spacing w:line="240" w:lineRule="auto" w:before="125"/>
        <w:ind w:right="0"/>
        <w:jc w:val="left"/>
      </w:pPr>
      <w:r>
        <w:rPr/>
        <w:t>期末发行在外的优先股、永续债等金融工具变动情况表</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7509"/>
        <w:jc w:val="left"/>
      </w:pPr>
      <w:r>
        <w:rPr/>
        <w:t>其他金融工具划分为金融负债的依据说明 其他说明</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47、租赁负债" w:id="379"/>
      <w:bookmarkEnd w:id="379"/>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1"/>
        <w:jc w:val="right"/>
      </w:pPr>
      <w:r>
        <w:rPr/>
        <w:t>单位：</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8、长期应付款" w:id="380"/>
      <w:bookmarkEnd w:id="380"/>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81"/>
      <w:bookmarkEnd w:id="38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2）专项应付款" w:id="382"/>
      <w:bookmarkEnd w:id="38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9、长期应付职工薪酬" w:id="383"/>
      <w:bookmarkEnd w:id="383"/>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长期应付职工薪酬表" w:id="384"/>
      <w:bookmarkEnd w:id="38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85"/>
      <w:bookmarkEnd w:id="38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设定受益计划义务现值：</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计划资产：</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设定受益计划净负债（净资产）</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7" w:lineRule="auto" w:before="45"/>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14"/>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0、预计负债" w:id="386"/>
      <w:bookmarkEnd w:id="38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5"/>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1、递延收益" w:id="387"/>
      <w:bookmarkEnd w:id="38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22,334,273.92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1,063,517.08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21,270,756.84</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22,334,273.92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1,063,517.08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21,270,756.84</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涉及政府补助的项目：</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6"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动漫文化创 意服务平台 建设项目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2,472,140.95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105,571.80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2,366,569.15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动漫文化创 意基地（一 期）</w:t>
            </w:r>
            <w:r>
              <w:rPr>
                <w:rFonts w:ascii="宋体" w:hAnsi="宋体" w:cs="宋体" w:eastAsia="宋体" w:hint="default"/>
                <w:spacing w:val="-30"/>
                <w:sz w:val="18"/>
                <w:szCs w:val="18"/>
              </w:rPr>
              <w:t> </w:t>
            </w:r>
            <w:r>
              <w:rPr>
                <w:rFonts w:ascii="宋体" w:hAnsi="宋体" w:cs="宋体" w:eastAsia="宋体" w:hint="default"/>
                <w:sz w:val="18"/>
                <w:szCs w:val="18"/>
              </w:rPr>
              <w:t>建设项</w:t>
            </w:r>
            <w:r>
              <w:rPr>
                <w:rFonts w:ascii="宋体" w:hAnsi="宋体" w:cs="宋体" w:eastAsia="宋体" w:hint="default"/>
                <w:sz w:val="18"/>
                <w:szCs w:val="18"/>
              </w:rPr>
              <w:t> 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1,583,333.03</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66,666.72</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1,516,666.31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3"/>
              <w:jc w:val="both"/>
              <w:rPr>
                <w:rFonts w:ascii="宋体" w:hAnsi="宋体" w:cs="宋体" w:eastAsia="宋体" w:hint="default"/>
                <w:sz w:val="18"/>
                <w:szCs w:val="18"/>
              </w:rPr>
            </w:pPr>
            <w:r>
              <w:rPr>
                <w:rFonts w:ascii="宋体" w:hAnsi="宋体" w:cs="宋体" w:eastAsia="宋体" w:hint="default"/>
                <w:sz w:val="18"/>
                <w:szCs w:val="18"/>
              </w:rPr>
              <w:t>动漫文化创 意服务平台 建 设项目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1,648,093.97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70,381.20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1,577,712.77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动漫产业生 产出口基地 及 走出去 项目建设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4,919,434.97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205,821.24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4,713,613.73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动漫服饰扩 产项目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550,153.67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23,083.56</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527,070.11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动漫文化产 品创意设计 中 心建设 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9,666,666.67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333,333.36</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9,333,333.31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文化专项补 助</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966,666.67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33,333.36</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933,333.31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2"/>
              <w:jc w:val="left"/>
              <w:rPr>
                <w:rFonts w:ascii="宋体" w:hAnsi="宋体" w:cs="宋体" w:eastAsia="宋体" w:hint="default"/>
                <w:sz w:val="18"/>
                <w:szCs w:val="18"/>
              </w:rPr>
            </w:pPr>
            <w:r>
              <w:rPr>
                <w:rFonts w:ascii="宋体" w:hAnsi="宋体" w:cs="宋体" w:eastAsia="宋体" w:hint="default"/>
                <w:sz w:val="18"/>
                <w:szCs w:val="18"/>
              </w:rPr>
              <w:t>《星学院Ⅱ 之月灵手 环》</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《美盛星学 院魔法礼 服》</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80,450.53</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53,633.64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26,816.89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53"/>
              <w:jc w:val="left"/>
              <w:rPr>
                <w:rFonts w:ascii="宋体" w:hAnsi="宋体" w:cs="宋体" w:eastAsia="宋体" w:hint="default"/>
                <w:sz w:val="18"/>
                <w:szCs w:val="18"/>
              </w:rPr>
            </w:pPr>
            <w:r>
              <w:rPr>
                <w:rFonts w:ascii="宋体" w:hAnsi="宋体" w:cs="宋体" w:eastAsia="宋体" w:hint="default"/>
                <w:sz w:val="18"/>
                <w:szCs w:val="18"/>
              </w:rPr>
              <w:t>《光之契 约》</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187,500.13</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57,692.16</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129,807.97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53"/>
              <w:jc w:val="left"/>
              <w:rPr>
                <w:rFonts w:ascii="宋体" w:hAnsi="宋体" w:cs="宋体" w:eastAsia="宋体" w:hint="default"/>
                <w:sz w:val="18"/>
                <w:szCs w:val="18"/>
              </w:rPr>
            </w:pPr>
            <w:r>
              <w:rPr>
                <w:rFonts w:ascii="宋体" w:hAnsi="宋体" w:cs="宋体" w:eastAsia="宋体" w:hint="default"/>
                <w:sz w:val="18"/>
                <w:szCs w:val="18"/>
              </w:rPr>
              <w:t>《魔幻壁 球》</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195,833.33</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145,833.29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52、其他非流动负债" w:id="388"/>
      <w:bookmarkEnd w:id="38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1" w:top="104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3、股本" w:id="389"/>
      <w:bookmarkEnd w:id="389"/>
      <w:r>
        <w:rPr>
          <w:b w:val="0"/>
          <w:bCs w:val="0"/>
        </w:rPr>
      </w:r>
      <w:r>
        <w:rPr>
          <w:rFonts w:ascii="Times New Roman" w:hAnsi="Times New Roman" w:cs="Times New Roman" w:eastAsia="Times New Roman" w:hint="default"/>
        </w:rPr>
        <w:t>53</w:t>
      </w:r>
      <w:r>
        <w:rPr/>
        <w:t>、股本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194"/>
        <w:gridCol w:w="1194"/>
        <w:gridCol w:w="1202"/>
        <w:gridCol w:w="1201"/>
        <w:gridCol w:w="1186"/>
        <w:gridCol w:w="1194"/>
        <w:gridCol w:w="1209"/>
      </w:tblGrid>
      <w:tr>
        <w:trPr>
          <w:trHeight w:val="203" w:hRule="exact"/>
        </w:trPr>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202"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909,572,725.00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909,572,725.00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4、其他权益工具" w:id="390"/>
      <w:bookmarkEnd w:id="39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期末发行在外的优先股、永续债等其他金融工具基本情况" w:id="391"/>
      <w:bookmarkEnd w:id="39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92"/>
      <w:bookmarkEnd w:id="39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7" w:lineRule="auto"/>
        <w:ind w:right="4629"/>
        <w:jc w:val="left"/>
      </w:pPr>
      <w:r>
        <w:rPr/>
        <w:t>其他权益工具本期增减变动情况、变动原因说明，以及相关会计处理的依据：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55、资本公积" w:id="393"/>
      <w:bookmarkEnd w:id="39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1,752,141,466.93</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1,752,141,466.93</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37,718,920.71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53,573,703.38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91,292,624.09</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1,789,860,387.64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53,573,703.38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1,843,434,091.02</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56、库存股" w:id="394"/>
      <w:bookmarkEnd w:id="39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57、其他综合收益" w:id="395"/>
      <w:bookmarkEnd w:id="39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46"/>
        <w:gridCol w:w="976"/>
        <w:gridCol w:w="856"/>
        <w:gridCol w:w="1051"/>
        <w:gridCol w:w="857"/>
        <w:gridCol w:w="856"/>
        <w:gridCol w:w="856"/>
        <w:gridCol w:w="841"/>
        <w:gridCol w:w="736"/>
      </w:tblGrid>
      <w:tr>
        <w:trPr>
          <w:trHeight w:val="398" w:hRule="exact"/>
        </w:trPr>
        <w:tc>
          <w:tcPr>
            <w:tcW w:w="2546"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4"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39" w:hRule="exact"/>
        </w:trPr>
        <w:tc>
          <w:tcPr>
            <w:tcW w:w="2546"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14" w:lineRule="auto" w:before="34"/>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304" w:lineRule="auto"/>
              <w:ind w:left="270" w:right="88" w:hanging="181"/>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67"/>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1" w:hRule="exact"/>
        </w:trPr>
        <w:tc>
          <w:tcPr>
            <w:tcW w:w="2546"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21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5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8"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6"/>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合收益</w:t>
            </w:r>
          </w:p>
        </w:tc>
        <w:tc>
          <w:tcPr>
            <w:tcW w:w="976" w:type="dxa"/>
            <w:tcBorders>
              <w:top w:val="single" w:sz="6" w:space="0" w:color="000000"/>
              <w:left w:val="single" w:sz="12" w:space="0" w:color="D2D2D2"/>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-1,822,667</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.63</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-1,822,667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.63</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-1,822,6</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67.63</w:t>
            </w:r>
          </w:p>
        </w:tc>
      </w:tr>
      <w:tr>
        <w:trPr>
          <w:trHeight w:val="705"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6" w:type="dxa"/>
            <w:tcBorders>
              <w:top w:val="single" w:sz="6" w:space="0" w:color="000000"/>
              <w:left w:val="single" w:sz="12" w:space="0" w:color="D2D2D2"/>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-1,822,667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.63</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-1,822,667</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.63</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-1,822,6</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67.63</w:t>
            </w:r>
          </w:p>
        </w:tc>
      </w:tr>
      <w:tr>
        <w:trPr>
          <w:trHeight w:val="7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-10,315,226.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3,792,579.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44</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-1,340,195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.64</w:t>
            </w: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4,056,162.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-263,583.3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-6,259,0</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63.61</w:t>
            </w:r>
          </w:p>
        </w:tc>
      </w:tr>
      <w:tr>
        <w:trPr>
          <w:trHeight w:val="7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-4,976,210.6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1,412,394.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08</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1,412,394.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08</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-3,563,8</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16.61</w:t>
            </w:r>
          </w:p>
        </w:tc>
      </w:tr>
      <w:tr>
        <w:trPr>
          <w:trHeight w:val="173"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-5,339,015.6</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2,380,185.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36</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2,643,768.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68</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-263,583.3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-2,695,2</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47.00</w:t>
            </w:r>
          </w:p>
        </w:tc>
      </w:tr>
      <w:tr>
        <w:trPr>
          <w:trHeight w:val="391"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r>
        <w:trPr>
          <w:trHeight w:val="158"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-10,315,226.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1,969,911.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81</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-1,340,195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.64</w:t>
            </w: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2,233,495.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13</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-263,583.3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-8,081,7</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31.24</w:t>
            </w:r>
          </w:p>
        </w:tc>
      </w:tr>
      <w:tr>
        <w:trPr>
          <w:trHeight w:val="391"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8、专项储备" w:id="396"/>
      <w:bookmarkEnd w:id="39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9、盈余公积" w:id="397"/>
      <w:bookmarkEnd w:id="39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64,026,557.90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3,415,323.02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67,441,880.92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64,026,557.90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3,415,323.02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67,441,880.92</w:t>
            </w:r>
          </w:p>
        </w:tc>
      </w:tr>
    </w:tbl>
    <w:p>
      <w:pPr>
        <w:pStyle w:val="BodyText"/>
        <w:spacing w:line="240" w:lineRule="auto"/>
        <w:ind w:right="0"/>
        <w:jc w:val="left"/>
      </w:pPr>
      <w:r>
        <w:rPr/>
        <w:t>盈余公积说明，包括本期增减变动情况、变动原因说明：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60、未分配利润" w:id="398"/>
      <w:bookmarkEnd w:id="39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298,060,727.16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-1,340,195.64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296,720,531.52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37,561,253.38</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3,415,323.02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其他综合收益转入留存收益</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-1,374,248.93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332,240,710.81</w:t>
            </w:r>
          </w:p>
        </w:tc>
        <w:tc>
          <w:tcPr>
            <w:tcW w:w="292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调整期初未分配利润明细：</w:t>
      </w:r>
    </w:p>
    <w:p>
      <w:pPr>
        <w:pStyle w:val="BodyText"/>
        <w:spacing w:line="240" w:lineRule="auto" w:before="140"/>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96"/>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96"/>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1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96"/>
        <w:ind w:right="0"/>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61、营业收入和营业成本" w:id="399"/>
      <w:bookmarkEnd w:id="39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1,375,489,245.70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961,288,087.75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824,352,954.75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534,352,800.74</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4,265,681.04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3,229,476.36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11,422,692.43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9,591,958.54</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1,379,754,926.74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964,517,564.11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835,775,647.18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543,944,759.28</w:t>
            </w:r>
          </w:p>
        </w:tc>
      </w:tr>
    </w:tbl>
    <w:p>
      <w:pPr>
        <w:pStyle w:val="BodyText"/>
        <w:spacing w:line="240" w:lineRule="auto" w:before="45"/>
        <w:ind w:right="0"/>
        <w:jc w:val="left"/>
      </w:pPr>
      <w:r>
        <w:rPr/>
        <w:t>是否已执行新收入准则</w:t>
      </w:r>
    </w:p>
    <w:p>
      <w:pPr>
        <w:pStyle w:val="BodyText"/>
        <w:spacing w:line="331" w:lineRule="auto" w:before="125"/>
        <w:ind w:right="9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62、税金及附加" w:id="400"/>
      <w:bookmarkEnd w:id="40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3,225,163.61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2,723,072.59</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1,745,537.22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1,482,110.25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1,366,839.12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1,366,359.16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568,436.90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369,228.30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496,722.19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384,810.83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1,156,762.46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988,032.46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77,966.05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94,737.18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8,637,427.55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7,408,350.77</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3、销售费用" w:id="401"/>
      <w:bookmarkEnd w:id="40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13,815,898.61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13,265,101.67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4,006,351.99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7,400,679.40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3,996,370.28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5,072,622.54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商场费用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1,393,069.40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2,818,146.44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1,391,610.20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1,872,855.68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422,519.03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307,033.48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349,940.63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22,372.71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170,480.54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465,538.72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69,932.81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224,528.30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2,227,986.61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3,069,323.66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27,844,160.10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34,518,202.60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4、管理费用" w:id="402"/>
      <w:bookmarkEnd w:id="40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71,117,233.07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62,088,426.47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21,967,082.57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22,391,561.15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14,384,129.19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8,951,577.96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6,767,143.50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1,957,158.80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5,981,880.00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6,072,470.14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4,920,506.19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5,099,794.13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3,637,805.73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4,167,250.94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8,657,265.54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8,877,307.41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137,433,045.79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119,605,547.00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5、研发费用" w:id="403"/>
      <w:bookmarkEnd w:id="40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21,835,772.91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17,068,814.11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研发材料费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10,063,713.19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3,020,986.65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3,911,144.86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4,925,756.87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研发产品工模开发费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2,806,345.09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2,322,416.02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3,127,430.10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198,997.39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13,817.33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76,085.13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110,677.70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1,657,656.89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1,320,818.24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42,872,131.48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29,588,301.00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6、财务费用" w:id="404"/>
      <w:bookmarkEnd w:id="40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24,939,202.80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32,944,920.44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10,511,196.24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4,654,145.52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-5,319,098.14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-9,485,401.28</w:t>
            </w:r>
            <w:r>
              <w:rPr>
                <w:rFonts w:ascii="Times New Roman"/>
                <w:sz w:val="18"/>
              </w:rPr>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手续费及其他支出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474,794.70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257,651.54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9,583,703.12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19,063,025.18</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7、其他收益" w:id="405"/>
      <w:bookmarkEnd w:id="40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动漫文化创意服务平台建设项目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105,571.80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105,571.80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动漫文化创意基地（一期）建设项目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66,666.72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66,666.72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动漫文化创意服务平台建设项目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70,381.20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70,381.20</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7"/>
              <w:jc w:val="left"/>
              <w:rPr>
                <w:rFonts w:ascii="宋体" w:hAnsi="宋体" w:cs="宋体" w:eastAsia="宋体" w:hint="default"/>
                <w:sz w:val="18"/>
                <w:szCs w:val="18"/>
              </w:rPr>
            </w:pPr>
            <w:r>
              <w:rPr>
                <w:rFonts w:ascii="宋体" w:hAnsi="宋体" w:cs="宋体" w:eastAsia="宋体" w:hint="default"/>
                <w:sz w:val="18"/>
                <w:szCs w:val="18"/>
              </w:rPr>
              <w:t>动漫产业生产出口基地及走出去项目建 设</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205,821.24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205,690.68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动漫服饰扩产项目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23,083.56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23,083.44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动漫文化产品创意设计中心建设项目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333,333.36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333,333.33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文化专项补助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33,333.36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33,333.33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《鞋子也疯狂》</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216,705.90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《美盛星学院魔法礼服》</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53,633.64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39,680.28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《光之契约》</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57,692.16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57,692.18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《魔幻壁球》</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4,166.67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《星学院Ⅱ之月灵手环》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96,000.00</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星学院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II </w:t>
            </w:r>
            <w:r>
              <w:rPr>
                <w:rFonts w:ascii="宋体" w:hAnsi="宋体" w:cs="宋体" w:eastAsia="宋体" w:hint="default"/>
                <w:sz w:val="18"/>
                <w:szCs w:val="18"/>
              </w:rPr>
              <w:t>之月灵手环》电视台播出补助</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（杭州市上城区财政局）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13,14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届动漫节参展参会补助（杭州市上 城区财政局）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238,000.00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增值税减免税款</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2,230.23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技术创新项目补助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230,000.00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新产品财政补助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文化服务出口奖励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商贸服务贸易奖励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78,100.00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专利技术奖励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10,000.00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外贸发展补贴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368,000.00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境外投资奖励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570,000.00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专利项目技术补助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146,300.00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代扣代缴社保的奖励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2,000.00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技能培训奖励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15,600.00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土地使用税退税</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58,840.00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优秀原创动漫作品版权开发奖励</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45,000.00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文化创意企业补贴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税费扶持</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1,246,224.10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软件补助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5,700.00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税费返还补助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22,035.42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29,246.60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社保返还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1,820,582.52</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第一批文化产业专项补助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新经信（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补贴收入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202,400.00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新经信（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补贴收入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第二批专利奖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就业管理专项资金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服务外包补助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164,500.00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文化产业项目补助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高新技术企业奖励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高新企业认定补贴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社保稳定岗位补贴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22,068.39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创业带动就业补贴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95,895.75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企业发展资金补助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517,894.96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62,042.19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可抵扣进项税额加计抵减额</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1,168,498.23</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bookmarkStart w:name="68、投资收益" w:id="406"/>
      <w:bookmarkEnd w:id="40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-66,866,031.17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-50,016,404.58</w:t>
            </w:r>
            <w:r>
              <w:rPr>
                <w:rFonts w:ascii="Times New Roman"/>
                <w:sz w:val="18"/>
              </w:rPr>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-1,768,543.72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10,872,544.89</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116,812.15</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1,807,659.57</w:t>
            </w:r>
          </w:p>
        </w:tc>
      </w:tr>
      <w:tr>
        <w:trPr>
          <w:trHeight w:val="72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205,964.93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3,428,601.64</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4"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33,564,979.51</w:t>
            </w:r>
          </w:p>
        </w:tc>
      </w:tr>
      <w:tr>
        <w:trPr>
          <w:trHeight w:val="72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97"/>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81,831.25</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其他权益工具投资持有期间的投资收益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6,829,594.90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结构性存款利息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3,957,550.00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84,270.83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-57,358,550.83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-342,618.97</w:t>
            </w:r>
            <w:r>
              <w:rPr>
                <w:rFonts w:ascii="Times New Roman"/>
                <w:sz w:val="18"/>
              </w:rPr>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9、净敞口套期收益" w:id="407"/>
      <w:bookmarkEnd w:id="40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70、公允价值变动收益" w:id="408"/>
      <w:bookmarkEnd w:id="40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201,303.20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理财产品收益</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-1,183,561.64</w:t>
            </w:r>
            <w:r>
              <w:rPr>
                <w:rFonts w:ascii="Times New Roman"/>
                <w:sz w:val="18"/>
              </w:rPr>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业绩承诺补偿</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-5,655,202.61</w:t>
            </w:r>
            <w:r>
              <w:rPr>
                <w:rFonts w:ascii="Times New Roman"/>
                <w:sz w:val="18"/>
              </w:rPr>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201,303.20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-6,838,764.25</w:t>
            </w:r>
            <w:r>
              <w:rPr>
                <w:rFonts w:ascii="Times New Roman"/>
                <w:sz w:val="18"/>
              </w:rPr>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71、信用减值损失" w:id="409"/>
      <w:bookmarkEnd w:id="40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-27,627,562.20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其他应收款信用减值损失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23,335.17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-27,604,227.03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72、资产减值损失" w:id="410"/>
      <w:bookmarkEnd w:id="41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-25,179,778.51</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-6,223,824.72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-24,897,228.82</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-2,475,317.84</w:t>
            </w:r>
            <w:r>
              <w:rPr>
                <w:rFonts w:ascii="Times New Roman"/>
                <w:sz w:val="18"/>
              </w:rPr>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-12,346,144.53</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-60,095.90</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-8,498,374.20</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-61,141,860.57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-229,637,264.08</w:t>
            </w:r>
            <w:r>
              <w:rPr>
                <w:rFonts w:ascii="Times New Roman"/>
                <w:sz w:val="18"/>
              </w:rPr>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-791,786.82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-6,506,052.17</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-68,157,472.11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-309,600,256.05</w:t>
            </w:r>
            <w:r>
              <w:rPr>
                <w:rFonts w:ascii="Times New Roman"/>
                <w:sz w:val="18"/>
              </w:rPr>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73、资产处置收益" w:id="411"/>
      <w:bookmarkEnd w:id="41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49,467.13</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74、营业外收入" w:id="412"/>
      <w:bookmarkEnd w:id="41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与日常活动无关的政府补助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262,600.00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262,600.00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1,806.15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1,806.15</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1,159,913.31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300,232.63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1,159,913.31</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1,424,319.46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300,232.63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1,424,319.46</w:t>
            </w:r>
          </w:p>
        </w:tc>
      </w:tr>
    </w:tbl>
    <w:p>
      <w:pPr>
        <w:pStyle w:val="BodyText"/>
        <w:spacing w:line="240" w:lineRule="auto"/>
        <w:ind w:right="0"/>
        <w:jc w:val="left"/>
      </w:pPr>
      <w:r>
        <w:rPr/>
        <w:t>计入当期损益的政府补助：</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杭州市国际 级软件名城 创建补助项 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262,600.00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75、营业外支出" w:id="413"/>
      <w:bookmarkEnd w:id="41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6"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2,297,412.00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150,133.48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2,297,412.00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1,636.90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23,704.85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1,636.90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466,891.71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23,986.49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466,891.71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诉讼赔偿及其他支出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69,286.94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62,071.13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69,286.94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2,835,227.55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259,895.95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2,835,227.55</w:t>
            </w:r>
          </w:p>
        </w:tc>
      </w:tr>
    </w:tbl>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76、所得税费用" w:id="414"/>
      <w:bookmarkEnd w:id="41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所得税费用表" w:id="415"/>
      <w:bookmarkEnd w:id="4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22,828,973.78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15,015,316.56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-9,885,428.06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2,234,326.35</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12,943,545.72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17,249,642.91</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416"/>
      <w:bookmarkEnd w:id="4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44,568,104.50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6,685,215.68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1,361,122.00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-2,222.33</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750,885.95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-6,937,318.96</w:t>
            </w:r>
            <w:r>
              <w:rPr>
                <w:rFonts w:ascii="Times New Roman"/>
                <w:sz w:val="18"/>
              </w:rPr>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8,971,659.22</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其他（研发费用加计扣除）</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-4,823,114.79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12,943,545.72</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77、其他综合收益" w:id="417"/>
      <w:bookmarkEnd w:id="417"/>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78、现金流量表项目" w:id="418"/>
      <w:bookmarkEnd w:id="418"/>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收到的其他与经营活动有关的现金" w:id="419"/>
      <w:bookmarkEnd w:id="4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10,529,667.50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4,654,145.52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36,929,663.37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211,855,594.58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7,148,878.56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8,450,682.20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1,225,173.21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2,561,896.81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788,283.38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39,923.24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56,621,666.02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227,562,242.35</w:t>
            </w:r>
          </w:p>
        </w:tc>
      </w:tr>
    </w:tbl>
    <w:p>
      <w:pPr>
        <w:pStyle w:val="BodyText"/>
        <w:spacing w:line="240" w:lineRule="auto"/>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支付的其他与经营活动有关的现金" w:id="420"/>
      <w:bookmarkEnd w:id="4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40,879,952.39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216,543,005.85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87,441,828.24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70,084,218.45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3,736,903.18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101,216.75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3,155,991.33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70,402.33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135,214,675.14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286,798,843.38</w:t>
            </w:r>
          </w:p>
        </w:tc>
      </w:tr>
    </w:tbl>
    <w:p>
      <w:pPr>
        <w:pStyle w:val="BodyText"/>
        <w:spacing w:line="240" w:lineRule="auto"/>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收到的其他与投资活动有关的现金" w:id="421"/>
      <w:bookmarkEnd w:id="42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收到业绩承诺补偿款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2,694,000.00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2,245,040.00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理财产品到期赎回</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105,390,000.00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8,285,670,000.00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暂收股权转让款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收回投资性款项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收回资金拆借款项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1,565,643,790.46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1,678,727,790.46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8,626,915,040.00</w:t>
            </w:r>
          </w:p>
        </w:tc>
      </w:tr>
    </w:tbl>
    <w:p>
      <w:pPr>
        <w:pStyle w:val="BodyText"/>
        <w:spacing w:line="240" w:lineRule="auto"/>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4）支付的其他与投资活动有关的现金" w:id="422"/>
      <w:bookmarkEnd w:id="42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其中：购买理财产品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227,400,000.00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6,381,860,000.00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支付资金拆借款项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52,710,000.00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1,484,189,427.78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支付投资性的往来款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531,169,389.50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处置子公司转出的货币资金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12,864,675.24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280,110,000.00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8,410,083,492.52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收到的其他与筹资活动有关的现金" w:id="423"/>
      <w:bookmarkEnd w:id="42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6）支付的其他与筹资活动有关的现金" w:id="424"/>
      <w:bookmarkEnd w:id="42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支付借款手续费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23,320.50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23,320.50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79、现金流量表补充资料" w:id="425"/>
      <w:bookmarkEnd w:id="42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现金流量表补充资料" w:id="426"/>
      <w:bookmarkEnd w:id="42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31,624,558.78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-242,540,464.19</w:t>
            </w:r>
            <w:r>
              <w:rPr>
                <w:rFonts w:ascii="Times New Roman"/>
                <w:sz w:val="18"/>
              </w:rPr>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68,157,472.11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284,139,293.48</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22,683,700.12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20,028,915.18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6,591,927.78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7,004,488.83</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3,069,982.34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4,228,339.71</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-15,703.73</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466,891.71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23,986.49</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-201,303.20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6,838,764.25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24,939,202.80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23,459,519.16</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57,358,550.83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342,618.97</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-7,048,995.29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-2,141,990.80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4.529999pt;margin-top:108.099998pt;width:150.2pt;height:19.5pt;mso-position-horizontal-relative:page;mso-position-vertical-relative:page;z-index:-1110568" coordorigin="4491,2162" coordsize="3004,390">
            <v:shape style="position:absolute;left:4491;top:2162;width:3004;height:390" coordorigin="4491,2162" coordsize="3004,390" path="m4491,2552l7495,2552,7495,2162,4491,2162,4491,2552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-3,089,924.27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922" w:val="left" w:leader="none"/>
              </w:tabs>
              <w:spacing w:line="240" w:lineRule="auto" w:before="44"/>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-75,257,918.60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-16,008,288.57</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-159,254,618.66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19,996,257.15</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-797,616.08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17,131,356.41</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27,604,227.03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26,034,786.64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-3,153,862.60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148,521,878.98</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1"/>
              <w:ind w:right="12"/>
              <w:jc w:val="center"/>
              <w:rPr>
                <w:rFonts w:ascii="Times New Roman" w:hAnsi="Times New Roman" w:cs="Times New Roman" w:eastAsia="Times New Roman" w:hint="default"/>
                <w:sz w:val="18"/>
                <w:szCs w:val="18"/>
              </w:rPr>
            </w:pPr>
            <w:r>
              <w:rPr>
                <w:rFonts w:ascii="Times New Roman"/>
                <w:sz w:val="18"/>
              </w:rPr>
              <w:t>--</w:t>
            </w:r>
          </w:p>
        </w:tc>
      </w:tr>
      <w:tr>
        <w:trPr>
          <w:trHeight w:val="173"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876,999,738.64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374,948,807.76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374,948,807.76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327,512,629.27</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502,050,930.88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47,436,178.49</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427"/>
      <w:bookmarkEnd w:id="42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994"/>
        <w:gridCol w:w="4581"/>
      </w:tblGrid>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577,500,000.00</w:t>
            </w:r>
          </w:p>
        </w:tc>
      </w:tr>
      <w:tr>
        <w:trPr>
          <w:trHeight w:val="391"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 </w:t>
            </w:r>
            <w:r>
              <w:rPr>
                <w:rFonts w:ascii="Times New Roman"/>
                <w:spacing w:val="-4"/>
                <w:sz w:val="18"/>
              </w:rPr>
              <w:t>GROUP </w:t>
            </w:r>
            <w:r>
              <w:rPr>
                <w:rFonts w:ascii="Times New Roman"/>
                <w:sz w:val="18"/>
              </w:rPr>
              <w:t>LIMITED</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577,500,000.00</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杭州幻趣网络科技有限公司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45,042,351.68</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 </w:t>
            </w:r>
            <w:r>
              <w:rPr>
                <w:rFonts w:ascii="Times New Roman"/>
                <w:spacing w:val="-4"/>
                <w:sz w:val="18"/>
              </w:rPr>
              <w:t>GROUP </w:t>
            </w:r>
            <w:r>
              <w:rPr>
                <w:rFonts w:ascii="Times New Roman"/>
                <w:sz w:val="18"/>
              </w:rPr>
              <w:t>LIMITED</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45,023,124.56</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杭州幻趣网络科技有限公司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19,227.12</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532,457,648.32</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3）本期收到的处置子公司的现金净额" w:id="428"/>
      <w:bookmarkEnd w:id="42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现金和现金等价物的构成" w:id="429"/>
      <w:bookmarkEnd w:id="42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876,999,738.64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374,948,807.76</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89,623.38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73,962.93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877,372,866.06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372,872,284.39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238,246.64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2,002,560.44</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876,999,738.64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374,948,807.76</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700,997.44</w:t>
            </w:r>
          </w:p>
        </w:tc>
        <w:tc>
          <w:tcPr>
            <w:tcW w:w="31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80、所有者权益变动表项目注释" w:id="430"/>
      <w:bookmarkEnd w:id="430"/>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81、所有权或使用权受到限制的资产" w:id="431"/>
      <w:bookmarkEnd w:id="431"/>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700,997.44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冻结</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1,110,000,000.00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用于短期借款的抵押</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1,110,700,997.44</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82、外币货币性项目" w:id="432"/>
      <w:bookmarkEnd w:id="43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外币货币性项目" w:id="433"/>
      <w:bookmarkEnd w:id="43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93"/>
        <w:gridCol w:w="2291"/>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4,949,564.30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34,529,150.47</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4,690,170.67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36,656,028.87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69,937,185.22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62,648,331.74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59,238.00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53,064.22</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081" w:right="0"/>
              <w:jc w:val="lef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124"/>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8,574,713.59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59,818,916.94</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856,105.95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6,690,896.05</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081" w:right="0"/>
              <w:jc w:val="lef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124"/>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1,382.18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9,642.37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4,821.47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37,682.20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782,972.70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701,371.29</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55,592,639.30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49,798,774.42</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637,559.60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4,447,743.28</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85,984.86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672,014.67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1,669.01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13,044.15</w:t>
            </w:r>
          </w:p>
        </w:tc>
      </w:tr>
    </w:tbl>
    <w:p>
      <w:pPr>
        <w:pStyle w:val="BodyText"/>
        <w:spacing w:line="240" w:lineRule="auto" w:before="45"/>
        <w:ind w:right="0"/>
        <w:jc w:val="left"/>
      </w:pPr>
      <w:r>
        <w:rPr/>
        <w:t>其他说明：</w:t>
      </w:r>
    </w:p>
    <w:p>
      <w:pPr>
        <w:pStyle w:val="Heading5"/>
        <w:spacing w:line="276" w:lineRule="auto" w:before="89"/>
        <w:ind w:right="1083" w:firstLine="420"/>
        <w:jc w:val="both"/>
      </w:pPr>
      <w:r>
        <w:rPr/>
        <w:t>本公司全资子公司香港美盛以港币作为记账本位币；本公司下属公司荷兰公司以荷兰为主要经营地， 以欧元为记账本位币；本公司全资子公司美国美盛以美国为主要经营地，以美元为记账本位币；本公司全 资子公司</w:t>
      </w:r>
      <w:r>
        <w:rPr>
          <w:rFonts w:ascii="Times New Roman" w:hAnsi="Times New Roman" w:cs="Times New Roman" w:eastAsia="Times New Roman" w:hint="default"/>
        </w:rPr>
        <w:t>NEW TIME </w:t>
      </w:r>
      <w:r>
        <w:rPr>
          <w:rFonts w:ascii="Times New Roman" w:hAnsi="Times New Roman" w:cs="Times New Roman" w:eastAsia="Times New Roman" w:hint="default"/>
          <w:spacing w:val="-3"/>
        </w:rPr>
        <w:t>GROUP</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t>及其下属香港及澳门公司记账本位币为港币。</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6"/>
          <w:szCs w:val="26"/>
        </w:rPr>
      </w:pPr>
    </w:p>
    <w:p>
      <w:pPr>
        <w:pStyle w:val="Heading4"/>
        <w:spacing w:line="286" w:lineRule="exact"/>
        <w:ind w:right="0"/>
        <w:jc w:val="left"/>
        <w:rPr>
          <w:b w:val="0"/>
          <w:bCs w:val="0"/>
        </w:rPr>
      </w:pPr>
      <w:bookmarkStart w:name="（2）境外经营实体说明，包括对于重要的境外经营实体，应披露其境外主要经营地、记账" w:id="434"/>
      <w:bookmarkEnd w:id="43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5"/>
        <w:ind w:right="0"/>
        <w:jc w:val="left"/>
        <w:rPr>
          <w:b w:val="0"/>
          <w:bCs w:val="0"/>
        </w:rPr>
      </w:pPr>
      <w:bookmarkStart w:name="83、套期" w:id="435"/>
      <w:bookmarkEnd w:id="435"/>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按照套期类别披露套期项目及相关套期工具、被套期风险的定性和定量信息：</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84、政府补助" w:id="436"/>
      <w:bookmarkEnd w:id="436"/>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政府补助基本情况" w:id="437"/>
      <w:bookmarkEnd w:id="43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438"/>
      <w:bookmarkEnd w:id="43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5"/>
          <w:szCs w:val="25"/>
        </w:rPr>
      </w:pPr>
    </w:p>
    <w:p>
      <w:pPr>
        <w:spacing w:line="482" w:lineRule="auto" w:before="0"/>
        <w:ind w:left="141" w:right="8324" w:firstLine="0"/>
        <w:jc w:val="left"/>
        <w:rPr>
          <w:rFonts w:ascii="宋体" w:hAnsi="宋体" w:cs="宋体" w:eastAsia="宋体" w:hint="default"/>
          <w:sz w:val="21"/>
          <w:szCs w:val="21"/>
        </w:rPr>
      </w:pPr>
      <w:bookmarkStart w:name="85、其他" w:id="439"/>
      <w:bookmarkEnd w:id="439"/>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40"/>
      <w:bookmarkEnd w:id="44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41"/>
      <w:bookmarkEnd w:id="441"/>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90"/>
        <w:ind w:right="0"/>
        <w:jc w:val="left"/>
        <w:rPr>
          <w:b w:val="0"/>
          <w:bCs w:val="0"/>
        </w:rPr>
      </w:pPr>
      <w:bookmarkStart w:name="（1）本期发生的非同一控制下企业合并" w:id="442"/>
      <w:bookmarkEnd w:id="44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2598"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57" w:lineRule="auto"/>
              <w:ind w:left="15" w:right="129"/>
              <w:jc w:val="left"/>
              <w:rPr>
                <w:rFonts w:ascii="Times New Roman" w:hAnsi="Times New Roman" w:cs="Times New Roman" w:eastAsia="Times New Roman" w:hint="default"/>
                <w:sz w:val="18"/>
                <w:szCs w:val="18"/>
              </w:rPr>
            </w:pPr>
            <w:r>
              <w:rPr>
                <w:rFonts w:ascii="Times New Roman"/>
                <w:sz w:val="18"/>
              </w:rPr>
              <w:t>NEW</w:t>
            </w:r>
            <w:r>
              <w:rPr>
                <w:rFonts w:ascii="Times New Roman"/>
                <w:spacing w:val="-6"/>
                <w:sz w:val="18"/>
              </w:rPr>
              <w:t> </w:t>
            </w:r>
            <w:r>
              <w:rPr>
                <w:rFonts w:ascii="Times New Roman"/>
                <w:spacing w:val="3"/>
                <w:sz w:val="18"/>
              </w:rPr>
              <w:t>TIME</w:t>
            </w:r>
            <w:r>
              <w:rPr>
                <w:rFonts w:ascii="Times New Roman"/>
                <w:sz w:val="18"/>
              </w:rPr>
              <w:t> GROUP</w:t>
            </w:r>
            <w:r>
              <w:rPr>
                <w:rFonts w:ascii="Times New Roman"/>
                <w:w w:val="99"/>
                <w:sz w:val="18"/>
              </w:rPr>
              <w:t> </w:t>
            </w:r>
            <w:r>
              <w:rPr>
                <w:rFonts w:ascii="Times New Roman"/>
                <w:sz w:val="18"/>
              </w:rPr>
              <w:t>LIMITED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577,500,000.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3"/>
              <w:jc w:val="left"/>
              <w:rPr>
                <w:rFonts w:ascii="宋体" w:hAnsi="宋体" w:cs="宋体" w:eastAsia="宋体" w:hint="default"/>
                <w:sz w:val="18"/>
                <w:szCs w:val="18"/>
              </w:rPr>
            </w:pPr>
            <w:r>
              <w:rPr>
                <w:rFonts w:ascii="宋体" w:hAnsi="宋体" w:cs="宋体" w:eastAsia="宋体" w:hint="default"/>
                <w:sz w:val="18"/>
                <w:szCs w:val="18"/>
              </w:rPr>
              <w:t>董事会决议 资产交接文 </w:t>
            </w:r>
            <w:r>
              <w:rPr>
                <w:rFonts w:ascii="宋体" w:hAnsi="宋体" w:cs="宋体" w:eastAsia="宋体" w:hint="default"/>
                <w:spacing w:val="-13"/>
                <w:sz w:val="18"/>
                <w:szCs w:val="18"/>
              </w:rPr>
              <w:t>件、发改委备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案及商务厅 境外投资证 </w:t>
            </w:r>
            <w:r>
              <w:rPr>
                <w:rFonts w:ascii="宋体" w:hAnsi="宋体" w:cs="宋体" w:eastAsia="宋体" w:hint="default"/>
                <w:spacing w:val="-13"/>
                <w:sz w:val="18"/>
                <w:szCs w:val="18"/>
              </w:rPr>
              <w:t>书，股权转让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文书及交接 单据</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404,952,414.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71,131,459.5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w:t>
            </w:r>
          </w:p>
        </w:tc>
      </w:tr>
      <w:tr>
        <w:trPr>
          <w:trHeight w:val="10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杭州幻趣网 络科技有限 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股权转让协 </w:t>
            </w:r>
            <w:r>
              <w:rPr>
                <w:rFonts w:ascii="宋体" w:hAnsi="宋体" w:cs="宋体" w:eastAsia="宋体" w:hint="default"/>
                <w:spacing w:val="-13"/>
                <w:sz w:val="18"/>
                <w:szCs w:val="18"/>
              </w:rPr>
              <w:t>议、工商登记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96,395.51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-691,044.54</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合并成本及商誉" w:id="443"/>
      <w:bookmarkEnd w:id="44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435"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 </w:t>
            </w:r>
            <w:r>
              <w:rPr>
                <w:rFonts w:ascii="Times New Roman"/>
                <w:spacing w:val="-4"/>
                <w:sz w:val="18"/>
              </w:rPr>
              <w:t>GROUP </w:t>
            </w:r>
            <w:r>
              <w:rPr>
                <w:rFonts w:ascii="Times New Roman"/>
                <w:sz w:val="18"/>
              </w:rPr>
              <w:t>LIMITED</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0" w:right="0"/>
              <w:jc w:val="left"/>
              <w:rPr>
                <w:rFonts w:ascii="宋体" w:hAnsi="宋体" w:cs="宋体" w:eastAsia="宋体" w:hint="default"/>
                <w:sz w:val="18"/>
                <w:szCs w:val="18"/>
              </w:rPr>
            </w:pPr>
            <w:r>
              <w:rPr>
                <w:rFonts w:ascii="宋体" w:hAnsi="宋体" w:cs="宋体" w:eastAsia="宋体" w:hint="default"/>
                <w:sz w:val="18"/>
                <w:szCs w:val="18"/>
              </w:rPr>
              <w:t>杭州幻趣网络科技有限公司</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577,500,000.00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148,851,080.99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4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430,632,291.00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0" w:lineRule="auto" w:before="45"/>
        <w:ind w:right="6069"/>
        <w:jc w:val="left"/>
      </w:pPr>
      <w:r>
        <w:rPr/>
        <w:t>合并成本公允价值的确定方法、或有对价及其变动的说明： 大额商誉形成的主要原因：</w:t>
      </w:r>
    </w:p>
    <w:p>
      <w:pPr>
        <w:pStyle w:val="Heading5"/>
        <w:spacing w:line="259" w:lineRule="auto" w:before="7"/>
        <w:ind w:right="1122" w:firstLine="315"/>
        <w:jc w:val="both"/>
      </w:pPr>
      <w:r>
        <w:rPr/>
        <w:t>大</w:t>
      </w:r>
      <w:r>
        <w:rPr>
          <w:spacing w:val="-76"/>
        </w:rPr>
        <w:t> </w:t>
      </w:r>
      <w:r>
        <w:rPr/>
        <w:t>额</w:t>
      </w:r>
      <w:r>
        <w:rPr>
          <w:spacing w:val="-76"/>
        </w:rPr>
        <w:t> </w:t>
      </w:r>
      <w:r>
        <w:rPr/>
        <w:t>商</w:t>
      </w:r>
      <w:r>
        <w:rPr>
          <w:spacing w:val="-61"/>
        </w:rPr>
        <w:t> </w:t>
      </w:r>
      <w:r>
        <w:rPr/>
        <w:t>誉</w:t>
      </w:r>
      <w:r>
        <w:rPr>
          <w:spacing w:val="-76"/>
        </w:rPr>
        <w:t> </w:t>
      </w:r>
      <w:r>
        <w:rPr/>
        <w:t>形</w:t>
      </w:r>
      <w:r>
        <w:rPr>
          <w:spacing w:val="-76"/>
        </w:rPr>
        <w:t> </w:t>
      </w:r>
      <w:r>
        <w:rPr/>
        <w:t>成</w:t>
      </w:r>
      <w:r>
        <w:rPr>
          <w:spacing w:val="-61"/>
        </w:rPr>
        <w:t> </w:t>
      </w:r>
      <w:r>
        <w:rPr/>
        <w:t>的</w:t>
      </w:r>
      <w:r>
        <w:rPr>
          <w:spacing w:val="-76"/>
        </w:rPr>
        <w:t> </w:t>
      </w:r>
      <w:r>
        <w:rPr/>
        <w:t>原</w:t>
      </w:r>
      <w:r>
        <w:rPr>
          <w:spacing w:val="-61"/>
        </w:rPr>
        <w:t> </w:t>
      </w:r>
      <w:r>
        <w:rPr/>
        <w:t>因</w:t>
      </w:r>
      <w:r>
        <w:rPr>
          <w:spacing w:val="-76"/>
        </w:rPr>
        <w:t> </w:t>
      </w:r>
      <w:r>
        <w:rPr/>
        <w:t>为</w:t>
      </w:r>
      <w:r>
        <w:rPr>
          <w:spacing w:val="-76"/>
        </w:rPr>
        <w:t> </w:t>
      </w:r>
      <w:r>
        <w:rPr/>
        <w:t>：</w:t>
      </w:r>
      <w:r>
        <w:rPr>
          <w:spacing w:val="-61"/>
        </w:rPr>
        <w:t> </w:t>
      </w:r>
      <w:r>
        <w:rPr>
          <w:rFonts w:ascii="Times New Roman" w:hAnsi="Times New Roman" w:cs="Times New Roman" w:eastAsia="Times New Roman" w:hint="default"/>
          <w:spacing w:val="-4"/>
        </w:rPr>
        <w:t>NEW</w:t>
      </w:r>
      <w:r>
        <w:rPr>
          <w:rFonts w:ascii="Times New Roman" w:hAnsi="Times New Roman" w:cs="Times New Roman" w:eastAsia="Times New Roman" w:hint="default"/>
          <w:spacing w:val="30"/>
        </w:rPr>
        <w:t> </w:t>
      </w:r>
      <w:r>
        <w:rPr>
          <w:rFonts w:ascii="Times New Roman" w:hAnsi="Times New Roman" w:cs="Times New Roman" w:eastAsia="Times New Roman" w:hint="default"/>
        </w:rPr>
        <w:t>TIME</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6"/>
        </w:rPr>
        <w:t>GROUP</w:t>
      </w:r>
      <w:r>
        <w:rPr>
          <w:rFonts w:ascii="Times New Roman" w:hAnsi="Times New Roman" w:cs="Times New Roman" w:eastAsia="Times New Roman" w:hint="default"/>
          <w:spacing w:val="38"/>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
        </w:rPr>
        <w:t> </w:t>
      </w:r>
      <w:r>
        <w:rPr/>
        <w:t>于</w:t>
      </w:r>
      <w:r>
        <w:rPr>
          <w:spacing w:val="-76"/>
        </w:rPr>
        <w:t> </w:t>
      </w:r>
      <w:r>
        <w:rPr/>
        <w:t>购</w:t>
      </w:r>
      <w:r>
        <w:rPr>
          <w:spacing w:val="-76"/>
        </w:rPr>
        <w:t> </w:t>
      </w:r>
      <w:r>
        <w:rPr/>
        <w:t>买</w:t>
      </w:r>
      <w:r>
        <w:rPr>
          <w:spacing w:val="-61"/>
        </w:rPr>
        <w:t> </w:t>
      </w:r>
      <w:r>
        <w:rPr/>
        <w:t>日</w:t>
      </w:r>
      <w:r>
        <w:rPr>
          <w:spacing w:val="-76"/>
        </w:rPr>
        <w:t> </w:t>
      </w:r>
      <w:r>
        <w:rPr/>
        <w:t>可</w:t>
      </w:r>
      <w:r>
        <w:rPr>
          <w:spacing w:val="-61"/>
        </w:rPr>
        <w:t> </w:t>
      </w:r>
      <w:r>
        <w:rPr/>
        <w:t>辨</w:t>
      </w:r>
      <w:r>
        <w:rPr>
          <w:spacing w:val="-76"/>
        </w:rPr>
        <w:t> </w:t>
      </w:r>
      <w:r>
        <w:rPr/>
        <w:t>认</w:t>
      </w:r>
      <w:r>
        <w:rPr>
          <w:spacing w:val="-76"/>
        </w:rPr>
        <w:t> </w:t>
      </w:r>
      <w:r>
        <w:rPr/>
        <w:t>净</w:t>
      </w:r>
      <w:r>
        <w:rPr>
          <w:spacing w:val="-61"/>
        </w:rPr>
        <w:t> </w:t>
      </w:r>
      <w:r>
        <w:rPr/>
        <w:t>资</w:t>
      </w:r>
      <w:r>
        <w:rPr>
          <w:spacing w:val="-76"/>
        </w:rPr>
        <w:t> </w:t>
      </w:r>
      <w:r>
        <w:rPr/>
        <w:t>产</w:t>
      </w:r>
      <w:r>
        <w:rPr>
          <w:spacing w:val="-61"/>
        </w:rPr>
        <w:t> </w:t>
      </w:r>
      <w:r>
        <w:rPr/>
        <w:t>公</w:t>
      </w:r>
      <w:r>
        <w:rPr>
          <w:spacing w:val="-76"/>
        </w:rPr>
        <w:t> </w:t>
      </w:r>
      <w:r>
        <w:rPr/>
        <w:t>允</w:t>
      </w:r>
      <w:r>
        <w:rPr>
          <w:spacing w:val="-76"/>
        </w:rPr>
        <w:t> </w:t>
      </w:r>
      <w:r>
        <w:rPr/>
        <w:t>价</w:t>
      </w:r>
      <w:r>
        <w:rPr>
          <w:spacing w:val="-61"/>
        </w:rPr>
        <w:t> </w:t>
      </w:r>
      <w:r>
        <w:rPr/>
        <w:t>值</w:t>
      </w:r>
      <w:r>
        <w:rPr>
          <w:spacing w:val="-76"/>
        </w:rPr>
        <w:t> </w:t>
      </w:r>
      <w:r>
        <w:rPr/>
        <w:t>为</w:t>
      </w:r>
      <w:r>
        <w:rPr/>
        <w:t> </w:t>
      </w:r>
      <w:r>
        <w:rPr>
          <w:rFonts w:ascii="Times New Roman" w:hAnsi="Times New Roman" w:cs="Times New Roman" w:eastAsia="Times New Roman" w:hint="default"/>
        </w:rPr>
        <w:t>148,851,080.99</w:t>
      </w:r>
      <w:r>
        <w:rPr/>
        <w:t>元，本公司于购买日取得可辨认净资产公允价值份额为</w:t>
      </w:r>
      <w:r>
        <w:rPr>
          <w:rFonts w:ascii="Times New Roman" w:hAnsi="Times New Roman" w:cs="Times New Roman" w:eastAsia="Times New Roman" w:hint="default"/>
        </w:rPr>
        <w:t>146,867,709.00</w:t>
      </w:r>
      <w:r>
        <w:rPr/>
        <w:t>元，在基础上确认购</w:t>
      </w:r>
      <w:r>
        <w:rPr>
          <w:spacing w:val="-37"/>
        </w:rPr>
        <w:t> </w:t>
      </w:r>
      <w:r>
        <w:rPr>
          <w:spacing w:val="-3"/>
        </w:rPr>
        <w:t>买</w:t>
      </w:r>
      <w:r>
        <w:rPr>
          <w:rFonts w:ascii="Times New Roman" w:hAnsi="Times New Roman" w:cs="Times New Roman" w:eastAsia="Times New Roman" w:hint="default"/>
          <w:spacing w:val="-3"/>
        </w:rPr>
        <w:t>NEW </w:t>
      </w:r>
      <w:r>
        <w:rPr>
          <w:rFonts w:ascii="Times New Roman" w:hAnsi="Times New Roman" w:cs="Times New Roman" w:eastAsia="Times New Roman" w:hint="default"/>
        </w:rPr>
        <w:t>TIME </w:t>
      </w:r>
      <w:r>
        <w:rPr>
          <w:rFonts w:ascii="Times New Roman" w:hAnsi="Times New Roman" w:cs="Times New Roman" w:eastAsia="Times New Roman" w:hint="default"/>
          <w:spacing w:val="-3"/>
        </w:rPr>
        <w:t>GROUP</w:t>
      </w:r>
      <w:r>
        <w:rPr>
          <w:rFonts w:ascii="Times New Roman" w:hAnsi="Times New Roman" w:cs="Times New Roman" w:eastAsia="Times New Roman" w:hint="default"/>
          <w:spacing w:val="37"/>
        </w:rPr>
        <w:t> </w:t>
      </w:r>
      <w:r>
        <w:rPr>
          <w:rFonts w:ascii="Times New Roman" w:hAnsi="Times New Roman" w:cs="Times New Roman" w:eastAsia="Times New Roman" w:hint="default"/>
        </w:rPr>
        <w:t>LIMITED</w:t>
      </w:r>
      <w:r>
        <w:rPr/>
        <w:t>形成的商誉为</w:t>
      </w:r>
      <w:r>
        <w:rPr>
          <w:rFonts w:ascii="Times New Roman" w:hAnsi="Times New Roman" w:cs="Times New Roman" w:eastAsia="Times New Roman" w:hint="default"/>
        </w:rPr>
        <w:t>430,632,291.00</w:t>
      </w:r>
      <w:r>
        <w:rPr/>
        <w:t>元。</w:t>
      </w:r>
    </w:p>
    <w:p>
      <w:pPr>
        <w:pStyle w:val="BodyText"/>
        <w:spacing w:line="240" w:lineRule="auto" w:before="71"/>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被购买方于购买日可辨认资产、负债" w:id="444"/>
      <w:bookmarkEnd w:id="44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027"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3"/>
                <w:sz w:val="18"/>
              </w:rPr>
              <w:t>TIME </w:t>
            </w:r>
            <w:r>
              <w:rPr>
                <w:rFonts w:ascii="Times New Roman"/>
                <w:spacing w:val="-4"/>
                <w:sz w:val="18"/>
              </w:rPr>
              <w:t>GROUP </w:t>
            </w:r>
            <w:r>
              <w:rPr>
                <w:rFonts w:ascii="Times New Roman"/>
                <w:sz w:val="18"/>
              </w:rPr>
              <w:t>LIMITED</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48,624,823.09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48,606,351.83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64,190,441.73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64,190,441.73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59,079,222.71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58,281,065.96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35,743,723.31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18,670,307.27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34,172,550.00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238,993.87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768,946.12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768,946.12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2,916,150.54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2,916,150.54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2,093,543.05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2,093,543.05</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30,247.35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30,247.35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38,265,420.39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38,265,420.39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46,088,921.42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46,088,921.42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1,381,823.06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1,381,823.06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8,440,695.98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8,440,695.98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1,788,582.92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1,788,582.92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4,786,495.13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4,786,495.13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146,867,709.00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95,044,108.82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146,867,709.00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95,044,108.82</w:t>
            </w:r>
          </w:p>
        </w:tc>
      </w:tr>
    </w:tbl>
    <w:p>
      <w:pPr>
        <w:pStyle w:val="BodyText"/>
        <w:spacing w:line="352" w:lineRule="auto"/>
        <w:ind w:right="7526"/>
        <w:jc w:val="both"/>
      </w:pPr>
      <w:r>
        <w:rPr/>
        <w:t>可辨认资产、负债公允价值的确定方法： 企业合并中承担的被购买方的或有负债： 其他说明：</w:t>
      </w:r>
    </w:p>
    <w:p>
      <w:pPr>
        <w:spacing w:after="0" w:line="352"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4）购买日之前持有的股权按照公允价值重新计量产生的利得或损失" w:id="445"/>
      <w:bookmarkEnd w:id="44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5）购买日或合并当期期末无法合理确定合并对价或被购买方可辨认资产、负债公允价值" w:id="446"/>
      <w:bookmarkEnd w:id="44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3"/>
          <w:szCs w:val="23"/>
        </w:rPr>
      </w:pPr>
    </w:p>
    <w:p>
      <w:pPr>
        <w:pStyle w:val="Heading4"/>
        <w:spacing w:line="508" w:lineRule="auto"/>
        <w:ind w:right="8535"/>
        <w:jc w:val="left"/>
        <w:rPr>
          <w:b w:val="0"/>
          <w:bCs w:val="0"/>
        </w:rPr>
      </w:pPr>
      <w:bookmarkStart w:name="（6）其他说明" w:id="447"/>
      <w:bookmarkEnd w:id="447"/>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48"/>
      <w:bookmarkEnd w:id="448"/>
      <w:r>
        <w:rPr>
          <w:w w:val="99"/>
        </w:rPr>
      </w:r>
      <w:r>
        <w:rPr>
          <w:rFonts w:ascii="Times New Roman" w:hAnsi="Times New Roman" w:cs="Times New Roman" w:eastAsia="Times New Roman" w:hint="default"/>
        </w:rPr>
        <w:t>2</w:t>
      </w:r>
      <w:r>
        <w:rPr/>
        <w:t>、同一控制下企业合并</w:t>
      </w:r>
      <w:r>
        <w:rPr>
          <w:b w:val="0"/>
          <w:bCs w:val="0"/>
        </w:rPr>
      </w:r>
    </w:p>
    <w:p>
      <w:pPr>
        <w:pStyle w:val="Heading4"/>
        <w:spacing w:line="240" w:lineRule="auto" w:before="64"/>
        <w:ind w:right="0"/>
        <w:jc w:val="left"/>
        <w:rPr>
          <w:b w:val="0"/>
          <w:bCs w:val="0"/>
        </w:rPr>
      </w:pPr>
      <w:bookmarkStart w:name="（1）本期发生的同一控制下企业合并" w:id="449"/>
      <w:bookmarkEnd w:id="44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7"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0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深圳市同道 大叔文化传 播有限公司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72.50%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19"/>
              <w:jc w:val="both"/>
              <w:rPr>
                <w:rFonts w:ascii="宋体" w:hAnsi="宋体" w:cs="宋体" w:eastAsia="宋体" w:hint="default"/>
                <w:sz w:val="18"/>
                <w:szCs w:val="18"/>
              </w:rPr>
            </w:pPr>
            <w:r>
              <w:rPr>
                <w:rFonts w:ascii="宋体" w:hAnsi="宋体" w:cs="宋体" w:eastAsia="宋体" w:hint="default"/>
                <w:sz w:val="18"/>
                <w:szCs w:val="18"/>
              </w:rPr>
              <w:t>本公司与同 道大叔受同 一公司控制</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20"/>
              <w:jc w:val="both"/>
              <w:rPr>
                <w:rFonts w:ascii="宋体" w:hAnsi="宋体" w:cs="宋体" w:eastAsia="宋体" w:hint="default"/>
                <w:sz w:val="18"/>
                <w:szCs w:val="18"/>
              </w:rPr>
            </w:pPr>
            <w:r>
              <w:rPr>
                <w:rFonts w:ascii="宋体" w:hAnsi="宋体" w:cs="宋体" w:eastAsia="宋体" w:hint="default"/>
                <w:sz w:val="18"/>
                <w:szCs w:val="18"/>
              </w:rPr>
              <w:t>美盛文化股 东会审议通 过</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16,954,799.7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-1,733,699.17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57,969,990.6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-4,453,805.32</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2）合并成本" w:id="450"/>
      <w:bookmarkEnd w:id="45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20" w:right="0"/>
              <w:jc w:val="left"/>
              <w:rPr>
                <w:rFonts w:ascii="宋体" w:hAnsi="宋体" w:cs="宋体" w:eastAsia="宋体" w:hint="default"/>
                <w:sz w:val="18"/>
                <w:szCs w:val="18"/>
              </w:rPr>
            </w:pPr>
            <w:r>
              <w:rPr>
                <w:rFonts w:ascii="宋体" w:hAnsi="宋体" w:cs="宋体" w:eastAsia="宋体" w:hint="default"/>
                <w:sz w:val="18"/>
                <w:szCs w:val="18"/>
              </w:rPr>
              <w:t>深圳市同道大叔文化传播有限公司</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285,000,000.00</w:t>
            </w:r>
          </w:p>
        </w:tc>
      </w:tr>
    </w:tbl>
    <w:p>
      <w:pPr>
        <w:pStyle w:val="BodyText"/>
        <w:spacing w:line="352" w:lineRule="auto"/>
        <w:ind w:right="8589"/>
        <w:jc w:val="left"/>
      </w:pPr>
      <w:r>
        <w:rPr/>
        <w:t>或有对价及其变动的说明： 其他说明：</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3）合并日被合并方资产、负债的账面价值" w:id="451"/>
      <w:bookmarkEnd w:id="45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4,612,498.05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19,102,185.90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38,443,496.63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27,239,341.09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5,296,109.70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6,227,223.88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2,027,565.76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2,336,373.47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206,952.21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237,513.81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2,347,749.25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1,585,320.32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129,244.47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132,780.84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197,250.19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252,123.72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487,493.43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333,658.99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6,872,267.45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6,614,423.76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1,442,458.38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1,487,217.75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1,181,687.08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3,276,891.47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332,018.12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461,968.21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20,393.00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43,851,928.66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45,585,627.83</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43,851,928.66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45,585,627.83</w:t>
            </w:r>
          </w:p>
        </w:tc>
      </w:tr>
    </w:tbl>
    <w:p>
      <w:pPr>
        <w:pStyle w:val="BodyText"/>
        <w:spacing w:line="352" w:lineRule="auto"/>
        <w:ind w:right="7509"/>
        <w:jc w:val="left"/>
      </w:pPr>
      <w:r>
        <w:rPr/>
        <w:t>企业合并中承担的被合并方的或有负债： 其他说明：</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3、反向购买" w:id="452"/>
      <w:bookmarkEnd w:id="45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4、处置子公司" w:id="453"/>
      <w:bookmarkEnd w:id="45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ind w:right="-20"/>
        <w:jc w:val="left"/>
      </w:pPr>
      <w:r>
        <w:rPr/>
        <w:t>是否存在单次处置对子公司投资即丧失控制权的情形</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4282" w:space="456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844"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165" w:right="10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21"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90"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90"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0" w:right="105"/>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75" w:right="10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15" w:right="165"/>
              <w:jc w:val="both"/>
              <w:rPr>
                <w:rFonts w:ascii="宋体" w:hAnsi="宋体" w:cs="宋体" w:eastAsia="宋体" w:hint="default"/>
                <w:sz w:val="18"/>
                <w:szCs w:val="18"/>
              </w:rPr>
            </w:pPr>
            <w:r>
              <w:rPr>
                <w:rFonts w:ascii="宋体" w:hAnsi="宋体" w:cs="宋体" w:eastAsia="宋体" w:hint="default"/>
                <w:sz w:val="18"/>
                <w:szCs w:val="18"/>
              </w:rPr>
              <w:t>湖州创 库文化 创意有</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50"/>
              <w:jc w:val="left"/>
              <w:rPr>
                <w:rFonts w:ascii="宋体" w:hAnsi="宋体" w:cs="宋体" w:eastAsia="宋体" w:hint="default"/>
                <w:sz w:val="18"/>
                <w:szCs w:val="18"/>
              </w:rPr>
            </w:pPr>
            <w:r>
              <w:rPr>
                <w:rFonts w:ascii="宋体" w:hAnsi="宋体" w:cs="宋体" w:eastAsia="宋体" w:hint="default"/>
                <w:sz w:val="18"/>
                <w:szCs w:val="18"/>
              </w:rPr>
              <w:t>协议转 让</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18" w:space="0" w:color="FFFFFF"/>
            </w:tcBorders>
          </w:tcPr>
          <w:p>
            <w:pPr>
              <w:pStyle w:val="TableParagraph"/>
              <w:spacing w:line="314" w:lineRule="auto" w:before="60"/>
              <w:ind w:left="30" w:right="-45"/>
              <w:jc w:val="left"/>
              <w:rPr>
                <w:rFonts w:ascii="宋体" w:hAnsi="宋体" w:cs="宋体" w:eastAsia="宋体" w:hint="default"/>
                <w:sz w:val="18"/>
                <w:szCs w:val="18"/>
              </w:rPr>
            </w:pPr>
            <w:r>
              <w:rPr>
                <w:rFonts w:ascii="宋体" w:hAnsi="宋体" w:cs="宋体" w:eastAsia="宋体" w:hint="default"/>
                <w:sz w:val="18"/>
                <w:szCs w:val="18"/>
              </w:rPr>
              <w:t>转让协 </w:t>
            </w:r>
            <w:r>
              <w:rPr>
                <w:rFonts w:ascii="宋体" w:hAnsi="宋体" w:cs="宋体" w:eastAsia="宋体" w:hint="default"/>
                <w:spacing w:val="-12"/>
                <w:sz w:val="18"/>
                <w:szCs w:val="18"/>
              </w:rPr>
              <w:t>议、股东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会决议、</w:t>
            </w:r>
          </w:p>
        </w:tc>
        <w:tc>
          <w:tcPr>
            <w:tcW w:w="736"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-421,398</w:t>
            </w:r>
          </w:p>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6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5"/>
              <w:jc w:val="left"/>
              <w:rPr>
                <w:rFonts w:ascii="宋体" w:hAnsi="宋体" w:cs="宋体" w:eastAsia="宋体" w:hint="default"/>
                <w:sz w:val="18"/>
                <w:szCs w:val="18"/>
              </w:rPr>
            </w:pPr>
            <w:r>
              <w:rPr>
                <w:rFonts w:ascii="宋体" w:hAnsi="宋体" w:cs="宋体" w:eastAsia="宋体" w:hint="default"/>
                <w:sz w:val="18"/>
                <w:szCs w:val="18"/>
              </w:rPr>
              <w:t>资产交 </w:t>
            </w:r>
            <w:r>
              <w:rPr>
                <w:rFonts w:ascii="宋体" w:hAnsi="宋体" w:cs="宋体" w:eastAsia="宋体" w:hint="default"/>
                <w:spacing w:val="-12"/>
                <w:sz w:val="18"/>
                <w:szCs w:val="18"/>
              </w:rPr>
              <w:t>接、公司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已实际 丧失控 制</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4989"/>
        <w:jc w:val="left"/>
      </w:pPr>
      <w:r>
        <w:rPr/>
        <w:t>其他说明： 是否存在通过多次交易分步处置对子公司投资且在本期丧失控制权的情形</w:t>
      </w:r>
    </w:p>
    <w:p>
      <w:pPr>
        <w:pStyle w:val="BodyText"/>
        <w:spacing w:line="240" w:lineRule="auto" w:before="5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5、其他原因的合并范围变动" w:id="454"/>
      <w:bookmarkEnd w:id="45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说明其他原因导致的合并范围变动（如，新设子公司、清算子公司等）及其相关情况：</w:t>
      </w:r>
    </w:p>
    <w:p>
      <w:pPr>
        <w:pStyle w:val="Heading5"/>
        <w:spacing w:line="240" w:lineRule="auto" w:before="105"/>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月，本公司子公司杭州真趣网络公司新设成立新余云起网络科技有限公司，纳入合并报表范围。</w:t>
      </w:r>
    </w:p>
    <w:p>
      <w:pPr>
        <w:spacing w:line="240" w:lineRule="auto" w:before="13"/>
        <w:rPr>
          <w:rFonts w:ascii="宋体" w:hAnsi="宋体" w:cs="宋体" w:eastAsia="宋体" w:hint="default"/>
          <w:sz w:val="25"/>
          <w:szCs w:val="25"/>
        </w:rPr>
      </w:pPr>
    </w:p>
    <w:p>
      <w:pPr>
        <w:spacing w:line="482" w:lineRule="auto" w:before="0"/>
        <w:ind w:left="141" w:right="8098" w:firstLine="0"/>
        <w:jc w:val="left"/>
        <w:rPr>
          <w:rFonts w:ascii="宋体" w:hAnsi="宋体" w:cs="宋体" w:eastAsia="宋体" w:hint="default"/>
          <w:sz w:val="21"/>
          <w:szCs w:val="21"/>
        </w:rPr>
      </w:pPr>
      <w:bookmarkStart w:name="6、其他" w:id="455"/>
      <w:bookmarkEnd w:id="45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56"/>
      <w:bookmarkEnd w:id="456"/>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57"/>
      <w:bookmarkEnd w:id="457"/>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90"/>
        <w:ind w:right="0"/>
        <w:jc w:val="left"/>
        <w:rPr>
          <w:b w:val="0"/>
          <w:bCs w:val="0"/>
        </w:rPr>
      </w:pPr>
      <w:bookmarkStart w:name="（1）企业集团的构成" w:id="458"/>
      <w:bookmarkEnd w:id="45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杭州真趣网络科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杭州乐途网络科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无锡宽视彩讯信 息科技有限公司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萍乡势途网络科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萍乡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喀什畅游网络科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霍尔果斯乐驰网 络科技有限公司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南京曲港文化传 播有限公司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杭州承天网络科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喀什蓝鲸网络科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上饶市旭冉网络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上饶市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杭州逗逗网络科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霍尔果斯海马网 络科技有限公司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无锡正向网络科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喀什易有网络科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舟山大象网络科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Joymobi</w:t>
            </w:r>
            <w:r>
              <w:rPr>
                <w:rFonts w:ascii="Times New Roman"/>
                <w:spacing w:val="12"/>
                <w:sz w:val="18"/>
              </w:rPr>
              <w:t> </w:t>
            </w:r>
            <w:r>
              <w:rPr>
                <w:rFonts w:ascii="Times New Roman"/>
                <w:spacing w:val="-3"/>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上饶市苏格网络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上饶市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萍乡斯维网络科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萍乡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舟山灵光网络科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舟山志和投资合 伙企业（有限合 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上海涛电网络科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杭州飞游网络科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杭州幻趣网络科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新余云起网络科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Joyreach</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服务平台</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香港美盛文化有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259"/>
              <w:jc w:val="left"/>
              <w:rPr>
                <w:rFonts w:ascii="Times New Roman" w:hAnsi="Times New Roman" w:cs="Times New Roman" w:eastAsia="Times New Roman" w:hint="default"/>
                <w:sz w:val="18"/>
                <w:szCs w:val="18"/>
              </w:rPr>
            </w:pPr>
            <w:r>
              <w:rPr>
                <w:rFonts w:ascii="Times New Roman"/>
                <w:sz w:val="18"/>
              </w:rPr>
              <w:t>Agenturen</w:t>
            </w:r>
            <w:r>
              <w:rPr>
                <w:rFonts w:ascii="Times New Roman"/>
                <w:spacing w:val="-3"/>
                <w:sz w:val="18"/>
              </w:rPr>
              <w:t> en</w:t>
            </w:r>
            <w:r>
              <w:rPr>
                <w:rFonts w:ascii="Times New Roman"/>
                <w:sz w:val="18"/>
              </w:rPr>
              <w:t> Handelsmij Scheepers B.V</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服装销售</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92.321999pt;margin-top:588.530029pt;width:101.45pt;height:15.75pt;mso-position-horizontal-relative:page;mso-position-vertical-relative:page;z-index:-1110520" type="#_x0000_t202" filled="false" stroked="false">
            <v:textbox inset="0,0,0,0">
              <w:txbxContent>
                <w:p>
                  <w:pPr>
                    <w:pStyle w:val="BodyText"/>
                    <w:spacing w:line="240" w:lineRule="auto"/>
                    <w:ind w:left="0" w:right="0"/>
                    <w:jc w:val="left"/>
                  </w:pPr>
                  <w:r>
                    <w:rPr/>
                    <w:t>（厦门）</w:t>
                  </w:r>
                </w:p>
              </w:txbxContent>
            </v:textbox>
            <w10:wrap type="none"/>
          </v:shape>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6"/>
                <w:sz w:val="18"/>
              </w:rPr>
              <w:t> </w:t>
            </w:r>
            <w:r>
              <w:rPr>
                <w:rFonts w:ascii="Times New Roman"/>
                <w:spacing w:val="-3"/>
                <w:sz w:val="18"/>
              </w:rPr>
              <w:t>USA</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美国纽索卡尔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美国纽索卡尔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服装、投资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杭州美盛爱彼文 化发展有限公司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文化、贸易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杭州业盛实业有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浙江金钥匙儿童 用品有限公司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杭州美盛二次元 文化发展有限公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杭州美盛动漫有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动漫</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杭州美盛电子商 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杭州星梦工坊文 化创意有限公司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嵊州市美源饰品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嵊州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嵊州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饰品销售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杭州美盛游戏技 术开发有限公司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天津酷米网络科 技有限责任公司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视频、动漫</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40.10%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北京天天宽广网 络科技有限公司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视频、动漫</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深圳市同道大叔 文化传播有限公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北京陪我科技有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同道大叔 网络科技有限公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8.350pt;height:15.75pt;mso-position-horizontal-relative:char;mso-position-vertical-relative:line" coordorigin="0,0" coordsize="1367,315">
                  <v:group style="position:absolute;left:0;top:0;width:1367;height:315" coordorigin="0,0" coordsize="1367,315">
                    <v:shape style="position:absolute;left:0;top:0;width:1367;height:315" coordorigin="0,0" coordsize="1367,315" path="m0,315l1367,315,1367,0,0,0,0,315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厦门</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北京道仔文化传 媒有限公司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北京点石时代网 络技术有限公司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上海道仔文化发 展有限公司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自媒体平台服务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6"/>
                <w:sz w:val="18"/>
              </w:rPr>
              <w:t> </w:t>
            </w:r>
            <w:r>
              <w:rPr>
                <w:rFonts w:ascii="Times New Roman"/>
                <w:spacing w:val="3"/>
                <w:sz w:val="18"/>
              </w:rPr>
              <w:t>TIME</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14"/>
              <w:ind w:left="15" w:right="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GROUP</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LIMITED</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新骏丰实业有限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中山骏腾塑胶制 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中山市秉泰模具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丰骏塑胶科技有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中山骏得塑胶制 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新佳骏实业有限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中山骏福塑胶制 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骏丰电子工业有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中山骏明塑胶制 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骏丰投资发展有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台山骏雄玩具有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台山市骏盛玩具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台山市宝骏塑胶 制品有限公司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台山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协骏实业贸易有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珠海市协骏玩具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珠海市协骏贸易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玩具制造</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87"/>
              <w:ind w:left="15" w:right="235"/>
              <w:jc w:val="left"/>
              <w:rPr>
                <w:rFonts w:ascii="Times New Roman" w:hAnsi="Times New Roman" w:cs="Times New Roman" w:eastAsia="Times New Roman" w:hint="default"/>
                <w:sz w:val="18"/>
                <w:szCs w:val="18"/>
              </w:rPr>
            </w:pPr>
            <w:r>
              <w:rPr>
                <w:rFonts w:ascii="Times New Roman"/>
                <w:sz w:val="18"/>
              </w:rPr>
              <w:t>NEW</w:t>
            </w:r>
            <w:r>
              <w:rPr>
                <w:rFonts w:ascii="Times New Roman"/>
                <w:spacing w:val="-5"/>
                <w:sz w:val="18"/>
              </w:rPr>
              <w:t> </w:t>
            </w:r>
            <w:r>
              <w:rPr>
                <w:rFonts w:ascii="Times New Roman"/>
                <w:spacing w:val="3"/>
                <w:sz w:val="18"/>
              </w:rPr>
              <w:t>TIME</w:t>
            </w:r>
            <w:r>
              <w:rPr>
                <w:rFonts w:ascii="Times New Roman"/>
                <w:sz w:val="18"/>
              </w:rPr>
              <w:t> INDUSTRIAL</w:t>
            </w:r>
            <w:r>
              <w:rPr>
                <w:rFonts w:ascii="Times New Roman"/>
                <w:spacing w:val="-32"/>
                <w:sz w:val="18"/>
              </w:rPr>
              <w:t> </w:t>
            </w:r>
            <w:r>
              <w:rPr>
                <w:rFonts w:ascii="Times New Roman"/>
                <w:spacing w:val="-32"/>
                <w:sz w:val="18"/>
              </w:rPr>
            </w:r>
            <w:r>
              <w:rPr>
                <w:rFonts w:ascii="Times New Roman"/>
                <w:sz w:val="18"/>
              </w:rPr>
              <w:t>HOLDINGS</w:t>
            </w:r>
            <w:r>
              <w:rPr>
                <w:rFonts w:ascii="Times New Roman"/>
                <w:spacing w:val="-31"/>
                <w:sz w:val="18"/>
              </w:rPr>
              <w:t> </w:t>
            </w:r>
            <w:r>
              <w:rPr>
                <w:rFonts w:ascii="Times New Roman"/>
                <w:spacing w:val="-31"/>
                <w:sz w:val="18"/>
              </w:rPr>
            </w:r>
            <w:r>
              <w:rPr>
                <w:rFonts w:ascii="Times New Roman"/>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玩具销售</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8"/>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240" w:lineRule="auto" w:before="45"/>
        <w:ind w:right="0"/>
        <w:jc w:val="left"/>
      </w:pPr>
      <w:r>
        <w:rPr/>
        <w:t>在子公司的持股比例不同于表决权比例的说明：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ind w:right="2829"/>
        <w:jc w:val="left"/>
      </w:pPr>
      <w:r>
        <w:rPr/>
        <w:t>持有半数或以下表决权但仍控制被投资单位、以及持有半数以上表决权但不控制被投资单位的依据： 对于纳入合并范围的重要的结构化主体，控制的依据：</w:t>
      </w:r>
    </w:p>
    <w:p>
      <w:pPr>
        <w:pStyle w:val="BodyText"/>
        <w:spacing w:line="352" w:lineRule="auto" w:before="40"/>
        <w:ind w:right="7689"/>
        <w:jc w:val="left"/>
      </w:pPr>
      <w:r>
        <w:rPr/>
        <w:t>确定公司是代理人还是委托人的依据： 其他说明：</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bookmarkStart w:name="（2）重要的非全资子公司" w:id="459"/>
      <w:bookmarkEnd w:id="45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5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60"/>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60"/>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5"/>
              <w:jc w:val="center"/>
              <w:rPr>
                <w:rFonts w:ascii="宋体" w:hAnsi="宋体" w:cs="宋体" w:eastAsia="宋体" w:hint="default"/>
                <w:sz w:val="18"/>
                <w:szCs w:val="18"/>
              </w:rPr>
            </w:pPr>
            <w:r>
              <w:rPr>
                <w:rFonts w:ascii="宋体" w:hAnsi="宋体" w:cs="宋体" w:eastAsia="宋体" w:hint="default"/>
                <w:sz w:val="18"/>
                <w:szCs w:val="18"/>
              </w:rPr>
              <w:t>杭州业盛实业有限公司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-4,456,387.07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13,997,541.52</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天津酷米网络科技有限 责任公司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59.90%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-1,082,654.55</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2,173,298.77</w:t>
            </w:r>
          </w:p>
        </w:tc>
      </w:tr>
    </w:tbl>
    <w:p>
      <w:pPr>
        <w:pStyle w:val="BodyText"/>
        <w:spacing w:line="352" w:lineRule="auto"/>
        <w:ind w:right="6429"/>
        <w:jc w:val="left"/>
      </w:pPr>
      <w:r>
        <w:rPr/>
        <w:t>子公司少数股东的持股比例不同于表决权比例的说明： 其他说明：</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3）重要非全资子公司的主要财务信息" w:id="460"/>
      <w:bookmarkEnd w:id="46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04"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杭州业 盛实业 有限公 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62,119,9</w:t>
            </w:r>
          </w:p>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84.51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652,812.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62,772,7</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96.91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37,622,7</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30.59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37,622,7</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30.59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85,637,6</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59.99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1,612,93</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1.23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87,250,5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91.22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49,589,5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12.45</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49,589,5</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12.45</w:t>
            </w:r>
          </w:p>
        </w:tc>
      </w:tr>
      <w:tr>
        <w:trPr>
          <w:trHeight w:val="1652"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天津酷 米网络 科技有 限责任 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4,020,62</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9.45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151,804.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4,172,43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4.23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483,009.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483,009.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5,764,33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0.39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203,494.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5,967,82</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4.43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532,176.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15</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532,176.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left"/>
              <w:rPr>
                <w:rFonts w:ascii="宋体" w:hAnsi="宋体" w:cs="宋体" w:eastAsia="宋体" w:hint="default"/>
                <w:sz w:val="18"/>
                <w:szCs w:val="18"/>
              </w:rPr>
            </w:pPr>
            <w:r>
              <w:rPr>
                <w:rFonts w:ascii="宋体" w:hAnsi="宋体" w:cs="宋体" w:eastAsia="宋体" w:hint="default"/>
                <w:sz w:val="18"/>
                <w:szCs w:val="18"/>
              </w:rPr>
              <w:t>杭州业盛实 业有限公司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20,311,834.8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-12,511,158.4</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-12,511,158.4</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-4,702,402.12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34,854,670.6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-14,856,070.3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-14,856,070.3</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101,627.28</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天津酷米网 络科技有限 责任公司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565,999.58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628,867.48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-1,746,223.96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-2,725,352.02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1,074,771.72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-1,997,717.03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-1,997,717.03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-4,973,493.64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使用企业集团资产和清偿企业集团债务的重大限制" w:id="461"/>
      <w:bookmarkEnd w:id="46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62"/>
      <w:bookmarkEnd w:id="46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在子公司的所有者权益份额发生变化且仍控制子公司的交易" w:id="463"/>
      <w:bookmarkEnd w:id="46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在子公司所有者权益份额发生变化的情况说明" w:id="464"/>
      <w:bookmarkEnd w:id="46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65"/>
      <w:bookmarkEnd w:id="46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11"/>
        <w:rPr>
          <w:rFonts w:ascii="宋体" w:hAnsi="宋体" w:cs="宋体" w:eastAsia="宋体" w:hint="default"/>
          <w:sz w:val="7"/>
          <w:szCs w:val="7"/>
        </w:rPr>
      </w:pPr>
    </w:p>
    <w:p>
      <w:pPr>
        <w:spacing w:line="435" w:lineRule="exact"/>
        <w:ind w:left="12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85pt;height:21.75pt;mso-position-horizontal-relative:char;mso-position-vertical-relative:line" coordorigin="0,0" coordsize="9597,435">
            <v:group style="position:absolute;left:23;top:23;width:2;height:390" coordorigin="23,23" coordsize="2,390">
              <v:shape style="position:absolute;left:23;top:23;width:2;height:390" coordorigin="23,23" coordsize="0,390" path="m23,23l23,413e" filled="false" stroked="true" strokeweight=".75pt" strokecolor="#d2d2d2">
                <v:path arrowok="t"/>
              </v:shape>
            </v:group>
            <v:group style="position:absolute;left:4784;top:23;width:2;height:390" coordorigin="4784,23" coordsize="2,390">
              <v:shape style="position:absolute;left:4784;top:23;width:2;height:390" coordorigin="4784,23" coordsize="0,390" path="m4784,23l4784,413e" filled="false" stroked="true" strokeweight=".75pt" strokecolor="#d2d2d2">
                <v:path arrowok="t"/>
              </v:shape>
            </v:group>
            <v:group style="position:absolute;left:30;top:23;width:4746;height:390" coordorigin="30,23" coordsize="4746,390">
              <v:shape style="position:absolute;left:30;top:23;width:4746;height:390" coordorigin="30,23" coordsize="4746,390" path="m30,413l4776,413,4776,23,30,23,30,413xe" filled="true" fillcolor="#d2d2d2" stroked="false">
                <v:path arrowok="t"/>
                <v:fill type="solid"/>
              </v:shape>
            </v:group>
            <v:group style="position:absolute;left:4814;top:23;width:2;height:390" coordorigin="4814,23" coordsize="2,390">
              <v:shape style="position:absolute;left:4814;top:23;width:2;height:390" coordorigin="4814,23" coordsize="0,390" path="m4814,23l4814,413e" filled="false" stroked="true" strokeweight=".75pt" strokecolor="#d2d2d2">
                <v:path arrowok="t"/>
              </v:shape>
            </v:group>
            <v:group style="position:absolute;left:9574;top:23;width:2;height:390" coordorigin="9574,23" coordsize="2,390">
              <v:shape style="position:absolute;left:9574;top:23;width:2;height:390" coordorigin="9574,23" coordsize="0,390" path="m9574,23l9574,413e" filled="false" stroked="true" strokeweight=".75pt" strokecolor="#d2d2d2">
                <v:path arrowok="t"/>
              </v:shape>
            </v:group>
            <v:group style="position:absolute;left:4821;top:23;width:4746;height:390" coordorigin="4821,23" coordsize="4746,390">
              <v:shape style="position:absolute;left:4821;top:23;width:4746;height:390" coordorigin="4821,23" coordsize="4746,390" path="m4821,413l9567,413,9567,23,4821,23,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20" coordorigin="8,8" coordsize="2,420">
              <v:shape style="position:absolute;left:8;top:8;width:2;height:420" coordorigin="8,8" coordsize="0,420" path="m8,8l8,428e" filled="false" stroked="true" strokeweight=".75pt" strokecolor="#000000">
                <v:path arrowok="t"/>
              </v:shape>
            </v:group>
            <v:group style="position:absolute;left:15;top:420;width:4776;height:2" coordorigin="15,420" coordsize="4776,2">
              <v:shape style="position:absolute;left:15;top:420;width:4776;height:2" coordorigin="15,420" coordsize="4776,0" path="m15,420l4791,420e" filled="false" stroked="true" strokeweight=".75pt" strokecolor="#000000">
                <v:path arrowok="t"/>
              </v:shape>
            </v:group>
            <v:group style="position:absolute;left:4799;top:8;width:2;height:420" coordorigin="4799,8" coordsize="2,420">
              <v:shape style="position:absolute;left:4799;top:8;width:2;height:420" coordorigin="4799,8" coordsize="0,420" path="m4799,8l4799,428e" filled="false" stroked="true" strokeweight=".75pt" strokecolor="#000000">
                <v:path arrowok="t"/>
              </v:shape>
            </v:group>
            <v:group style="position:absolute;left:4806;top:420;width:4776;height:2" coordorigin="4806,420" coordsize="4776,2">
              <v:shape style="position:absolute;left:4806;top:420;width:4776;height:2" coordorigin="4806,420" coordsize="4776,0" path="m4806,420l9582,420e" filled="false" stroked="true" strokeweight=".75pt" strokecolor="#000000">
                <v:path arrowok="t"/>
              </v:shape>
            </v:group>
            <v:group style="position:absolute;left:9589;top:8;width:2;height:420" coordorigin="9589,8" coordsize="2,420">
              <v:shape style="position:absolute;left:9589;top:8;width:2;height:420" coordorigin="9589,8" coordsize="0,420" path="m9589,8l9589,428e" filled="false" stroked="true" strokeweight=".75pt" strokecolor="#000000">
                <v:path arrowok="t"/>
              </v:shape>
            </v:group>
          </v:group>
        </w:pict>
      </w:r>
      <w:r>
        <w:rPr>
          <w:rFonts w:ascii="宋体" w:hAnsi="宋体" w:cs="宋体" w:eastAsia="宋体" w:hint="default"/>
          <w:position w:val="-8"/>
          <w:sz w:val="20"/>
          <w:szCs w:val="20"/>
        </w:rPr>
      </w:r>
    </w:p>
    <w:p>
      <w:pPr>
        <w:pStyle w:val="BodyText"/>
        <w:spacing w:line="240" w:lineRule="auto" w:before="37"/>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在合营安排或联营企业中的权益" w:id="466"/>
      <w:bookmarkEnd w:id="46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1）重要的合营企业或联营企业" w:id="467"/>
      <w:bookmarkEnd w:id="46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6"/>
              <w:ind w:left="15" w:right="195"/>
              <w:jc w:val="left"/>
              <w:rPr>
                <w:rFonts w:ascii="Times New Roman" w:hAnsi="Times New Roman" w:cs="Times New Roman" w:eastAsia="Times New Roman" w:hint="default"/>
                <w:sz w:val="18"/>
                <w:szCs w:val="18"/>
              </w:rPr>
            </w:pPr>
            <w:r>
              <w:rPr>
                <w:rFonts w:ascii="Times New Roman"/>
                <w:spacing w:val="3"/>
                <w:sz w:val="18"/>
              </w:rPr>
              <w:t>JAKKS</w:t>
            </w:r>
            <w:r>
              <w:rPr>
                <w:rFonts w:ascii="Times New Roman"/>
                <w:spacing w:val="-9"/>
                <w:sz w:val="18"/>
              </w:rPr>
              <w:t> </w:t>
            </w:r>
            <w:r>
              <w:rPr>
                <w:rFonts w:ascii="Times New Roman"/>
                <w:spacing w:val="-3"/>
                <w:sz w:val="18"/>
              </w:rPr>
              <w:t>Pacific,</w:t>
            </w:r>
            <w:r>
              <w:rPr>
                <w:rFonts w:ascii="Times New Roman"/>
                <w:sz w:val="18"/>
              </w:rPr>
              <w:t> Inc.</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洛杉矶</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动漫产品销售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17.96%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互联网媒体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14.25%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ind w:right="0"/>
        <w:jc w:val="left"/>
      </w:pPr>
      <w:r>
        <w:rPr/>
        <w:t>在合营企业或联营企业的持股比例不同于表决权比例的说明：</w:t>
      </w:r>
    </w:p>
    <w:p>
      <w:pPr>
        <w:pStyle w:val="Heading5"/>
        <w:spacing w:line="259" w:lineRule="auto" w:before="90"/>
        <w:ind w:right="1091"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月，子公司香港美盛与</w:t>
      </w:r>
      <w:r>
        <w:rPr>
          <w:rFonts w:ascii="Times New Roman" w:hAnsi="Times New Roman" w:cs="Times New Roman" w:eastAsia="Times New Roman" w:hint="default"/>
          <w:spacing w:val="-2"/>
        </w:rPr>
        <w:t>Jakks</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
        </w:rPr>
        <w:t>Pacific</w:t>
      </w:r>
      <w:r>
        <w:rPr>
          <w:spacing w:val="-2"/>
        </w:rPr>
        <w:t>签订投资协议，约定以每股</w:t>
      </w:r>
      <w:r>
        <w:rPr>
          <w:rFonts w:ascii="Times New Roman" w:hAnsi="Times New Roman" w:cs="Times New Roman" w:eastAsia="Times New Roman" w:hint="default"/>
          <w:spacing w:val="-2"/>
        </w:rPr>
        <w:t>5.275</w:t>
      </w:r>
      <w:r>
        <w:rPr>
          <w:spacing w:val="-2"/>
        </w:rPr>
        <w:t>美元的价格现金认购</w:t>
      </w:r>
      <w:r>
        <w:rPr>
          <w:rFonts w:ascii="Times New Roman" w:hAnsi="Times New Roman" w:cs="Times New Roman" w:eastAsia="Times New Roman" w:hint="default"/>
          <w:spacing w:val="-2"/>
        </w:rPr>
        <w:t>Jakks</w:t>
      </w:r>
      <w:r>
        <w:rPr>
          <w:rFonts w:ascii="Times New Roman" w:hAnsi="Times New Roman" w:cs="Times New Roman" w:eastAsia="Times New Roman" w:hint="default"/>
          <w:w w:val="99"/>
        </w:rPr>
        <w:t> </w:t>
      </w:r>
      <w:r>
        <w:rPr>
          <w:rFonts w:ascii="Times New Roman" w:hAnsi="Times New Roman" w:cs="Times New Roman" w:eastAsia="Times New Roman" w:hint="default"/>
          <w:spacing w:val="-3"/>
        </w:rPr>
        <w:t>Pacific</w:t>
      </w:r>
      <w:r>
        <w:rPr>
          <w:rFonts w:ascii="Times New Roman" w:hAnsi="Times New Roman" w:cs="Times New Roman" w:eastAsia="Times New Roman" w:hint="default"/>
          <w:spacing w:val="-19"/>
        </w:rPr>
        <w:t> </w:t>
      </w:r>
      <w:r>
        <w:rPr>
          <w:spacing w:val="10"/>
        </w:rPr>
        <w:t>增发的普通股股票</w:t>
      </w:r>
      <w:r>
        <w:rPr>
          <w:rFonts w:ascii="Times New Roman" w:hAnsi="Times New Roman" w:cs="Times New Roman" w:eastAsia="Times New Roman" w:hint="default"/>
          <w:spacing w:val="10"/>
        </w:rPr>
        <w:t>3,660,891</w:t>
      </w:r>
      <w:r>
        <w:rPr>
          <w:spacing w:val="10"/>
        </w:rPr>
        <w:t>股。本次交易前，香</w:t>
      </w:r>
      <w:r>
        <w:rPr>
          <w:spacing w:val="-69"/>
        </w:rPr>
        <w:t> </w:t>
      </w:r>
      <w:r>
        <w:rPr>
          <w:spacing w:val="12"/>
        </w:rPr>
        <w:t>港美盛已在二级</w:t>
      </w:r>
      <w:r>
        <w:rPr>
          <w:spacing w:val="-69"/>
        </w:rPr>
        <w:t> </w:t>
      </w:r>
      <w:r>
        <w:rPr>
          <w:spacing w:val="11"/>
        </w:rPr>
        <w:t>市场上购入</w:t>
      </w:r>
      <w:r>
        <w:rPr>
          <w:rFonts w:ascii="Times New Roman" w:hAnsi="Times New Roman" w:cs="Times New Roman" w:eastAsia="Times New Roman" w:hint="default"/>
          <w:spacing w:val="11"/>
        </w:rPr>
        <w:t>Jakks</w:t>
      </w:r>
      <w:r>
        <w:rPr>
          <w:spacing w:val="11"/>
        </w:rPr>
        <w:t>普通股股票</w:t>
      </w:r>
      <w:r>
        <w:rPr>
          <w:spacing w:val="-96"/>
        </w:rPr>
        <w:t> </w:t>
      </w:r>
      <w:r>
        <w:rPr>
          <w:rFonts w:ascii="Times New Roman" w:hAnsi="Times New Roman" w:cs="Times New Roman" w:eastAsia="Times New Roman" w:hint="default"/>
        </w:rPr>
        <w:t>1,578,647</w:t>
      </w:r>
      <w:r>
        <w:rPr/>
        <w:t>股。本次交易完成后，香港美盛共持有</w:t>
      </w:r>
      <w:r>
        <w:rPr>
          <w:rFonts w:ascii="Times New Roman" w:hAnsi="Times New Roman" w:cs="Times New Roman" w:eastAsia="Times New Roman" w:hint="default"/>
        </w:rPr>
        <w:t>Jakks Pacific</w:t>
      </w:r>
      <w:r>
        <w:rPr/>
        <w:t>普通股股票</w:t>
      </w:r>
      <w:r>
        <w:rPr>
          <w:rFonts w:ascii="Times New Roman" w:hAnsi="Times New Roman" w:cs="Times New Roman" w:eastAsia="Times New Roman" w:hint="default"/>
        </w:rPr>
        <w:t>5,239,538</w:t>
      </w:r>
      <w:r>
        <w:rPr/>
        <w:t>股，占</w:t>
      </w:r>
      <w:r>
        <w:rPr>
          <w:rFonts w:ascii="Times New Roman" w:hAnsi="Times New Roman" w:cs="Times New Roman" w:eastAsia="Times New Roman" w:hint="default"/>
        </w:rPr>
        <w:t>Jakks</w:t>
      </w:r>
      <w:r>
        <w:rPr>
          <w:rFonts w:ascii="Times New Roman" w:hAnsi="Times New Roman" w:cs="Times New Roman" w:eastAsia="Times New Roman" w:hint="default"/>
          <w:spacing w:val="22"/>
        </w:rPr>
        <w:t> </w:t>
      </w:r>
      <w:r>
        <w:rPr>
          <w:rFonts w:ascii="Times New Roman" w:hAnsi="Times New Roman" w:cs="Times New Roman" w:eastAsia="Times New Roman" w:hint="default"/>
        </w:rPr>
        <w:t>Pacific</w:t>
      </w:r>
      <w:r>
        <w:rPr/>
        <w:t>发行 后股份总数的</w:t>
      </w:r>
      <w:r>
        <w:rPr>
          <w:rFonts w:ascii="Times New Roman" w:hAnsi="Times New Roman" w:cs="Times New Roman" w:eastAsia="Times New Roman" w:hint="default"/>
        </w:rPr>
        <w:t>19.50%</w:t>
      </w:r>
      <w:r>
        <w:rPr/>
        <w:t>。香港美盛向</w:t>
      </w:r>
      <w:r>
        <w:rPr>
          <w:rFonts w:ascii="Times New Roman" w:hAnsi="Times New Roman" w:cs="Times New Roman" w:eastAsia="Times New Roman" w:hint="default"/>
        </w:rPr>
        <w:t>Jakks Pacific</w:t>
      </w:r>
      <w:r>
        <w:rPr/>
        <w:t>派遣董事一名，因此，香港美盛能够对</w:t>
      </w:r>
      <w:r>
        <w:rPr>
          <w:rFonts w:ascii="Times New Roman" w:hAnsi="Times New Roman" w:cs="Times New Roman" w:eastAsia="Times New Roman" w:hint="default"/>
        </w:rPr>
        <w:t>Jakks</w:t>
      </w:r>
      <w:r>
        <w:rPr>
          <w:rFonts w:ascii="Times New Roman" w:hAnsi="Times New Roman" w:cs="Times New Roman" w:eastAsia="Times New Roman" w:hint="default"/>
          <w:spacing w:val="11"/>
        </w:rPr>
        <w:t> </w:t>
      </w:r>
      <w:r>
        <w:rPr>
          <w:rFonts w:ascii="Times New Roman" w:hAnsi="Times New Roman" w:cs="Times New Roman" w:eastAsia="Times New Roman" w:hint="default"/>
        </w:rPr>
        <w:t>Pacific</w:t>
      </w:r>
      <w:r>
        <w:rPr/>
        <w:t>董事会 实施重大影响。受</w:t>
      </w:r>
      <w:r>
        <w:rPr>
          <w:rFonts w:ascii="Times New Roman" w:hAnsi="Times New Roman" w:cs="Times New Roman" w:eastAsia="Times New Roman" w:hint="default"/>
        </w:rPr>
        <w:t>Jakks Pacific</w:t>
      </w:r>
      <w:r>
        <w:rPr/>
        <w:t>可转换债券转换及限制性股票行权影响，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月，公司持有</w:t>
      </w:r>
      <w:r>
        <w:rPr>
          <w:rFonts w:ascii="Times New Roman" w:hAnsi="Times New Roman" w:cs="Times New Roman" w:eastAsia="Times New Roman" w:hint="default"/>
        </w:rPr>
        <w:t>Jakks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4"/>
        </w:rPr>
        <w:t>Pacific</w:t>
      </w:r>
      <w:r>
        <w:rPr>
          <w:rFonts w:ascii="Times New Roman" w:hAnsi="Times New Roman" w:cs="Times New Roman" w:eastAsia="Times New Roman" w:hint="default"/>
        </w:rPr>
        <w:t> </w:t>
      </w:r>
      <w:r>
        <w:rPr/>
        <w:t>的股权变更为</w:t>
      </w:r>
      <w:r>
        <w:rPr>
          <w:rFonts w:ascii="Times New Roman" w:hAnsi="Times New Roman" w:cs="Times New Roman" w:eastAsia="Times New Roman" w:hint="default"/>
        </w:rPr>
        <w:t>17.96%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月，公司持有</w:t>
      </w:r>
      <w:r>
        <w:rPr>
          <w:rFonts w:ascii="Times New Roman" w:hAnsi="Times New Roman" w:cs="Times New Roman" w:eastAsia="Times New Roman" w:hint="default"/>
        </w:rPr>
        <w:t>Jakks Pacific</w:t>
      </w:r>
      <w:r>
        <w:rPr/>
        <w:t>的股权变更为</w:t>
      </w:r>
      <w:r>
        <w:rPr>
          <w:rFonts w:ascii="Times New Roman" w:hAnsi="Times New Roman" w:cs="Times New Roman" w:eastAsia="Times New Roman" w:hint="default"/>
        </w:rPr>
        <w:t>14.9%</w:t>
      </w:r>
      <w:r>
        <w:rPr/>
        <w:t>，公司持有该变动不改变公</w:t>
      </w:r>
      <w:r>
        <w:rPr>
          <w:spacing w:val="-95"/>
        </w:rPr>
        <w:t> </w:t>
      </w:r>
      <w:r>
        <w:rPr/>
        <w:t>司对</w:t>
      </w:r>
      <w:r>
        <w:rPr>
          <w:rFonts w:ascii="Times New Roman" w:hAnsi="Times New Roman" w:cs="Times New Roman" w:eastAsia="Times New Roman" w:hint="default"/>
        </w:rPr>
        <w:t>Jakks</w:t>
      </w:r>
      <w:r>
        <w:rPr>
          <w:rFonts w:ascii="Times New Roman" w:hAnsi="Times New Roman" w:cs="Times New Roman" w:eastAsia="Times New Roman" w:hint="default"/>
          <w:spacing w:val="2"/>
        </w:rPr>
        <w:t> </w:t>
      </w:r>
      <w:r>
        <w:rPr>
          <w:rFonts w:ascii="Times New Roman" w:hAnsi="Times New Roman" w:cs="Times New Roman" w:eastAsia="Times New Roman" w:hint="default"/>
        </w:rPr>
        <w:t>Pacific</w:t>
      </w:r>
      <w:r>
        <w:rPr/>
        <w:t>董事会的重大影响。</w:t>
      </w:r>
    </w:p>
    <w:p>
      <w:pPr>
        <w:pStyle w:val="BodyText"/>
        <w:spacing w:line="240" w:lineRule="auto" w:before="71"/>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18"/>
          <w:szCs w:val="18"/>
        </w:rPr>
      </w:pPr>
    </w:p>
    <w:p>
      <w:pPr>
        <w:pStyle w:val="Heading4"/>
        <w:spacing w:line="240" w:lineRule="auto" w:before="125"/>
        <w:ind w:right="0"/>
        <w:jc w:val="left"/>
        <w:rPr>
          <w:b w:val="0"/>
          <w:bCs w:val="0"/>
        </w:rPr>
      </w:pPr>
      <w:bookmarkStart w:name="（2）重要合营企业的主要财务信息" w:id="468"/>
      <w:bookmarkEnd w:id="46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3830"/>
        <w:gridCol w:w="3830"/>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0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06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3）重要联营企业的主要财务信息" w:id="469"/>
      <w:bookmarkEnd w:id="46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08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06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4"/>
                <w:sz w:val="18"/>
              </w:rPr>
              <w:t> </w:t>
            </w:r>
            <w:r>
              <w:rPr>
                <w:rFonts w:ascii="Times New Roman"/>
                <w:sz w:val="18"/>
              </w:rPr>
              <w:t>Inc.</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6"/>
                <w:sz w:val="18"/>
              </w:rPr>
              <w:t> </w:t>
            </w:r>
            <w:r>
              <w:rPr>
                <w:rFonts w:ascii="Times New Roman"/>
                <w:sz w:val="18"/>
              </w:rPr>
              <w:t>Inc.</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微媒互动</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1,816,497,837.00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90,446,480.72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1,716,781,437.60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141,016,530.55</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731,363,879.40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67,252,004.45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636,204,913.60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65,860,944.56</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2,547,861,716.40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157,698,485.17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2,352,986,351.20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206,877,475.11</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1,066,828,408.80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20,016,070.80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989,000,846.40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66,548,194.81</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1,449,612,502.80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632,957.68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1,009,508,088.00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632,957.68</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2,516,440,911.60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20,649,028.48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1,998,508,934.40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67,181,152.49</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8,447,125.09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-589,331.38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6,301,494.20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804,820.34</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22,973,679.71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137,638,788.07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348,175,922.60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138,891,502.28</w:t>
            </w:r>
          </w:p>
        </w:tc>
      </w:tr>
      <w:tr>
        <w:trPr>
          <w:trHeight w:val="72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75"/>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4,681,699.92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19,529,547.58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62,532,395.70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19,906,725.97</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5,493,029.62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48,331,985.32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5,493,029.62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48,331,985.32</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-1,954,171.77</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-13,210,057.66</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5"/>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68,529,363.20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52,861,195.89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68,926,393.09</w:t>
            </w:r>
          </w:p>
        </w:tc>
      </w:tr>
      <w:tr>
        <w:trPr>
          <w:trHeight w:val="7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5"/>
              <w:jc w:val="left"/>
              <w:rPr>
                <w:rFonts w:ascii="宋体" w:hAnsi="宋体" w:cs="宋体" w:eastAsia="宋体" w:hint="default"/>
                <w:sz w:val="18"/>
                <w:szCs w:val="18"/>
              </w:rPr>
            </w:pPr>
            <w:r>
              <w:rPr>
                <w:rFonts w:ascii="宋体" w:hAnsi="宋体" w:cs="宋体" w:eastAsia="宋体" w:hint="default"/>
                <w:sz w:val="18"/>
                <w:szCs w:val="18"/>
              </w:rPr>
              <w:t>存在公开报价的联营企 业权益投资的公允价值</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52,861,195.89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4,129,780,126.50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96,799,309.59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3,779,554,608.00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144,131,816.01</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-382,032,031.50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-2,646,865.93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-277,345,821.60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-5,521,803.76</w:t>
            </w:r>
            <w:r>
              <w:rPr>
                <w:rFonts w:ascii="Times New Roman"/>
                <w:sz w:val="18"/>
              </w:rPr>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37,700,302.50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-19,238,404.00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-344,331,729.00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-2,646,865.93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-296,584,225.60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-5,521,803.76</w:t>
            </w:r>
            <w:r>
              <w:rPr>
                <w:rFonts w:ascii="Times New Roman"/>
                <w:sz w:val="18"/>
              </w:rPr>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4）不重要的合营企业和联营企业的汇总财务信息" w:id="470"/>
      <w:bookmarkEnd w:id="47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18,422,353.76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20,042,935.55</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7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16"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-2,141,320.66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-1,439,837.28</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-210,674.25</w:t>
            </w:r>
            <w:r>
              <w:rPr>
                <w:rFonts w:ascii="Times New Roman"/>
                <w:sz w:val="18"/>
              </w:rPr>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-2,141,320.66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-1,650,511.53</w:t>
            </w:r>
            <w:r>
              <w:rPr>
                <w:rFonts w:ascii="Times New Roman"/>
                <w:sz w:val="18"/>
              </w:rPr>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5）合营企业或联营企业向本公司转移资金的能力存在重大限制的说明" w:id="471"/>
      <w:bookmarkEnd w:id="47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6）合营企业或联营企业发生的超额亏损" w:id="472"/>
      <w:bookmarkEnd w:id="47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6"/>
                <w:sz w:val="18"/>
              </w:rPr>
              <w:t> </w:t>
            </w:r>
            <w:r>
              <w:rPr>
                <w:rFonts w:ascii="Times New Roman"/>
                <w:sz w:val="18"/>
              </w:rPr>
              <w:t>Inc.</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1" w:right="0"/>
              <w:jc w:val="left"/>
              <w:rPr>
                <w:rFonts w:ascii="Times New Roman" w:hAnsi="Times New Roman" w:cs="Times New Roman" w:eastAsia="Times New Roman" w:hint="default"/>
                <w:sz w:val="18"/>
                <w:szCs w:val="18"/>
              </w:rPr>
            </w:pPr>
            <w:r>
              <w:rPr>
                <w:rFonts w:ascii="Times New Roman"/>
                <w:sz w:val="18"/>
              </w:rPr>
              <w:t>-4,061,576.80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66" w:right="0"/>
              <w:jc w:val="left"/>
              <w:rPr>
                <w:rFonts w:ascii="Times New Roman" w:hAnsi="Times New Roman" w:cs="Times New Roman" w:eastAsia="Times New Roman" w:hint="default"/>
                <w:sz w:val="18"/>
                <w:szCs w:val="18"/>
              </w:rPr>
            </w:pPr>
            <w:r>
              <w:rPr>
                <w:rFonts w:ascii="Times New Roman"/>
                <w:sz w:val="18"/>
              </w:rPr>
              <w:t>-4,061,576.80</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7）与合营企业投资相关的未确认承诺" w:id="473"/>
      <w:bookmarkEnd w:id="47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1"/>
        <w:rPr>
          <w:rFonts w:ascii="宋体" w:hAnsi="宋体" w:cs="宋体" w:eastAsia="宋体" w:hint="default"/>
          <w:b/>
          <w:bCs/>
          <w:sz w:val="24"/>
          <w:szCs w:val="24"/>
        </w:rPr>
      </w:pPr>
    </w:p>
    <w:p>
      <w:pPr>
        <w:pStyle w:val="Heading4"/>
        <w:spacing w:line="496" w:lineRule="auto"/>
        <w:ind w:right="6216"/>
        <w:jc w:val="left"/>
        <w:rPr>
          <w:b w:val="0"/>
          <w:bCs w:val="0"/>
        </w:rPr>
      </w:pPr>
      <w:bookmarkStart w:name="（8）与合营企业或联营企业投资相关的或有负债" w:id="474"/>
      <w:bookmarkEnd w:id="474"/>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75"/>
      <w:bookmarkEnd w:id="475"/>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3"/>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2" w:lineRule="auto"/>
        <w:ind w:right="5529"/>
        <w:jc w:val="left"/>
      </w:pPr>
      <w:r>
        <w:rPr/>
        <w:t>在共同经营中的持股比例或享有的份额不同于表决权比例的说明： 共同经营为单独主体的，分类为共同经营的依据：</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bookmarkStart w:name="5、在未纳入合并财务报表范围的结构化主体中的权益" w:id="476"/>
      <w:bookmarkEnd w:id="47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6、其他" w:id="477"/>
      <w:bookmarkEnd w:id="477"/>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78"/>
      <w:bookmarkEnd w:id="478"/>
      <w:r>
        <w:rPr>
          <w:b w:val="0"/>
          <w:bCs w:val="0"/>
        </w:rPr>
      </w:r>
      <w:r>
        <w:rPr/>
        <w:t>十、与金融工具相关的风险</w:t>
      </w:r>
      <w:r>
        <w:rPr>
          <w:b w:val="0"/>
          <w:bCs w:val="0"/>
        </w:rPr>
      </w:r>
    </w:p>
    <w:p>
      <w:pPr>
        <w:spacing w:line="240" w:lineRule="auto" w:before="6"/>
        <w:rPr>
          <w:rFonts w:ascii="宋体" w:hAnsi="宋体" w:cs="宋体" w:eastAsia="宋体" w:hint="default"/>
          <w:b/>
          <w:bCs/>
          <w:sz w:val="23"/>
          <w:szCs w:val="23"/>
        </w:rPr>
      </w:pPr>
    </w:p>
    <w:p>
      <w:pPr>
        <w:pStyle w:val="Heading5"/>
        <w:spacing w:line="276" w:lineRule="auto"/>
        <w:ind w:right="1083" w:firstLine="420"/>
        <w:jc w:val="both"/>
      </w:pPr>
      <w:r>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w:t>
      </w:r>
    </w:p>
    <w:p>
      <w:pPr>
        <w:spacing w:after="0" w:line="276"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6" w:lineRule="auto" w:before="35"/>
        <w:ind w:left="561" w:right="0" w:hanging="421"/>
        <w:jc w:val="left"/>
      </w:pPr>
      <w:r>
        <w:rPr/>
        <w:t>进行监督，将风险控制在限定的范围内。 本公司在日常活动中面临各种与金融工具相关的风险，主要包括信用风险、流动风险及市场风险。管</w:t>
      </w:r>
    </w:p>
    <w:p>
      <w:pPr>
        <w:pStyle w:val="Heading5"/>
        <w:spacing w:line="240" w:lineRule="auto" w:before="9"/>
        <w:ind w:right="0"/>
        <w:jc w:val="both"/>
      </w:pPr>
      <w:r>
        <w:rPr/>
        <w:t>理层已审议并批准管理这些风险的政策，概括如下。</w:t>
      </w:r>
    </w:p>
    <w:p>
      <w:pPr>
        <w:pStyle w:val="Heading5"/>
        <w:spacing w:line="259" w:lineRule="auto" w:before="25"/>
        <w:ind w:left="561" w:right="108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信用风险</w:t>
      </w:r>
      <w:r>
        <w:rPr>
          <w:spacing w:val="-101"/>
        </w:rPr>
        <w:t> </w:t>
      </w:r>
      <w:r>
        <w:rPr/>
        <w:t>本公司从事风险管理的目标是在风险和收益之间取得平衡，将风险对本公司经营业绩的负面影响降至</w:t>
      </w:r>
    </w:p>
    <w:p>
      <w:pPr>
        <w:pStyle w:val="Heading5"/>
        <w:spacing w:line="276" w:lineRule="auto" w:before="24"/>
        <w:ind w:right="1088"/>
        <w:jc w:val="both"/>
      </w:pPr>
      <w:r>
        <w:rPr/>
        <w:t>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Heading5"/>
        <w:spacing w:line="276" w:lineRule="auto"/>
        <w:ind w:right="0" w:firstLine="420"/>
        <w:jc w:val="left"/>
      </w:pPr>
      <w:r>
        <w:rPr/>
        <w:t>本公司在日常活动中面临各种与金融工具相关的风险，主要包括信用风险、流动风险及市场风险。管 理层已审议并批准管理这些风险的政策，概括如下。</w:t>
      </w:r>
    </w:p>
    <w:p>
      <w:pPr>
        <w:pStyle w:val="Heading5"/>
        <w:spacing w:line="259" w:lineRule="auto" w:before="8"/>
        <w:ind w:left="561" w:right="264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信用风险</w:t>
      </w:r>
      <w:r>
        <w:rPr>
          <w:spacing w:val="-101"/>
        </w:rPr>
        <w:t> </w:t>
      </w:r>
      <w:r>
        <w:rPr/>
        <w:t>信用风险，是指金融工具的一方不能履行义务，造成另一方发生财务损失的风险。</w:t>
      </w:r>
    </w:p>
    <w:p>
      <w:pPr>
        <w:pStyle w:val="Heading5"/>
        <w:spacing w:line="240" w:lineRule="auto" w:before="24"/>
        <w:ind w:left="561" w:right="0"/>
        <w:jc w:val="left"/>
      </w:pPr>
      <w:r>
        <w:rPr>
          <w:spacing w:val="-3"/>
        </w:rPr>
        <w:t>本公司的信用风险主要来自银行存款和应收款项。为控制上述相关风险，本公司分别采取了以下措施。</w:t>
      </w:r>
    </w:p>
    <w:p>
      <w:pPr>
        <w:pStyle w:val="Heading5"/>
        <w:spacing w:line="268" w:lineRule="auto" w:before="25"/>
        <w:ind w:left="561" w:right="36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应收款项</w:t>
      </w:r>
    </w:p>
    <w:p>
      <w:pPr>
        <w:pStyle w:val="Heading5"/>
        <w:spacing w:line="276" w:lineRule="auto"/>
        <w:ind w:right="0" w:firstLine="420"/>
        <w:jc w:val="left"/>
      </w:pPr>
      <w:r>
        <w:rPr>
          <w:spacing w:val="-1"/>
        </w:rPr>
        <w:t>本公司持续对采用信用方式交易的客户进行信用评估。根据信用评估结果，本公司选择与经认可的且</w:t>
      </w:r>
      <w:r>
        <w:rPr/>
        <w:t> 信用良好的客户进行交易，并对其应收款项余额进行监控，以确保本公司不会面临重大坏账风险。</w:t>
      </w:r>
    </w:p>
    <w:p>
      <w:pPr>
        <w:pStyle w:val="Heading5"/>
        <w:spacing w:line="259" w:lineRule="auto"/>
        <w:ind w:right="0" w:firstLine="420"/>
        <w:jc w:val="left"/>
      </w:pPr>
      <w:r>
        <w:rPr>
          <w:spacing w:val="-1"/>
        </w:rPr>
        <w:t>由于本公司的应收账款风险点分布于多个合作方和多个客户，截至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r>
        <w:rPr/>
        <w:t> 的</w:t>
      </w:r>
      <w:r>
        <w:rPr>
          <w:rFonts w:ascii="Times New Roman" w:hAnsi="Times New Roman" w:cs="Times New Roman" w:eastAsia="Times New Roman" w:hint="default"/>
        </w:rPr>
        <w:t>42.18%</w:t>
      </w:r>
      <w:r>
        <w:rPr/>
        <w:t>源于余额前五名客户，本公司应收账款不存在重大的信用集中风险。</w:t>
      </w:r>
    </w:p>
    <w:p>
      <w:pPr>
        <w:pStyle w:val="Heading5"/>
        <w:spacing w:line="259" w:lineRule="auto" w:before="6"/>
        <w:ind w:right="0" w:firstLine="42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日，公司应收美盛控股的款项余额为</w:t>
      </w:r>
      <w:r>
        <w:rPr>
          <w:rFonts w:ascii="Times New Roman" w:hAnsi="Times New Roman" w:cs="Times New Roman" w:eastAsia="Times New Roman" w:hint="default"/>
        </w:rPr>
        <w:t>62,031,579.70</w:t>
      </w:r>
      <w:r>
        <w:rPr/>
        <w:t>元，占公司全部其他应收款项余 额的</w:t>
      </w:r>
      <w:r>
        <w:rPr>
          <w:rFonts w:ascii="Times New Roman" w:hAnsi="Times New Roman" w:cs="Times New Roman" w:eastAsia="Times New Roman" w:hint="default"/>
        </w:rPr>
        <w:t>80.67%</w:t>
      </w:r>
      <w:r>
        <w:rPr/>
        <w:t>。公司其他应收款存在重大的信用集中风险。</w:t>
      </w:r>
    </w:p>
    <w:p>
      <w:pPr>
        <w:spacing w:line="240" w:lineRule="auto" w:before="6"/>
        <w:rPr>
          <w:rFonts w:ascii="宋体" w:hAnsi="宋体" w:cs="宋体" w:eastAsia="宋体" w:hint="default"/>
          <w:sz w:val="23"/>
          <w:szCs w:val="23"/>
        </w:rPr>
      </w:pPr>
    </w:p>
    <w:p>
      <w:pPr>
        <w:pStyle w:val="Heading5"/>
        <w:spacing w:line="259" w:lineRule="auto"/>
        <w:ind w:left="561"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流动风险</w:t>
      </w:r>
      <w:r>
        <w:rPr>
          <w:spacing w:val="-101"/>
        </w:rPr>
        <w:t> </w:t>
      </w:r>
      <w:r>
        <w:rPr/>
        <w:t>流动风险，是指本公司在履行以交付现金或其他金融资产的方式结算的义务时发生资金短缺的风险。</w:t>
      </w:r>
    </w:p>
    <w:p>
      <w:pPr>
        <w:pStyle w:val="Heading5"/>
        <w:spacing w:line="276" w:lineRule="auto" w:before="23"/>
        <w:ind w:right="1114"/>
        <w:jc w:val="both"/>
      </w:pPr>
      <w:r>
        <w:rPr>
          <w:spacing w:val="-1"/>
        </w:rPr>
        <w:t>流动风险可能源于无法尽快以公允价值售出金融资产；或者源于对方无法偿还其合同债务；或者源于提前</w:t>
      </w:r>
      <w:r>
        <w:rPr>
          <w:spacing w:val="-91"/>
        </w:rPr>
        <w:t> </w:t>
      </w:r>
      <w:r>
        <w:rPr>
          <w:spacing w:val="-91"/>
        </w:rPr>
      </w:r>
      <w:r>
        <w:rPr/>
        <w:t>到期的债务；或者源于无法产生预期的现金流量。</w:t>
      </w:r>
    </w:p>
    <w:p>
      <w:pPr>
        <w:pStyle w:val="Heading5"/>
        <w:spacing w:line="240" w:lineRule="auto" w:before="24"/>
        <w:ind w:left="561" w:right="0"/>
        <w:jc w:val="left"/>
      </w:pPr>
      <w:r>
        <w:rPr/>
        <w:t>金融负债按剩余到期日分类</w:t>
      </w:r>
    </w:p>
    <w:p>
      <w:pPr>
        <w:spacing w:line="240" w:lineRule="auto" w:before="1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952"/>
        <w:gridCol w:w="1562"/>
        <w:gridCol w:w="1562"/>
        <w:gridCol w:w="1412"/>
        <w:gridCol w:w="1291"/>
        <w:gridCol w:w="954"/>
      </w:tblGrid>
      <w:tr>
        <w:trPr>
          <w:trHeight w:val="353" w:hRule="exact"/>
        </w:trPr>
        <w:tc>
          <w:tcPr>
            <w:tcW w:w="1952" w:type="dxa"/>
            <w:vMerge w:val="restart"/>
            <w:tcBorders>
              <w:top w:val="single" w:sz="6" w:space="0" w:color="000000"/>
              <w:left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目</w:t>
            </w:r>
          </w:p>
        </w:tc>
        <w:tc>
          <w:tcPr>
            <w:tcW w:w="678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5" w:hRule="exact"/>
        </w:trPr>
        <w:tc>
          <w:tcPr>
            <w:tcW w:w="1952" w:type="dxa"/>
            <w:vMerge/>
            <w:tcBorders>
              <w:left w:val="single" w:sz="6" w:space="0" w:color="000000"/>
              <w:bottom w:val="single" w:sz="12" w:space="0" w:color="000000"/>
              <w:right w:val="single" w:sz="6" w:space="0" w:color="000000"/>
            </w:tcBorders>
          </w:tcPr>
          <w:p>
            <w:pP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6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312,298,774.42</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312,298,774.42</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312,298,774.42</w:t>
            </w:r>
          </w:p>
        </w:tc>
        <w:tc>
          <w:tcPr>
            <w:tcW w:w="1291" w:type="dxa"/>
            <w:tcBorders>
              <w:top w:val="single" w:sz="12" w:space="0" w:color="000000"/>
              <w:left w:val="single" w:sz="6" w:space="0" w:color="000000"/>
              <w:bottom w:val="single" w:sz="12" w:space="0" w:color="000000"/>
              <w:right w:val="single" w:sz="6" w:space="0" w:color="000000"/>
            </w:tcBorders>
          </w:tcPr>
          <w:p>
            <w:pPr/>
          </w:p>
        </w:tc>
        <w:tc>
          <w:tcPr>
            <w:tcW w:w="954"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134,959,406.91</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134,959,406.91</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134,959,406.91</w:t>
            </w:r>
          </w:p>
        </w:tc>
        <w:tc>
          <w:tcPr>
            <w:tcW w:w="1291" w:type="dxa"/>
            <w:tcBorders>
              <w:top w:val="single" w:sz="12" w:space="0" w:color="000000"/>
              <w:left w:val="single" w:sz="6" w:space="0" w:color="000000"/>
              <w:bottom w:val="single" w:sz="12" w:space="0" w:color="000000"/>
              <w:right w:val="single" w:sz="6" w:space="0" w:color="000000"/>
            </w:tcBorders>
          </w:tcPr>
          <w:p>
            <w:pPr/>
          </w:p>
        </w:tc>
        <w:tc>
          <w:tcPr>
            <w:tcW w:w="954"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11,238,940.24</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11,238,940.24</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11,238,940.24</w:t>
            </w:r>
          </w:p>
        </w:tc>
        <w:tc>
          <w:tcPr>
            <w:tcW w:w="1291" w:type="dxa"/>
            <w:tcBorders>
              <w:top w:val="single" w:sz="12" w:space="0" w:color="000000"/>
              <w:left w:val="single" w:sz="6" w:space="0" w:color="000000"/>
              <w:bottom w:val="single" w:sz="12" w:space="0" w:color="000000"/>
              <w:right w:val="single" w:sz="6" w:space="0" w:color="000000"/>
            </w:tcBorders>
          </w:tcPr>
          <w:p>
            <w:pPr/>
          </w:p>
        </w:tc>
        <w:tc>
          <w:tcPr>
            <w:tcW w:w="954" w:type="dxa"/>
            <w:tcBorders>
              <w:top w:val="single" w:sz="12" w:space="0" w:color="000000"/>
              <w:left w:val="single" w:sz="6" w:space="0" w:color="000000"/>
              <w:bottom w:val="single" w:sz="12" w:space="0" w:color="000000"/>
              <w:right w:val="nil" w:sz="6" w:space="0" w:color="auto"/>
            </w:tcBorders>
          </w:tcPr>
          <w:p>
            <w:pPr/>
          </w:p>
        </w:tc>
      </w:tr>
      <w:tr>
        <w:trPr>
          <w:trHeight w:val="345"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9"/>
                <w:sz w:val="18"/>
                <w:szCs w:val="18"/>
              </w:rPr>
              <w:t> </w:t>
            </w:r>
            <w:r>
              <w:rPr>
                <w:rFonts w:ascii="宋体" w:hAnsi="宋体" w:cs="宋体" w:eastAsia="宋体" w:hint="default"/>
                <w:sz w:val="18"/>
                <w:szCs w:val="18"/>
              </w:rPr>
              <w:t>计</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458,497,121.57</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458,497,121.57</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458,497,121.57</w:t>
            </w:r>
          </w:p>
        </w:tc>
        <w:tc>
          <w:tcPr>
            <w:tcW w:w="1291" w:type="dxa"/>
            <w:tcBorders>
              <w:top w:val="single" w:sz="12" w:space="0" w:color="000000"/>
              <w:left w:val="single" w:sz="6" w:space="0" w:color="000000"/>
              <w:bottom w:val="single" w:sz="12" w:space="0" w:color="000000"/>
              <w:right w:val="single" w:sz="6" w:space="0" w:color="000000"/>
            </w:tcBorders>
          </w:tcPr>
          <w:p>
            <w:pPr/>
          </w:p>
        </w:tc>
        <w:tc>
          <w:tcPr>
            <w:tcW w:w="954" w:type="dxa"/>
            <w:tcBorders>
              <w:top w:val="single" w:sz="12" w:space="0" w:color="000000"/>
              <w:left w:val="single" w:sz="6" w:space="0" w:color="000000"/>
              <w:bottom w:val="single" w:sz="12" w:space="0" w:color="000000"/>
              <w:right w:val="nil" w:sz="6" w:space="0" w:color="auto"/>
            </w:tcBorders>
          </w:tcPr>
          <w:p>
            <w:pPr/>
          </w:p>
        </w:tc>
      </w:tr>
    </w:tbl>
    <w:p>
      <w:pPr>
        <w:pStyle w:val="Heading5"/>
        <w:spacing w:line="270" w:lineRule="exact"/>
        <w:ind w:left="561"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952"/>
        <w:gridCol w:w="1562"/>
        <w:gridCol w:w="1562"/>
        <w:gridCol w:w="1412"/>
        <w:gridCol w:w="1276"/>
        <w:gridCol w:w="969"/>
      </w:tblGrid>
      <w:tr>
        <w:trPr>
          <w:trHeight w:val="353" w:hRule="exact"/>
        </w:trPr>
        <w:tc>
          <w:tcPr>
            <w:tcW w:w="1952" w:type="dxa"/>
            <w:vMerge w:val="restart"/>
            <w:tcBorders>
              <w:top w:val="single" w:sz="6" w:space="0" w:color="000000"/>
              <w:left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目</w:t>
            </w:r>
          </w:p>
        </w:tc>
        <w:tc>
          <w:tcPr>
            <w:tcW w:w="6781"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952" w:type="dxa"/>
            <w:vMerge/>
            <w:tcBorders>
              <w:left w:val="single" w:sz="6" w:space="0" w:color="000000"/>
              <w:bottom w:val="single" w:sz="12" w:space="0" w:color="000000"/>
              <w:right w:val="single" w:sz="6" w:space="0" w:color="000000"/>
            </w:tcBorders>
          </w:tcPr>
          <w:p>
            <w:pP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5"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558,905,600.00</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579,984,881.39</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509,353,131.39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70,631,750.00</w:t>
            </w:r>
          </w:p>
        </w:tc>
        <w:tc>
          <w:tcPr>
            <w:tcW w:w="9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应付票据及应付帐款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138,619,274.22</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138,619,274.22</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138,619,274.22</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969" w:type="dxa"/>
            <w:tcBorders>
              <w:top w:val="single" w:sz="12" w:space="0" w:color="000000"/>
              <w:left w:val="single" w:sz="6" w:space="0" w:color="000000"/>
              <w:bottom w:val="single" w:sz="12" w:space="0" w:color="000000"/>
              <w:right w:val="nil" w:sz="6" w:space="0" w:color="auto"/>
            </w:tcBorders>
          </w:tcPr>
          <w:p>
            <w:pPr/>
          </w:p>
        </w:tc>
      </w:tr>
      <w:tr>
        <w:trPr>
          <w:trHeight w:val="346"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32,285,289.25</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32,285,289.25</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32,285,289.25</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969" w:type="dxa"/>
            <w:tcBorders>
              <w:top w:val="single" w:sz="12" w:space="0" w:color="000000"/>
              <w:left w:val="single" w:sz="6" w:space="0" w:color="000000"/>
              <w:bottom w:val="single" w:sz="12" w:space="0" w:color="000000"/>
              <w:right w:val="nil" w:sz="6" w:space="0" w:color="auto"/>
            </w:tcBorders>
          </w:tcPr>
          <w:p>
            <w:pPr/>
          </w:p>
        </w:tc>
      </w:tr>
      <w:tr>
        <w:trPr>
          <w:trHeight w:val="36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9"/>
                <w:sz w:val="18"/>
                <w:szCs w:val="18"/>
              </w:rPr>
              <w:t> </w:t>
            </w:r>
            <w:r>
              <w:rPr>
                <w:rFonts w:ascii="宋体" w:hAnsi="宋体" w:cs="宋体" w:eastAsia="宋体" w:hint="default"/>
                <w:sz w:val="18"/>
                <w:szCs w:val="18"/>
              </w:rPr>
              <w:t>计</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729,810,163.47</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750,889,444.86</w:t>
            </w:r>
          </w:p>
        </w:tc>
        <w:tc>
          <w:tcPr>
            <w:tcW w:w="1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680,257,694.86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70,631,750.00</w:t>
            </w:r>
          </w:p>
        </w:tc>
        <w:tc>
          <w:tcPr>
            <w:tcW w:w="969" w:type="dxa"/>
            <w:tcBorders>
              <w:top w:val="single" w:sz="12" w:space="0" w:color="000000"/>
              <w:left w:val="single" w:sz="6" w:space="0" w:color="000000"/>
              <w:bottom w:val="single" w:sz="12" w:space="0" w:color="000000"/>
              <w:right w:val="nil" w:sz="6" w:space="0" w:color="auto"/>
            </w:tcBorders>
          </w:tcPr>
          <w:p>
            <w:pPr/>
          </w:p>
        </w:tc>
      </w:tr>
    </w:tbl>
    <w:p>
      <w:pPr>
        <w:pStyle w:val="Heading5"/>
        <w:spacing w:line="271" w:lineRule="exact"/>
        <w:ind w:left="561"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市场风险</w:t>
      </w:r>
    </w:p>
    <w:p>
      <w:pPr>
        <w:spacing w:after="0" w:line="271" w:lineRule="exact"/>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76" w:lineRule="auto" w:before="35"/>
        <w:ind w:right="0" w:firstLine="420"/>
        <w:jc w:val="left"/>
      </w:pPr>
      <w:r>
        <w:rPr>
          <w:spacing w:val="-1"/>
        </w:rPr>
        <w:t>市场风险，是指金融工具的公允价值或未来现金流量因市场价格变动而发生波动的风险。市场风险主</w:t>
      </w:r>
      <w:r>
        <w:rPr/>
        <w:t> 要包括利率风险和外汇风险。</w:t>
      </w:r>
    </w:p>
    <w:p>
      <w:pPr>
        <w:pStyle w:val="Heading5"/>
        <w:spacing w:line="247" w:lineRule="auto" w:before="9"/>
        <w:ind w:left="561"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利率风险 </w:t>
      </w:r>
      <w:r>
        <w:rPr>
          <w:spacing w:val="-1"/>
        </w:rPr>
        <w:t>利率风险，是指金融工具的公允价值或未来现金流量因市场利率变动而发生波动的风险。本公司借款</w:t>
      </w:r>
    </w:p>
    <w:p>
      <w:pPr>
        <w:pStyle w:val="Heading5"/>
        <w:spacing w:line="240" w:lineRule="auto" w:before="34"/>
        <w:ind w:right="0"/>
        <w:jc w:val="left"/>
      </w:pPr>
      <w:r>
        <w:rPr/>
        <w:t>均为固定利率借款，不存在利率风险。</w:t>
      </w:r>
    </w:p>
    <w:p>
      <w:pPr>
        <w:pStyle w:val="Heading5"/>
        <w:spacing w:line="259" w:lineRule="auto" w:before="40"/>
        <w:ind w:left="561"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外汇风险 </w:t>
      </w:r>
      <w:r>
        <w:rPr>
          <w:spacing w:val="-1"/>
        </w:rPr>
        <w:t>外汇风险，是指金融工具的公允价值或未来现金流量因外汇汇率变动而发生波动的风险。本公司面临</w:t>
      </w:r>
    </w:p>
    <w:p>
      <w:pPr>
        <w:pStyle w:val="Heading5"/>
        <w:spacing w:line="261" w:lineRule="auto" w:before="23"/>
        <w:ind w:right="0"/>
        <w:jc w:val="left"/>
      </w:pPr>
      <w:r>
        <w:rPr>
          <w:spacing w:val="-1"/>
        </w:rPr>
        <w:t>的汇率变动的风险主要与本公司外币货币性资产和负债有关。对于外币资产和负债，如果出现短期的失衡</w:t>
      </w:r>
      <w:r>
        <w:rPr>
          <w:spacing w:val="-91"/>
        </w:rPr>
        <w:t> </w:t>
      </w:r>
      <w:r>
        <w:rPr>
          <w:spacing w:val="-91"/>
        </w:rPr>
      </w:r>
      <w:r>
        <w:rPr/>
        <w:t>情况，本公司会在必要时按市场汇率买卖外币，以确保将净风险敞口维持在可接受的水平。</w:t>
      </w:r>
    </w:p>
    <w:p>
      <w:pPr>
        <w:pStyle w:val="Heading5"/>
        <w:spacing w:line="276" w:lineRule="auto" w:before="22"/>
        <w:ind w:right="1089" w:firstLine="420"/>
        <w:jc w:val="left"/>
      </w:pPr>
      <w:r>
        <w:rPr/>
        <w:t>本公司期末外币货币性资产和负债情况见本财务报表附注合并财务报表项目注释五、合并财务报表重 要项目注释（五十）外币货币性项目。</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bookmarkStart w:name="十一、公允价值的披露" w:id="479"/>
      <w:bookmarkEnd w:id="479"/>
      <w:r>
        <w:rPr>
          <w:b w:val="0"/>
          <w:bCs w:val="0"/>
        </w:rPr>
      </w:r>
      <w:r>
        <w:rPr/>
        <w:t>十一、公允价值的披露</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以公允价值计量的资产和负债的期末公允价值" w:id="480"/>
      <w:bookmarkEnd w:id="48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6"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05"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841" w:right="0"/>
              <w:jc w:val="left"/>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721"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pacing w:val="-5"/>
                <w:sz w:val="18"/>
                <w:szCs w:val="18"/>
              </w:rPr>
              <w:t>（八）其他非流动金融资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5,771,342.37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5,771,342.37</w:t>
            </w:r>
          </w:p>
        </w:tc>
      </w:tr>
      <w:tr>
        <w:trPr>
          <w:trHeight w:val="7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81"/>
      <w:bookmarkEnd w:id="48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3"/>
          <w:szCs w:val="23"/>
        </w:rPr>
      </w:pPr>
    </w:p>
    <w:p>
      <w:pPr>
        <w:pStyle w:val="Heading5"/>
        <w:spacing w:line="276" w:lineRule="auto"/>
        <w:ind w:right="0" w:firstLine="420"/>
        <w:jc w:val="left"/>
      </w:pPr>
      <w:r>
        <w:rPr>
          <w:spacing w:val="4"/>
        </w:rPr>
        <w:t>持续和非持续第一层次公允价值计量项目为本公司向汇丰银行购买的美元收益基金和亚洲债券基金</w:t>
      </w:r>
      <w:r>
        <w:rPr/>
        <w:t> 以及向浙江合益智信投资管理有限责任公司购买的合宜智信弘益一号</w:t>
      </w:r>
      <w:r>
        <w:rPr>
          <w:rFonts w:ascii="Times New Roman" w:hAnsi="Times New Roman" w:cs="Times New Roman" w:eastAsia="Times New Roman" w:hint="default"/>
        </w:rPr>
        <w:t>1</w:t>
      </w:r>
      <w:r>
        <w:rPr/>
        <w:t>期私募证券投资基金。</w:t>
      </w:r>
    </w:p>
    <w:p>
      <w:pPr>
        <w:pStyle w:val="Heading5"/>
        <w:spacing w:line="280" w:lineRule="exact"/>
        <w:ind w:left="561" w:right="0"/>
        <w:jc w:val="left"/>
      </w:pPr>
      <w:r>
        <w:rPr/>
        <w:t>采用的估值技术方法：期末，上述金融资产存在活跃市场报价，公司确认公允价值变动</w:t>
      </w:r>
      <w:r>
        <w:rPr>
          <w:rFonts w:ascii="Times New Roman" w:hAnsi="Times New Roman" w:cs="Times New Roman" w:eastAsia="Times New Roman" w:hint="default"/>
        </w:rPr>
        <w:t>201,303.20</w:t>
      </w:r>
      <w:r>
        <w:rPr/>
        <w:t>元。</w:t>
      </w:r>
    </w:p>
    <w:p>
      <w:pPr>
        <w:spacing w:after="0" w:line="280" w:lineRule="exact"/>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3、持续和非持续第二层次公允价值计量项目，采用的估值技术和重要参数的定性及定量信" w:id="482"/>
      <w:bookmarkEnd w:id="48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83"/>
      <w:bookmarkEnd w:id="48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84"/>
      <w:bookmarkEnd w:id="48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85"/>
      <w:bookmarkEnd w:id="48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86"/>
      <w:bookmarkEnd w:id="48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8、不以公允价值计量的金融资产和金融负债的公允价值情况" w:id="487"/>
      <w:bookmarkEnd w:id="48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4"/>
          <w:szCs w:val="24"/>
        </w:rPr>
      </w:pPr>
    </w:p>
    <w:p>
      <w:pPr>
        <w:spacing w:line="489" w:lineRule="auto" w:before="0"/>
        <w:ind w:left="141" w:right="8098" w:firstLine="0"/>
        <w:jc w:val="left"/>
        <w:rPr>
          <w:rFonts w:ascii="宋体" w:hAnsi="宋体" w:cs="宋体" w:eastAsia="宋体" w:hint="default"/>
          <w:sz w:val="21"/>
          <w:szCs w:val="21"/>
        </w:rPr>
      </w:pPr>
      <w:bookmarkStart w:name="9、其他" w:id="488"/>
      <w:bookmarkEnd w:id="48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89"/>
      <w:bookmarkEnd w:id="489"/>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90"/>
      <w:bookmarkEnd w:id="490"/>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美盛控股集团有限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浙江省绍兴市</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 </w:t>
            </w:r>
            <w:r>
              <w:rPr>
                <w:rFonts w:ascii="宋体" w:hAnsi="宋体" w:cs="宋体" w:eastAsia="宋体" w:hint="default"/>
                <w:sz w:val="18"/>
                <w:szCs w:val="18"/>
              </w:rPr>
              <w:t>万元</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33.67%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33.67%</w:t>
            </w:r>
          </w:p>
        </w:tc>
      </w:tr>
    </w:tbl>
    <w:p>
      <w:pPr>
        <w:pStyle w:val="BodyText"/>
        <w:spacing w:line="240" w:lineRule="auto"/>
        <w:ind w:right="0"/>
        <w:jc w:val="left"/>
      </w:pPr>
      <w:r>
        <w:rPr/>
        <w:t>本企业的母公司情况的说明</w:t>
      </w:r>
    </w:p>
    <w:p>
      <w:pPr>
        <w:pStyle w:val="Heading5"/>
        <w:spacing w:line="268" w:lineRule="auto" w:before="90"/>
        <w:ind w:right="1085" w:firstLine="420"/>
        <w:jc w:val="both"/>
      </w:pPr>
      <w:r>
        <w:rPr/>
        <w:t>美盛控股主要从事实业投资、资产管理咨询、项目投资咨询、房地产开发等业务。美盛控股由赵小强 持股</w:t>
      </w:r>
      <w:r>
        <w:rPr>
          <w:rFonts w:ascii="Times New Roman" w:hAnsi="Times New Roman" w:cs="Times New Roman" w:eastAsia="Times New Roman" w:hint="default"/>
        </w:rPr>
        <w:t>80%</w:t>
      </w:r>
      <w:r>
        <w:rPr/>
        <w:t>，由其配偶石炜萍持</w:t>
      </w:r>
      <w:r>
        <w:rPr>
          <w:rFonts w:ascii="Times New Roman" w:hAnsi="Times New Roman" w:cs="Times New Roman" w:eastAsia="Times New Roman" w:hint="default"/>
        </w:rPr>
        <w:t>20%</w:t>
      </w:r>
      <w:r>
        <w:rPr/>
        <w:t>。此外，赵小强直接持有本公司股份</w:t>
      </w:r>
      <w:r>
        <w:rPr>
          <w:rFonts w:ascii="Times New Roman" w:hAnsi="Times New Roman" w:cs="Times New Roman" w:eastAsia="Times New Roman" w:hint="default"/>
        </w:rPr>
        <w:t>187,587,162</w:t>
      </w:r>
      <w:r>
        <w:rPr/>
        <w:t>股。因此，本公司最终</w:t>
      </w:r>
      <w:r>
        <w:rPr>
          <w:spacing w:val="-70"/>
        </w:rPr>
        <w:t> </w:t>
      </w:r>
      <w:r>
        <w:rPr/>
        <w:t>控制方是赵小强先生。</w:t>
      </w:r>
    </w:p>
    <w:p>
      <w:pPr>
        <w:pStyle w:val="BodyText"/>
        <w:spacing w:line="367" w:lineRule="auto" w:before="65"/>
        <w:ind w:right="8409"/>
        <w:jc w:val="left"/>
      </w:pPr>
      <w:r>
        <w:rPr/>
        <w:t>本企业最终控制方是。 其他说明：</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2、本企业的子公司情况" w:id="491"/>
      <w:bookmarkEnd w:id="49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本企业子公司的情况详见附注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3、本企业合营和联营企业情况" w:id="492"/>
      <w:bookmarkEnd w:id="49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2289"/>
        <w:jc w:val="left"/>
      </w:pPr>
      <w:r>
        <w:rPr/>
        <w:t>本企业重要的合营或联营企业详见附注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r>
        <w:rPr>
          <w:spacing w:val="-80"/>
        </w:rPr>
        <w:t> </w:t>
      </w:r>
      <w:r>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7"/>
                <w:sz w:val="18"/>
              </w:rPr>
              <w:t> </w:t>
            </w:r>
            <w:r>
              <w:rPr>
                <w:rFonts w:ascii="Times New Roman"/>
                <w:spacing w:val="-3"/>
                <w:sz w:val="18"/>
              </w:rPr>
              <w:t>Pacific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Jakks </w:t>
            </w:r>
            <w:r>
              <w:rPr>
                <w:rFonts w:ascii="Times New Roman"/>
                <w:spacing w:val="-3"/>
                <w:sz w:val="18"/>
              </w:rPr>
              <w:t>Pacific </w:t>
            </w:r>
            <w:r>
              <w:rPr>
                <w:rFonts w:ascii="Times New Roman"/>
                <w:sz w:val="18"/>
              </w:rPr>
              <w:t>Trading</w:t>
            </w:r>
            <w:r>
              <w:rPr>
                <w:rFonts w:ascii="Times New Roman"/>
                <w:spacing w:val="7"/>
                <w:sz w:val="18"/>
              </w:rPr>
              <w:t> </w:t>
            </w:r>
            <w:r>
              <w:rPr>
                <w:rFonts w:ascii="Times New Roman"/>
                <w:sz w:val="18"/>
              </w:rPr>
              <w:t>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霍尔果斯哲理餐厅有限公司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4、其他关联方情况" w:id="493"/>
      <w:bookmarkEnd w:id="49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名扬文化公司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bl>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40"/>
        <w:ind w:right="0"/>
        <w:jc w:val="left"/>
        <w:rPr>
          <w:b w:val="0"/>
          <w:bCs w:val="0"/>
        </w:rPr>
      </w:pPr>
      <w:bookmarkStart w:name="5、关联交易情况" w:id="494"/>
      <w:bookmarkEnd w:id="49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95"/>
      <w:bookmarkEnd w:id="49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32"/>
        <w:gridCol w:w="1471"/>
        <w:gridCol w:w="1457"/>
        <w:gridCol w:w="1697"/>
        <w:gridCol w:w="1712"/>
        <w:gridCol w:w="1712"/>
      </w:tblGrid>
      <w:tr>
        <w:trPr>
          <w:trHeight w:val="4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6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6"/>
                <w:sz w:val="18"/>
              </w:rPr>
              <w:t> </w:t>
            </w:r>
            <w:r>
              <w:rPr>
                <w:rFonts w:ascii="Times New Roman"/>
                <w:sz w:val="18"/>
              </w:rPr>
              <w:t>Inc.</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销售动漫服饰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337,954,416.25</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230,767,449.48</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动画片制作服务</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1,144,519.83</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销售玩具</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266,682,627.09</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Jakks </w:t>
            </w:r>
            <w:r>
              <w:rPr>
                <w:rFonts w:ascii="Times New Roman"/>
                <w:spacing w:val="-3"/>
                <w:sz w:val="18"/>
              </w:rPr>
              <w:t>Pacific </w:t>
            </w:r>
            <w:r>
              <w:rPr>
                <w:rFonts w:ascii="Times New Roman"/>
                <w:sz w:val="18"/>
              </w:rPr>
              <w:t>Trading</w:t>
            </w:r>
            <w:r>
              <w:rPr>
                <w:rFonts w:ascii="Times New Roman"/>
                <w:spacing w:val="7"/>
                <w:sz w:val="18"/>
              </w:rPr>
              <w:t> </w:t>
            </w:r>
            <w:r>
              <w:rPr>
                <w:rFonts w:ascii="Times New Roman"/>
                <w:sz w:val="18"/>
              </w:rPr>
              <w:t>Ltd</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销售动漫衍生品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955,899.42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1,817,668.04</w:t>
            </w:r>
          </w:p>
        </w:tc>
      </w:tr>
    </w:tbl>
    <w:p>
      <w:pPr>
        <w:pStyle w:val="BodyText"/>
        <w:spacing w:line="240" w:lineRule="auto" w:before="45"/>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关联受托管理/承包及委托管理/出包情况" w:id="496"/>
      <w:bookmarkEnd w:id="49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96"/>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33" w:lineRule="auto" w:before="59"/>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60"/>
        <w:ind w:right="0"/>
        <w:jc w:val="left"/>
      </w:pPr>
      <w:r>
        <w:rPr/>
        <w:t>关联管理</w:t>
      </w:r>
      <w:r>
        <w:rPr>
          <w:rFonts w:ascii="Times New Roman" w:hAnsi="Times New Roman" w:cs="Times New Roman" w:eastAsia="Times New Roman" w:hint="default"/>
        </w:rPr>
        <w:t>/</w:t>
      </w:r>
      <w:r>
        <w:rPr/>
        <w:t>出包情况说明</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关联租赁情况" w:id="497"/>
      <w:bookmarkEnd w:id="49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right="0"/>
        <w:jc w:val="left"/>
      </w:pPr>
      <w:r>
        <w:rPr/>
        <w:t>本公司作为出租方：</w:t>
      </w:r>
    </w:p>
    <w:p>
      <w:pPr>
        <w:pStyle w:val="BodyText"/>
        <w:spacing w:line="240" w:lineRule="auto" w:before="124"/>
        <w:ind w:left="0" w:right="1109"/>
        <w:jc w:val="right"/>
      </w:pPr>
      <w:r>
        <w:rPr/>
        <w:t>单位： 元</w:t>
      </w:r>
    </w:p>
    <w:p>
      <w:pPr>
        <w:spacing w:after="0" w:line="240" w:lineRule="auto"/>
        <w:jc w:val="right"/>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5"/>
        <w:ind w:right="0"/>
        <w:jc w:val="left"/>
      </w:pPr>
      <w:r>
        <w:rPr/>
        <w:t>本公司作为承租方：</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5"/>
        <w:ind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关联担保情况" w:id="498"/>
      <w:bookmarkEnd w:id="49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right="0"/>
        <w:jc w:val="left"/>
      </w:pPr>
      <w:r>
        <w:rPr/>
        <w:t>本公司作为担保方</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75"/>
              <w:jc w:val="center"/>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1" w:right="0"/>
              <w:jc w:val="left"/>
              <w:rPr>
                <w:rFonts w:ascii="Times New Roman" w:hAnsi="Times New Roman" w:cs="Times New Roman" w:eastAsia="Times New Roman" w:hint="default"/>
                <w:sz w:val="18"/>
                <w:szCs w:val="18"/>
              </w:rPr>
            </w:pPr>
            <w:r>
              <w:rPr>
                <w:rFonts w:ascii="Times New Roman"/>
                <w:sz w:val="18"/>
              </w:rPr>
              <w:t>159,500,000.00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0"/>
        <w:jc w:val="left"/>
      </w:pPr>
      <w:r>
        <w:rPr/>
        <w:t>本公司作为被担保方</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赵小强、石炜萍</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赵小强、石炜萍、真趣 网络</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赵小强、石炜萍、真趣 网络</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赵小强、石炜萍、真趣 网络</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ind w:right="0"/>
        <w:jc w:val="left"/>
      </w:pPr>
      <w:r>
        <w:rPr/>
        <w:t>关联担保情况说明</w:t>
      </w:r>
    </w:p>
    <w:p>
      <w:pPr>
        <w:pStyle w:val="BodyText"/>
        <w:spacing w:line="288" w:lineRule="auto" w:before="125"/>
        <w:ind w:right="1126" w:firstLine="360"/>
        <w:jc w:val="both"/>
      </w:pPr>
      <w:r>
        <w:rPr>
          <w:spacing w:val="4"/>
        </w:rPr>
        <w:t>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4</w:t>
      </w:r>
      <w:r>
        <w:rPr>
          <w:spacing w:val="4"/>
        </w:rPr>
        <w:t>日，公司与浙商银行股份有限公司杭州分行签订最高额保证合同，约定公司向美盛控股提供不超过</w:t>
      </w:r>
      <w:r>
        <w:rPr/>
        <w:t> </w:t>
      </w:r>
      <w:r>
        <w:rPr>
          <w:rFonts w:ascii="Times New Roman" w:hAnsi="Times New Roman" w:cs="Times New Roman" w:eastAsia="Times New Roman" w:hint="default"/>
        </w:rPr>
        <w:t>15,950.00</w:t>
      </w:r>
      <w:r>
        <w:rPr/>
        <w:t>万元的担保，担保期限自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日。上述事项业经公司第三届董事会第二十五次会议和</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年度股东大会审议通过。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bookmarkStart w:name="（5）关联方资金拆借" w:id="499"/>
      <w:bookmarkEnd w:id="49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500"/>
      <w:bookmarkEnd w:id="50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7）关键管理人员报酬" w:id="501"/>
      <w:bookmarkEnd w:id="50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3,330,500.00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3,193,200.00</w:t>
            </w:r>
          </w:p>
        </w:tc>
      </w:tr>
    </w:tbl>
    <w:p>
      <w:pPr>
        <w:spacing w:line="240" w:lineRule="auto" w:before="11"/>
        <w:rPr>
          <w:rFonts w:ascii="宋体" w:hAnsi="宋体" w:cs="宋体" w:eastAsia="宋体" w:hint="default"/>
          <w:sz w:val="19"/>
          <w:szCs w:val="19"/>
        </w:rPr>
      </w:pPr>
    </w:p>
    <w:p>
      <w:pPr>
        <w:pStyle w:val="Heading4"/>
        <w:spacing w:line="240" w:lineRule="auto" w:before="35"/>
        <w:ind w:right="0"/>
        <w:jc w:val="both"/>
        <w:rPr>
          <w:b w:val="0"/>
          <w:bCs w:val="0"/>
        </w:rPr>
      </w:pPr>
      <w:bookmarkStart w:name="（8）其他关联交易" w:id="502"/>
      <w:bookmarkEnd w:id="50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561" w:right="0"/>
        <w:jc w:val="left"/>
      </w:pPr>
      <w:r>
        <w:rPr/>
        <w:t>关联方资金拆借情况</w:t>
      </w:r>
    </w:p>
    <w:p>
      <w:pPr>
        <w:pStyle w:val="Heading5"/>
        <w:spacing w:line="259" w:lineRule="auto" w:before="25"/>
        <w:ind w:right="1106"/>
        <w:jc w:val="both"/>
      </w:pPr>
      <w:r>
        <w:rPr>
          <w:rFonts w:ascii="Times New Roman" w:hAnsi="Times New Roman" w:cs="Times New Roman" w:eastAsia="Times New Roman" w:hint="default"/>
        </w:rPr>
        <w:t>2018</w:t>
      </w:r>
      <w:r>
        <w:rPr/>
        <w:t>年内美盛控股占用美盛文化公司非经营性款项</w:t>
      </w:r>
      <w:r>
        <w:rPr>
          <w:rFonts w:ascii="Times New Roman" w:hAnsi="Times New Roman" w:cs="Times New Roman" w:eastAsia="Times New Roman" w:hint="default"/>
        </w:rPr>
        <w:t>151,195.88</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1-4</w:t>
      </w:r>
      <w:r>
        <w:rPr/>
        <w:t>月美盛文化向美盛控股划转</w:t>
      </w:r>
      <w:r>
        <w:rPr>
          <w:spacing w:val="-91"/>
        </w:rPr>
        <w:t> </w:t>
      </w:r>
      <w:r>
        <w:rPr/>
        <w:t>资金</w:t>
      </w:r>
      <w:r>
        <w:rPr>
          <w:rFonts w:ascii="Times New Roman" w:hAnsi="Times New Roman" w:cs="Times New Roman" w:eastAsia="Times New Roman" w:hint="default"/>
        </w:rPr>
        <w:t>4,821.00</w:t>
      </w:r>
      <w:r>
        <w:rPr/>
        <w:t>万元，合计</w:t>
      </w:r>
      <w:r>
        <w:rPr>
          <w:rFonts w:ascii="Times New Roman" w:hAnsi="Times New Roman" w:cs="Times New Roman" w:eastAsia="Times New Roman" w:hint="default"/>
        </w:rPr>
        <w:t>156,016.88</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月美盛文化公司已收到美盛控股归还的上述全部款项。</w:t>
      </w:r>
      <w:r>
        <w:rPr>
          <w:spacing w:val="-33"/>
        </w:rPr>
        <w:t> </w:t>
      </w:r>
      <w:r>
        <w:rPr>
          <w:spacing w:val="-33"/>
        </w:rPr>
      </w:r>
      <w:r>
        <w:rPr/>
        <w:t>其他关联方资金占用情况详见财务报表附注</w:t>
      </w:r>
      <w:r>
        <w:rPr>
          <w:rFonts w:ascii="Times New Roman" w:hAnsi="Times New Roman" w:cs="Times New Roman" w:eastAsia="Times New Roman" w:hint="default"/>
        </w:rPr>
        <w:t>“</w:t>
      </w:r>
      <w:r>
        <w:rPr/>
        <w:t>五、（五）其他应收款</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bookmarkStart w:name="6、关联方应收应付款项" w:id="503"/>
      <w:bookmarkEnd w:id="50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应收项目" w:id="504"/>
      <w:bookmarkEnd w:id="50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9"/>
                <w:sz w:val="18"/>
              </w:rPr>
              <w:t> </w:t>
            </w:r>
            <w:r>
              <w:rPr>
                <w:rFonts w:ascii="Times New Roman"/>
                <w:sz w:val="18"/>
              </w:rPr>
              <w:t>Inc.</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116,582,578.14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5,829,128.90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23,558,747.47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1,177,937.37</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30" w:right="390"/>
              <w:jc w:val="left"/>
              <w:rPr>
                <w:rFonts w:ascii="Times New Roman" w:hAnsi="Times New Roman" w:cs="Times New Roman" w:eastAsia="Times New Roman" w:hint="default"/>
                <w:sz w:val="18"/>
                <w:szCs w:val="18"/>
              </w:rPr>
            </w:pPr>
            <w:r>
              <w:rPr>
                <w:rFonts w:ascii="Times New Roman"/>
                <w:spacing w:val="3"/>
                <w:sz w:val="18"/>
              </w:rPr>
              <w:t>JAKKS</w:t>
            </w:r>
            <w:r>
              <w:rPr>
                <w:rFonts w:ascii="Times New Roman"/>
                <w:spacing w:val="-10"/>
                <w:sz w:val="18"/>
              </w:rPr>
              <w:t> </w:t>
            </w:r>
            <w:r>
              <w:rPr>
                <w:rFonts w:ascii="Times New Roman"/>
                <w:spacing w:val="-3"/>
                <w:sz w:val="18"/>
              </w:rPr>
              <w:t>Pacific</w:t>
            </w:r>
            <w:r>
              <w:rPr>
                <w:rFonts w:ascii="Times New Roman"/>
                <w:spacing w:val="-41"/>
                <w:sz w:val="18"/>
              </w:rPr>
              <w:t> </w:t>
            </w:r>
            <w:r>
              <w:rPr>
                <w:rFonts w:ascii="Times New Roman"/>
                <w:spacing w:val="-41"/>
                <w:sz w:val="18"/>
              </w:rPr>
            </w:r>
            <w:r>
              <w:rPr>
                <w:rFonts w:ascii="Times New Roman"/>
                <w:sz w:val="18"/>
              </w:rPr>
              <w:t>Trading</w:t>
            </w:r>
            <w:r>
              <w:rPr>
                <w:rFonts w:ascii="Times New Roman"/>
                <w:spacing w:val="-19"/>
                <w:sz w:val="18"/>
              </w:rPr>
              <w:t> </w:t>
            </w:r>
            <w:r>
              <w:rPr>
                <w:rFonts w:ascii="Times New Roman"/>
                <w:sz w:val="18"/>
              </w:rPr>
              <w:t>Limited</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847,098.02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44,216.61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518,959.08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25,947.95</w:t>
            </w:r>
          </w:p>
        </w:tc>
      </w:tr>
      <w:tr>
        <w:trPr>
          <w:trHeight w:val="133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2"/>
              <w:ind w:left="30" w:right="440"/>
              <w:jc w:val="left"/>
              <w:rPr>
                <w:rFonts w:ascii="Times New Roman" w:hAnsi="Times New Roman" w:cs="Times New Roman" w:eastAsia="Times New Roman" w:hint="default"/>
                <w:sz w:val="18"/>
                <w:szCs w:val="18"/>
              </w:rPr>
            </w:pPr>
            <w:r>
              <w:rPr>
                <w:rFonts w:ascii="Times New Roman"/>
                <w:sz w:val="18"/>
              </w:rPr>
              <w:t>MOOSE MOUNTAIN</w:t>
            </w:r>
            <w:r>
              <w:rPr>
                <w:rFonts w:ascii="Times New Roman"/>
                <w:w w:val="99"/>
                <w:sz w:val="18"/>
              </w:rPr>
              <w:t> </w:t>
            </w:r>
            <w:r>
              <w:rPr>
                <w:rFonts w:ascii="Times New Roman"/>
                <w:spacing w:val="-4"/>
                <w:sz w:val="18"/>
              </w:rPr>
              <w:t>TOYM</w:t>
            </w:r>
            <w:r>
              <w:rPr>
                <w:rFonts w:ascii="Times New Roman"/>
                <w:spacing w:val="-23"/>
                <w:sz w:val="18"/>
              </w:rPr>
              <w:t> </w:t>
            </w:r>
            <w:r>
              <w:rPr>
                <w:rFonts w:ascii="Times New Roman"/>
                <w:spacing w:val="-3"/>
                <w:sz w:val="18"/>
              </w:rPr>
              <w:t>AKERS</w:t>
            </w:r>
            <w:r>
              <w:rPr>
                <w:rFonts w:ascii="Times New Roman"/>
                <w:spacing w:val="-42"/>
                <w:sz w:val="18"/>
              </w:rPr>
              <w:t> </w:t>
            </w:r>
            <w:r>
              <w:rPr>
                <w:rFonts w:ascii="Times New Roman"/>
                <w:spacing w:val="-42"/>
                <w:sz w:val="18"/>
              </w:rPr>
            </w:r>
            <w:r>
              <w:rPr>
                <w:rFonts w:ascii="Times New Roman"/>
                <w:sz w:val="18"/>
              </w:rPr>
              <w:t>LTD.</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1,093,922.21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54,696.11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美盛控股集团有限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62,031,579.70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1,511,958,817.28</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朱燕儀</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687,231.40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34,361.57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北京微媒互动科技 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505"/>
      <w:bookmarkEnd w:id="50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pacing w:val="3"/>
                <w:sz w:val="18"/>
              </w:rPr>
              <w:t>JAKKS </w:t>
            </w:r>
            <w:r>
              <w:rPr>
                <w:rFonts w:ascii="Times New Roman"/>
                <w:spacing w:val="-3"/>
                <w:sz w:val="18"/>
              </w:rPr>
              <w:t>Pacific</w:t>
            </w:r>
            <w:r>
              <w:rPr>
                <w:rFonts w:ascii="Times New Roman"/>
                <w:spacing w:val="-19"/>
                <w:sz w:val="18"/>
              </w:rPr>
              <w:t> </w:t>
            </w:r>
            <w:r>
              <w:rPr>
                <w:rFonts w:ascii="Times New Roman"/>
                <w:sz w:val="18"/>
              </w:rPr>
              <w:t>Inc.</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1,010,558.67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10,572.22</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bookmarkStart w:name="7、关联方承诺" w:id="506"/>
      <w:bookmarkEnd w:id="50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1"/>
        <w:rPr>
          <w:rFonts w:ascii="宋体" w:hAnsi="宋体" w:cs="宋体" w:eastAsia="宋体" w:hint="default"/>
          <w:b/>
          <w:bCs/>
          <w:sz w:val="24"/>
          <w:szCs w:val="24"/>
        </w:rPr>
      </w:pPr>
    </w:p>
    <w:p>
      <w:pPr>
        <w:spacing w:line="487" w:lineRule="auto" w:before="0"/>
        <w:ind w:left="141" w:right="8746" w:firstLine="0"/>
        <w:jc w:val="left"/>
        <w:rPr>
          <w:rFonts w:ascii="宋体" w:hAnsi="宋体" w:cs="宋体" w:eastAsia="宋体" w:hint="default"/>
          <w:sz w:val="21"/>
          <w:szCs w:val="21"/>
        </w:rPr>
      </w:pPr>
      <w:bookmarkStart w:name="8、其他" w:id="507"/>
      <w:bookmarkEnd w:id="5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508"/>
      <w:bookmarkEnd w:id="508"/>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9"/>
      <w:bookmarkEnd w:id="5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510"/>
      <w:bookmarkEnd w:id="51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bookmarkStart w:name="3、以现金结算的股份支付情况" w:id="511"/>
      <w:bookmarkEnd w:id="51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4、股份支付的修改、终止情况" w:id="512"/>
      <w:bookmarkEnd w:id="51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1"/>
        <w:rPr>
          <w:rFonts w:ascii="宋体" w:hAnsi="宋体" w:cs="宋体" w:eastAsia="宋体" w:hint="default"/>
          <w:b/>
          <w:bCs/>
          <w:sz w:val="24"/>
          <w:szCs w:val="24"/>
        </w:rPr>
      </w:pPr>
    </w:p>
    <w:p>
      <w:pPr>
        <w:spacing w:line="482" w:lineRule="auto" w:before="0"/>
        <w:ind w:left="141" w:right="8339" w:firstLine="0"/>
        <w:jc w:val="left"/>
        <w:rPr>
          <w:rFonts w:ascii="宋体" w:hAnsi="宋体" w:cs="宋体" w:eastAsia="宋体" w:hint="default"/>
          <w:sz w:val="21"/>
          <w:szCs w:val="21"/>
        </w:rPr>
      </w:pPr>
      <w:bookmarkStart w:name="5、其他" w:id="513"/>
      <w:bookmarkEnd w:id="51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514"/>
      <w:bookmarkEnd w:id="514"/>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515"/>
      <w:bookmarkEnd w:id="515"/>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95"/>
        <w:ind w:right="0"/>
        <w:jc w:val="left"/>
      </w:pPr>
      <w:r>
        <w:rPr/>
        <w:t>资产负债表日存在的重要承诺</w:t>
      </w:r>
    </w:p>
    <w:p>
      <w:pPr>
        <w:pStyle w:val="Heading5"/>
        <w:spacing w:line="240" w:lineRule="auto" w:before="105"/>
        <w:ind w:left="561" w:right="0"/>
        <w:jc w:val="left"/>
      </w:pPr>
      <w:r>
        <w:rPr/>
        <w:t>截至资产负债表日，本公司不存在需要披露的重要承诺事项。</w:t>
      </w:r>
    </w:p>
    <w:p>
      <w:pPr>
        <w:spacing w:line="240" w:lineRule="auto" w:before="2"/>
        <w:rPr>
          <w:rFonts w:ascii="宋体" w:hAnsi="宋体" w:cs="宋体" w:eastAsia="宋体" w:hint="default"/>
          <w:sz w:val="27"/>
          <w:szCs w:val="27"/>
        </w:rPr>
      </w:pPr>
    </w:p>
    <w:p>
      <w:pPr>
        <w:pStyle w:val="Heading4"/>
        <w:spacing w:line="240" w:lineRule="auto"/>
        <w:ind w:right="0"/>
        <w:jc w:val="left"/>
        <w:rPr>
          <w:b w:val="0"/>
          <w:bCs w:val="0"/>
        </w:rPr>
      </w:pPr>
      <w:bookmarkStart w:name="2、或有事项" w:id="516"/>
      <w:bookmarkEnd w:id="5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3"/>
          <w:szCs w:val="23"/>
        </w:rPr>
      </w:pPr>
    </w:p>
    <w:p>
      <w:pPr>
        <w:spacing w:line="496" w:lineRule="auto" w:before="0"/>
        <w:ind w:left="561" w:right="4659" w:hanging="421"/>
        <w:jc w:val="left"/>
        <w:rPr>
          <w:rFonts w:ascii="宋体" w:hAnsi="宋体" w:cs="宋体" w:eastAsia="宋体" w:hint="default"/>
          <w:sz w:val="21"/>
          <w:szCs w:val="21"/>
        </w:rPr>
      </w:pPr>
      <w:bookmarkStart w:name="（1）资产负债表日存在的重要或有事项" w:id="517"/>
      <w:bookmarkEnd w:id="5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截至资产负债表日，本公司不存在需要披露的重大或有事项。</w:t>
      </w:r>
    </w:p>
    <w:p>
      <w:pPr>
        <w:pStyle w:val="Heading4"/>
        <w:spacing w:line="240" w:lineRule="auto" w:before="131"/>
        <w:ind w:right="0"/>
        <w:jc w:val="left"/>
        <w:rPr>
          <w:b w:val="0"/>
          <w:bCs w:val="0"/>
        </w:rPr>
      </w:pPr>
      <w:bookmarkStart w:name="（2）公司没有需要披露的重要或有事项，也应予以说明" w:id="518"/>
      <w:bookmarkEnd w:id="51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公司不存在需要披露的重要或有事项。</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spacing w:line="482" w:lineRule="auto" w:before="35"/>
        <w:ind w:left="141" w:right="7857" w:firstLine="0"/>
        <w:jc w:val="left"/>
        <w:rPr>
          <w:rFonts w:ascii="宋体" w:hAnsi="宋体" w:cs="宋体" w:eastAsia="宋体" w:hint="default"/>
          <w:sz w:val="21"/>
          <w:szCs w:val="21"/>
        </w:rPr>
      </w:pPr>
      <w:bookmarkStart w:name="3、其他" w:id="519"/>
      <w:bookmarkEnd w:id="5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20"/>
      <w:bookmarkEnd w:id="520"/>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21"/>
      <w:bookmarkEnd w:id="521"/>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522"/>
      <w:bookmarkEnd w:id="52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1"/>
        <w:rPr>
          <w:rFonts w:ascii="宋体" w:hAnsi="宋体" w:cs="宋体" w:eastAsia="宋体" w:hint="default"/>
          <w:sz w:val="27"/>
          <w:szCs w:val="27"/>
        </w:rPr>
      </w:pPr>
    </w:p>
    <w:p>
      <w:pPr>
        <w:pStyle w:val="Heading4"/>
        <w:spacing w:line="240" w:lineRule="auto" w:before="35"/>
        <w:ind w:right="0"/>
        <w:jc w:val="left"/>
        <w:rPr>
          <w:b w:val="0"/>
          <w:bCs w:val="0"/>
        </w:rPr>
      </w:pPr>
      <w:bookmarkStart w:name="3、销售退回" w:id="523"/>
      <w:bookmarkEnd w:id="52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bookmarkStart w:name="4、其他资产负债表日后事项说明" w:id="524"/>
      <w:bookmarkEnd w:id="52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left="621" w:right="0"/>
        <w:jc w:val="left"/>
      </w:pPr>
      <w:r>
        <w:rPr>
          <w:rFonts w:ascii="宋体" w:hAnsi="宋体" w:cs="宋体" w:eastAsia="宋体" w:hint="default"/>
        </w:rPr>
        <w:t>1.</w:t>
      </w:r>
      <w:r>
        <w:rPr>
          <w:rFonts w:ascii="宋体" w:hAnsi="宋体" w:cs="宋体" w:eastAsia="宋体" w:hint="default"/>
          <w:spacing w:val="45"/>
        </w:rPr>
        <w:t> </w:t>
      </w:r>
      <w:r>
        <w:rPr/>
        <w:t>对新型冠状病毒肺炎疫情的影响评估</w:t>
      </w:r>
    </w:p>
    <w:p>
      <w:pPr>
        <w:pStyle w:val="Heading5"/>
        <w:spacing w:line="261" w:lineRule="auto" w:before="40"/>
        <w:ind w:right="1118" w:firstLine="420"/>
        <w:jc w:val="both"/>
      </w:pPr>
      <w:r>
        <w:rPr/>
        <w:t>新型冠状病毒感染的肺炎疫情于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月在全球爆发以来，对肺炎疫情防控工作正在全球范围内持 </w:t>
      </w:r>
      <w:r>
        <w:rPr>
          <w:spacing w:val="-1"/>
        </w:rPr>
        <w:t>续进行，肺炎疫情将对全国范围内的企业经营及整体运行造成一定影响，可能在一定程度上影响本公司服</w:t>
      </w:r>
      <w:r>
        <w:rPr>
          <w:spacing w:val="-89"/>
        </w:rPr>
        <w:t> </w:t>
      </w:r>
      <w:r>
        <w:rPr>
          <w:spacing w:val="-89"/>
        </w:rPr>
      </w:r>
      <w:r>
        <w:rPr/>
        <w:t>饰及玩具的出口销售，影响程度将取决于疫情防控的情况、次序时间以及各项调控政策的实施。</w:t>
      </w:r>
    </w:p>
    <w:p>
      <w:pPr>
        <w:pStyle w:val="Heading5"/>
        <w:spacing w:line="276" w:lineRule="auto" w:before="21"/>
        <w:ind w:right="1115" w:firstLine="420"/>
        <w:jc w:val="both"/>
      </w:pPr>
      <w:r>
        <w:rPr>
          <w:spacing w:val="-1"/>
        </w:rPr>
        <w:t>本公司将继续密切关注肺炎疫情发展情况，评估和积极应对其对本公司财务状况、经营成果等方面的</w:t>
      </w:r>
      <w:r>
        <w:rPr/>
        <w:t> 影响。截至本报告报出日，该评估工作尚在进行当中。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六、其他重要事项" w:id="525"/>
      <w:bookmarkEnd w:id="525"/>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前期会计差错更正" w:id="526"/>
      <w:bookmarkEnd w:id="52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527"/>
      <w:bookmarkEnd w:id="52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528"/>
      <w:bookmarkEnd w:id="52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6"/>
          <w:szCs w:val="26"/>
        </w:rPr>
      </w:pPr>
    </w:p>
    <w:p>
      <w:pPr>
        <w:pStyle w:val="Heading4"/>
        <w:spacing w:line="240" w:lineRule="auto" w:before="35"/>
        <w:ind w:right="0"/>
        <w:jc w:val="left"/>
        <w:rPr>
          <w:b w:val="0"/>
          <w:bCs w:val="0"/>
        </w:rPr>
      </w:pPr>
      <w:bookmarkStart w:name="2、债务重组" w:id="529"/>
      <w:bookmarkEnd w:id="5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530"/>
      <w:bookmarkEnd w:id="5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531"/>
      <w:bookmarkEnd w:id="53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4"/>
          <w:szCs w:val="24"/>
        </w:rPr>
      </w:pPr>
    </w:p>
    <w:p>
      <w:pPr>
        <w:pStyle w:val="Heading4"/>
        <w:spacing w:line="508" w:lineRule="auto"/>
        <w:ind w:right="8409"/>
        <w:jc w:val="left"/>
        <w:rPr>
          <w:b w:val="0"/>
          <w:bCs w:val="0"/>
        </w:rPr>
      </w:pPr>
      <w:bookmarkStart w:name="（2）其他资产置换" w:id="532"/>
      <w:bookmarkEnd w:id="532"/>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33"/>
      <w:bookmarkEnd w:id="533"/>
      <w:r>
        <w:rPr>
          <w:spacing w:val="-18"/>
          <w:w w:val="95"/>
        </w:rPr>
      </w:r>
      <w:r>
        <w:rPr>
          <w:rFonts w:ascii="Times New Roman" w:hAnsi="Times New Roman" w:cs="Times New Roman" w:eastAsia="Times New Roman" w:hint="default"/>
        </w:rPr>
        <w:t>4</w:t>
      </w:r>
      <w:r>
        <w:rPr/>
        <w:t>、年金计划</w:t>
      </w:r>
      <w:r>
        <w:rPr>
          <w:b w:val="0"/>
          <w:bCs w:val="0"/>
        </w:rPr>
      </w:r>
    </w:p>
    <w:p>
      <w:pPr>
        <w:pStyle w:val="Heading4"/>
        <w:spacing w:line="240" w:lineRule="auto" w:before="49"/>
        <w:ind w:right="0"/>
        <w:jc w:val="left"/>
        <w:rPr>
          <w:b w:val="0"/>
          <w:bCs w:val="0"/>
        </w:rPr>
      </w:pPr>
      <w:bookmarkStart w:name="5、终止经营" w:id="534"/>
      <w:bookmarkEnd w:id="53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6、分部信息" w:id="535"/>
      <w:bookmarkEnd w:id="535"/>
      <w:r>
        <w:rPr>
          <w:b w:val="0"/>
          <w:bCs w:val="0"/>
        </w:rPr>
      </w:r>
      <w:r>
        <w:rPr>
          <w:rFonts w:ascii="Times New Roman" w:hAnsi="Times New Roman" w:cs="Times New Roman" w:eastAsia="Times New Roman" w:hint="default"/>
        </w:rPr>
        <w:t>6</w:t>
      </w:r>
      <w:r>
        <w:rPr/>
        <w:t>、分部信息</w:t>
      </w:r>
      <w:r>
        <w:rPr>
          <w:b w:val="0"/>
          <w:bCs w:val="0"/>
        </w:rPr>
      </w:r>
    </w:p>
    <w:p>
      <w:pPr>
        <w:spacing w:line="580" w:lineRule="atLeast" w:before="20"/>
        <w:ind w:left="666" w:right="0" w:hanging="526"/>
        <w:jc w:val="left"/>
        <w:rPr>
          <w:rFonts w:ascii="宋体" w:hAnsi="宋体" w:cs="宋体" w:eastAsia="宋体" w:hint="default"/>
          <w:sz w:val="21"/>
          <w:szCs w:val="21"/>
        </w:rPr>
      </w:pPr>
      <w:bookmarkStart w:name="（1）报告分部的确定依据与会计政策"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公司以内部组织结构、管理要求、内部报告制度等为依据确定报告分部，并以产品分部为基础确定</w:t>
      </w:r>
    </w:p>
    <w:p>
      <w:pPr>
        <w:pStyle w:val="Heading5"/>
        <w:spacing w:line="240" w:lineRule="auto" w:before="40"/>
        <w:ind w:right="0"/>
        <w:jc w:val="left"/>
      </w:pPr>
      <w:r>
        <w:rPr/>
        <w:t>报告分部。</w:t>
      </w:r>
    </w:p>
    <w:p>
      <w:pPr>
        <w:spacing w:line="240" w:lineRule="auto" w:before="2"/>
        <w:rPr>
          <w:rFonts w:ascii="宋体" w:hAnsi="宋体" w:cs="宋体" w:eastAsia="宋体" w:hint="default"/>
          <w:sz w:val="27"/>
          <w:szCs w:val="27"/>
        </w:rPr>
      </w:pPr>
    </w:p>
    <w:p>
      <w:pPr>
        <w:pStyle w:val="Heading4"/>
        <w:spacing w:line="240" w:lineRule="auto"/>
        <w:ind w:right="0"/>
        <w:jc w:val="left"/>
        <w:rPr>
          <w:b w:val="0"/>
          <w:bCs w:val="0"/>
        </w:rPr>
      </w:pPr>
      <w:bookmarkStart w:name="（2）报告分部的财务信息" w:id="537"/>
      <w:bookmarkEnd w:id="53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158"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405" w:right="13" w:hanging="391"/>
              <w:jc w:val="left"/>
              <w:rPr>
                <w:rFonts w:ascii="宋体" w:hAnsi="宋体" w:cs="宋体" w:eastAsia="宋体" w:hint="default"/>
                <w:sz w:val="18"/>
                <w:szCs w:val="18"/>
              </w:rPr>
            </w:pPr>
            <w:r>
              <w:rPr>
                <w:rFonts w:ascii="宋体" w:hAnsi="宋体" w:cs="宋体" w:eastAsia="宋体" w:hint="default"/>
                <w:sz w:val="18"/>
                <w:szCs w:val="18"/>
              </w:rPr>
              <w:t>动漫游戏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自 媒体</w:t>
            </w:r>
          </w:p>
        </w:tc>
        <w:tc>
          <w:tcPr>
            <w:tcW w:w="1186" w:type="dxa"/>
            <w:vMerge w:val="restart"/>
            <w:tcBorders>
              <w:top w:val="single" w:sz="6" w:space="0" w:color="000000"/>
              <w:left w:val="single" w:sz="6" w:space="0" w:color="000000"/>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420"/>
              <w:jc w:val="right"/>
              <w:rPr>
                <w:rFonts w:ascii="宋体" w:hAnsi="宋体" w:cs="宋体" w:eastAsia="宋体" w:hint="default"/>
                <w:sz w:val="18"/>
                <w:szCs w:val="18"/>
              </w:rPr>
            </w:pPr>
            <w:r>
              <w:rPr>
                <w:rFonts w:ascii="宋体" w:hAnsi="宋体" w:cs="宋体" w:eastAsia="宋体" w:hint="default"/>
                <w:sz w:val="18"/>
                <w:szCs w:val="18"/>
              </w:rPr>
              <w:t>项目</w:t>
            </w: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服饰销售</w:t>
            </w:r>
          </w:p>
        </w:tc>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服务平台</w:t>
            </w: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玩具销售</w:t>
            </w: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r>
      <w:tr>
        <w:trPr>
          <w:trHeight w:val="173"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r>
      <w:tr>
        <w:trPr>
          <w:trHeight w:val="158"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476,588,757.88</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455,893,411.60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404,952,414.09</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50,124,150.10</w:t>
            </w:r>
          </w:p>
        </w:tc>
        <w:tc>
          <w:tcPr>
            <w:tcW w:w="1186"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-9,356,259.03</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1,378,202,474.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64</w:t>
            </w:r>
          </w:p>
        </w:tc>
      </w:tr>
      <w:tr>
        <w:trPr>
          <w:trHeight w:val="390"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49"/>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49"/>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327,832,344.68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337,583,819.88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274,137,007.79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23,942,138.20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930,842.42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964,426,152.97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538"/>
      <w:bookmarkEnd w:id="53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4"/>
        <w:spacing w:line="496" w:lineRule="auto"/>
        <w:ind w:right="6427"/>
        <w:jc w:val="left"/>
        <w:rPr>
          <w:b w:val="0"/>
          <w:bCs w:val="0"/>
        </w:rPr>
      </w:pPr>
      <w:bookmarkStart w:name="（4）其他说明" w:id="539"/>
      <w:bookmarkEnd w:id="539"/>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40"/>
      <w:bookmarkEnd w:id="540"/>
      <w:r>
        <w:rPr>
          <w:w w:val="99"/>
        </w:rPr>
      </w:r>
      <w:r>
        <w:rPr>
          <w:rFonts w:ascii="Times New Roman" w:hAnsi="Times New Roman" w:cs="Times New Roman" w:eastAsia="Times New Roman" w:hint="default"/>
        </w:rPr>
        <w:t>7</w:t>
      </w:r>
      <w:r>
        <w:rPr/>
        <w:t>、其他对投资者决策有影响的重要交易和事项</w:t>
      </w:r>
      <w:r>
        <w:rPr>
          <w:b w:val="0"/>
          <w:bCs w:val="0"/>
        </w:rPr>
      </w:r>
    </w:p>
    <w:p>
      <w:pPr>
        <w:pStyle w:val="Heading5"/>
        <w:spacing w:line="261" w:lineRule="auto" w:before="61"/>
        <w:ind w:right="1078" w:firstLine="420"/>
        <w:jc w:val="both"/>
      </w:pPr>
      <w:r>
        <w:rPr/>
        <w:t>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日三届九次董事会批准，本公司与美盛控股签订股权转让意向协议，约定以人民币 </w:t>
      </w:r>
      <w:r>
        <w:rPr>
          <w:rFonts w:ascii="Times New Roman" w:hAnsi="Times New Roman" w:cs="Times New Roman" w:eastAsia="Times New Roman" w:hint="default"/>
        </w:rPr>
        <w:t>11.11</w:t>
      </w:r>
      <w:r>
        <w:rPr>
          <w:rFonts w:ascii="Times New Roman" w:hAnsi="Times New Roman" w:cs="Times New Roman" w:eastAsia="Times New Roman" w:hint="default"/>
          <w:spacing w:val="29"/>
        </w:rPr>
        <w:t> </w:t>
      </w:r>
      <w:r>
        <w:rPr/>
        <w:t>亿元购买其持有的真趣网络</w:t>
      </w:r>
      <w:r>
        <w:rPr>
          <w:rFonts w:ascii="Times New Roman" w:hAnsi="Times New Roman" w:cs="Times New Roman" w:eastAsia="Times New Roman" w:hint="default"/>
        </w:rPr>
        <w:t>100%</w:t>
      </w:r>
      <w:r>
        <w:rPr/>
        <w:t>的股权。美盛控股承诺，真趣网络经审计的</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和</w:t>
      </w:r>
      <w:r>
        <w:rPr>
          <w:rFonts w:ascii="Times New Roman" w:hAnsi="Times New Roman" w:cs="Times New Roman" w:eastAsia="Times New Roman" w:hint="default"/>
        </w:rPr>
        <w:t>2019</w:t>
      </w:r>
      <w:r>
        <w:rPr/>
        <w:t>年度 </w:t>
      </w:r>
      <w:r>
        <w:rPr>
          <w:spacing w:val="8"/>
        </w:rPr>
        <w:t>扣除非经常性损益（依法取得的财政补贴除外）后归属于母公司的净利润分别不低于</w:t>
      </w:r>
      <w:r>
        <w:rPr>
          <w:rFonts w:ascii="Times New Roman" w:hAnsi="Times New Roman" w:cs="Times New Roman" w:eastAsia="Times New Roman" w:hint="default"/>
          <w:spacing w:val="8"/>
        </w:rPr>
        <w:t>10,200.00</w:t>
      </w:r>
      <w:r>
        <w:rPr>
          <w:spacing w:val="8"/>
        </w:rPr>
        <w:t>万元、</w:t>
      </w:r>
      <w:r>
        <w:rPr/>
      </w:r>
    </w:p>
    <w:p>
      <w:pPr>
        <w:spacing w:after="0" w:line="261" w:lineRule="auto"/>
        <w:jc w:val="both"/>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5"/>
        <w:spacing w:line="256" w:lineRule="auto" w:before="35"/>
        <w:ind w:right="1070"/>
        <w:jc w:val="both"/>
      </w:pPr>
      <w:r>
        <w:rPr>
          <w:rFonts w:ascii="Times New Roman" w:hAnsi="Times New Roman" w:cs="Times New Roman" w:eastAsia="Times New Roman" w:hint="default"/>
        </w:rPr>
        <w:t>11,800.00</w:t>
      </w:r>
      <w:r>
        <w:rPr/>
        <w:t>万元和</w:t>
      </w:r>
      <w:r>
        <w:rPr>
          <w:rFonts w:ascii="Times New Roman" w:hAnsi="Times New Roman" w:cs="Times New Roman" w:eastAsia="Times New Roman" w:hint="default"/>
        </w:rPr>
        <w:t>13,700.00</w:t>
      </w:r>
      <w:r>
        <w:rPr/>
        <w:t>万元。如果真趣网络的实际净利润低于承诺净利润，美盛控股应向本公司补足。</w:t>
      </w:r>
      <w:r>
        <w:rPr>
          <w:spacing w:val="-91"/>
        </w:rPr>
        <w:t> </w:t>
      </w:r>
      <w:r>
        <w:rPr/>
        <w:t>本公司已收到</w:t>
      </w:r>
      <w:r>
        <w:rPr>
          <w:rFonts w:ascii="Times New Roman" w:hAnsi="Times New Roman" w:cs="Times New Roman" w:eastAsia="Times New Roman" w:hint="default"/>
        </w:rPr>
        <w:t>2018</w:t>
      </w:r>
      <w:r>
        <w:rPr/>
        <w:t>年度业绩承诺补偿款</w:t>
      </w:r>
      <w:r>
        <w:rPr>
          <w:rFonts w:ascii="Times New Roman" w:hAnsi="Times New Roman" w:cs="Times New Roman" w:eastAsia="Times New Roman" w:hint="default"/>
        </w:rPr>
        <w:t>269.40</w:t>
      </w:r>
      <w:r>
        <w:rPr/>
        <w:t>万元。本年度处于第三个业绩承诺期。</w:t>
      </w:r>
      <w:r>
        <w:rPr>
          <w:rFonts w:ascii="Times New Roman" w:hAnsi="Times New Roman" w:cs="Times New Roman" w:eastAsia="Times New Roman" w:hint="default"/>
        </w:rPr>
        <w:t>2019</w:t>
      </w:r>
      <w:r>
        <w:rPr/>
        <w:t>年度真趣网络经</w:t>
      </w:r>
      <w:r>
        <w:rPr>
          <w:spacing w:val="-91"/>
        </w:rPr>
        <w:t> </w:t>
      </w:r>
      <w:r>
        <w:rPr/>
        <w:t>审计的扣除非经常性损益（依法取得的财政补贴除外）后归属于母公司的净利润为</w:t>
      </w:r>
      <w:r>
        <w:rPr>
          <w:rFonts w:ascii="Times New Roman" w:hAnsi="Times New Roman" w:cs="Times New Roman" w:eastAsia="Times New Roman" w:hint="default"/>
        </w:rPr>
        <w:t>9,546.84</w:t>
      </w:r>
      <w:r>
        <w:rPr/>
        <w:t>万元，美盛控</w:t>
      </w:r>
      <w:r>
        <w:rPr>
          <w:spacing w:val="-37"/>
        </w:rPr>
        <w:t> </w:t>
      </w:r>
      <w:r>
        <w:rPr/>
        <w:t>股本年度需向本公司支付承诺补偿款</w:t>
      </w:r>
      <w:r>
        <w:rPr>
          <w:rFonts w:ascii="Times New Roman" w:hAnsi="Times New Roman" w:cs="Times New Roman" w:eastAsia="Times New Roman" w:hint="default"/>
        </w:rPr>
        <w:t>4,153.16</w:t>
      </w:r>
      <w:r>
        <w:rPr/>
        <w:t>万元。</w:t>
      </w:r>
    </w:p>
    <w:p>
      <w:pPr>
        <w:spacing w:line="240" w:lineRule="auto" w:before="10"/>
        <w:rPr>
          <w:rFonts w:ascii="宋体" w:hAnsi="宋体" w:cs="宋体" w:eastAsia="宋体" w:hint="default"/>
          <w:sz w:val="24"/>
          <w:szCs w:val="24"/>
        </w:rPr>
      </w:pPr>
    </w:p>
    <w:p>
      <w:pPr>
        <w:spacing w:line="487" w:lineRule="auto" w:before="0"/>
        <w:ind w:left="141" w:right="6894" w:firstLine="0"/>
        <w:jc w:val="left"/>
        <w:rPr>
          <w:rFonts w:ascii="宋体" w:hAnsi="宋体" w:cs="宋体" w:eastAsia="宋体" w:hint="default"/>
          <w:sz w:val="21"/>
          <w:szCs w:val="21"/>
        </w:rPr>
      </w:pPr>
      <w:bookmarkStart w:name="8、其他" w:id="541"/>
      <w:bookmarkEnd w:id="5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42"/>
      <w:bookmarkEnd w:id="542"/>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43"/>
      <w:bookmarkEnd w:id="5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5"/>
        <w:ind w:right="0"/>
        <w:jc w:val="left"/>
        <w:rPr>
          <w:b w:val="0"/>
          <w:bCs w:val="0"/>
        </w:rPr>
      </w:pPr>
      <w:bookmarkStart w:name="（1）应收账款分类披露" w:id="544"/>
      <w:bookmarkEnd w:id="54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51"/>
        <w:gridCol w:w="766"/>
        <w:gridCol w:w="796"/>
        <w:gridCol w:w="781"/>
        <w:gridCol w:w="796"/>
        <w:gridCol w:w="796"/>
        <w:gridCol w:w="796"/>
        <w:gridCol w:w="931"/>
      </w:tblGrid>
      <w:tr>
        <w:trPr>
          <w:trHeight w:val="406"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4,002,66</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4.51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4,002,66</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4.51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85,785,5</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82.21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95.54%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24,356,1</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94.31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28.39%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61,429,38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7.90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80,262,09</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13,298,76</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16.57%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66,963,327.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61</w:t>
            </w:r>
          </w:p>
        </w:tc>
      </w:tr>
      <w:tr>
        <w:trPr>
          <w:trHeight w:val="4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应收服饰销售业务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0" w:right="0"/>
              <w:jc w:val="left"/>
              <w:rPr>
                <w:rFonts w:ascii="Times New Roman" w:hAnsi="Times New Roman" w:cs="Times New Roman" w:eastAsia="Times New Roman" w:hint="default"/>
                <w:sz w:val="18"/>
                <w:szCs w:val="18"/>
              </w:rPr>
            </w:pPr>
            <w:r>
              <w:rPr>
                <w:rFonts w:ascii="Times New Roman"/>
                <w:sz w:val="18"/>
              </w:rPr>
              <w:t>85,785,5</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82.21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95.54%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9" w:right="0"/>
              <w:jc w:val="left"/>
              <w:rPr>
                <w:rFonts w:ascii="Times New Roman" w:hAnsi="Times New Roman" w:cs="Times New Roman" w:eastAsia="Times New Roman" w:hint="default"/>
                <w:sz w:val="18"/>
                <w:szCs w:val="18"/>
              </w:rPr>
            </w:pPr>
            <w:r>
              <w:rPr>
                <w:rFonts w:ascii="Times New Roman"/>
                <w:sz w:val="18"/>
              </w:rPr>
              <w:t>24,356,1</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94.31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28.39%</w:t>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left"/>
              <w:rPr>
                <w:rFonts w:ascii="Times New Roman" w:hAnsi="Times New Roman" w:cs="Times New Roman" w:eastAsia="Times New Roman" w:hint="default"/>
                <w:sz w:val="18"/>
                <w:szCs w:val="18"/>
              </w:rPr>
            </w:pPr>
            <w:r>
              <w:rPr>
                <w:rFonts w:ascii="Times New Roman"/>
                <w:sz w:val="18"/>
              </w:rPr>
              <w:t>80,262,09</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7.44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13,298,76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9.83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16.57%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66,963,327.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61</w:t>
            </w: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89,788,2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46.72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28,358,8</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58.82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31.58%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61,429,38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7.90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80,262,09</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13,298,76</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16.57%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66,963,327.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61</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3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431"/>
              <w:jc w:val="left"/>
              <w:rPr>
                <w:rFonts w:ascii="Times New Roman" w:hAnsi="Times New Roman" w:cs="Times New Roman" w:eastAsia="Times New Roman" w:hint="default"/>
                <w:sz w:val="18"/>
                <w:szCs w:val="18"/>
              </w:rPr>
            </w:pPr>
            <w:r>
              <w:rPr>
                <w:rFonts w:ascii="Times New Roman"/>
                <w:sz w:val="18"/>
              </w:rPr>
              <w:t>REGAL</w:t>
            </w:r>
            <w:r>
              <w:rPr>
                <w:rFonts w:ascii="Times New Roman"/>
                <w:spacing w:val="-5"/>
                <w:sz w:val="18"/>
              </w:rPr>
              <w:t> </w:t>
            </w:r>
            <w:r>
              <w:rPr>
                <w:rFonts w:ascii="Times New Roman"/>
                <w:sz w:val="18"/>
              </w:rPr>
              <w:t>CROWN</w:t>
            </w:r>
            <w:r>
              <w:rPr>
                <w:rFonts w:ascii="Times New Roman"/>
                <w:w w:val="99"/>
                <w:sz w:val="18"/>
              </w:rPr>
              <w:t> </w:t>
            </w:r>
            <w:r>
              <w:rPr>
                <w:rFonts w:ascii="Times New Roman"/>
                <w:sz w:val="18"/>
              </w:rPr>
              <w:t>INTERNATIONAL</w:t>
            </w:r>
            <w:r>
              <w:rPr>
                <w:rFonts w:ascii="Times New Roman"/>
                <w:sz w:val="18"/>
              </w:rPr>
              <w:t> LIMITED</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4,002,664.51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4,002,664.51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31" w:right="0"/>
              <w:jc w:val="lef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4,002,664.51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4,002,664.51</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0"/>
        <w:jc w:val="left"/>
      </w:pPr>
      <w:r>
        <w:rPr/>
        <w:t>按单项计提坏账准备：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7659"/>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41,904,570.29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2,095,228.51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6,948,711.50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694,871.15</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27,575,000.00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13,787,500.00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7,893,528.91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6,314,823.14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1,463,771.51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1,463,771.51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85,785,582.21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24,356,194.31</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ind w:right="8769"/>
        <w:jc w:val="left"/>
      </w:pPr>
      <w:r>
        <w:rPr/>
        <w:t>确定该组合依据的说明： 按组合计提坏账准备：</w:t>
      </w:r>
    </w:p>
    <w:p>
      <w:pPr>
        <w:pStyle w:val="BodyText"/>
        <w:spacing w:line="240" w:lineRule="auto" w:before="4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0" w:lineRule="auto" w:before="45"/>
        <w:ind w:right="1749"/>
        <w:jc w:val="left"/>
      </w:pPr>
      <w:r>
        <w:rPr/>
        <w:t>确定该组合依据的说明： 如是按照预期信用损失一般模型计提应收账款坏账准备，请参照其他应收款的披露方式披露坏账准备的相关信息：</w:t>
      </w:r>
    </w:p>
    <w:p>
      <w:pPr>
        <w:spacing w:after="0" w:line="350" w:lineRule="auto"/>
        <w:jc w:val="left"/>
        <w:sectPr>
          <w:pgSz w:w="11910" w:h="16850"/>
          <w:pgMar w:header="731" w:footer="981" w:top="1040" w:bottom="1180" w:left="1000" w:right="0"/>
        </w:sectPr>
      </w:pPr>
    </w:p>
    <w:p>
      <w:pPr>
        <w:pStyle w:val="BodyText"/>
        <w:spacing w:line="319" w:lineRule="auto" w:before="5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69"/>
        <w:gridCol w:w="4806"/>
      </w:tblGrid>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41,904,570.29</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6,948,711.50</w:t>
            </w:r>
          </w:p>
        </w:tc>
      </w:tr>
      <w:tr>
        <w:trPr>
          <w:trHeight w:val="390"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27,575,000.00</w:t>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13,359,964.93</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7,893,528.91</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5,466,436.02</w:t>
            </w:r>
          </w:p>
        </w:tc>
      </w:tr>
      <w:tr>
        <w:trPr>
          <w:trHeight w:val="391"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89,788,246.72</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本期计提、收回或转回的坏账准备情况" w:id="545"/>
      <w:bookmarkEnd w:id="5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5482"/>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其中本期坏账准备收回或转回金额重要的：</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5"/>
        <w:spacing w:line="271" w:lineRule="exact"/>
        <w:ind w:right="0"/>
        <w:jc w:val="left"/>
      </w:pPr>
      <w:r>
        <w:rPr/>
        <w:t>本期计提坏账准备金额为</w:t>
      </w:r>
      <w:r>
        <w:rPr>
          <w:rFonts w:ascii="Times New Roman" w:hAnsi="Times New Roman" w:cs="Times New Roman" w:eastAsia="Times New Roman" w:hint="default"/>
        </w:rPr>
        <w:t>15,060,088.99</w:t>
      </w:r>
      <w:r>
        <w:rPr/>
        <w:t>元；</w:t>
      </w:r>
    </w:p>
    <w:p>
      <w:pPr>
        <w:pStyle w:val="Heading5"/>
        <w:spacing w:line="259" w:lineRule="auto" w:before="9"/>
        <w:ind w:right="0"/>
        <w:jc w:val="left"/>
      </w:pPr>
      <w:r>
        <w:rPr>
          <w:spacing w:val="-2"/>
        </w:rPr>
        <w:t>期末余额前</w:t>
      </w:r>
      <w:r>
        <w:rPr>
          <w:rFonts w:ascii="Times New Roman" w:hAnsi="Times New Roman" w:cs="Times New Roman" w:eastAsia="Times New Roman" w:hint="default"/>
          <w:spacing w:val="-2"/>
        </w:rPr>
        <w:t>5</w:t>
      </w:r>
      <w:r>
        <w:rPr>
          <w:spacing w:val="-2"/>
        </w:rPr>
        <w:t>名的应收账款合计数为</w:t>
      </w:r>
      <w:r>
        <w:rPr>
          <w:rFonts w:ascii="Times New Roman" w:hAnsi="Times New Roman" w:cs="Times New Roman" w:eastAsia="Times New Roman" w:hint="default"/>
          <w:spacing w:val="-2"/>
        </w:rPr>
        <w:t>65,272,262.15</w:t>
      </w:r>
      <w:r>
        <w:rPr>
          <w:spacing w:val="-2"/>
        </w:rPr>
        <w:t>元，占应收账款期末余额合计数的比例为</w:t>
      </w:r>
      <w:r>
        <w:rPr>
          <w:rFonts w:ascii="Times New Roman" w:hAnsi="Times New Roman" w:cs="Times New Roman" w:eastAsia="Times New Roman" w:hint="default"/>
          <w:spacing w:val="-2"/>
        </w:rPr>
        <w:t>72.69%</w:t>
      </w:r>
      <w:r>
        <w:rPr>
          <w:spacing w:val="-2"/>
        </w:rPr>
        <w:t>，相应计</w:t>
      </w:r>
      <w:r>
        <w:rPr>
          <w:spacing w:val="-67"/>
        </w:rPr>
        <w:t> </w:t>
      </w:r>
      <w:r>
        <w:rPr>
          <w:spacing w:val="-67"/>
        </w:rPr>
      </w:r>
      <w:r>
        <w:rPr/>
        <w:t>提的坏账准备合计数为</w:t>
      </w:r>
      <w:r>
        <w:rPr>
          <w:rFonts w:ascii="Times New Roman" w:hAnsi="Times New Roman" w:cs="Times New Roman" w:eastAsia="Times New Roman" w:hint="default"/>
        </w:rPr>
        <w:t>19,474,894.39</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Heading4"/>
        <w:spacing w:line="240" w:lineRule="auto"/>
        <w:ind w:right="0"/>
        <w:jc w:val="left"/>
        <w:rPr>
          <w:b w:val="0"/>
          <w:bCs w:val="0"/>
        </w:rPr>
      </w:pPr>
      <w:bookmarkStart w:name="（3）本期实际核销的应收账款情况" w:id="546"/>
      <w:bookmarkEnd w:id="54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按欠款方归集的期末余额前五名的应收账款情况" w:id="547"/>
      <w:bookmarkEnd w:id="54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27,837,946.24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31.00%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1,391,897.31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15,075,000.00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16.79%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7,537,500.00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13.92%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6,250,000.00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5,856,651.40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6.52%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292,832.57</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4,002,664.51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4,002,664.51</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65,272,262.15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72.69%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5）因金融资产转移而终止确认的应收账款" w:id="548"/>
      <w:bookmarkEnd w:id="54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549"/>
      <w:bookmarkEnd w:id="54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2、其他应收款" w:id="550"/>
      <w:bookmarkEnd w:id="55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183,287,395.77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1,384,799,409.18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183,287,395.77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1,384,799,409.18</w:t>
            </w:r>
          </w:p>
        </w:tc>
      </w:tr>
    </w:tbl>
    <w:p>
      <w:pPr>
        <w:spacing w:line="240" w:lineRule="auto" w:before="11"/>
        <w:rPr>
          <w:rFonts w:ascii="宋体" w:hAnsi="宋体" w:cs="宋体" w:eastAsia="宋体" w:hint="default"/>
          <w:sz w:val="19"/>
          <w:szCs w:val="19"/>
        </w:rPr>
      </w:pPr>
    </w:p>
    <w:p>
      <w:pPr>
        <w:pStyle w:val="Heading4"/>
        <w:spacing w:line="508" w:lineRule="auto" w:before="35"/>
        <w:ind w:right="9129"/>
        <w:jc w:val="left"/>
        <w:rPr>
          <w:b w:val="0"/>
          <w:bCs w:val="0"/>
        </w:rPr>
      </w:pPr>
      <w:bookmarkStart w:name="（1）应收利息" w:id="551"/>
      <w:bookmarkEnd w:id="551"/>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52"/>
      <w:bookmarkEnd w:id="552"/>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重要逾期利息" w:id="553"/>
      <w:bookmarkEnd w:id="55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3）坏账准备计提情况" w:id="554"/>
      <w:bookmarkEnd w:id="55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496" w:lineRule="auto"/>
        <w:ind w:right="9129"/>
        <w:jc w:val="left"/>
        <w:rPr>
          <w:b w:val="0"/>
          <w:bCs w:val="0"/>
        </w:rPr>
      </w:pPr>
      <w:bookmarkStart w:name="（2）应收股利" w:id="555"/>
      <w:bookmarkEnd w:id="555"/>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56"/>
      <w:bookmarkEnd w:id="556"/>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557"/>
      <w:bookmarkEnd w:id="557"/>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坏账准备计提情况" w:id="558"/>
      <w:bookmarkEnd w:id="55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after="0" w:line="316"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496" w:lineRule="auto" w:before="35"/>
        <w:ind w:right="7481"/>
        <w:jc w:val="left"/>
        <w:rPr>
          <w:b w:val="0"/>
          <w:bCs w:val="0"/>
        </w:rPr>
      </w:pPr>
      <w:bookmarkStart w:name="（3）其他应收款" w:id="559"/>
      <w:bookmarkEnd w:id="559"/>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60"/>
      <w:bookmarkEnd w:id="560"/>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41,531,579.70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占用款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1,176,958,817.28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509,363.00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5,927,642.27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148,410,114.44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211,212,630.00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1,408,891.35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1,717,366.48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34,464.47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267,066.12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-8,967,017.19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-11,284,112.97</w:t>
            </w:r>
            <w:r>
              <w:rPr>
                <w:rFonts w:ascii="Times New Roman"/>
                <w:sz w:val="18"/>
              </w:rPr>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183,287,395.77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1,384,799,409.18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坏账准备计提情况" w:id="561"/>
      <w:bookmarkEnd w:id="56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8"/>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11,284,112.97</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11,284,112.97</w:t>
            </w:r>
          </w:p>
        </w:tc>
      </w:tr>
      <w:tr>
        <w:trPr>
          <w:trHeight w:val="173"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11,260,112.97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8,000.00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sz w:val="18"/>
              </w:rPr>
              <w:t>16,000.00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11,284,112.97</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-2,323,095.78</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-2,317,095.78</w:t>
            </w:r>
            <w:r>
              <w:rPr>
                <w:rFonts w:ascii="Times New Roman"/>
                <w:sz w:val="18"/>
              </w:rPr>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8,937,017.19</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10,000.00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20,000.00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8,967,017.19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188,578,732.96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3,615,936.31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59,743.69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39,743.69</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192,254,412.96</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收回或转回的坏账准备情况" w:id="562"/>
      <w:bookmarkEnd w:id="56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406"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其中本期坏账准备转回或收回金额重要的：</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4）本期实际核销的其他应收款情况" w:id="563"/>
      <w:bookmarkEnd w:id="56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5）按欠款方归集的期末余额前五名的其他应收款情况" w:id="564"/>
      <w:bookmarkEnd w:id="56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杭州美盛爱彼文化发 展有限公司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102,733,264.57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68.16%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6,163,995.87</w:t>
            </w:r>
          </w:p>
        </w:tc>
      </w:tr>
      <w:tr>
        <w:trPr>
          <w:trHeight w:val="133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15" w:right="30"/>
              <w:jc w:val="left"/>
              <w:rPr>
                <w:rFonts w:ascii="宋体" w:hAnsi="宋体" w:cs="宋体" w:eastAsia="宋体" w:hint="default"/>
                <w:sz w:val="18"/>
                <w:szCs w:val="18"/>
              </w:rPr>
            </w:pPr>
            <w:r>
              <w:rPr>
                <w:rFonts w:ascii="宋体" w:hAnsi="宋体" w:cs="宋体" w:eastAsia="宋体" w:hint="default"/>
                <w:sz w:val="18"/>
                <w:szCs w:val="18"/>
              </w:rPr>
              <w:t>杭州美盛动漫有限公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27,744,552.10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24,464,552.10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3,280,000.00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18.41%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1,664,673.13</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杭州真趣网络科技有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6.63%</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600,000.00</w:t>
            </w: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开封市瑞美服装有限 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3,499,819.60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174,990.98</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center"/>
              <w:rPr>
                <w:rFonts w:ascii="宋体" w:hAnsi="宋体" w:cs="宋体" w:eastAsia="宋体" w:hint="default"/>
                <w:sz w:val="18"/>
                <w:szCs w:val="18"/>
              </w:rPr>
            </w:pPr>
            <w:r>
              <w:rPr>
                <w:rFonts w:ascii="宋体" w:hAnsi="宋体" w:cs="宋体" w:eastAsia="宋体" w:hint="default"/>
                <w:sz w:val="18"/>
                <w:szCs w:val="18"/>
              </w:rPr>
              <w:t>嵊州市美源饰品有限</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2,332,930.00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139,975.80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36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2" w:type="dxa"/>
            <w:tcBorders>
              <w:top w:val="single" w:sz="6" w:space="0" w:color="000000"/>
              <w:left w:val="single" w:sz="6" w:space="0" w:color="000000"/>
              <w:bottom w:val="single" w:sz="6" w:space="0" w:color="000000"/>
              <w:right w:val="single" w:sz="6" w:space="0" w:color="000000"/>
            </w:tcBorders>
          </w:tcPr>
          <w:p>
            <w:pPr/>
          </w:p>
        </w:tc>
        <w:tc>
          <w:tcPr>
            <w:tcW w:w="154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146,310,566.27</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97.07%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5" w:right="0"/>
              <w:jc w:val="left"/>
              <w:rPr>
                <w:rFonts w:ascii="Times New Roman" w:hAnsi="Times New Roman" w:cs="Times New Roman" w:eastAsia="Times New Roman" w:hint="default"/>
                <w:sz w:val="18"/>
                <w:szCs w:val="18"/>
              </w:rPr>
            </w:pPr>
            <w:r>
              <w:rPr>
                <w:rFonts w:ascii="Times New Roman"/>
                <w:sz w:val="18"/>
              </w:rPr>
              <w:t>8,743,635.78</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565"/>
      <w:bookmarkEnd w:id="56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5"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566"/>
      <w:bookmarkEnd w:id="56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567"/>
      <w:bookmarkEnd w:id="567"/>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t>其他说明：</w:t>
      </w:r>
    </w:p>
    <w:p>
      <w:pPr>
        <w:pStyle w:val="Heading5"/>
        <w:spacing w:line="259" w:lineRule="auto" w:before="90"/>
        <w:ind w:right="0"/>
        <w:jc w:val="left"/>
      </w:pPr>
      <w:r>
        <w:rPr/>
        <w:t>期末余额前</w:t>
      </w:r>
      <w:r>
        <w:rPr>
          <w:rFonts w:ascii="Times New Roman" w:hAnsi="Times New Roman" w:cs="Times New Roman" w:eastAsia="Times New Roman" w:hint="default"/>
        </w:rPr>
        <w:t>5</w:t>
      </w:r>
      <w:r>
        <w:rPr/>
        <w:t>名的其他应收款合计数为</w:t>
      </w:r>
      <w:r>
        <w:rPr>
          <w:rFonts w:ascii="Times New Roman" w:hAnsi="Times New Roman" w:cs="Times New Roman" w:eastAsia="Times New Roman" w:hint="default"/>
        </w:rPr>
        <w:t>185,509,215.97</w:t>
      </w:r>
      <w:r>
        <w:rPr/>
        <w:t>元，占其他应收款期末余额合计数的比例为</w:t>
      </w:r>
      <w:r>
        <w:rPr>
          <w:rFonts w:ascii="Times New Roman" w:hAnsi="Times New Roman" w:cs="Times New Roman" w:eastAsia="Times New Roman" w:hint="default"/>
        </w:rPr>
        <w:t>96.49%</w:t>
      </w:r>
      <w:r>
        <w:rPr/>
        <w:t>，</w:t>
      </w:r>
      <w:r>
        <w:rPr>
          <w:spacing w:val="-78"/>
        </w:rPr>
        <w:t> </w:t>
      </w:r>
      <w:r>
        <w:rPr/>
        <w:t>相应计提的坏账准备合计数为</w:t>
      </w:r>
      <w:r>
        <w:rPr>
          <w:rFonts w:ascii="Times New Roman" w:hAnsi="Times New Roman" w:cs="Times New Roman" w:eastAsia="Times New Roman" w:hint="default"/>
        </w:rPr>
        <w:t>17,207,319.96</w:t>
      </w:r>
      <w:r>
        <w:rPr/>
        <w:t>元，主要为合并范围内关联方及应收控股股东业绩补偿款。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81"/>
        <w:ind w:right="0"/>
        <w:jc w:val="left"/>
        <w:rPr>
          <w:b w:val="0"/>
          <w:bCs w:val="0"/>
        </w:rPr>
      </w:pPr>
      <w:bookmarkStart w:name="3、长期股权投资" w:id="568"/>
      <w:bookmarkEnd w:id="56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6"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2,485,950,388.08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215,209,871.66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2,270,740,516.42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2,083,724,392.84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215,209,871.66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1,868,514,521.18</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68,549,214.69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68,549,214.69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68,926,393.09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68,926,393.09</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2,554,499,602.77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215,209,871.66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2,339,289,731.11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2,152,650,785.93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215,209,871.66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1,937,440,914.27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69"/>
      <w:bookmarkEnd w:id="56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105"/>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105"/>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6"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嵊州市美源饰 品有限公司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9,860,000.00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9,860,000.00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杭州美盛动漫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香港美盛文化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240,448,352.8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240,448,352.84</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杭州星梦工坊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9" w:right="0"/>
              <w:jc w:val="center"/>
              <w:rPr>
                <w:rFonts w:ascii="Times New Roman" w:hAnsi="Times New Roman" w:cs="Times New Roman" w:eastAsia="Times New Roman" w:hint="default"/>
                <w:sz w:val="18"/>
                <w:szCs w:val="18"/>
              </w:rPr>
            </w:pPr>
            <w:r>
              <w:rPr>
                <w:rFonts w:ascii="Times New Roman"/>
                <w:sz w:val="18"/>
              </w:rPr>
              <w:t>6,303,969.55</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6,303,969.55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0" w:right="0"/>
              <w:jc w:val="left"/>
              <w:rPr>
                <w:rFonts w:ascii="Times New Roman" w:hAnsi="Times New Roman" w:cs="Times New Roman" w:eastAsia="Times New Roman" w:hint="default"/>
                <w:sz w:val="18"/>
                <w:szCs w:val="18"/>
              </w:rPr>
            </w:pPr>
            <w:r>
              <w:rPr>
                <w:rFonts w:ascii="Times New Roman"/>
                <w:sz w:val="18"/>
              </w:rPr>
              <w:t>9,876,030.45</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文化创意有限 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天津酷米网络 科技有限责任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6,273,389.79</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6,273,389.79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35,726,610.21</w:t>
            </w: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杭州美盛电子 商务有限公司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杭州美盛二次 元文化发展有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杭州美盛爱彼 文化发展有限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8"/>
              <w:jc w:val="both"/>
              <w:rPr>
                <w:rFonts w:ascii="宋体" w:hAnsi="宋体" w:cs="宋体" w:eastAsia="宋体" w:hint="default"/>
                <w:sz w:val="18"/>
                <w:szCs w:val="18"/>
              </w:rPr>
            </w:pPr>
            <w:r>
              <w:rPr>
                <w:rFonts w:ascii="宋体" w:hAnsi="宋体" w:cs="宋体" w:eastAsia="宋体" w:hint="default"/>
                <w:sz w:val="18"/>
                <w:szCs w:val="18"/>
              </w:rPr>
              <w:t>深圳市同道大 叔文化传播有 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285,000,000.0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175,274,004.76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109,725,995.24</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234"/>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8"/>
                <w:sz w:val="18"/>
              </w:rPr>
              <w:t> </w:t>
            </w:r>
            <w:r>
              <w:rPr>
                <w:rFonts w:ascii="Times New Roman"/>
                <w:sz w:val="18"/>
              </w:rPr>
              <w:t>usa</w:t>
            </w:r>
            <w:r>
              <w:rPr>
                <w:rFonts w:ascii="Times New Roman"/>
                <w:spacing w:val="-41"/>
                <w:sz w:val="18"/>
              </w:rPr>
              <w:t> </w:t>
            </w:r>
            <w:r>
              <w:rPr>
                <w:rFonts w:ascii="Times New Roman"/>
                <w:spacing w:val="-41"/>
                <w:sz w:val="18"/>
              </w:rPr>
            </w:r>
            <w:r>
              <w:rPr>
                <w:rFonts w:ascii="Times New Roman"/>
                <w:sz w:val="18"/>
              </w:rPr>
              <w:t>inc</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115,568,040.0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115,568,040.00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杭州真趣网络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941,392,769.0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941,392,769.00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169,607,231.00</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杭州美盛游戏 技术开发有限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63,668,000.00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63,668,000.00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6"/>
              <w:ind w:left="15" w:right="325"/>
              <w:jc w:val="left"/>
              <w:rPr>
                <w:rFonts w:ascii="Times New Roman" w:hAnsi="Times New Roman" w:cs="Times New Roman" w:eastAsia="Times New Roman" w:hint="default"/>
                <w:sz w:val="18"/>
                <w:szCs w:val="18"/>
              </w:rPr>
            </w:pPr>
            <w:r>
              <w:rPr>
                <w:rFonts w:ascii="Times New Roman"/>
                <w:sz w:val="18"/>
              </w:rPr>
              <w:t>NEW</w:t>
            </w:r>
            <w:r>
              <w:rPr>
                <w:rFonts w:ascii="Times New Roman"/>
                <w:spacing w:val="-6"/>
                <w:sz w:val="18"/>
              </w:rPr>
              <w:t> </w:t>
            </w:r>
            <w:r>
              <w:rPr>
                <w:rFonts w:ascii="Times New Roman"/>
                <w:spacing w:val="3"/>
                <w:sz w:val="18"/>
              </w:rPr>
              <w:t>TIME</w:t>
            </w:r>
            <w:r>
              <w:rPr>
                <w:rFonts w:ascii="Times New Roman"/>
                <w:sz w:val="18"/>
              </w:rPr>
              <w:t> LIMITED</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577,500,000.0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577,500,000.00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1,868,514,521.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18</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577,500,000.0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175,274,004.76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2,270,740,516.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215,209,871.66</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70"/>
      <w:bookmarkEnd w:id="57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3.09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-377,178.</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68,549,21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4.69</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3.09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-377,178.</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68,549,21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4.69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3.09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-377,178.</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68,549,21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4.69</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508" w:lineRule="auto" w:before="35"/>
        <w:ind w:right="8535"/>
        <w:jc w:val="left"/>
        <w:rPr>
          <w:b w:val="0"/>
          <w:bCs w:val="0"/>
        </w:rPr>
      </w:pPr>
      <w:bookmarkStart w:name="（3）其他说明" w:id="571"/>
      <w:bookmarkEnd w:id="571"/>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72"/>
      <w:bookmarkEnd w:id="572"/>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403,206,930.26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279,670,949.82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269,803,012.45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196,198,875.02</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4,309,356.57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3,229,476.36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5,896,310.97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5,015,269.80</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407,516,286.83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282,900,426.18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275,699,323.42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201,214,144.82</w:t>
            </w:r>
          </w:p>
        </w:tc>
      </w:tr>
    </w:tbl>
    <w:p>
      <w:pPr>
        <w:pStyle w:val="BodyText"/>
        <w:spacing w:line="240" w:lineRule="auto"/>
        <w:ind w:right="0"/>
        <w:jc w:val="left"/>
      </w:pPr>
      <w:r>
        <w:rPr/>
        <w:t>是否已执行新收入准则</w:t>
      </w:r>
    </w:p>
    <w:p>
      <w:pPr>
        <w:pStyle w:val="BodyText"/>
        <w:spacing w:line="319" w:lineRule="auto" w:before="125"/>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投资收益" w:id="573"/>
      <w:bookmarkEnd w:id="57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391"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-377,178.40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-782,818.66</w:t>
            </w:r>
            <w:r>
              <w:rPr>
                <w:rFonts w:ascii="Times New Roman"/>
                <w:sz w:val="18"/>
              </w:rPr>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4"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2,739,888.68</w:t>
            </w:r>
          </w:p>
        </w:tc>
      </w:tr>
      <w:tr>
        <w:trPr>
          <w:trHeight w:val="721"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6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1,183,561.64</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其他权益工具投资持有期间的投资收益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6,829,594.90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84,270.83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33,564,979.51</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6,536,687.33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36,705,611.17</w:t>
            </w:r>
          </w:p>
        </w:tc>
      </w:tr>
    </w:tbl>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74"/>
      <w:bookmarkEnd w:id="57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0"/>
          <w:szCs w:val="20"/>
        </w:rPr>
      </w:pPr>
    </w:p>
    <w:p>
      <w:pPr>
        <w:pStyle w:val="Heading2"/>
        <w:spacing w:line="240" w:lineRule="auto"/>
        <w:ind w:right="0"/>
        <w:jc w:val="left"/>
        <w:rPr>
          <w:b w:val="0"/>
          <w:bCs w:val="0"/>
        </w:rPr>
      </w:pPr>
      <w:bookmarkStart w:name="十八、补充资料" w:id="575"/>
      <w:bookmarkEnd w:id="575"/>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1、当期非经常性损益明细表" w:id="576"/>
      <w:bookmarkEnd w:id="57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-1,768,543.72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10,293,664.77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3,957,550.00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-1,733,699.17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7,519,777.26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-1,673,508.09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2,416,239.75</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-48,634.62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14,227,635.92</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净资产收益率及每股收益" w:id="577"/>
      <w:bookmarkEnd w:id="57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95"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r>
      <w:tr>
        <w:trPr>
          <w:trHeight w:val="7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0.69%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11"/>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78"/>
      <w:bookmarkEnd w:id="57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79"/>
      <w:bookmarkEnd w:id="57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bookmarkStart w:name="（2）同时按照境外会计准则与按中国会计准则披露的财务报告中净利润和净资产差异情况" w:id="580"/>
      <w:bookmarkEnd w:id="58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4"/>
        <w:spacing w:line="247" w:lineRule="auto"/>
        <w:ind w:right="0"/>
        <w:jc w:val="left"/>
        <w:rPr>
          <w:b w:val="0"/>
          <w:bCs w:val="0"/>
        </w:rPr>
      </w:pPr>
      <w:bookmarkStart w:name="（3）境内外会计准则下会计数据差异原因说明，对已经境外审计机构审计的数据进行差异" w:id="581"/>
      <w:bookmarkEnd w:id="58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0"/>
        <w:jc w:val="left"/>
        <w:rPr>
          <w:b w:val="0"/>
          <w:bCs w:val="0"/>
        </w:rPr>
      </w:pPr>
      <w:bookmarkStart w:name="4、其他" w:id="582"/>
      <w:bookmarkEnd w:id="58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_TOC_250000" w:id="583"/>
      <w:bookmarkStart w:name="第十三节 备查文件目录" w:id="584"/>
      <w:r>
        <w:rPr>
          <w:b w:val="0"/>
          <w:bCs w:val="0"/>
        </w:rPr>
      </w:r>
      <w:r>
        <w:rPr>
          <w:spacing w:val="6"/>
        </w:rPr>
        <w:t>第十三节</w:t>
      </w:r>
      <w:r>
        <w:rPr>
          <w:spacing w:val="58"/>
        </w:rPr>
        <w:t> </w:t>
      </w:r>
      <w:r>
        <w:rPr>
          <w:spacing w:val="4"/>
        </w:rPr>
        <w:t>备查文件目录</w:t>
      </w:r>
      <w:bookmarkEnd w:id="583"/>
      <w:r>
        <w:rPr>
          <w:b w:val="0"/>
          <w:bCs w:val="0"/>
          <w:spacing w:val="4"/>
        </w:rPr>
      </w:r>
    </w:p>
    <w:p>
      <w:pPr>
        <w:spacing w:line="240" w:lineRule="auto" w:before="9"/>
        <w:rPr>
          <w:rFonts w:ascii="宋体" w:hAnsi="宋体" w:cs="宋体" w:eastAsia="宋体" w:hint="default"/>
          <w:b/>
          <w:bCs/>
          <w:sz w:val="43"/>
          <w:szCs w:val="43"/>
        </w:rPr>
      </w:pPr>
    </w:p>
    <w:p>
      <w:pPr>
        <w:pStyle w:val="BodyText"/>
        <w:spacing w:line="309" w:lineRule="auto" w:before="0"/>
        <w:ind w:right="3369"/>
        <w:jc w:val="left"/>
      </w:pPr>
      <w:r>
        <w:rPr/>
        <w:t>一、载有公司法定代表人签名的</w:t>
      </w:r>
      <w:r>
        <w:rPr>
          <w:rFonts w:ascii="Times New Roman" w:hAnsi="Times New Roman" w:cs="Times New Roman" w:eastAsia="Times New Roman" w:hint="default"/>
        </w:rPr>
        <w:t>2019</w:t>
      </w:r>
      <w:r>
        <w:rPr/>
        <w:t>年度报告及摘要原件；</w:t>
      </w:r>
      <w:r>
        <w:rPr>
          <w:spacing w:val="-87"/>
        </w:rPr>
        <w:t> </w:t>
      </w:r>
      <w:r>
        <w:rPr/>
        <w:t>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1072" type="#_x0000_t75" stroked="false">
          <v:imagedata r:id="rId1" o:title=""/>
        </v:shape>
      </w:pict>
    </w:r>
    <w:r>
      <w:rPr/>
      <w:pict>
        <v:shape style="position:absolute;margin-left:534.419983pt;margin-top:795.707947pt;width:6.5pt;height:11pt;mso-position-horizontal-relative:page;mso-position-vertical-relative:page;z-index:-11110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1024" type="#_x0000_t75" stroked="false">
          <v:imagedata r:id="rId1" o:title=""/>
        </v:shape>
      </w:pict>
    </w:r>
    <w:r>
      <w:rPr/>
      <w:pict>
        <v:shape style="position:absolute;margin-left:528.919983pt;margin-top:782.207947pt;width:13pt;height:11pt;mso-position-horizontal-relative:page;mso-position-vertical-relative:page;z-index:-1111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976" type="#_x0000_t75" stroked="false">
          <v:imagedata r:id="rId1" o:title=""/>
        </v:shape>
      </w:pict>
    </w:r>
    <w:r>
      <w:rPr/>
      <w:pict>
        <v:shape style="position:absolute;margin-left:528.919983pt;margin-top:782.207947pt;width:13pt;height:11pt;mso-position-horizontal-relative:page;mso-position-vertical-relative:page;z-index:-11109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928" type="#_x0000_t75" stroked="false">
          <v:imagedata r:id="rId1" o:title=""/>
        </v:shape>
      </w:pict>
    </w:r>
    <w:r>
      <w:rPr/>
      <w:pict>
        <v:shape style="position:absolute;margin-left:525.400024pt;margin-top:782.207947pt;width:15.5pt;height:11pt;mso-position-horizontal-relative:page;mso-position-vertical-relative:page;z-index:-111090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880" type="#_x0000_t75" stroked="false">
          <v:imagedata r:id="rId1" o:title=""/>
        </v:shape>
      </w:pict>
    </w:r>
    <w:r>
      <w:rPr/>
      <w:pict>
        <v:shape style="position:absolute;margin-left:524.400024pt;margin-top:782.207947pt;width:18.25pt;height:11pt;mso-position-horizontal-relative:page;mso-position-vertical-relative:page;z-index:-11108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5.170013pt;margin-top:35.565624pt;width:195.7pt;height:11.5pt;mso-position-horizontal-relative:page;mso-position-vertical-relative:page;z-index:-1111096" type="#_x0000_t202" filled="false" stroked="false">
          <v:textbox inset="0,0,0,0">
            <w:txbxContent>
              <w:p>
                <w:pPr>
                  <w:pStyle w:val="BodyText"/>
                  <w:spacing w:line="214" w:lineRule="exact" w:before="0"/>
                  <w:ind w:left="20" w:right="0"/>
                  <w:jc w:val="left"/>
                </w:pPr>
                <w:r>
                  <w:rPr/>
                  <w:t>美盛文化创意股份有限公司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BodyText" w:type="paragraph">
    <w:name w:val="Body Text"/>
    <w:basedOn w:val="Normal"/>
    <w:uiPriority w:val="1"/>
    <w:qFormat/>
    <w:pPr>
      <w:spacing w:before="44"/>
      <w:ind w:left="141"/>
    </w:pPr>
    <w:rPr>
      <w:rFonts w:ascii="宋体" w:hAnsi="宋体" w:eastAsia="宋体"/>
      <w:sz w:val="18"/>
      <w:szCs w:val="18"/>
    </w:rPr>
  </w:style>
  <w:style w:styleId="Heading1" w:type="paragraph">
    <w:name w:val="Heading 1"/>
    <w:basedOn w:val="Normal"/>
    <w:uiPriority w:val="1"/>
    <w:qFormat/>
    <w:pPr>
      <w:spacing w:before="9"/>
      <w:ind w:left="488"/>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561"/>
      <w:outlineLvl w:val="3"/>
    </w:pPr>
    <w:rPr>
      <w:rFonts w:ascii="宋体" w:hAnsi="宋体" w:eastAsia="宋体"/>
      <w:sz w:val="24"/>
      <w:szCs w:val="24"/>
    </w:rPr>
  </w:style>
  <w:style w:styleId="Heading4" w:type="paragraph">
    <w:name w:val="Heading 4"/>
    <w:basedOn w:val="Normal"/>
    <w:uiPriority w:val="1"/>
    <w:qFormat/>
    <w:pPr>
      <w:ind w:left="141"/>
      <w:outlineLvl w:val="4"/>
    </w:pPr>
    <w:rPr>
      <w:rFonts w:ascii="宋体" w:hAnsi="宋体" w:eastAsia="宋体"/>
      <w:b/>
      <w:bCs/>
      <w:sz w:val="21"/>
      <w:szCs w:val="21"/>
    </w:rPr>
  </w:style>
  <w:style w:styleId="Heading5" w:type="paragraph">
    <w:name w:val="Heading 5"/>
    <w:basedOn w:val="Normal"/>
    <w:uiPriority w:val="1"/>
    <w:qFormat/>
    <w:pPr>
      <w:ind w:left="141"/>
      <w:outlineLvl w:val="5"/>
    </w:pPr>
    <w:rPr>
      <w:rFonts w:ascii="宋体" w:hAnsi="宋体" w:eastAsia="宋体"/>
      <w:sz w:val="21"/>
      <w:szCs w:val="21"/>
    </w:rPr>
  </w:style>
  <w:style w:styleId="Heading6" w:type="paragraph">
    <w:name w:val="Heading 6"/>
    <w:basedOn w:val="Normal"/>
    <w:uiPriority w:val="1"/>
    <w:qFormat/>
    <w:pPr>
      <w:spacing w:before="52"/>
      <w:ind w:left="141"/>
      <w:outlineLvl w:val="6"/>
    </w:pPr>
    <w:rPr>
      <w:rFonts w:ascii="宋体" w:hAnsi="宋体" w:eastAsia="宋体"/>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hinarising.com.cn/" TargetMode="External"/><Relationship Id="rId9" Type="http://schemas.openxmlformats.org/officeDocument/2006/relationships/hyperlink" Target="mailto:Office@chianrising.com.cn" TargetMode="External"/><Relationship Id="rId10" Type="http://schemas.openxmlformats.org/officeDocument/2006/relationships/hyperlink" Target="mailto:office@chinarising.com.cn" TargetMode="External"/><Relationship Id="rId11" Type="http://schemas.openxmlformats.org/officeDocument/2006/relationships/hyperlink" Target="http://www.cninfo.com.cn/" TargetMode="External"/><Relationship Id="rId12" Type="http://schemas.openxmlformats.org/officeDocument/2006/relationships/hyperlink" Target="http://www.kumi.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美盛文化创意股份有限公司</dc:creator>
  <dc:title>美盛文化创意股份有限公司2019年年度报告全文</dc:title>
  <dcterms:created xsi:type="dcterms:W3CDTF">2020-05-19T22:31:55Z</dcterms:created>
  <dcterms:modified xsi:type="dcterms:W3CDTF">2020-05-19T22:31:55Z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